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TCG Opportunity III GP,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8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94129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NGM BIOPHARMACEUTICALS INC </w:t>
              </w:r>
            </w:hyperlink>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NGM </w:t>
              </w:r>
              <w:r>
                <w:rPr>
                  <w:rFonts w:ascii="Times New Roman" w:cs="Times New Roman" w:eastAsia="Times New Roman" w:hAnsi="Times New Roman"/>
                  <w:sz w:val="1"/>
                  <w:szCs w:val="1"/>
                  <w:color w:val="000000"/>
                </w:rPr>
                <w:t>]</w:t>
              </w:r>
            </w:hyperlink>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04/05/2024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120" w:space="72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4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00" w:type="dxa"/>
            <w:vAlign w:val="bottom"/>
          </w:tcPr>
          <w:p>
            <w:pPr>
              <w:spacing w:after="0"/>
              <w:rPr>
                <w:sz w:val="13"/>
                <w:szCs w:val="13"/>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3"/>
                <w:szCs w:val="13"/>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949,862</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Pr>
          <w:p>
            <w:pPr>
              <w:spacing w:after="0"/>
              <w:rPr>
                <w:sz w:val="21"/>
                <w:szCs w:val="21"/>
                <w:color w:val="auto"/>
              </w:rPr>
            </w:pPr>
          </w:p>
        </w:tc>
        <w:tc>
          <w:tcPr>
            <w:tcW w:w="540" w:type="dxa"/>
            <w:vAlign w:val="bottom"/>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2,650,177</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90,442</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11,103,333</w:t>
            </w:r>
          </w:p>
        </w:tc>
        <w:tc>
          <w:tcPr>
            <w:tcW w:w="4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bottom w:val="single" w:sz="8" w:color="2C2C2C"/>
            </w:tcBorders>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left="20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8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858,035</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Pr>
          <w:p>
            <w:pPr>
              <w:spacing w:after="0"/>
              <w:rPr>
                <w:sz w:val="21"/>
                <w:szCs w:val="21"/>
                <w:color w:val="auto"/>
              </w:rPr>
            </w:pPr>
          </w:p>
        </w:tc>
        <w:tc>
          <w:tcPr>
            <w:tcW w:w="540" w:type="dxa"/>
            <w:vAlign w:val="bottom"/>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968,990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2,265,758</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1,298,908</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1,298,908</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15,000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44,000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J</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rPr>
              <w:t>(17)</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26"/>
              <w:spacing w:after="0"/>
              <w:rPr>
                <w:sz w:val="20"/>
                <w:szCs w:val="20"/>
                <w:color w:val="auto"/>
              </w:rPr>
            </w:pPr>
            <w:r>
              <w:rPr>
                <w:rFonts w:ascii="Times New Roman" w:cs="Times New Roman" w:eastAsia="Times New Roman" w:hAnsi="Times New Roman"/>
                <w:sz w:val="17"/>
                <w:szCs w:val="17"/>
                <w:color w:val="0000FF"/>
                <w:w w:val="99"/>
              </w:rPr>
              <w:t>1,000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Owned</w:t>
            </w:r>
          </w:p>
        </w:tc>
        <w:tc>
          <w:tcPr>
            <w:tcW w:w="5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459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45986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958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95897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76"/>
              </w:rPr>
              <w:t>5(A).Number(D)</w:t>
            </w:r>
          </w:p>
        </w:tc>
        <w:tc>
          <w:tcPr>
            <w:tcW w:w="15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20" w:type="dxa"/>
            <w:vAlign w:val="bottom"/>
          </w:tcPr>
          <w:p>
            <w:pPr>
              <w:ind w:left="8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2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On February 25, 2024, the Issuer, Atlas Neon Parent, Inc. ("Parent") and Atlas Neon Merger Sub, Inc., a wholly-owned subsidiary of Parent ("Purchaser") entered into an Agreement and Plan of</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2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0"/>
        </w:trPr>
        <w:tc>
          <w:tcPr>
            <w:tcW w:w="11080" w:type="dxa"/>
            <w:vAlign w:val="bottom"/>
            <w:gridSpan w:val="12"/>
          </w:tcPr>
          <w:p>
            <w:pPr>
              <w:ind w:left="40"/>
              <w:spacing w:after="0" w:line="80" w:lineRule="exact"/>
              <w:rPr>
                <w:sz w:val="20"/>
                <w:szCs w:val="20"/>
                <w:color w:val="auto"/>
              </w:rPr>
            </w:pPr>
            <w:r>
              <w:rPr>
                <w:rFonts w:ascii="Times New Roman" w:cs="Times New Roman" w:eastAsia="Times New Roman" w:hAnsi="Times New Roman"/>
                <w:sz w:val="9"/>
                <w:szCs w:val="9"/>
                <w:color w:val="008000"/>
              </w:rPr>
              <w:t>Merger, pursuant to which the Purchaser completed a tender offer for the shares of common stock of the Issuer and thereafter merged with and into the Issuer effective as of April 5, 2024 (the "Effective</w:t>
            </w: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20" w:type="dxa"/>
            <w:vAlign w:val="bottom"/>
          </w:tcPr>
          <w:p>
            <w:pPr>
              <w:spacing w:after="0"/>
              <w:rPr>
                <w:sz w:val="4"/>
                <w:szCs w:val="4"/>
                <w:color w:val="auto"/>
              </w:rPr>
            </w:pPr>
          </w:p>
        </w:tc>
        <w:tc>
          <w:tcPr>
            <w:tcW w:w="10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1080" w:type="dxa"/>
            <w:vAlign w:val="bottom"/>
            <w:gridSpan w:val="12"/>
          </w:tcPr>
          <w:p>
            <w:pPr>
              <w:ind w:left="40"/>
              <w:spacing w:after="0" w:line="93" w:lineRule="exact"/>
              <w:rPr>
                <w:sz w:val="20"/>
                <w:szCs w:val="20"/>
                <w:color w:val="auto"/>
              </w:rPr>
            </w:pPr>
            <w:r>
              <w:rPr>
                <w:rFonts w:ascii="Times New Roman" w:cs="Times New Roman" w:eastAsia="Times New Roman" w:hAnsi="Times New Roman"/>
                <w:sz w:val="10"/>
                <w:szCs w:val="10"/>
                <w:color w:val="008000"/>
              </w:rPr>
              <w:t>Time"). Concurrently with the execution of the Merger Agreement, Parent and Purchaser entered into a rollover agreement, dated as of the date of the Merger Agreement with The Column Group, LP, The</w:t>
            </w:r>
          </w:p>
        </w:tc>
        <w:tc>
          <w:tcPr>
            <w:tcW w:w="0" w:type="dxa"/>
            <w:vAlign w:val="bottom"/>
          </w:tcPr>
          <w:p>
            <w:pPr>
              <w:spacing w:after="0"/>
              <w:rPr>
                <w:sz w:val="1"/>
                <w:szCs w:val="1"/>
                <w:color w:val="auto"/>
              </w:rPr>
            </w:pPr>
          </w:p>
        </w:tc>
      </w:tr>
      <w:tr>
        <w:trPr>
          <w:trHeight w:val="40"/>
        </w:trPr>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Disposed</w:t>
            </w:r>
          </w:p>
        </w:tc>
        <w:tc>
          <w:tcPr>
            <w:tcW w:w="1520" w:type="dxa"/>
            <w:vAlign w:val="bottom"/>
          </w:tcPr>
          <w:p>
            <w:pPr>
              <w:spacing w:after="0"/>
              <w:rPr>
                <w:sz w:val="3"/>
                <w:szCs w:val="3"/>
                <w:color w:val="auto"/>
              </w:rPr>
            </w:pPr>
          </w:p>
        </w:tc>
        <w:tc>
          <w:tcPr>
            <w:tcW w:w="1020" w:type="dxa"/>
            <w:vAlign w:val="bottom"/>
          </w:tcPr>
          <w:p>
            <w:pPr>
              <w:ind w:left="100"/>
              <w:spacing w:after="0" w:line="40" w:lineRule="exact"/>
              <w:rPr>
                <w:sz w:val="20"/>
                <w:szCs w:val="20"/>
                <w:color w:val="auto"/>
              </w:rPr>
            </w:pPr>
            <w:r>
              <w:rPr>
                <w:rFonts w:ascii="Arial" w:cs="Arial" w:eastAsia="Arial" w:hAnsi="Arial"/>
                <w:sz w:val="4"/>
                <w:szCs w:val="4"/>
                <w:b w:val="1"/>
                <w:bCs w:val="1"/>
                <w:color w:val="auto"/>
              </w:rPr>
              <w:t>3 and 4)</w:t>
            </w:r>
          </w:p>
        </w:tc>
        <w:tc>
          <w:tcPr>
            <w:tcW w:w="720" w:type="dxa"/>
            <w:vAlign w:val="bottom"/>
          </w:tcPr>
          <w:p>
            <w:pPr>
              <w:spacing w:after="0"/>
              <w:rPr>
                <w:sz w:val="3"/>
                <w:szCs w:val="3"/>
                <w:color w:val="auto"/>
              </w:rPr>
            </w:pPr>
          </w:p>
        </w:tc>
        <w:tc>
          <w:tcPr>
            <w:tcW w:w="96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Reported</w:t>
            </w: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7"/>
        </w:trPr>
        <w:tc>
          <w:tcPr>
            <w:tcW w:w="11080" w:type="dxa"/>
            <w:vAlign w:val="bottom"/>
            <w:gridSpan w:val="12"/>
          </w:tcPr>
          <w:p>
            <w:pPr>
              <w:ind w:left="40"/>
              <w:spacing w:after="0" w:line="107" w:lineRule="exact"/>
              <w:rPr>
                <w:sz w:val="20"/>
                <w:szCs w:val="20"/>
                <w:color w:val="auto"/>
              </w:rPr>
            </w:pPr>
            <w:r>
              <w:rPr>
                <w:rFonts w:ascii="Times New Roman" w:cs="Times New Roman" w:eastAsia="Times New Roman" w:hAnsi="Times New Roman"/>
                <w:sz w:val="12"/>
                <w:szCs w:val="12"/>
                <w:color w:val="008000"/>
              </w:rPr>
              <w:t>Column Group GP, LP, The Column Group Management, LP, The Column Group II, LP, The Column Group III, LP, The Column Group III-A, LP, The Column Group IV, LP, The Column Group IV-A,</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ind w:left="80"/>
              <w:spacing w:after="0"/>
              <w:rPr>
                <w:sz w:val="20"/>
                <w:szCs w:val="20"/>
                <w:color w:val="auto"/>
              </w:rPr>
            </w:pPr>
            <w:r>
              <w:rPr>
                <w:rFonts w:ascii="Arial" w:cs="Arial" w:eastAsia="Arial" w:hAnsi="Arial"/>
                <w:sz w:val="2"/>
                <w:szCs w:val="2"/>
                <w:b w:val="1"/>
                <w:bCs w:val="1"/>
                <w:color w:val="auto"/>
              </w:rPr>
              <w:t>of (D)</w:t>
            </w:r>
          </w:p>
        </w:tc>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8000"/>
              </w:rPr>
              <w:t>Rollover Agreement"). (cont'd in FN 2)</w:t>
            </w:r>
          </w:p>
        </w:tc>
        <w:tc>
          <w:tcPr>
            <w:tcW w:w="72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Transaction(s)</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532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008000"/>
                <w:w w:val="94"/>
              </w:rPr>
              <w:t>LP, The Column Group Opportunity III, LP, Ponoi Capital, LP and Ponoi Capital II, LP</w:t>
            </w:r>
            <w:r>
              <w:rPr>
                <w:rFonts w:ascii="Arial" w:cs="Arial" w:eastAsia="Arial" w:hAnsi="Arial"/>
                <w:sz w:val="11"/>
                <w:szCs w:val="11"/>
                <w:b w:val="1"/>
                <w:bCs w:val="1"/>
                <w:color w:val="000000"/>
                <w:w w:val="94"/>
              </w:rPr>
              <w:t>(Instr</w:t>
            </w:r>
            <w:r>
              <w:rPr>
                <w:rFonts w:ascii="Times New Roman" w:cs="Times New Roman" w:eastAsia="Times New Roman" w:hAnsi="Times New Roman"/>
                <w:sz w:val="13"/>
                <w:szCs w:val="13"/>
                <w:color w:val="008000"/>
                <w:w w:val="94"/>
              </w:rPr>
              <w:t>(the</w:t>
            </w:r>
            <w:r>
              <w:rPr>
                <w:rFonts w:ascii="Arial" w:cs="Arial" w:eastAsia="Arial" w:hAnsi="Arial"/>
                <w:sz w:val="11"/>
                <w:szCs w:val="11"/>
                <w:b w:val="1"/>
                <w:bCs w:val="1"/>
                <w:color w:val="000000"/>
                <w:w w:val="94"/>
              </w:rPr>
              <w:t>.</w:t>
            </w:r>
            <w:r>
              <w:rPr>
                <w:rFonts w:ascii="Times New Roman" w:cs="Times New Roman" w:eastAsia="Times New Roman" w:hAnsi="Times New Roman"/>
                <w:sz w:val="13"/>
                <w:szCs w:val="13"/>
                <w:color w:val="008000"/>
                <w:w w:val="94"/>
              </w:rPr>
              <w:t>"TCG</w:t>
            </w:r>
            <w:r>
              <w:rPr>
                <w:rFonts w:ascii="Arial" w:cs="Arial" w:eastAsia="Arial" w:hAnsi="Arial"/>
                <w:sz w:val="11"/>
                <w:szCs w:val="11"/>
                <w:b w:val="1"/>
                <w:bCs w:val="1"/>
                <w:color w:val="000000"/>
                <w:w w:val="94"/>
              </w:rPr>
              <w:t>3,4</w:t>
            </w:r>
          </w:p>
        </w:tc>
        <w:tc>
          <w:tcPr>
            <w:tcW w:w="254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680"/>
        <w:spacing w:after="0" w:line="224" w:lineRule="auto"/>
        <w:rPr>
          <w:sz w:val="20"/>
          <w:szCs w:val="20"/>
          <w:color w:val="auto"/>
        </w:rPr>
      </w:pPr>
      <w:r>
        <w:rPr>
          <w:rFonts w:ascii="Arial" w:cs="Arial" w:eastAsia="Arial" w:hAnsi="Arial"/>
          <w:sz w:val="4"/>
          <w:szCs w:val="4"/>
          <w:b w:val="1"/>
          <w:bCs w:val="1"/>
          <w:color w:val="auto"/>
        </w:rPr>
        <w:t>and 5)</w:t>
      </w:r>
    </w:p>
    <w:p>
      <w:pPr>
        <w:ind w:left="40" w:right="200"/>
        <w:spacing w:after="0" w:line="242" w:lineRule="auto"/>
        <w:rPr>
          <w:sz w:val="20"/>
          <w:szCs w:val="20"/>
          <w:color w:val="auto"/>
        </w:rPr>
      </w:pPr>
      <w:r>
        <w:rPr>
          <w:rFonts w:ascii="Times New Roman" w:cs="Times New Roman" w:eastAsia="Times New Roman" w:hAnsi="Times New Roman"/>
          <w:sz w:val="13"/>
          <w:szCs w:val="13"/>
          <w:color w:val="008000"/>
        </w:rPr>
        <w:t>2. (cont'd from FN 1) In addition, Parent and Purchaser entered into a rollover agreement, dated as of the date of the Merger Agreement (supplemented by the joinder thereto), with certain of NGM's other stockholders, including Dr. Goeddel (the "Stockholder Rollover Agreement" and, together with the TCG Rollover Agreement, the "Rollover Agreements"). Pursuant to the Rollover Agreements, every 1 share of the Issuer subject to the Rollover Agreement was exchanged for 100 shares of Parent. This Form 4 reports securities disposed of pursuant to the Rollover Agreements.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3. The securities were directly held by The Column Group Opportunity III, LP ("TCG Opportunity III LP"). The Column Group Opportunity</w:t>
      </w:r>
      <w:r>
        <w:rPr>
          <w:rFonts w:ascii="Arial" w:cs="Arial" w:eastAsia="Arial" w:hAnsi="Arial"/>
          <w:sz w:val="11"/>
          <w:szCs w:val="11"/>
          <w:b w:val="1"/>
          <w:bCs w:val="1"/>
          <w:color w:val="000000"/>
        </w:rPr>
        <w:t>Amount</w:t>
      </w:r>
      <w:r>
        <w:rPr>
          <w:rFonts w:ascii="Times New Roman" w:cs="Times New Roman" w:eastAsia="Times New Roman" w:hAnsi="Times New Roman"/>
          <w:sz w:val="13"/>
          <w:szCs w:val="13"/>
          <w:color w:val="008000"/>
        </w:rPr>
        <w:t>IIIGP, LP ("TCG Opportunity III GP LP") is the general</w:t>
      </w:r>
    </w:p>
    <w:tbl>
      <w:tblPr>
        <w:tblLayout w:type="fixed"/>
        <w:tblInd w:w="40" w:type="dxa"/>
        <w:tblCellMar>
          <w:top w:w="0" w:type="dxa"/>
          <w:left w:w="0" w:type="dxa"/>
          <w:bottom w:w="0" w:type="dxa"/>
          <w:right w:w="0" w:type="dxa"/>
        </w:tblCellMar>
      </w:tblPr>
      <w:tr>
        <w:trPr>
          <w:trHeight w:val="109"/>
        </w:trPr>
        <w:tc>
          <w:tcPr>
            <w:tcW w:w="2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960" w:type="dxa"/>
            <w:vAlign w:val="bottom"/>
          </w:tcPr>
          <w:p>
            <w:pPr>
              <w:ind w:left="460"/>
              <w:spacing w:after="0" w:line="109"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27"/>
        </w:trPr>
        <w:tc>
          <w:tcPr>
            <w:tcW w:w="10800" w:type="dxa"/>
            <w:vAlign w:val="bottom"/>
            <w:gridSpan w:val="5"/>
          </w:tcPr>
          <w:p>
            <w:pPr>
              <w:spacing w:after="0" w:line="27" w:lineRule="exact"/>
              <w:rPr>
                <w:sz w:val="20"/>
                <w:szCs w:val="20"/>
                <w:color w:val="auto"/>
              </w:rPr>
            </w:pPr>
            <w:r>
              <w:rPr>
                <w:rFonts w:ascii="Times New Roman" w:cs="Times New Roman" w:eastAsia="Times New Roman" w:hAnsi="Times New Roman"/>
                <w:sz w:val="3"/>
                <w:szCs w:val="3"/>
                <w:color w:val="008000"/>
              </w:rPr>
              <w:t>partner of TCG Opportunity III LP and may be deemed to have voting, investment and dispositive power with respect to these securities. TCG Opportunity III GP, LLC ("TCG Opportunity III GP LLC")</w:t>
            </w:r>
          </w:p>
        </w:tc>
        <w:tc>
          <w:tcPr>
            <w:tcW w:w="0" w:type="dxa"/>
            <w:vAlign w:val="bottom"/>
          </w:tcPr>
          <w:p>
            <w:pPr>
              <w:spacing w:after="0" w:line="20" w:lineRule="exact"/>
              <w:rPr>
                <w:sz w:val="1"/>
                <w:szCs w:val="1"/>
                <w:color w:val="auto"/>
              </w:rPr>
            </w:pPr>
          </w:p>
        </w:tc>
      </w:tr>
      <w:tr>
        <w:trPr>
          <w:trHeight w:val="107"/>
        </w:trPr>
        <w:tc>
          <w:tcPr>
            <w:tcW w:w="2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960" w:type="dxa"/>
            <w:vAlign w:val="bottom"/>
          </w:tcPr>
          <w:p>
            <w:pPr>
              <w:ind w:left="460"/>
              <w:spacing w:after="0" w:line="107"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40"/>
        </w:trPr>
        <w:tc>
          <w:tcPr>
            <w:tcW w:w="10800" w:type="dxa"/>
            <w:vAlign w:val="bottom"/>
            <w:gridSpan w:val="5"/>
          </w:tcPr>
          <w:p>
            <w:pPr>
              <w:spacing w:after="0" w:line="40" w:lineRule="exact"/>
              <w:rPr>
                <w:sz w:val="20"/>
                <w:szCs w:val="20"/>
                <w:color w:val="auto"/>
              </w:rPr>
            </w:pPr>
            <w:r>
              <w:rPr>
                <w:rFonts w:ascii="Times New Roman" w:cs="Times New Roman" w:eastAsia="Times New Roman" w:hAnsi="Times New Roman"/>
                <w:sz w:val="4"/>
                <w:szCs w:val="4"/>
                <w:color w:val="008000"/>
              </w:rPr>
              <w:t>is the general partner of TCG Opportunity III GP LP and the ultimate general partner of TCG Opportunity III LP and may be deemed to have voting, investment and dispositive power with respect to</w:t>
            </w:r>
          </w:p>
        </w:tc>
        <w:tc>
          <w:tcPr>
            <w:tcW w:w="0" w:type="dxa"/>
            <w:vAlign w:val="bottom"/>
          </w:tcPr>
          <w:p>
            <w:pPr>
              <w:spacing w:after="0" w:line="20" w:lineRule="exact"/>
              <w:rPr>
                <w:sz w:val="1"/>
                <w:szCs w:val="1"/>
                <w:color w:val="auto"/>
              </w:rPr>
            </w:pPr>
          </w:p>
        </w:tc>
      </w:tr>
      <w:tr>
        <w:trPr>
          <w:trHeight w:val="93"/>
        </w:trPr>
        <w:tc>
          <w:tcPr>
            <w:tcW w:w="29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20" w:type="dxa"/>
            <w:vAlign w:val="bottom"/>
          </w:tcPr>
          <w:p>
            <w:pPr>
              <w:ind w:left="880"/>
              <w:spacing w:after="0" w:line="93" w:lineRule="exact"/>
              <w:rPr>
                <w:sz w:val="20"/>
                <w:szCs w:val="20"/>
                <w:color w:val="auto"/>
              </w:rPr>
            </w:pPr>
            <w:r>
              <w:rPr>
                <w:rFonts w:ascii="Arial" w:cs="Arial" w:eastAsia="Arial" w:hAnsi="Arial"/>
                <w:sz w:val="10"/>
                <w:szCs w:val="10"/>
                <w:b w:val="1"/>
                <w:bCs w:val="1"/>
                <w:color w:val="auto"/>
              </w:rPr>
              <w:t>Date</w:t>
            </w: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Expiration</w:t>
            </w:r>
          </w:p>
        </w:tc>
        <w:tc>
          <w:tcPr>
            <w:tcW w:w="3960" w:type="dxa"/>
            <w:vAlign w:val="bottom"/>
          </w:tcPr>
          <w:p>
            <w:pPr>
              <w:ind w:left="460"/>
              <w:spacing w:after="0" w:line="93" w:lineRule="exact"/>
              <w:rPr>
                <w:sz w:val="20"/>
                <w:szCs w:val="20"/>
                <w:color w:val="auto"/>
              </w:rPr>
            </w:pPr>
            <w:r>
              <w:rPr>
                <w:rFonts w:ascii="Arial" w:cs="Arial" w:eastAsia="Arial" w:hAnsi="Arial"/>
                <w:sz w:val="10"/>
                <w:szCs w:val="10"/>
                <w:b w:val="1"/>
                <w:bCs w:val="1"/>
                <w:color w:val="auto"/>
              </w:rPr>
              <w:t>of</w:t>
            </w:r>
          </w:p>
        </w:tc>
        <w:tc>
          <w:tcPr>
            <w:tcW w:w="0" w:type="dxa"/>
            <w:vAlign w:val="bottom"/>
          </w:tcPr>
          <w:p>
            <w:pPr>
              <w:spacing w:after="0"/>
              <w:rPr>
                <w:sz w:val="1"/>
                <w:szCs w:val="1"/>
                <w:color w:val="auto"/>
              </w:rPr>
            </w:pPr>
          </w:p>
        </w:tc>
      </w:tr>
      <w:tr>
        <w:trPr>
          <w:trHeight w:val="53"/>
        </w:trPr>
        <w:tc>
          <w:tcPr>
            <w:tcW w:w="10800" w:type="dxa"/>
            <w:vAlign w:val="bottom"/>
            <w:gridSpan w:val="5"/>
          </w:tcPr>
          <w:p>
            <w:pPr>
              <w:spacing w:after="0" w:line="54" w:lineRule="exact"/>
              <w:rPr>
                <w:sz w:val="20"/>
                <w:szCs w:val="20"/>
                <w:color w:val="auto"/>
              </w:rPr>
            </w:pPr>
            <w:r>
              <w:rPr>
                <w:rFonts w:ascii="Times New Roman" w:cs="Times New Roman" w:eastAsia="Times New Roman" w:hAnsi="Times New Roman"/>
                <w:sz w:val="6"/>
                <w:szCs w:val="6"/>
                <w:color w:val="008000"/>
              </w:rPr>
              <w:t>these securities. The managing members of TCG Opportunity III GP LLC are David Goeddel, a member of the issuer's board of directors, Peter Svennilson and Tim Kutzkey (collectively, the "TCG</w:t>
            </w:r>
          </w:p>
        </w:tc>
        <w:tc>
          <w:tcPr>
            <w:tcW w:w="0" w:type="dxa"/>
            <w:vAlign w:val="bottom"/>
          </w:tcPr>
          <w:p>
            <w:pPr>
              <w:spacing w:after="0"/>
              <w:rPr>
                <w:sz w:val="1"/>
                <w:szCs w:val="1"/>
                <w:color w:val="auto"/>
              </w:rPr>
            </w:pPr>
          </w:p>
        </w:tc>
      </w:tr>
      <w:tr>
        <w:trPr>
          <w:trHeight w:val="147"/>
        </w:trPr>
        <w:tc>
          <w:tcPr>
            <w:tcW w:w="296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Managing Members"). (cont'd in FN 3)</w:t>
            </w:r>
          </w:p>
        </w:tc>
        <w:tc>
          <w:tcPr>
            <w:tcW w:w="1520" w:type="dxa"/>
            <w:vAlign w:val="bottom"/>
          </w:tcPr>
          <w:p>
            <w:pPr>
              <w:ind w:left="840"/>
              <w:spacing w:after="0"/>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160"/>
              <w:spacing w:after="0"/>
              <w:rPr>
                <w:sz w:val="20"/>
                <w:szCs w:val="20"/>
                <w:color w:val="auto"/>
              </w:rPr>
            </w:pPr>
            <w:r>
              <w:rPr>
                <w:rFonts w:ascii="Arial" w:cs="Arial" w:eastAsia="Arial" w:hAnsi="Arial"/>
                <w:sz w:val="12"/>
                <w:szCs w:val="12"/>
                <w:b w:val="1"/>
                <w:bCs w:val="1"/>
                <w:color w:val="auto"/>
              </w:rPr>
              <w:t>(A)   (D)   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96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0" w:type="dxa"/>
            <w:vAlign w:val="bottom"/>
          </w:tcPr>
          <w:p>
            <w:pPr>
              <w:spacing w:after="0"/>
              <w:rPr>
                <w:sz w:val="1"/>
                <w:szCs w:val="1"/>
                <w:color w:val="auto"/>
              </w:rPr>
            </w:pPr>
          </w:p>
        </w:tc>
      </w:tr>
      <w:tr>
        <w:trPr>
          <w:trHeight w:val="40"/>
        </w:trPr>
        <w:tc>
          <w:tcPr>
            <w:tcW w:w="2960" w:type="dxa"/>
            <w:vAlign w:val="bottom"/>
            <w:vMerge w:val="continue"/>
          </w:tcPr>
          <w:p>
            <w:pPr>
              <w:spacing w:after="0"/>
              <w:rPr>
                <w:sz w:val="3"/>
                <w:szCs w:val="3"/>
                <w:color w:val="auto"/>
              </w:rPr>
            </w:pPr>
          </w:p>
        </w:tc>
        <w:tc>
          <w:tcPr>
            <w:tcW w:w="15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(cont'd from FN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40" w:right="3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40" w:right="2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left="40" w:right="2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center"/>
        <w:ind w:left="40" w:right="16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300" w:firstLine="7"/>
        <w:spacing w:after="0" w:line="247"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TCG GP. The managing members of TCG GP are the TCG Managing Partners. The TCG Managing Partners may be deemed to share voting, investment and</w:t>
      </w:r>
    </w:p>
    <w:p>
      <w:pPr>
        <w:spacing w:after="0" w:line="11" w:lineRule="exact"/>
        <w:rPr>
          <w:rFonts w:ascii="Times New Roman" w:cs="Times New Roman" w:eastAsia="Times New Roman" w:hAnsi="Times New Roman"/>
          <w:sz w:val="13"/>
          <w:szCs w:val="13"/>
          <w:color w:val="008000"/>
        </w:rPr>
      </w:pPr>
    </w:p>
    <w:p>
      <w:pPr>
        <w:ind w:left="40" w:right="3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dispositive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owned solely by Tim Kutzkey.</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Peter Svennilson.</w:t>
      </w:r>
    </w:p>
    <w:p>
      <w:pPr>
        <w:spacing w:after="0" w:line="5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Purchaser merged with and into the Issuer pursuant to Section 251(h) of the Delaware General Corporation Law, with the Issuer surviving as a wholly-owned subsidiary of the Parent. As a result, Parent holds all of the issued and outstanding shares of common stock (equaling 1,000 shares) of the Issuer. TCG LP owns 28.1% of Parent and is the general partner of Parent. Peter Svennilson and Dr. Goeddel are the managing partners of TCG GP, which is the general partner of TCG LP.</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3 of 3.</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87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TCG</w:t>
      </w:r>
      <w:r>
        <w:rPr>
          <w:sz w:val="20"/>
          <w:szCs w:val="20"/>
          <w:color w:val="auto"/>
        </w:rPr>
        <w:tab/>
      </w: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4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932445"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2024-04-08T19:16:08Z</dcterms:created>
  <dcterms:modified xsi:type="dcterms:W3CDTF">2024-04-08T19:16:08Z</dcterms:modified>
</cp:coreProperties>
</file>