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85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85510"/>
                    </a:xfrm>
                    <a:prstGeom prst="rect">
                      <a:avLst/>
                    </a:prstGeom>
                    <a:noFill/>
                  </pic:spPr>
                </pic:pic>
              </a:graphicData>
            </a:graphic>
          </wp:anchor>
        </w:drawing>
      </w:r>
    </w:p>
    <w:p>
      <w:pPr>
        <w:spacing w:after="0" w:line="32" w:lineRule="exact"/>
        <w:rPr>
          <w:sz w:val="24"/>
          <w:szCs w:val="24"/>
          <w:color w:val="auto"/>
        </w:rPr>
      </w:pPr>
    </w:p>
    <w:p>
      <w:pPr>
        <w:sectPr>
          <w:pgSz w:w="11900" w:h="1686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06/12/2019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6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66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7"/>
              </w:rPr>
              <w:t>4. If Amendment, Date of Original Filed (Month/Day/Year)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60" w:type="dxa"/>
            <w:vAlign w:val="bottom"/>
            <w:gridSpan w:val="6"/>
          </w:tcPr>
          <w:p>
            <w:pPr>
              <w:ind w:left="30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80" w:type="dxa"/>
            <w:vAlign w:val="bottom"/>
          </w:tcPr>
          <w:p>
            <w:pPr>
              <w:spacing w:after="0"/>
              <w:rPr>
                <w:sz w:val="20"/>
                <w:szCs w:val="20"/>
                <w:color w:val="auto"/>
              </w:rPr>
            </w:pPr>
          </w:p>
        </w:tc>
        <w:tc>
          <w:tcPr>
            <w:tcW w:w="1200" w:type="dxa"/>
            <w:vAlign w:val="bottom"/>
            <w:vMerge w:val="restart"/>
          </w:tcPr>
          <w:p>
            <w:pPr>
              <w:ind w:left="140"/>
              <w:spacing w:after="0"/>
              <w:rPr>
                <w:sz w:val="20"/>
                <w:szCs w:val="20"/>
                <w:color w:val="auto"/>
              </w:rPr>
            </w:pPr>
            <w:r>
              <w:rPr>
                <w:rFonts w:ascii="Arial" w:cs="Arial" w:eastAsia="Arial" w:hAnsi="Arial"/>
                <w:sz w:val="18"/>
                <w:szCs w:val="18"/>
                <w:color w:val="0000FF"/>
              </w:rPr>
              <w:t>94158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1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92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0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Code</w:t>
            </w: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V</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06/12/2019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0000FF"/>
                <w:w w:val="82"/>
              </w:rPr>
              <w:t>7,500</w:t>
            </w:r>
            <w:r>
              <w:rPr>
                <w:rFonts w:ascii="Arial" w:cs="Arial" w:eastAsia="Arial" w:hAnsi="Arial"/>
                <w:sz w:val="22"/>
                <w:szCs w:val="22"/>
                <w:color w:val="008000"/>
                <w:w w:val="82"/>
                <w:vertAlign w:val="superscript"/>
              </w:rPr>
              <w:t>(1)</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13.9985</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15,625,214</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06/13/2019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0000FF"/>
                <w:w w:val="82"/>
              </w:rPr>
              <w:t>11,500</w:t>
            </w:r>
            <w:r>
              <w:rPr>
                <w:rFonts w:ascii="Arial" w:cs="Arial" w:eastAsia="Arial" w:hAnsi="Arial"/>
                <w:sz w:val="22"/>
                <w:szCs w:val="22"/>
                <w:color w:val="008000"/>
                <w:w w:val="82"/>
                <w:vertAlign w:val="superscript"/>
              </w:rPr>
              <w:t>(8)</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14.1311</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15,636,714</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06/14/2019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0000FF"/>
                <w:w w:val="82"/>
              </w:rPr>
              <w:t>10,760</w:t>
            </w:r>
            <w:r>
              <w:rPr>
                <w:rFonts w:ascii="Arial" w:cs="Arial" w:eastAsia="Arial" w:hAnsi="Arial"/>
                <w:sz w:val="22"/>
                <w:szCs w:val="22"/>
                <w:color w:val="008000"/>
                <w:w w:val="82"/>
                <w:vertAlign w:val="superscript"/>
              </w:rPr>
              <w:t>(9)</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14.0044</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4"/>
              </w:rPr>
              <w:t>15,647,474</w:t>
            </w:r>
            <w:r>
              <w:rPr>
                <w:rFonts w:ascii="Arial" w:cs="Arial" w:eastAsia="Arial" w:hAnsi="Arial"/>
                <w:sz w:val="22"/>
                <w:szCs w:val="22"/>
                <w:color w:val="008000"/>
                <w:w w:val="84"/>
                <w:vertAlign w:val="superscript"/>
              </w:rPr>
              <w:t>(10)</w:t>
            </w:r>
          </w:p>
        </w:tc>
        <w:tc>
          <w:tcPr>
            <w:tcW w:w="900" w:type="dxa"/>
            <w:vAlign w:val="bottom"/>
          </w:tcPr>
          <w:p>
            <w:pPr>
              <w:jc w:val="center"/>
              <w:ind w:right="13"/>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gridSpan w:val="2"/>
          </w:tcPr>
          <w:p>
            <w:pPr>
              <w:jc w:val="center"/>
              <w:ind w:right="53"/>
              <w:spacing w:after="0"/>
              <w:rPr>
                <w:sz w:val="20"/>
                <w:szCs w:val="20"/>
                <w:color w:val="auto"/>
              </w:rPr>
            </w:pPr>
            <w:r>
              <w:rPr>
                <w:rFonts w:ascii="Arial" w:cs="Arial" w:eastAsia="Arial" w:hAnsi="Arial"/>
                <w:sz w:val="18"/>
                <w:szCs w:val="18"/>
                <w:color w:val="0000FF"/>
                <w:w w:val="87"/>
              </w:rPr>
              <w:t>20,000</w:t>
            </w:r>
          </w:p>
        </w:tc>
        <w:tc>
          <w:tcPr>
            <w:tcW w:w="90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gridSpan w:val="3"/>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10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3"/>
          </w:tcPr>
          <w:p>
            <w:pPr>
              <w:ind w:left="18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4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8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jc w:val="center"/>
              <w:ind w:right="512"/>
              <w:spacing w:after="0" w:line="135" w:lineRule="exact"/>
              <w:rPr>
                <w:sz w:val="20"/>
                <w:szCs w:val="20"/>
                <w:color w:val="auto"/>
              </w:rPr>
            </w:pPr>
            <w:r>
              <w:rPr>
                <w:rFonts w:ascii="Arial" w:cs="Arial" w:eastAsia="Arial" w:hAnsi="Arial"/>
                <w:sz w:val="12"/>
                <w:szCs w:val="12"/>
                <w:b w:val="1"/>
                <w:bCs w:val="1"/>
                <w:color w:val="auto"/>
              </w:rPr>
              <w:t>Expiration</w:t>
            </w:r>
          </w:p>
        </w:tc>
        <w:tc>
          <w:tcPr>
            <w:tcW w:w="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3,750 shares held directly by Ponoi Capital, LP ("Ponoi LP") and 3,750 shares held directly by Ponoi Capital II, LP ("Ponoi II LP").</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5,750 shares held directly by Ponoi LP and 5,750 shares held directly by Ponoi II LP.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5,380 shares held directly by Ponoi LP and 5,380 shares held directly by Ponoi II LP.</w:t>
      </w:r>
    </w:p>
    <w:p>
      <w:pPr>
        <w:spacing w:after="0" w:line="41" w:lineRule="exact"/>
        <w:rPr>
          <w:rFonts w:ascii="Arial" w:cs="Arial" w:eastAsia="Arial" w:hAnsi="Arial"/>
          <w:sz w:val="14"/>
          <w:szCs w:val="14"/>
          <w:color w:val="008000"/>
        </w:rPr>
      </w:pPr>
    </w:p>
    <w:p>
      <w:pPr>
        <w:ind w:left="40" w:right="180" w:firstLine="9"/>
        <w:spacing w:after="0" w:line="27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1,039,191 shares of Common Stock held directly by Ponoi LP and 1,039,192 shares of Common Stock held directly by Ponoi II LP. The Reporting Person disclaims beneficial ownership of the securities except to the extent of his pecuniary interest therein.</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06/14/2019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68"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2019-12-24T08:40:51Z</dcterms:created>
  <dcterms:modified xsi:type="dcterms:W3CDTF">2019-12-24T08:40:51Z</dcterms:modified>
</cp:coreProperties>
</file>