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9"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9"/>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9"/>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4"/>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03/19/2020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148,464</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11.59</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593,908</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03/20/2020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143,082</w:t>
            </w:r>
            <w:r>
              <w:rPr>
                <w:rFonts w:ascii="Arial" w:cs="Arial" w:eastAsia="Arial" w:hAnsi="Arial"/>
                <w:sz w:val="22"/>
                <w:szCs w:val="22"/>
                <w:color w:val="008000"/>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11.77</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736,990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3">
              <w:r>
                <w:rPr>
                  <w:rFonts w:ascii="Arial" w:cs="Arial" w:eastAsia="Arial" w:hAnsi="Arial"/>
                  <w:sz w:val="21"/>
                  <w:szCs w:val="21"/>
                  <w:color w:val="0000EE"/>
                </w:rPr>
                <w:t>COLUMN GROUP L 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w w:val="99"/>
              </w:rPr>
            </w:pPr>
            <w:hyperlink r:id="rId15">
              <w:r>
                <w:rPr>
                  <w:rFonts w:ascii="Arial" w:cs="Arial" w:eastAsia="Arial" w:hAnsi="Arial"/>
                  <w:sz w:val="21"/>
                  <w:szCs w:val="21"/>
                  <w:color w:val="0000EE"/>
                  <w:w w:val="99"/>
                </w:rPr>
                <w:t>COLUMN GROUP II,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-7063740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ectPr>
          <w:pgSz w:w="11900" w:h="16839"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9"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GP,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500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w w:val="93"/>
              </w:rPr>
            </w:pPr>
            <w:hyperlink r:id="rId19">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PONOI CAPITAL,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Capital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Ponoi II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-8325485</wp:posOffset>
            </wp:positionV>
            <wp:extent cx="2766695" cy="8588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766695" cy="8588375"/>
                    </a:xfrm>
                    <a:prstGeom prst="rect">
                      <a:avLst/>
                    </a:prstGeom>
                    <a:noFill/>
                  </pic:spPr>
                </pic:pic>
              </a:graphicData>
            </a:graphic>
          </wp:anchor>
        </w:drawing>
      </w:r>
    </w:p>
    <w:p>
      <w:pPr>
        <w:sectPr>
          <w:pgSz w:w="11900" w:h="16838" w:orient="portrait"/>
          <w:cols w:equalWidth="0" w:num="1">
            <w:col w:w="9979"/>
          </w:cols>
          <w:pgMar w:left="480" w:top="203" w:right="1440" w:bottom="0" w:gutter="0" w:footer="0" w:header="0"/>
        </w:sectPr>
      </w:pPr>
    </w:p>
    <w:p>
      <w:pPr>
        <w:spacing w:after="0" w:line="58"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1700 OWENS STREET</w:t>
      </w:r>
    </w:p>
    <w:p>
      <w:pPr>
        <w:sectPr>
          <w:pgSz w:w="11900" w:h="16838" w:orient="portrait"/>
          <w:cols w:equalWidth="0" w:num="1">
            <w:col w:w="9979"/>
          </w:cols>
          <w:pgMar w:left="480" w:top="203"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4916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83840" cy="491617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260" w:type="dxa"/>
            <w:vAlign w:val="bottom"/>
            <w:gridSpan w:val="2"/>
          </w:tcPr>
          <w:p>
            <w:pPr>
              <w:spacing w:after="0" w:line="221" w:lineRule="exact"/>
              <w:rPr>
                <w:rFonts w:ascii="Arial" w:cs="Arial" w:eastAsia="Arial" w:hAnsi="Arial"/>
                <w:sz w:val="21"/>
                <w:szCs w:val="21"/>
                <w:color w:val="0000EE"/>
              </w:rPr>
            </w:pPr>
            <w:hyperlink r:id="rId26">
              <w:r>
                <w:rPr>
                  <w:rFonts w:ascii="Arial" w:cs="Arial" w:eastAsia="Arial" w:hAnsi="Arial"/>
                  <w:sz w:val="21"/>
                  <w:szCs w:val="21"/>
                  <w:color w:val="0000EE"/>
                </w:rPr>
                <w:t>Kutzkey Tim</w:t>
              </w:r>
            </w:hyperlink>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7">
              <w:r>
                <w:rPr>
                  <w:rFonts w:ascii="Arial" w:cs="Arial" w:eastAsia="Arial" w:hAnsi="Arial"/>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69,724 shares of Common Stock held directly by The Column Group III, LP ("TCG III LP") and 78,740 shares of Common Stock held directly by The Column Group III-A, LP ("TCG III-A LP").</w:t>
      </w:r>
    </w:p>
    <w:p>
      <w:pPr>
        <w:spacing w:after="0" w:line="15" w:lineRule="exact"/>
        <w:rPr>
          <w:rFonts w:ascii="Arial" w:cs="Arial" w:eastAsia="Arial" w:hAnsi="Arial"/>
          <w:sz w:val="13"/>
          <w:szCs w:val="13"/>
          <w:color w:val="008000"/>
        </w:rPr>
      </w:pPr>
    </w:p>
    <w:p>
      <w:pPr>
        <w:jc w:val="both"/>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67,196 shares of Common Stock held directly by TCG III LP and 75,886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03/23/2020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0420" TargetMode="External"/><Relationship Id="rId18" Type="http://schemas.openxmlformats.org/officeDocument/2006/relationships/hyperlink" Target="http://www.sec.gov/cgi-bin/browse-edgar?action=getcompany&amp;CIK=0001614627" TargetMode="External"/><Relationship Id="rId19" Type="http://schemas.openxmlformats.org/officeDocument/2006/relationships/hyperlink" Target="http://www.sec.gov/cgi-bin/browse-edgar?action=getcompany&amp;CIK=0001645340"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732601" TargetMode="External"/><Relationship Id="rId23" Type="http://schemas.openxmlformats.org/officeDocument/2006/relationships/hyperlink" Target="http://www.sec.gov/cgi-bin/browse-edgar?action=getcompany&amp;CIK=0001746488" TargetMode="External"/><Relationship Id="rId26" Type="http://schemas.openxmlformats.org/officeDocument/2006/relationships/hyperlink" Target="http://www.sec.gov/cgi-bin/browse-edgar?action=getcompany&amp;CIK=0001614186" TargetMode="External"/><Relationship Id="rId2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2020-03-23T16:06:27Z</dcterms:created>
  <dcterms:modified xsi:type="dcterms:W3CDTF">2020-03-23T16:06:27Z</dcterms:modified>
</cp:coreProperties>
</file>