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-226060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23495</wp:posOffset>
            </wp:positionV>
            <wp:extent cx="7049135"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18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20" w:right="359" w:bottom="226"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WOODHOUSE DAVID J</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OYSTER POINT BOULEVARD</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SOUTH SAN</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3"/>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NGM BIOPHARMACEUTICALS INC </w:t>
              </w:r>
            </w:hyperlink>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840" w:type="dxa"/>
            <w:vAlign w:val="bottom"/>
            <w:gridSpan w:val="3"/>
          </w:tcPr>
          <w:p>
            <w:pPr>
              <w:spacing w:after="0"/>
              <w:rPr>
                <w:sz w:val="3"/>
                <w:szCs w:val="3"/>
                <w:color w:val="auto"/>
              </w:rPr>
            </w:pPr>
          </w:p>
        </w:tc>
        <w:tc>
          <w:tcPr>
            <w:tcW w:w="480" w:type="dxa"/>
            <w:vAlign w:val="bottom"/>
            <w:vMerge w:val="restart"/>
          </w:tcPr>
          <w:p>
            <w:pPr>
              <w:ind w:left="260"/>
              <w:spacing w:after="0" w:line="52" w:lineRule="exact"/>
              <w:rPr>
                <w:sz w:val="20"/>
                <w:szCs w:val="20"/>
                <w:color w:val="auto"/>
              </w:rPr>
            </w:pPr>
            <w:r>
              <w:rPr>
                <w:rFonts w:ascii="Arial" w:cs="Arial" w:eastAsia="Arial" w:hAnsi="Arial"/>
                <w:sz w:val="5"/>
                <w:szCs w:val="5"/>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2"/>
        </w:trPr>
        <w:tc>
          <w:tcPr>
            <w:tcW w:w="60" w:type="dxa"/>
            <w:vAlign w:val="bottom"/>
          </w:tcPr>
          <w:p>
            <w:pPr>
              <w:spacing w:after="0" w:line="20" w:lineRule="exact"/>
              <w:rPr>
                <w:sz w:val="1"/>
                <w:szCs w:val="1"/>
                <w:color w:val="auto"/>
              </w:rPr>
            </w:pPr>
          </w:p>
        </w:tc>
        <w:tc>
          <w:tcPr>
            <w:tcW w:w="32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NGM </w:t>
              </w:r>
              <w:r>
                <w:rPr>
                  <w:rFonts w:ascii="Arial" w:cs="Arial" w:eastAsia="Arial" w:hAnsi="Arial"/>
                  <w:sz w:val="1"/>
                  <w:szCs w:val="1"/>
                  <w:color w:val="000000"/>
                </w:rPr>
                <w:t>]</w:t>
              </w:r>
            </w:hyperlink>
          </w:p>
        </w:tc>
        <w:tc>
          <w:tcPr>
            <w:tcW w:w="5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0" w:type="dxa"/>
            <w:vAlign w:val="bottom"/>
            <w:tcBorders>
              <w:bottom w:val="single" w:sz="8" w:color="2C2C2C"/>
            </w:tcBorders>
          </w:tcPr>
          <w:p>
            <w:pPr>
              <w:spacing w:after="0"/>
              <w:rPr>
                <w:sz w:val="16"/>
                <w:szCs w:val="16"/>
                <w:color w:val="auto"/>
              </w:rPr>
            </w:pPr>
          </w:p>
        </w:tc>
        <w:tc>
          <w:tcPr>
            <w:tcW w:w="32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384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384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tcPr>
          <w:p>
            <w:pPr>
              <w:ind w:left="60"/>
              <w:spacing w:after="0"/>
              <w:rPr>
                <w:sz w:val="20"/>
                <w:szCs w:val="20"/>
                <w:color w:val="auto"/>
              </w:rPr>
            </w:pPr>
            <w:r>
              <w:rPr>
                <w:rFonts w:ascii="Arial" w:cs="Arial" w:eastAsia="Arial" w:hAnsi="Arial"/>
                <w:sz w:val="16"/>
                <w:szCs w:val="16"/>
                <w:color w:val="0000FF"/>
              </w:rPr>
              <w:t>11/06/2023</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0"/>
          <w:szCs w:val="20"/>
          <w:color w:val="auto"/>
        </w:rPr>
      </w:pPr>
    </w:p>
    <w:p>
      <w:pPr>
        <w:ind w:left="320" w:right="360"/>
        <w:spacing w:after="0" w:line="26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0"/>
          <w:szCs w:val="20"/>
          <w:color w:val="auto"/>
        </w:rPr>
      </w:pPr>
    </w:p>
    <w:p>
      <w:pPr>
        <w:sectPr>
          <w:pgSz w:w="11900" w:h="16838" w:orient="portrait"/>
          <w:cols w:equalWidth="0" w:num="2">
            <w:col w:w="3760" w:space="80"/>
            <w:col w:w="7240"/>
          </w:cols>
          <w:pgMar w:left="460" w:top="220" w:right="359" w:bottom="22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255,000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04/21/2025</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255,000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255,000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7.54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255,000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04/21/2025</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255,000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87,013</w:t>
            </w:r>
          </w:p>
        </w:tc>
        <w:tc>
          <w:tcPr>
            <w:tcW w:w="480" w:type="dxa"/>
            <w:vAlign w:val="bottom"/>
          </w:tcPr>
          <w:p>
            <w:pPr>
              <w:spacing w:after="0"/>
              <w:rPr>
                <w:sz w:val="11"/>
                <w:szCs w:val="11"/>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01/19/2027</w:t>
            </w:r>
          </w:p>
        </w:tc>
        <w:tc>
          <w:tcPr>
            <w:tcW w:w="660" w:type="dxa"/>
            <w:vAlign w:val="bottom"/>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87,013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87,013</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3"/>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7.7</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0000FF"/>
                <w:w w:val="92"/>
              </w:rPr>
              <w:t>87,013</w:t>
            </w: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01/19/2027</w:t>
            </w:r>
          </w:p>
        </w:tc>
        <w:tc>
          <w:tcPr>
            <w:tcW w:w="660" w:type="dxa"/>
            <w:vAlign w:val="bottom"/>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87,013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3"/>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57,833</w:t>
            </w:r>
          </w:p>
        </w:tc>
        <w:tc>
          <w:tcPr>
            <w:tcW w:w="480" w:type="dxa"/>
            <w:vAlign w:val="bottom"/>
          </w:tcPr>
          <w:p>
            <w:pPr>
              <w:spacing w:after="0"/>
              <w:rPr>
                <w:sz w:val="11"/>
                <w:szCs w:val="11"/>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01/30/2028</w:t>
            </w:r>
          </w:p>
        </w:tc>
        <w:tc>
          <w:tcPr>
            <w:tcW w:w="660" w:type="dxa"/>
            <w:vAlign w:val="bottom"/>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57,833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57,833</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3"/>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8.14</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0000FF"/>
                <w:w w:val="92"/>
              </w:rPr>
              <w:t>57,833</w:t>
            </w: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01/30/2028</w:t>
            </w:r>
          </w:p>
        </w:tc>
        <w:tc>
          <w:tcPr>
            <w:tcW w:w="660" w:type="dxa"/>
            <w:vAlign w:val="bottom"/>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57,833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3"/>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500,000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07/24/2028</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500,000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500,000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11</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500,000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07/24/2028</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500,000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200,000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02/06/2029</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200,000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200,000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12.06</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200,000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02/06/2029</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200,000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6"/>
              </w:rPr>
              <w:t>400,000</w:t>
            </w:r>
          </w:p>
        </w:tc>
        <w:tc>
          <w:tcPr>
            <w:tcW w:w="480" w:type="dxa"/>
            <w:vAlign w:val="bottom"/>
          </w:tcPr>
          <w:p>
            <w:pPr>
              <w:spacing w:after="0"/>
              <w:rPr>
                <w:sz w:val="16"/>
                <w:szCs w:val="16"/>
                <w:color w:val="auto"/>
              </w:rPr>
            </w:pP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(3)</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02/03/2030</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400,000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400,000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center"/>
              <w:ind w:right="3"/>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16.47</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jc w:val="center"/>
              <w:ind w:right="19"/>
              <w:spacing w:after="0"/>
              <w:rPr>
                <w:sz w:val="20"/>
                <w:szCs w:val="20"/>
                <w:color w:val="auto"/>
              </w:rPr>
            </w:pPr>
            <w:r>
              <w:rPr>
                <w:rFonts w:ascii="Arial" w:cs="Arial" w:eastAsia="Arial" w:hAnsi="Arial"/>
                <w:sz w:val="12"/>
                <w:szCs w:val="12"/>
                <w:color w:val="0000FF"/>
                <w:w w:val="92"/>
              </w:rPr>
              <w:t>400,000</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(3)</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02/03/2030</w:t>
            </w:r>
          </w:p>
        </w:tc>
        <w:tc>
          <w:tcPr>
            <w:tcW w:w="6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400,000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center"/>
              <w:ind w:right="3"/>
              <w:spacing w:after="0" w:line="89"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ectPr>
          <w:pgSz w:w="11900" w:h="16838" w:orient="portrait"/>
          <w:cols w:equalWidth="0" w:num="1">
            <w:col w:w="11080"/>
          </w:cols>
          <w:pgMar w:left="460" w:top="220" w:right="359" w:bottom="22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989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298958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ind w:left="80"/>
              <w:spacing w:after="0"/>
              <w:rPr>
                <w:sz w:val="20"/>
                <w:szCs w:val="20"/>
                <w:color w:val="auto"/>
              </w:rPr>
            </w:pPr>
            <w:r>
              <w:rPr>
                <w:rFonts w:ascii="Arial" w:cs="Arial" w:eastAsia="Arial" w:hAnsi="Arial"/>
                <w:sz w:val="12"/>
                <w:szCs w:val="12"/>
                <w:color w:val="0000FF"/>
              </w:rPr>
              <w:t>450,000</w:t>
            </w:r>
          </w:p>
        </w:tc>
        <w:tc>
          <w:tcPr>
            <w:tcW w:w="4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0"/>
                <w:szCs w:val="10"/>
                <w:color w:val="008000"/>
              </w:rPr>
              <w:t>(4)</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03/16/2031</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450,000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450,000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31.93</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2"/>
                <w:szCs w:val="12"/>
                <w:color w:val="0000FF"/>
              </w:rPr>
              <w:t>450,000</w:t>
            </w:r>
          </w:p>
        </w:tc>
        <w:tc>
          <w:tcPr>
            <w:tcW w:w="740" w:type="dxa"/>
            <w:vAlign w:val="bottom"/>
          </w:tcPr>
          <w:p>
            <w:pPr>
              <w:ind w:left="320"/>
              <w:spacing w:after="0"/>
              <w:rPr>
                <w:sz w:val="20"/>
                <w:szCs w:val="20"/>
                <w:color w:val="auto"/>
              </w:rPr>
            </w:pPr>
            <w:r>
              <w:rPr>
                <w:rFonts w:ascii="Arial" w:cs="Arial" w:eastAsia="Arial" w:hAnsi="Arial"/>
                <w:sz w:val="10"/>
                <w:szCs w:val="10"/>
                <w:color w:val="008000"/>
              </w:rPr>
              <w:t>(4)</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03/16/2031</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450,000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ind w:left="80"/>
              <w:spacing w:after="0"/>
              <w:rPr>
                <w:sz w:val="20"/>
                <w:szCs w:val="20"/>
                <w:color w:val="auto"/>
              </w:rPr>
            </w:pPr>
            <w:r>
              <w:rPr>
                <w:rFonts w:ascii="Arial" w:cs="Arial" w:eastAsia="Arial" w:hAnsi="Arial"/>
                <w:sz w:val="12"/>
                <w:szCs w:val="12"/>
                <w:color w:val="0000FF"/>
              </w:rPr>
              <w:t>500,000</w:t>
            </w:r>
          </w:p>
        </w:tc>
        <w:tc>
          <w:tcPr>
            <w:tcW w:w="4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Arial" w:cs="Arial" w:eastAsia="Arial" w:hAnsi="Arial"/>
                <w:sz w:val="10"/>
                <w:szCs w:val="10"/>
                <w:color w:val="008000"/>
              </w:rPr>
              <w:t>(5)</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03/02/2032</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500,000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500,000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15.2</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2"/>
                <w:szCs w:val="12"/>
                <w:color w:val="0000FF"/>
              </w:rPr>
              <w:t>500,000</w:t>
            </w:r>
          </w:p>
        </w:tc>
        <w:tc>
          <w:tcPr>
            <w:tcW w:w="740" w:type="dxa"/>
            <w:vAlign w:val="bottom"/>
          </w:tcPr>
          <w:p>
            <w:pPr>
              <w:ind w:left="320"/>
              <w:spacing w:after="0"/>
              <w:rPr>
                <w:sz w:val="20"/>
                <w:szCs w:val="20"/>
                <w:color w:val="auto"/>
              </w:rPr>
            </w:pPr>
            <w:r>
              <w:rPr>
                <w:rFonts w:ascii="Arial" w:cs="Arial" w:eastAsia="Arial" w:hAnsi="Arial"/>
                <w:sz w:val="10"/>
                <w:szCs w:val="10"/>
                <w:color w:val="008000"/>
              </w:rPr>
              <w:t>(5)</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03/02/2032</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500,000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w:t>
      </w:r>
    </w:p>
    <w:p>
      <w:pPr>
        <w:spacing w:after="0" w:line="48" w:lineRule="exact"/>
        <w:rPr>
          <w:rFonts w:ascii="Arial" w:cs="Arial" w:eastAsia="Arial" w:hAnsi="Arial"/>
          <w:sz w:val="12"/>
          <w:szCs w:val="12"/>
          <w:color w:val="008000"/>
        </w:rPr>
      </w:pPr>
    </w:p>
    <w:p>
      <w:pPr>
        <w:ind w:left="140" w:hanging="123"/>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Effective November 6, 2023, the Compensation Committee of the Board of Directors of NGM Biopharmaceuticals, Inc. (the "Company") approved a stock option repricing which resulted in, for purposes of Section</w:t>
      </w:r>
    </w:p>
    <w:p>
      <w:pPr>
        <w:spacing w:after="0" w:line="20" w:lineRule="exact"/>
        <w:rPr>
          <w:rFonts w:ascii="Arial" w:cs="Arial" w:eastAsia="Arial" w:hAnsi="Arial"/>
          <w:sz w:val="11"/>
          <w:szCs w:val="11"/>
          <w:color w:val="008000"/>
        </w:rPr>
      </w:pPr>
    </w:p>
    <w:p>
      <w:pPr>
        <w:ind w:left="20" w:right="280" w:hanging="3"/>
        <w:spacing w:after="0" w:line="24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of the Exchange Act, the cancellation of a previously-granted stock option in exchange for a new stock option having a lower exercise price of $0.84 per share, which is the closing price of the Company's common stock on November 6, 2023. The reduced exercise price is subject to the relevant retention period and other terms outlined in the applicable stock option repricing notice. All of the other terms of the stock option remained unchanged.</w:t>
      </w:r>
    </w:p>
    <w:p>
      <w:pPr>
        <w:spacing w:after="0" w:line="27" w:lineRule="exact"/>
        <w:rPr>
          <w:rFonts w:ascii="Arial" w:cs="Arial" w:eastAsia="Arial" w:hAnsi="Arial"/>
          <w:sz w:val="12"/>
          <w:szCs w:val="12"/>
          <w:color w:val="008000"/>
        </w:rPr>
      </w:pPr>
    </w:p>
    <w:p>
      <w:pPr>
        <w:ind w:left="140" w:hanging="123"/>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2020, with 1/48th of the shares vesting on a monthly basis.</w:t>
      </w:r>
    </w:p>
    <w:p>
      <w:pPr>
        <w:spacing w:after="0" w:line="48" w:lineRule="exact"/>
        <w:rPr>
          <w:rFonts w:ascii="Arial" w:cs="Arial" w:eastAsia="Arial" w:hAnsi="Arial"/>
          <w:sz w:val="12"/>
          <w:szCs w:val="12"/>
          <w:color w:val="008000"/>
        </w:rPr>
      </w:pPr>
    </w:p>
    <w:p>
      <w:pPr>
        <w:ind w:left="140" w:hanging="123"/>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2021, with 1/48th of the shares vesting on a monthly basis.</w:t>
      </w:r>
    </w:p>
    <w:p>
      <w:pPr>
        <w:spacing w:after="0" w:line="48" w:lineRule="exact"/>
        <w:rPr>
          <w:rFonts w:ascii="Arial" w:cs="Arial" w:eastAsia="Arial" w:hAnsi="Arial"/>
          <w:sz w:val="12"/>
          <w:szCs w:val="12"/>
          <w:color w:val="008000"/>
        </w:rPr>
      </w:pPr>
    </w:p>
    <w:p>
      <w:pPr>
        <w:ind w:left="140" w:hanging="123"/>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2022, with 1/48th of the shares vesting on a monthly basis.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Valerie Pierce, Attorney-in-</w:t>
            </w:r>
          </w:p>
        </w:tc>
        <w:tc>
          <w:tcPr>
            <w:tcW w:w="22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11/08/2023</w:t>
            </w:r>
          </w:p>
        </w:tc>
        <w:tc>
          <w:tcPr>
            <w:tcW w:w="0" w:type="dxa"/>
            <w:vAlign w:val="bottom"/>
          </w:tcPr>
          <w:p>
            <w:pPr>
              <w:spacing w:after="0"/>
              <w:rPr>
                <w:sz w:val="1"/>
                <w:szCs w:val="1"/>
                <w:color w:val="auto"/>
              </w:rPr>
            </w:pPr>
          </w:p>
        </w:tc>
      </w:tr>
      <w:tr>
        <w:trPr>
          <w:trHeight w:val="84"/>
        </w:trPr>
        <w:tc>
          <w:tcPr>
            <w:tcW w:w="240" w:type="dxa"/>
            <w:vAlign w:val="bottom"/>
            <w:vMerge w:val="restart"/>
          </w:tcPr>
          <w:p>
            <w:pPr>
              <w:spacing w:after="0" w:line="179" w:lineRule="exact"/>
              <w:rPr>
                <w:sz w:val="20"/>
                <w:szCs w:val="20"/>
                <w:color w:val="auto"/>
              </w:rPr>
            </w:pPr>
            <w:r>
              <w:rPr>
                <w:rFonts w:ascii="Arial" w:cs="Arial" w:eastAsia="Arial" w:hAnsi="Arial"/>
                <w:sz w:val="16"/>
                <w:szCs w:val="16"/>
                <w:color w:val="0000FF"/>
                <w:w w:val="85"/>
              </w:rPr>
              <w:t>fact</w:t>
            </w:r>
          </w:p>
        </w:tc>
        <w:tc>
          <w:tcPr>
            <w:tcW w:w="196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40" w:type="dxa"/>
            <w:vAlign w:val="bottom"/>
            <w:tcBorders>
              <w:bottom w:val="single" w:sz="8" w:color="auto"/>
            </w:tcBorders>
            <w:vMerge w:val="continue"/>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2023-11-08T17:12:23Z</dcterms:created>
  <dcterms:modified xsi:type="dcterms:W3CDTF">2023-11-08T17:12:23Z</dcterms:modified>
</cp:coreProperties>
</file>