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UNITED STATES</w:t>
      </w:r>
    </w:p>
    <w:p>
      <w:pPr>
        <w:pStyle w:val="TextBody"/>
        <w:bidi w:val="0"/>
        <w:spacing w:lineRule="auto" w:line="288" w:before="0" w:after="0"/>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8-K</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8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CURRENT REPORT</w:t>
      </w:r>
    </w:p>
    <w:p>
      <w:pPr>
        <w:pStyle w:val="TextBody"/>
        <w:bidi w:val="0"/>
        <w:spacing w:lineRule="auto" w:line="288" w:before="120" w:after="283"/>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Date of Report (Date of earliest event reported): August 9, 2023</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NGM Biopharmaceuticals, Inc.</w:t>
      </w:r>
    </w:p>
    <w:p>
      <w:pPr>
        <w:pStyle w:val="TextBody"/>
        <w:bidi w:val="0"/>
        <w:spacing w:lineRule="auto" w:line="288" w:before="0" w:after="0"/>
        <w:jc w:val="center"/>
        <w:rPr>
          <w:rFonts w:ascii="Times New Roman;sans-serif" w:hAnsi="Times New Roman;sans-serif"/>
          <w:b/>
          <w:color w:val="000000"/>
          <w:sz w:val="14"/>
          <w:shd w:fill="FFFFFF" w:val="clear"/>
        </w:rPr>
      </w:pPr>
      <w:r>
        <w:rPr>
          <w:rFonts w:ascii="Times New Roman;sans-serif" w:hAnsi="Times New Roman;sans-serif"/>
          <w:b/>
          <w:color w:val="000000"/>
          <w:sz w:val="14"/>
          <w:shd w:fill="FFFFFF" w:val="clear"/>
        </w:rPr>
        <w:t>(Exact name of Registrant as Specified in Its Charter)</w:t>
      </w:r>
    </w:p>
    <w:p>
      <w:pPr>
        <w:pStyle w:val="TextBody"/>
        <w:bidi w:val="0"/>
        <w:spacing w:lineRule="auto" w:line="360" w:before="120" w:after="283"/>
        <w:jc w:val="center"/>
        <w:rPr>
          <w:rFonts w:ascii="Arial;sans-serif" w:hAnsi="Arial;sans-serif"/>
          <w:b w:val="false"/>
          <w:color w:val="000000"/>
          <w:sz w:val="24"/>
        </w:rPr>
      </w:pPr>
      <w:r>
        <w:rPr>
          <w:rFonts w:ascii="Arial;sans-serif" w:hAnsi="Arial;sans-serif"/>
          <w:b w:val="false"/>
          <w:color w:val="000000"/>
          <w:sz w:val="24"/>
        </w:rPr>
        <w:t>___________________</w:t>
      </w:r>
    </w:p>
    <w:tbl>
      <w:tblPr>
        <w:tblW w:w="5668" w:type="dxa"/>
        <w:jc w:val="left"/>
        <w:tblInd w:w="0" w:type="dxa"/>
        <w:tblLayout w:type="fixed"/>
        <w:tblCellMar>
          <w:top w:w="28" w:type="dxa"/>
          <w:left w:w="28" w:type="dxa"/>
          <w:bottom w:w="28" w:type="dxa"/>
          <w:right w:w="28" w:type="dxa"/>
        </w:tblCellMar>
      </w:tblPr>
      <w:tblGrid>
        <w:gridCol w:w="776"/>
        <w:gridCol w:w="680"/>
        <w:gridCol w:w="688"/>
        <w:gridCol w:w="678"/>
        <w:gridCol w:w="678"/>
        <w:gridCol w:w="684"/>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001-38853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26-1679911</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3943" w:type="dxa"/>
        <w:jc w:val="left"/>
        <w:tblInd w:w="0" w:type="dxa"/>
        <w:tblLayout w:type="fixed"/>
        <w:tblCellMar>
          <w:top w:w="28" w:type="dxa"/>
          <w:left w:w="28" w:type="dxa"/>
          <w:bottom w:w="28" w:type="dxa"/>
          <w:right w:w="28" w:type="dxa"/>
        </w:tblCellMar>
      </w:tblPr>
      <w:tblGrid>
        <w:gridCol w:w="1092"/>
        <w:gridCol w:w="959"/>
        <w:gridCol w:w="963"/>
        <w:gridCol w:w="272"/>
        <w:gridCol w:w="272"/>
        <w:gridCol w:w="385"/>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Oyster Point Boulevard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South San Francisco, CA </w:t>
            </w:r>
          </w:p>
        </w:tc>
        <w:tc>
          <w:tcPr>
            <w:tcW w:w="9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(650) 243-5555</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 Applicable</w:t>
      </w:r>
    </w:p>
    <w:p>
      <w:pPr>
        <w:pStyle w:val="TextBody"/>
        <w:bidi w:val="0"/>
        <w:spacing w:lineRule="auto" w:line="288"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(Former Name or Former Address, if Changed Since Last Report)</w:t>
      </w:r>
    </w:p>
    <w:p>
      <w:pPr>
        <w:pStyle w:val="TextBody"/>
        <w:bidi w:val="0"/>
        <w:spacing w:lineRule="auto" w:line="360" w:before="120" w:after="120"/>
        <w:jc w:val="center"/>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Check the appropriate box below if the Form 8-K filing is intended to simultaneously satisfy the filing obligation of the registrant under any of the following</w:t>
      </w:r>
      <w:r>
        <w:rPr>
          <w:color w:val="000000"/>
          <w:shd w:fill="FFFFFF" w:val="clear"/>
        </w:rPr>
        <w:t> </w:t>
      </w:r>
      <w:r>
        <w:rPr>
          <w:rFonts w:ascii="Times New Roman;sans-serif" w:hAnsi="Times New Roman;sans-serif"/>
          <w:b w:val="false"/>
          <w:color w:val="000000"/>
          <w:sz w:val="20"/>
          <w:shd w:fill="FFFFFF" w:val="clear"/>
        </w:rPr>
        <w:t>provisions (see General Instructions A.2. below):</w:t>
      </w:r>
      <w:r>
        <w:rPr>
          <w:color w:val="000000"/>
          <w:shd w:fill="FFFFFF" w:val="clear"/>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pPr>
      <w:r>
        <w:rPr>
          <w:rFonts w:ascii="Times New Roman;sans-serif" w:hAnsi="Times New Roman;sans-serif"/>
          <w:b w:val="false"/>
          <w:color w:val="000000"/>
          <w:sz w:val="20"/>
          <w:shd w:fill="FFFFFF" w:val="clear"/>
        </w:rPr>
        <w:t>Securities registered pursuant to Section 12(b) of the Act:</w:t>
      </w:r>
      <w:r>
        <w:rPr>
          <w:color w:val="000000"/>
          <w:shd w:fill="FFFFFF" w:val="clear"/>
        </w:rPr>
        <w:t> </w:t>
      </w:r>
    </w:p>
    <w:tbl>
      <w:tblPr>
        <w:tblW w:w="8498" w:type="dxa"/>
        <w:jc w:val="left"/>
        <w:tblInd w:w="0" w:type="dxa"/>
        <w:tblLayout w:type="fixed"/>
        <w:tblCellMar>
          <w:top w:w="28" w:type="dxa"/>
          <w:left w:w="28" w:type="dxa"/>
          <w:bottom w:w="28" w:type="dxa"/>
          <w:right w:w="28" w:type="dxa"/>
        </w:tblCellMar>
      </w:tblPr>
      <w:tblGrid>
        <w:gridCol w:w="1299"/>
        <w:gridCol w:w="1147"/>
        <w:gridCol w:w="1154"/>
        <w:gridCol w:w="109"/>
        <w:gridCol w:w="109"/>
        <w:gridCol w:w="109"/>
        <w:gridCol w:w="274"/>
        <w:gridCol w:w="274"/>
        <w:gridCol w:w="276"/>
        <w:gridCol w:w="109"/>
        <w:gridCol w:w="109"/>
        <w:gridCol w:w="109"/>
        <w:gridCol w:w="1000"/>
        <w:gridCol w:w="1000"/>
        <w:gridCol w:w="1420"/>
      </w:tblGrid>
      <w:tr>
        <w:trPr/>
        <w:tc>
          <w:tcPr>
            <w:tcW w:w="129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Indicate by check mark whether the registrant is an emerging growth company as defined in Rule 405 of the Securities Act of 1933 (§230.405 of this chapter)</w:t>
      </w:r>
      <w:r>
        <w:rPr>
          <w:color w:val="000000"/>
          <w:shd w:fill="FFFFFF" w:val="clear"/>
        </w:rPr>
        <w:t> </w:t>
      </w:r>
      <w:r>
        <w:rPr>
          <w:rFonts w:ascii="Times New Roman;sans-serif" w:hAnsi="Times New Roman;sans-serif"/>
          <w:b w:val="false"/>
          <w:color w:val="000000"/>
          <w:sz w:val="20"/>
          <w:shd w:fill="FFFFFF" w:val="clear"/>
        </w:rPr>
        <w:t xml:space="preserve">or Rule 12b-2 of the Securities Exchange Act of 1934 (§240.12b-2 of this chapter). Emerging growth company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If an emerging growth company, indicate by check mark if the registrant has elected not to use the extended transition period for complying with any new or</w:t>
      </w:r>
      <w:r>
        <w:rPr>
          <w:color w:val="000000"/>
          <w:shd w:fill="FFFFFF" w:val="clear"/>
        </w:rPr>
        <w:t> </w:t>
      </w:r>
      <w:r>
        <w:rPr>
          <w:rFonts w:ascii="Times New Roman;sans-serif" w:hAnsi="Times New Roman;sans-serif"/>
          <w:b w:val="false"/>
          <w:color w:val="000000"/>
          <w:sz w:val="20"/>
          <w:shd w:fill="FFFFFF" w:val="clear"/>
        </w:rPr>
        <w:t xml:space="preserve">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9, 2023, the Board of Directors of NGM Biopharmaceuticals, Inc. (the “Company”) appointed Irene Perlich, the Company’s Vice President, Corporate Controller, as the Company’s principal accounting officer, effective September 15,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 Perlich has over 20 years of experience in finance roles and joined the Company in March 2021 as Vice President, Corporate Controller. Prior to that Ms. Perlich served as Global Accounting Controller of Gigamon, Inc., a software company, from October 2019 to March 2021, and prior to that as Global Corporate Controller of Immune Design, Inc, a late-stage immunotherapy company, from November 2018 to October 2019. Prior to that Ms. Perlich held senior finance leadership roles at Merck and Adaptive Insights (Workday), and began her career at PricewaterhouseCoopers. Ms. Perlich is a Certified Public Accountant and holds a Bachelor of Science in Business Administration from San Francisco State University.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between Ms. Perlich and any director or executive officer of the Company or its subsidiaries. Ms. Perlich does not have a direct or indirect material interest in any transaction that would require disclosure under Item 404(a)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hereunto duly authorized. </w:t>
      </w:r>
    </w:p>
    <w:tbl>
      <w:tblPr>
        <w:tblW w:w="10116" w:type="dxa"/>
        <w:jc w:val="left"/>
        <w:tblInd w:w="0" w:type="dxa"/>
        <w:tblLayout w:type="fixed"/>
        <w:tblCellMar>
          <w:top w:w="28" w:type="dxa"/>
          <w:left w:w="28" w:type="dxa"/>
          <w:bottom w:w="28" w:type="dxa"/>
          <w:right w:w="28" w:type="dxa"/>
        </w:tblCellMar>
      </w:tblPr>
      <w:tblGrid>
        <w:gridCol w:w="743"/>
        <w:gridCol w:w="653"/>
        <w:gridCol w:w="659"/>
        <w:gridCol w:w="432"/>
        <w:gridCol w:w="432"/>
        <w:gridCol w:w="432"/>
        <w:gridCol w:w="1978"/>
        <w:gridCol w:w="1978"/>
        <w:gridCol w:w="280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NGM Biopharmaceuticals, Inc.</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11, 2023</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Valerie Pierce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Valerie Pierce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Secretary, Senior Vice President, General Counsel and Chief Compliance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576</Words>
  <Characters>3315</Characters>
  <CharactersWithSpaces>3838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