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88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80" w:type="dxa"/>
            <w:vAlign w:val="bottom"/>
            <w:gridSpan w:val="7"/>
            <w:vMerge w:val="continue"/>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11"/>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jc w:val="center"/>
              <w:ind w:right="2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05/19/2022</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19,984</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13.2547</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1,417,028</w:t>
            </w:r>
          </w:p>
        </w:tc>
        <w:tc>
          <w:tcPr>
            <w:tcW w:w="320" w:type="dxa"/>
            <w:vAlign w:val="bottom"/>
          </w:tcPr>
          <w:p>
            <w:pPr>
              <w:spacing w:after="0"/>
              <w:rPr>
                <w:sz w:val="21"/>
                <w:szCs w:val="21"/>
                <w:color w:val="auto"/>
              </w:rPr>
            </w:pPr>
          </w:p>
        </w:tc>
        <w:tc>
          <w:tcPr>
            <w:tcW w:w="5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05/19/2022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682</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13.2547</w:t>
            </w:r>
            <w:r>
              <w:rPr>
                <w:rFonts w:ascii="Times New Roman" w:cs="Times New Roman" w:eastAsia="Times New Roman" w:hAnsi="Times New Roman"/>
                <w:sz w:val="22"/>
                <w:szCs w:val="22"/>
                <w:color w:val="008000"/>
                <w:vertAlign w:val="superscript"/>
              </w:rPr>
              <w:t>(1)</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48,359</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05/20/2022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18,406</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13.4776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1,435,434</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05/20/2022</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628</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13.4776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48,987</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858,035</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968,990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100,000</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110,000</w:t>
            </w:r>
          </w:p>
        </w:tc>
        <w:tc>
          <w:tcPr>
            <w:tcW w:w="320" w:type="dxa"/>
            <w:vAlign w:val="bottom"/>
          </w:tcPr>
          <w:p>
            <w:pPr>
              <w:spacing w:after="0"/>
              <w:rPr>
                <w:sz w:val="21"/>
                <w:szCs w:val="21"/>
                <w:color w:val="auto"/>
              </w:rPr>
            </w:pPr>
          </w:p>
        </w:tc>
        <w:tc>
          <w:tcPr>
            <w:tcW w:w="500" w:type="dxa"/>
            <w:vAlign w:val="bottom"/>
            <w:vMerge w:val="restart"/>
          </w:tcPr>
          <w:p>
            <w:pPr>
              <w:jc w:val="center"/>
              <w:ind w:right="305"/>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purchased in multiple transactions at prices ranging from $12.99 to $13.50,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3780" w:type="dxa"/>
            <w:vAlign w:val="bottom"/>
            <w:gridSpan w:val="4"/>
          </w:tcPr>
          <w:p>
            <w:pPr>
              <w:ind w:left="40"/>
              <w:spacing w:after="0" w:line="146" w:lineRule="exact"/>
              <w:rPr>
                <w:sz w:val="20"/>
                <w:szCs w:val="20"/>
                <w:color w:val="auto"/>
              </w:rPr>
            </w:pPr>
            <w:r>
              <w:rPr>
                <w:rFonts w:ascii="Times New Roman" w:cs="Times New Roman" w:eastAsia="Times New Roman" w:hAnsi="Times New Roman"/>
                <w:sz w:val="13"/>
                <w:szCs w:val="13"/>
                <w:color w:val="008000"/>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Times New Roman" w:cs="Times New Roman" w:eastAsia="Times New Roman" w:hAnsi="Times New Roman"/>
          <w:sz w:val="12"/>
          <w:szCs w:val="12"/>
          <w:color w:val="008000"/>
        </w:rPr>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10"/>
          <w:szCs w:val="10"/>
          <w:b w:val="1"/>
          <w:bCs w:val="1"/>
          <w:color w:val="000000"/>
        </w:rPr>
        <w:t>and 5)</w:t>
      </w:r>
    </w:p>
    <w:p>
      <w:pPr>
        <w:spacing w:after="0" w:line="9" w:lineRule="exact"/>
        <w:rPr>
          <w:sz w:val="20"/>
          <w:szCs w:val="20"/>
          <w:color w:val="auto"/>
        </w:rPr>
      </w:pPr>
    </w:p>
    <w:p>
      <w:pPr>
        <w:ind w:left="40" w:right="320"/>
        <w:spacing w:after="0" w:line="242" w:lineRule="auto"/>
        <w:rPr>
          <w:sz w:val="20"/>
          <w:szCs w:val="20"/>
          <w:color w:val="auto"/>
        </w:rPr>
      </w:pPr>
      <w:r>
        <w:rPr>
          <w:rFonts w:ascii="Times New Roman" w:cs="Times New Roman" w:eastAsia="Times New Roman" w:hAnsi="Times New Roman"/>
          <w:sz w:val="13"/>
          <w:szCs w:val="13"/>
          <w:color w:val="008000"/>
        </w:rPr>
        <w:t>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The securities are directly held by The Column Group IV-A, LP ("TCG IV-A LP"). TCG IV GP LP is the general partner of TCG IV-A LP and may be deemed to have voting and investment power</w:t>
      </w:r>
    </w:p>
    <w:tbl>
      <w:tblPr>
        <w:tblLayout w:type="fixed"/>
        <w:tblInd w:w="40" w:type="dxa"/>
        <w:tblCellMar>
          <w:top w:w="0" w:type="dxa"/>
          <w:left w:w="0" w:type="dxa"/>
          <w:bottom w:w="0" w:type="dxa"/>
          <w:right w:w="0" w:type="dxa"/>
        </w:tblCellMar>
      </w:tblPr>
      <w:tr>
        <w:trPr>
          <w:trHeight w:val="130"/>
        </w:trPr>
        <w:tc>
          <w:tcPr>
            <w:tcW w:w="10720" w:type="dxa"/>
            <w:vAlign w:val="bottom"/>
            <w:gridSpan w:val="4"/>
          </w:tcPr>
          <w:p>
            <w:pPr>
              <w:spacing w:after="0" w:line="130" w:lineRule="exact"/>
              <w:rPr>
                <w:sz w:val="20"/>
                <w:szCs w:val="20"/>
                <w:color w:val="auto"/>
              </w:rPr>
            </w:pPr>
            <w:r>
              <w:rPr>
                <w:rFonts w:ascii="Times New Roman" w:cs="Times New Roman" w:eastAsia="Times New Roman" w:hAnsi="Times New Roman"/>
                <w:sz w:val="13"/>
                <w:szCs w:val="13"/>
                <w:color w:val="008000"/>
              </w:rPr>
              <w:t>with respect to these securities. TCG IV LLC is the general partner of TCG IV GP LP and the ultimate general partner of TCG IV-A LP and may be deemed to have voting and investment power with</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8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720" w:type="dxa"/>
            <w:vAlign w:val="bottom"/>
            <w:gridSpan w:val="4"/>
          </w:tcPr>
          <w:p>
            <w:pPr>
              <w:spacing w:after="0" w:line="93" w:lineRule="exact"/>
              <w:rPr>
                <w:sz w:val="20"/>
                <w:szCs w:val="20"/>
                <w:color w:val="auto"/>
              </w:rPr>
            </w:pPr>
            <w:r>
              <w:rPr>
                <w:rFonts w:ascii="Times New Roman" w:cs="Times New Roman" w:eastAsia="Times New Roman" w:hAnsi="Times New Roman"/>
                <w:sz w:val="10"/>
                <w:szCs w:val="10"/>
                <w:color w:val="008000"/>
              </w:rPr>
              <w:t>respect to these securities. The managing members of TCG IV LLC are the TCG IV Managing Members. The TCG IV Managing Members may be deemed to share voting and investment power with</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2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008000"/>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39"/>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5"/>
        </w:trPr>
        <w:tc>
          <w:tcPr>
            <w:tcW w:w="4480" w:type="dxa"/>
            <w:vAlign w:val="bottom"/>
          </w:tcPr>
          <w:p>
            <w:pPr>
              <w:ind w:left="3800"/>
              <w:spacing w:after="0" w:line="55"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5"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5" w:lineRule="exact"/>
              <w:rPr>
                <w:sz w:val="20"/>
                <w:szCs w:val="20"/>
                <w:color w:val="auto"/>
              </w:rPr>
            </w:pPr>
            <w:r>
              <w:rPr>
                <w:rFonts w:ascii="Arial" w:cs="Arial" w:eastAsia="Arial" w:hAnsi="Arial"/>
                <w:sz w:val="6"/>
                <w:szCs w:val="6"/>
                <w:b w:val="1"/>
                <w:bCs w:val="1"/>
                <w:color w:val="auto"/>
              </w:rPr>
              <w:t>Date</w:t>
            </w:r>
          </w:p>
        </w:tc>
        <w:tc>
          <w:tcPr>
            <w:tcW w:w="3880" w:type="dxa"/>
            <w:vAlign w:val="bottom"/>
          </w:tcPr>
          <w:p>
            <w:pPr>
              <w:ind w:left="60"/>
              <w:spacing w:after="0" w:line="55"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spacing w:after="0" w:line="235" w:lineRule="auto"/>
        <w:rPr>
          <w:sz w:val="20"/>
          <w:szCs w:val="20"/>
          <w:color w:val="auto"/>
        </w:rPr>
      </w:pPr>
      <w:r>
        <w:rPr>
          <w:rFonts w:ascii="Times New Roman" w:cs="Times New Roman" w:eastAsia="Times New Roman" w:hAnsi="Times New Roman"/>
          <w:sz w:val="13"/>
          <w:szCs w:val="13"/>
          <w:color w:val="008000"/>
        </w:rPr>
        <w:t>4. The price reported in Column 4 is a weighted average price. These shares were purchased in multiple transactions at prices ranging from $13.39 to $13.50, inclusive. The Reporting Person undertakes to</w:t>
      </w:r>
    </w:p>
    <w:p>
      <w:pPr>
        <w:ind w:left="40" w:right="420"/>
        <w:spacing w:after="0" w:line="250" w:lineRule="auto"/>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1" w:lineRule="exact"/>
        <w:rPr>
          <w:sz w:val="20"/>
          <w:szCs w:val="20"/>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140"/>
        <w:spacing w:after="0" w:line="247" w:lineRule="auto"/>
        <w:rPr>
          <w:sz w:val="20"/>
          <w:szCs w:val="20"/>
          <w:color w:val="auto"/>
        </w:rPr>
      </w:pPr>
      <w:r>
        <w:rPr>
          <w:rFonts w:ascii="Times New Roman" w:cs="Times New Roman" w:eastAsia="Times New Roman" w:hAnsi="Times New Roman"/>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320"/>
        <w:spacing w:after="0" w:line="248" w:lineRule="auto"/>
        <w:rPr>
          <w:sz w:val="20"/>
          <w:szCs w:val="20"/>
          <w:color w:val="auto"/>
        </w:rPr>
      </w:pPr>
      <w:r>
        <w:rPr>
          <w:rFonts w:ascii="Times New Roman" w:cs="Times New Roman" w:eastAsia="Times New Roman" w:hAnsi="Times New Roman"/>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0" w:lineRule="exact"/>
        <w:rPr>
          <w:sz w:val="20"/>
          <w:szCs w:val="20"/>
          <w:color w:val="auto"/>
        </w:rPr>
      </w:pPr>
    </w:p>
    <w:p>
      <w:pPr>
        <w:ind w:left="40" w:right="340"/>
        <w:spacing w:after="0" w:line="247" w:lineRule="auto"/>
        <w:rPr>
          <w:sz w:val="20"/>
          <w:szCs w:val="20"/>
          <w:color w:val="auto"/>
        </w:rPr>
      </w:pPr>
      <w:r>
        <w:rPr>
          <w:rFonts w:ascii="Times New Roman" w:cs="Times New Roman" w:eastAsia="Times New Roman" w:hAnsi="Times New Roman"/>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sz w:val="20"/>
          <w:szCs w:val="20"/>
          <w:color w:val="auto"/>
        </w:rPr>
      </w:pPr>
    </w:p>
    <w:p>
      <w:pPr>
        <w:ind w:left="40" w:right="340"/>
        <w:spacing w:after="0" w:line="272" w:lineRule="auto"/>
        <w:rPr>
          <w:sz w:val="20"/>
          <w:szCs w:val="20"/>
          <w:color w:val="auto"/>
        </w:rPr>
      </w:pPr>
      <w:r>
        <w:rPr>
          <w:rFonts w:ascii="Times New Roman" w:cs="Times New Roman" w:eastAsia="Times New Roman" w:hAnsi="Times New Roman"/>
          <w:sz w:val="13"/>
          <w:szCs w:val="13"/>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left="40" w:right="220"/>
        <w:spacing w:after="0" w:line="253" w:lineRule="auto"/>
        <w:rPr>
          <w:sz w:val="20"/>
          <w:szCs w:val="20"/>
          <w:color w:val="auto"/>
        </w:rPr>
      </w:pPr>
      <w:r>
        <w:rPr>
          <w:rFonts w:ascii="Times New Roman" w:cs="Times New Roman" w:eastAsia="Times New Roman" w:hAnsi="Times New Roman"/>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13. The securities are directly held by the David V. Goeddel and Alena Z. Goeddel 2004 Trust for which the Reporting Person and Alena Z. Goeddel serve as co-trustee.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2022-05-23T15:18:27Z</dcterms:created>
  <dcterms:modified xsi:type="dcterms:W3CDTF">2022-05-23T15:18:27Z</dcterms:modified>
</cp:coreProperties>
</file>