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South San Francisco, CA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ind w:left="4" w:right="580" w:firstLine="440"/>
        <w:spacing w:after="0" w:line="291" w:lineRule="auto"/>
        <w:rPr>
          <w:sz w:val="20"/>
          <w:szCs w:val="20"/>
          <w:color w:val="auto"/>
        </w:rPr>
      </w:pPr>
      <w:r>
        <w:rPr>
          <w:rFonts w:ascii="Arial" w:cs="Arial" w:eastAsia="Arial" w:hAnsi="Arial"/>
          <w:sz w:val="16"/>
          <w:szCs w:val="16"/>
          <w:color w:val="auto"/>
        </w:rPr>
        <w:t>On March 9, 2022, Mark Leschly notified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NGM Biopharmaceuticals,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his resignation from the Board and all committees thereof, effective immediately following the Company’s 2022 annual meeting of stockholders.</w:t>
      </w:r>
    </w:p>
    <w:p>
      <w:pPr>
        <w:ind w:left="4" w:right="360"/>
        <w:spacing w:after="0" w:line="260" w:lineRule="auto"/>
        <w:rPr>
          <w:sz w:val="20"/>
          <w:szCs w:val="20"/>
          <w:color w:val="auto"/>
        </w:rPr>
      </w:pPr>
      <w:r>
        <w:rPr>
          <w:rFonts w:ascii="Arial" w:cs="Arial" w:eastAsia="Arial" w:hAnsi="Arial"/>
          <w:sz w:val="18"/>
          <w:szCs w:val="18"/>
          <w:color w:val="auto"/>
        </w:rPr>
        <w:t>Mr. Leschly’s decision to leave the Board was not a result of any disagreement between the Company and Mr. Leschly on any matter relating to the Company’s operations, policies or practices.</w:t>
      </w:r>
    </w:p>
    <w:p>
      <w:pPr>
        <w:spacing w:after="0" w:line="33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5.04</w:t>
      </w:r>
      <w:r>
        <w:rPr>
          <w:sz w:val="20"/>
          <w:szCs w:val="20"/>
          <w:color w:val="auto"/>
        </w:rPr>
        <w:tab/>
      </w:r>
      <w:r>
        <w:rPr>
          <w:rFonts w:ascii="Arial" w:cs="Arial" w:eastAsia="Arial" w:hAnsi="Arial"/>
          <w:sz w:val="16"/>
          <w:szCs w:val="16"/>
          <w:b w:val="1"/>
          <w:bCs w:val="1"/>
          <w:color w:val="auto"/>
        </w:rPr>
        <w:t>Temporary Suspension of Trading under Registrant’s Employee Benefit Plans</w:t>
      </w:r>
    </w:p>
    <w:p>
      <w:pPr>
        <w:spacing w:after="0" w:line="121"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On March 10, 2022, the Company received notice from Fidelity Investments Institutional Services Company advising of an upcoming blackout period (the “</w:t>
      </w:r>
      <w:r>
        <w:rPr>
          <w:rFonts w:ascii="Arial" w:cs="Arial" w:eastAsia="Arial" w:hAnsi="Arial"/>
          <w:sz w:val="16"/>
          <w:szCs w:val="16"/>
          <w:b w:val="1"/>
          <w:bCs w:val="1"/>
          <w:i w:val="1"/>
          <w:iCs w:val="1"/>
          <w:color w:val="auto"/>
        </w:rPr>
        <w:t>Blackout Period</w:t>
      </w:r>
      <w:r>
        <w:rPr>
          <w:rFonts w:ascii="Arial" w:cs="Arial" w:eastAsia="Arial" w:hAnsi="Arial"/>
          <w:sz w:val="16"/>
          <w:szCs w:val="16"/>
          <w:color w:val="auto"/>
        </w:rPr>
        <w:t>”) with respect to the NGM Biopharmaceuticals Matching Plan and the NGM Biopharmaceuticals 401(k) Plan (respectively, the “</w:t>
      </w:r>
      <w:r>
        <w:rPr>
          <w:rFonts w:ascii="Arial" w:cs="Arial" w:eastAsia="Arial" w:hAnsi="Arial"/>
          <w:sz w:val="16"/>
          <w:szCs w:val="16"/>
          <w:b w:val="1"/>
          <w:bCs w:val="1"/>
          <w:i w:val="1"/>
          <w:iCs w:val="1"/>
          <w:color w:val="auto"/>
        </w:rPr>
        <w:t>Matching Plan</w:t>
      </w:r>
      <w:r>
        <w:rPr>
          <w:rFonts w:ascii="Arial" w:cs="Arial" w:eastAsia="Arial" w:hAnsi="Arial"/>
          <w:sz w:val="16"/>
          <w:szCs w:val="16"/>
          <w:color w:val="auto"/>
        </w:rPr>
        <w:t>” and the “</w:t>
      </w:r>
      <w:r>
        <w:rPr>
          <w:rFonts w:ascii="Arial" w:cs="Arial" w:eastAsia="Arial" w:hAnsi="Arial"/>
          <w:sz w:val="16"/>
          <w:szCs w:val="16"/>
          <w:b w:val="1"/>
          <w:bCs w:val="1"/>
          <w:i w:val="1"/>
          <w:iCs w:val="1"/>
          <w:color w:val="auto"/>
        </w:rPr>
        <w:t>401(k) Plan</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each of which include funds that are invested in the Company’s common stock, due to the merger of the Matching Plan into the 401(k) Plan (the “</w:t>
      </w:r>
      <w:r>
        <w:rPr>
          <w:rFonts w:ascii="Arial" w:cs="Arial" w:eastAsia="Arial" w:hAnsi="Arial"/>
          <w:sz w:val="16"/>
          <w:szCs w:val="16"/>
          <w:b w:val="1"/>
          <w:bCs w:val="1"/>
          <w:i w:val="1"/>
          <w:iCs w:val="1"/>
          <w:color w:val="auto"/>
        </w:rPr>
        <w:t>Plan Merger</w:t>
      </w:r>
      <w:r>
        <w:rPr>
          <w:rFonts w:ascii="Arial" w:cs="Arial" w:eastAsia="Arial" w:hAnsi="Arial"/>
          <w:sz w:val="16"/>
          <w:szCs w:val="16"/>
          <w:color w:val="auto"/>
        </w:rPr>
        <w:t>”). In connection with the Plan Merger, new match accounts have been created under the 401(k) Plan to receive shares of Company common stock in participant accounts under the Matching Plan. During the Blackout Period, participants will temporarily be unable to access their match accounts under the Plans to direct or diversify investments, or obtain a distribution or loan (as applicable). The Blackout Period is expected to begin on April 11, 2022 and is expected to end on May 13, 2022.</w:t>
      </w:r>
    </w:p>
    <w:p>
      <w:pPr>
        <w:spacing w:after="0" w:line="166"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On March 10, 2022, the Company provided a notice (the “</w:t>
      </w:r>
      <w:r>
        <w:rPr>
          <w:rFonts w:ascii="Arial" w:cs="Arial" w:eastAsia="Arial" w:hAnsi="Arial"/>
          <w:sz w:val="18"/>
          <w:szCs w:val="18"/>
          <w:b w:val="1"/>
          <w:bCs w:val="1"/>
          <w:i w:val="1"/>
          <w:iCs w:val="1"/>
          <w:color w:val="auto"/>
        </w:rPr>
        <w:t>Blackout Notice</w:t>
      </w:r>
      <w:r>
        <w:rPr>
          <w:rFonts w:ascii="Arial" w:cs="Arial" w:eastAsia="Arial" w:hAnsi="Arial"/>
          <w:sz w:val="18"/>
          <w:szCs w:val="18"/>
          <w:color w:val="auto"/>
        </w:rPr>
        <w:t>”), pursuant to Section 306(a) of the Sarbanes-Oxley Act of 2002 and Rule 104 of Regulation BTR under the Securities Exchange Act of 1934, as amended, to the members of the Board and executive officers informing them that, during the Blackout Period, they will be prohibited from, directly or indirectly, purchasing, selling or otherwise acquiring or transferring Company common stock acquired in connection with their service as a director or employment as an executive officer of the Company except as otherwise permitted by Regulation BTR.</w:t>
      </w:r>
    </w:p>
    <w:p>
      <w:pPr>
        <w:spacing w:after="0" w:line="18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During the Blackout Period, the Company’s stockholders and other interested parties may obtain, without charge, information regarding the Blackout Period, by contacting Valerie Pierce, Senior Vice President, General Counsel and Chief Compliance Officer, by telephone at (650) 392-1768 or by mail at NGM Biopharmaceuticals, Inc., 333 Oyster Point Boulevard, South San Francisco, CA 94080.</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copy of the Blackout Notice is attached hereto as Exhibit 99.1 and is incorporated herein by reference.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3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(d) Exhibits.</w:t>
            </w:r>
          </w:p>
        </w:tc>
        <w:tc>
          <w:tcPr>
            <w:tcW w:w="40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406"/>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3"/>
                <w:szCs w:val="23"/>
                <w:color w:val="auto"/>
              </w:rPr>
            </w:pPr>
          </w:p>
        </w:tc>
        <w:tc>
          <w:tcPr>
            <w:tcW w:w="8960" w:type="dxa"/>
            <w:vAlign w:val="bottom"/>
            <w:tcBorders>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Notice of Blackout Period, dated March 10, 2022, to the Directors and Executive Officers of NGM Biopharmaceuticals, Inc.</w:t>
              </w:r>
            </w:hyperlink>
          </w:p>
        </w:tc>
      </w:tr>
    </w:tbl>
    <w:p>
      <w:pPr>
        <w:spacing w:after="0" w:line="121" w:lineRule="exact"/>
        <w:rPr>
          <w:sz w:val="20"/>
          <w:szCs w:val="20"/>
          <w:color w:val="auto"/>
        </w:rPr>
      </w:pPr>
    </w:p>
    <w:p>
      <w:pPr>
        <w:ind w:left="5464" w:right="3760" w:hanging="5464"/>
        <w:spacing w:after="0" w:line="449" w:lineRule="auto"/>
        <w:tabs>
          <w:tab w:leader="none" w:pos="144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ectPr>
          <w:pgSz w:w="11900" w:h="16838" w:orient="portrait"/>
          <w:cols w:equalWidth="0" w:num="1">
            <w:col w:w="10984"/>
          </w:cols>
          <w:pgMar w:left="436" w:top="297" w:right="4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180" w:val="left"/>
          <w:tab w:leader="none" w:pos="5620" w:val="left"/>
        </w:tabs>
        <w:rPr>
          <w:sz w:val="20"/>
          <w:szCs w:val="20"/>
          <w:color w:val="auto"/>
        </w:rPr>
      </w:pPr>
      <w:r>
        <w:rPr>
          <w:rFonts w:ascii="Arial" w:cs="Arial" w:eastAsia="Arial" w:hAnsi="Arial"/>
          <w:sz w:val="18"/>
          <w:szCs w:val="18"/>
          <w:color w:val="auto"/>
        </w:rPr>
        <w:t>Dated: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Secretary, Senior Vice President, General Counsel and Chief</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Compliance Officer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BLACKOUT PERIOD</w:t>
      </w:r>
    </w:p>
    <w:p>
      <w:pPr>
        <w:spacing w:after="0" w:line="200" w:lineRule="exact"/>
        <w:rPr>
          <w:sz w:val="20"/>
          <w:szCs w:val="20"/>
          <w:color w:val="auto"/>
        </w:rPr>
      </w:pP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10, 2022</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Directors and Executive Officers of NGM Biopharmaceuticals, Inc.</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Valerie Pierce, Secretary, Senior Vice President, General Counsel and Chief Compliance Officer</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Notice Regarding Matching Plan and 401(k) Plan Blackout Period and Trading Restrictions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March 10, 2022,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received notice from Fidelity Investments Institutional Services Company advising of an upcoming blackout period (the “</w:t>
      </w:r>
      <w:r>
        <w:rPr>
          <w:rFonts w:ascii="Arial" w:cs="Arial" w:eastAsia="Arial" w:hAnsi="Arial"/>
          <w:sz w:val="17"/>
          <w:szCs w:val="17"/>
          <w:b w:val="1"/>
          <w:bCs w:val="1"/>
          <w:i w:val="1"/>
          <w:iCs w:val="1"/>
          <w:color w:val="auto"/>
        </w:rPr>
        <w:t>Blackout Period</w:t>
      </w:r>
      <w:r>
        <w:rPr>
          <w:rFonts w:ascii="Arial" w:cs="Arial" w:eastAsia="Arial" w:hAnsi="Arial"/>
          <w:sz w:val="17"/>
          <w:szCs w:val="17"/>
          <w:color w:val="auto"/>
        </w:rPr>
        <w:t>”) with respect to the NGM Biopharmaceuticals Matching Plan and the NGM Biopharmaceuticals 401(k) Plan (respectively, the “</w:t>
      </w:r>
      <w:r>
        <w:rPr>
          <w:rFonts w:ascii="Arial" w:cs="Arial" w:eastAsia="Arial" w:hAnsi="Arial"/>
          <w:sz w:val="17"/>
          <w:szCs w:val="17"/>
          <w:b w:val="1"/>
          <w:bCs w:val="1"/>
          <w:i w:val="1"/>
          <w:iCs w:val="1"/>
          <w:color w:val="auto"/>
        </w:rPr>
        <w:t>Matching Plan</w:t>
      </w:r>
      <w:r>
        <w:rPr>
          <w:rFonts w:ascii="Arial" w:cs="Arial" w:eastAsia="Arial" w:hAnsi="Arial"/>
          <w:sz w:val="17"/>
          <w:szCs w:val="17"/>
          <w:color w:val="auto"/>
        </w:rPr>
        <w:t>” and the “</w:t>
      </w:r>
      <w:r>
        <w:rPr>
          <w:rFonts w:ascii="Arial" w:cs="Arial" w:eastAsia="Arial" w:hAnsi="Arial"/>
          <w:sz w:val="17"/>
          <w:szCs w:val="17"/>
          <w:b w:val="1"/>
          <w:bCs w:val="1"/>
          <w:i w:val="1"/>
          <w:iCs w:val="1"/>
          <w:color w:val="auto"/>
        </w:rPr>
        <w:t>401(k) Plan</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each of which include funds that are invested in the Company’s common stock, due to the merger of the Matching Plan into the 401(k) Plan (the “</w:t>
      </w:r>
      <w:r>
        <w:rPr>
          <w:rFonts w:ascii="Arial" w:cs="Arial" w:eastAsia="Arial" w:hAnsi="Arial"/>
          <w:sz w:val="17"/>
          <w:szCs w:val="17"/>
          <w:b w:val="1"/>
          <w:bCs w:val="1"/>
          <w:i w:val="1"/>
          <w:iCs w:val="1"/>
          <w:color w:val="auto"/>
        </w:rPr>
        <w:t>Plan Merger</w:t>
      </w:r>
      <w:r>
        <w:rPr>
          <w:rFonts w:ascii="Arial" w:cs="Arial" w:eastAsia="Arial" w:hAnsi="Arial"/>
          <w:sz w:val="17"/>
          <w:szCs w:val="17"/>
          <w:color w:val="auto"/>
        </w:rPr>
        <w:t>”). In connection with the Plan Merger, new match accounts have been created under the 401(k) Plan to receive shares of Company common stock in participant accounts under the Matching Plan. During the Blackout Period, participants will temporarily be unable to access their match accounts under the Plans to direct or diversify investments, or obtain a distribution or loan (as applicable).</w:t>
      </w:r>
    </w:p>
    <w:p>
      <w:pPr>
        <w:spacing w:after="0" w:line="17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purpose of this notice is to notify you of the Blackout Period and inform you that you will be prohibited during the Blackout Period from engaging in transactions involving Company common stock if such securities were acquired in connection with your service as a director or employment as an executive officer of the Company.</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required to provide this notice to you under Rule 104 of Regulation BTR promulgated by the Securities and Exchange Commission pursuant to Section 306(a)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the Blackout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Blackout Period is being imposed in connection with the Plan Merger.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Length of Blackout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Blackout Period is expected to begin on April 11, 2022 and is expected to end on May 13,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Plan Participant Rights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Blackout Period, participants of the Plans will have limited access to their accounts in the Plans, and participants will temporarily be unable to access their match accounts under the Plans to direct or diversify investments, or obtain a distribution or loan (as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Directors and Executive Officers During the Blackout Period</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During the Blackout Period, directors and executive officers of the Company will be subject to the trading restrictions imposed under Section 306(a) of the Sarbanes-Oxley Act of 2002 and Regulation BTR. These restrictions generally prohibit the direct or indirect purchase, sale, or other acquisition or transfer of the Company’s common stock acquired in connection with your service as a director or employment as an executive officer of the Company. Covered transactions are not limited to those involving your direct ownership, but also include any transaction in which you have a pecuniary interest, such as transactions by immediate family members living in your household.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21" w:right="439" w:bottom="1440" w:gutter="0" w:footer="0" w:header="0"/>
        </w:sectPr>
      </w:pPr>
    </w:p>
    <w:bookmarkStart w:id="4" w:name="page5"/>
    <w:bookmarkEnd w:id="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certain types of transactions are permitted under Regulation BTR, including bona fide gifts or any purchases or sales made pursuant to written plans satisfying the conditions of Rule 10b5-1 under the Securities Exchange Act of 1934, as amended, you are urged to avoid any discretionary change in your beneficial ownership of the Company’s common stock during the Blackout Period due to its limited duration. Engaging in a transaction that violates the rules could result in both civil and criminal penalties. Please contact Valerie Pierce, Secretary, Senior Vice President, General Counsel and Chief Compliance Officer, before you, any immediate family member living with you, or any trust or other entity in which you have an interest engages in any acquisition, sale, or other disposition of common stock of the Company during the Blackout Period or if you believe that a transaction in which you have an interest may occur during the Blackout Period.</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have any questions concerning this notice, please contact Valerie Pierce by telephone at (650) 392-1768 or by mail at NGM Biopharmaceuticals, Inc., 333 Oyster Point Boulevard, South San Francisco, CA 94080.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2022-03-10T16:06:01Z</dcterms:created>
  <dcterms:modified xsi:type="dcterms:W3CDTF">2022-03-10T16:06:01Z</dcterms:modified>
</cp:coreProperties>
</file>