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center"/>
        <w:rPr/>
      </w:pPr>
      <w:r>
        <w:rPr>
          <w:rFonts w:ascii="Arial;sans-serif" w:hAnsi="Arial;sans-serif"/>
          <w:b/>
          <w:color w:val="000000"/>
          <w:sz w:val="32"/>
        </w:rPr>
        <w:t>UNITED</w:t>
      </w:r>
      <w:r>
        <w:rPr>
          <w:color w:val="000000"/>
        </w:rPr>
        <w:t xml:space="preserve"> </w:t>
      </w:r>
      <w:r>
        <w:rPr>
          <w:rFonts w:ascii="Arial;sans-serif" w:hAnsi="Arial;sans-serif"/>
          <w:b/>
          <w:color w:val="000000"/>
          <w:sz w:val="32"/>
        </w:rPr>
        <w:t>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07" w:type="dxa"/>
        <w:jc w:val="left"/>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fiscal year ended December 31, 2023 </w:t>
      </w:r>
    </w:p>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For the transition period from</w:t>
      </w:r>
      <w:r>
        <w:rPr>
          <w:color w:val="000000"/>
          <w:u w:val="single"/>
        </w:rPr>
        <w:t>          </w:t>
      </w:r>
      <w:r>
        <w:rPr>
          <w:rFonts w:ascii="Arial;sans-serif" w:hAnsi="Arial;sans-serif"/>
          <w:b/>
          <w:color w:val="000000"/>
          <w:sz w:val="20"/>
        </w:rPr>
        <w:t>to</w:t>
      </w:r>
      <w:r>
        <w:rPr>
          <w:color w:val="000000"/>
          <w:u w:val="single"/>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001-38853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NGM BIOPHARMACEUTICALS,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9" w:type="dxa"/>
        <w:jc w:val="left"/>
        <w:tblInd w:w="0" w:type="dxa"/>
        <w:tblLayout w:type="fixed"/>
        <w:tblCellMar>
          <w:top w:w="28" w:type="dxa"/>
          <w:left w:w="28" w:type="dxa"/>
          <w:bottom w:w="28" w:type="dxa"/>
          <w:right w:w="28" w:type="dxa"/>
        </w:tblCellMar>
      </w:tblPr>
      <w:tblGrid>
        <w:gridCol w:w="1850"/>
        <w:gridCol w:w="1622"/>
        <w:gridCol w:w="1643"/>
        <w:gridCol w:w="889"/>
        <w:gridCol w:w="889"/>
        <w:gridCol w:w="1266"/>
      </w:tblGrid>
      <w:tr>
        <w:trPr/>
        <w:tc>
          <w:tcPr>
            <w:tcW w:w="185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26-1679911</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 or organization)</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333 Oyster Point Boulevard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South San Francisco, California 94080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40" w:after="283"/>
        <w:jc w:val="center"/>
        <w:rPr>
          <w:rFonts w:ascii="Arial;sans-serif" w:hAnsi="Arial;sans-serif"/>
          <w:b/>
          <w:color w:val="000000"/>
          <w:sz w:val="16"/>
        </w:rPr>
      </w:pPr>
      <w:r>
        <w:rPr>
          <w:rFonts w:ascii="Arial;sans-serif" w:hAnsi="Arial;sans-serif"/>
          <w:b/>
          <w:color w:val="000000"/>
          <w:sz w:val="16"/>
        </w:rPr>
        <w:t>Registrant’s telephone number, including area code: (650) 243-5555</w:t>
      </w:r>
    </w:p>
    <w:p>
      <w:pPr>
        <w:pStyle w:val="TextBody"/>
        <w:bidi w:val="0"/>
        <w:spacing w:lineRule="auto" w:line="288" w:before="40" w:after="283"/>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9327" w:type="dxa"/>
        <w:jc w:val="left"/>
        <w:tblInd w:w="0" w:type="dxa"/>
        <w:tblLayout w:type="fixed"/>
        <w:tblCellMar>
          <w:top w:w="28" w:type="dxa"/>
          <w:left w:w="28" w:type="dxa"/>
          <w:bottom w:w="28" w:type="dxa"/>
          <w:right w:w="28" w:type="dxa"/>
        </w:tblCellMar>
      </w:tblPr>
      <w:tblGrid>
        <w:gridCol w:w="1385"/>
        <w:gridCol w:w="1216"/>
        <w:gridCol w:w="1223"/>
        <w:gridCol w:w="479"/>
        <w:gridCol w:w="479"/>
        <w:gridCol w:w="481"/>
        <w:gridCol w:w="1190"/>
        <w:gridCol w:w="1190"/>
        <w:gridCol w:w="168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 of Securities Registered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NGM</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40" w:after="283"/>
        <w:jc w:val="left"/>
        <w:rPr>
          <w:rFonts w:ascii="Arial;sans-serif" w:hAnsi="Arial;sans-serif"/>
          <w:b w:val="false"/>
          <w:color w:val="000000"/>
          <w:sz w:val="14"/>
        </w:rPr>
      </w:pPr>
      <w:r>
        <w:rPr>
          <w:rFonts w:ascii="Arial;sans-serif" w:hAnsi="Arial;sans-serif"/>
          <w:b w:val="false"/>
          <w:color w:val="000000"/>
          <w:sz w:val="14"/>
        </w:rPr>
        <w:t>Securities registered pursuant to Section 12(g) of the Act: None</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if the registrant is a well-known seasoned issuer, as defined in Rule 405 of the Securities Act. Yes ☐ No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if the registrant is not required to file reports pursuant to Section 13 or Section 15(d) of the Act. Yes ☐ No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6"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09"/>
        <w:gridCol w:w="109"/>
        <w:gridCol w:w="109"/>
        <w:gridCol w:w="579"/>
        <w:gridCol w:w="579"/>
        <w:gridCol w:w="582"/>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40" w:after="283"/>
        <w:jc w:val="both"/>
        <w:rPr>
          <w:rFonts w:ascii="Arial;sans-serif" w:hAnsi="Arial;sans-serif"/>
          <w:b w:val="false"/>
          <w:color w:val="000000"/>
          <w:sz w:val="14"/>
        </w:rPr>
      </w:pPr>
      <w:r>
        <w:rPr>
          <w:rFonts w:ascii="Arial;sans-serif" w:hAnsi="Arial;sans-serif"/>
          <w:b w:val="false"/>
          <w:color w:val="000000"/>
          <w:sz w:val="14"/>
        </w:rPr>
        <w:t>Indicate by check mark whether the registrant is a shell company (as defined in Rule 12b-2 of the Act). Yes ☐ No ☒</w:t>
      </w:r>
    </w:p>
    <w:p>
      <w:pPr>
        <w:pStyle w:val="TextBody"/>
        <w:bidi w:val="0"/>
        <w:spacing w:lineRule="auto" w:line="288" w:before="40" w:after="283"/>
        <w:jc w:val="left"/>
        <w:rPr>
          <w:rFonts w:ascii="Arial;sans-serif" w:hAnsi="Arial;sans-serif"/>
          <w:b w:val="false"/>
          <w:color w:val="000000"/>
          <w:sz w:val="14"/>
        </w:rPr>
      </w:pPr>
      <w:r>
        <w:rPr>
          <w:rFonts w:ascii="Arial;sans-serif" w:hAnsi="Arial;sans-serif"/>
          <w:b w:val="false"/>
          <w:color w:val="000000"/>
          <w:sz w:val="14"/>
        </w:rPr>
        <w:t>The aggregate market value of the registrant’s common stock held by non-affiliates of the registrant as of June 30, 2023, the last business day of the registrant’s most recently completed second fiscal quarter, was approximately $147 million, calculated based on the closing price of the registrant’s common stock as reported by The Nasdaq Global Select Market. Excludes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pStyle w:val="TextBody"/>
        <w:bidi w:val="0"/>
        <w:spacing w:lineRule="auto" w:line="288" w:before="40" w:after="283"/>
        <w:jc w:val="left"/>
        <w:rPr>
          <w:rFonts w:ascii="Arial;sans-serif" w:hAnsi="Arial;sans-serif"/>
          <w:b w:val="false"/>
          <w:color w:val="000000"/>
          <w:sz w:val="14"/>
        </w:rPr>
      </w:pPr>
      <w:r>
        <w:rPr>
          <w:rFonts w:ascii="Arial;sans-serif" w:hAnsi="Arial;sans-serif"/>
          <w:b w:val="false"/>
          <w:color w:val="000000"/>
          <w:sz w:val="14"/>
        </w:rPr>
        <w:t>As of March 5, 2024, the number of outstanding shares of the registrant’s common stock, par value $0.001 per share, was 83,462,408.</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DOCUMENTS INCORPORATED BY REFERENCE</w:t>
      </w:r>
    </w:p>
    <w:p>
      <w:pPr>
        <w:pStyle w:val="TextBody"/>
        <w:bidi w:val="0"/>
        <w:spacing w:lineRule="auto" w:line="288" w:before="80" w:after="283"/>
        <w:jc w:val="both"/>
        <w:rPr>
          <w:rFonts w:ascii="Arial;sans-serif" w:hAnsi="Arial;sans-serif"/>
          <w:b w:val="false"/>
          <w:color w:val="000000"/>
          <w:sz w:val="14"/>
        </w:rPr>
      </w:pPr>
      <w:r>
        <w:rPr>
          <w:rFonts w:ascii="Arial;sans-serif" w:hAnsi="Arial;sans-serif"/>
          <w:b w:val="false"/>
          <w:color w:val="000000"/>
          <w:sz w:val="14"/>
        </w:rPr>
        <w:t>Certain information required by Part III, Items 10-14 of this Annual Report on Form 10-K is incorporated by reference to the registrant’s definitive Proxy Statement for the 2024 Annual Meeting of Stockholders to be filed with the U.S. Securities and Exchange Commission pursuant to Regulation 14A. If such Proxy Statement is not filed within 120 days after the end of the fiscal year covered by this Annual Report on Form 10-K, such information will be included in an amendment to this Annual Report on Form 10-K to be filed within such 120-day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 name="Frame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2023 ANNUAL REPORT ON FORM 10-K</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2"/>
        <w:gridCol w:w="274"/>
        <w:gridCol w:w="276"/>
        <w:gridCol w:w="2939"/>
        <w:gridCol w:w="2887"/>
        <w:gridCol w:w="2898"/>
        <w:gridCol w:w="180"/>
        <w:gridCol w:w="180"/>
        <w:gridCol w:w="259"/>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
              <w:r>
                <w:rPr>
                  <w:rStyle w:val="InternetLink"/>
                  <w:rFonts w:ascii="Arial;sans-serif" w:hAnsi="Arial;sans-serif"/>
                  <w:b w:val="false"/>
                  <w:color w:val="0000FF"/>
                  <w:sz w:val="20"/>
                  <w:u w:val="single"/>
                </w:rPr>
                <w:t>PART I</w:t>
              </w:r>
            </w:hyperlink>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d113d0c463643f29a3220f032cb5068_16">
              <w:r>
                <w:rPr>
                  <w:rStyle w:val="InternetLink"/>
                  <w:rFonts w:ascii="Arial;sans-serif" w:hAnsi="Arial;sans-serif"/>
                  <w:b w:val="false"/>
                  <w:color w:val="000000"/>
                  <w:sz w:val="20"/>
                  <w:u w:val="single"/>
                </w:rPr>
                <w:t>7</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9">
              <w:r>
                <w:rPr>
                  <w:rStyle w:val="InternetLink"/>
                  <w:rFonts w:ascii="Arial;sans-serif" w:hAnsi="Arial;sans-serif"/>
                  <w:b w:val="false"/>
                  <w:color w:val="0000FF"/>
                  <w:sz w:val="20"/>
                  <w:u w:val="single"/>
                </w:rPr>
                <w:t>Item 1.</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9">
              <w:r>
                <w:rPr>
                  <w:rStyle w:val="InternetLink"/>
                  <w:rFonts w:ascii="Arial;sans-serif" w:hAnsi="Arial;sans-serif"/>
                  <w:b w:val="false"/>
                  <w:color w:val="0000FF"/>
                  <w:sz w:val="20"/>
                  <w:u w:val="single"/>
                </w:rPr>
                <w:t>Business.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9">
              <w:r>
                <w:rPr>
                  <w:rStyle w:val="InternetLink"/>
                  <w:rFonts w:ascii="Arial;sans-serif" w:hAnsi="Arial;sans-serif"/>
                  <w:b w:val="false"/>
                  <w:color w:val="000000"/>
                  <w:sz w:val="20"/>
                  <w:u w:val="single"/>
                </w:rPr>
                <w:t>7</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22">
              <w:r>
                <w:rPr>
                  <w:rStyle w:val="InternetLink"/>
                  <w:rFonts w:ascii="Arial;sans-serif" w:hAnsi="Arial;sans-serif"/>
                  <w:b w:val="false"/>
                  <w:color w:val="0000FF"/>
                  <w:sz w:val="20"/>
                  <w:u w:val="single"/>
                </w:rPr>
                <w:t>Item 1A.</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22">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22">
              <w:r>
                <w:rPr>
                  <w:rStyle w:val="InternetLink"/>
                  <w:rFonts w:ascii="Arial;sans-serif" w:hAnsi="Arial;sans-serif"/>
                  <w:b w:val="false"/>
                  <w:color w:val="000000"/>
                  <w:sz w:val="20"/>
                  <w:u w:val="single"/>
                </w:rPr>
                <w:t>39</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25">
              <w:r>
                <w:rPr>
                  <w:rStyle w:val="InternetLink"/>
                  <w:rFonts w:ascii="Arial;sans-serif" w:hAnsi="Arial;sans-serif"/>
                  <w:b w:val="false"/>
                  <w:color w:val="0000FF"/>
                  <w:sz w:val="20"/>
                  <w:u w:val="single"/>
                </w:rPr>
                <w:t>Item 1B.</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25">
              <w:r>
                <w:rPr>
                  <w:rStyle w:val="InternetLink"/>
                  <w:rFonts w:ascii="Arial;sans-serif" w:hAnsi="Arial;sans-serif"/>
                  <w:b w:val="false"/>
                  <w:color w:val="0000FF"/>
                  <w:sz w:val="20"/>
                  <w:u w:val="single"/>
                </w:rPr>
                <w:t>Unresolved Staff Comments.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25">
              <w:r>
                <w:rPr>
                  <w:rStyle w:val="InternetLink"/>
                  <w:rFonts w:ascii="Arial;sans-serif" w:hAnsi="Arial;sans-serif"/>
                  <w:b w:val="false"/>
                  <w:color w:val="000000"/>
                  <w:sz w:val="20"/>
                  <w:u w:val="single"/>
                </w:rPr>
                <w:t>78</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83">
              <w:r>
                <w:rPr>
                  <w:rStyle w:val="InternetLink"/>
                  <w:rFonts w:ascii="Arial;sans-serif" w:hAnsi="Arial;sans-serif"/>
                  <w:b w:val="false"/>
                  <w:color w:val="0000FF"/>
                  <w:sz w:val="20"/>
                  <w:u w:val="single"/>
                </w:rPr>
                <w:t>Item 1C.</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83">
              <w:r>
                <w:rPr>
                  <w:rStyle w:val="InternetLink"/>
                  <w:rFonts w:ascii="Arial;sans-serif" w:hAnsi="Arial;sans-serif"/>
                  <w:b w:val="false"/>
                  <w:color w:val="0000FF"/>
                  <w:sz w:val="20"/>
                  <w:u w:val="single"/>
                </w:rPr>
                <w:t>Cybersecurity.</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25">
              <w:r>
                <w:rPr>
                  <w:rStyle w:val="InternetLink"/>
                  <w:rFonts w:ascii="Arial;sans-serif" w:hAnsi="Arial;sans-serif"/>
                  <w:b w:val="false"/>
                  <w:color w:val="000000"/>
                  <w:sz w:val="20"/>
                  <w:u w:val="single"/>
                </w:rPr>
                <w:t>78</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28">
              <w:r>
                <w:rPr>
                  <w:rStyle w:val="InternetLink"/>
                  <w:rFonts w:ascii="Arial;sans-serif" w:hAnsi="Arial;sans-serif"/>
                  <w:b w:val="false"/>
                  <w:color w:val="0000FF"/>
                  <w:sz w:val="20"/>
                  <w:u w:val="single"/>
                </w:rPr>
                <w:t>Item 2.</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28">
              <w:r>
                <w:rPr>
                  <w:rStyle w:val="InternetLink"/>
                  <w:rFonts w:ascii="Arial;sans-serif" w:hAnsi="Arial;sans-serif"/>
                  <w:b w:val="false"/>
                  <w:color w:val="0000FF"/>
                  <w:sz w:val="20"/>
                  <w:u w:val="single"/>
                </w:rPr>
                <w:t>Properties.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28">
              <w:r>
                <w:rPr>
                  <w:rStyle w:val="InternetLink"/>
                  <w:rFonts w:ascii="Arial;sans-serif" w:hAnsi="Arial;sans-serif"/>
                  <w:b w:val="false"/>
                  <w:color w:val="000000"/>
                  <w:sz w:val="20"/>
                  <w:u w:val="single"/>
                </w:rPr>
                <w:t>79</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31">
              <w:r>
                <w:rPr>
                  <w:rStyle w:val="InternetLink"/>
                  <w:rFonts w:ascii="Arial;sans-serif" w:hAnsi="Arial;sans-serif"/>
                  <w:b w:val="false"/>
                  <w:color w:val="0000FF"/>
                  <w:sz w:val="20"/>
                  <w:u w:val="single"/>
                </w:rPr>
                <w:t>Item 3.</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31">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31">
              <w:r>
                <w:rPr>
                  <w:rStyle w:val="InternetLink"/>
                  <w:rFonts w:ascii="Arial;sans-serif" w:hAnsi="Arial;sans-serif"/>
                  <w:b w:val="false"/>
                  <w:color w:val="000000"/>
                  <w:sz w:val="20"/>
                  <w:u w:val="single"/>
                </w:rPr>
                <w:t>79</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34">
              <w:r>
                <w:rPr>
                  <w:rStyle w:val="InternetLink"/>
                  <w:rFonts w:ascii="Arial;sans-serif" w:hAnsi="Arial;sans-serif"/>
                  <w:b w:val="false"/>
                  <w:color w:val="0000FF"/>
                  <w:sz w:val="20"/>
                  <w:u w:val="single"/>
                </w:rPr>
                <w:t>Item 4.</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34">
              <w:r>
                <w:rPr>
                  <w:rStyle w:val="InternetLink"/>
                  <w:rFonts w:ascii="Arial;sans-serif" w:hAnsi="Arial;sans-serif"/>
                  <w:b w:val="false"/>
                  <w:color w:val="0000FF"/>
                  <w:sz w:val="20"/>
                  <w:u w:val="singl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34">
              <w:r>
                <w:rPr>
                  <w:rStyle w:val="InternetLink"/>
                  <w:rFonts w:ascii="Arial;sans-serif" w:hAnsi="Arial;sans-serif"/>
                  <w:b w:val="false"/>
                  <w:color w:val="000000"/>
                  <w:sz w:val="20"/>
                  <w:u w:val="single"/>
                </w:rPr>
                <w:t>79</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37">
              <w:r>
                <w:rPr>
                  <w:rStyle w:val="InternetLink"/>
                  <w:rFonts w:ascii="Arial;sans-serif" w:hAnsi="Arial;sans-serif"/>
                  <w:b w:val="false"/>
                  <w:color w:val="0000FF"/>
                  <w:sz w:val="20"/>
                  <w:u w:val="single"/>
                </w:rPr>
                <w:t>PART II</w:t>
              </w:r>
            </w:hyperlink>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37">
              <w:r>
                <w:rPr>
                  <w:rStyle w:val="InternetLink"/>
                  <w:rFonts w:ascii="Arial;sans-serif" w:hAnsi="Arial;sans-serif"/>
                  <w:b w:val="false"/>
                  <w:color w:val="000000"/>
                  <w:sz w:val="20"/>
                  <w:u w:val="single"/>
                </w:rPr>
                <w:t>80</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40">
              <w:r>
                <w:rPr>
                  <w:rStyle w:val="InternetLink"/>
                  <w:rFonts w:ascii="Arial;sans-serif" w:hAnsi="Arial;sans-serif"/>
                  <w:b w:val="false"/>
                  <w:color w:val="0000FF"/>
                  <w:sz w:val="20"/>
                  <w:u w:val="single"/>
                </w:rPr>
                <w:t>Item 5.</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4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40">
              <w:r>
                <w:rPr>
                  <w:rStyle w:val="InternetLink"/>
                  <w:rFonts w:ascii="Arial;sans-serif" w:hAnsi="Arial;sans-serif"/>
                  <w:b w:val="false"/>
                  <w:color w:val="000000"/>
                  <w:sz w:val="20"/>
                  <w:u w:val="single"/>
                </w:rPr>
                <w:t>80</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43">
              <w:r>
                <w:rPr>
                  <w:rStyle w:val="InternetLink"/>
                  <w:rFonts w:ascii="Arial;sans-serif" w:hAnsi="Arial;sans-serif"/>
                  <w:b w:val="false"/>
                  <w:color w:val="0000FF"/>
                  <w:sz w:val="20"/>
                  <w:u w:val="single"/>
                </w:rPr>
                <w:t>Item 6.</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43">
              <w:r>
                <w:rPr>
                  <w:rStyle w:val="InternetLink"/>
                  <w:rFonts w:ascii="Arial;sans-serif" w:hAnsi="Arial;sans-serif"/>
                  <w:b w:val="false"/>
                  <w:color w:val="0000FF"/>
                  <w:sz w:val="20"/>
                  <w:u w:val="single"/>
                </w:rPr>
                <w:t>[Reserved].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43">
              <w:r>
                <w:rPr>
                  <w:rStyle w:val="InternetLink"/>
                  <w:rFonts w:ascii="Arial;sans-serif" w:hAnsi="Arial;sans-serif"/>
                  <w:b w:val="false"/>
                  <w:color w:val="000000"/>
                  <w:sz w:val="20"/>
                  <w:u w:val="single"/>
                </w:rPr>
                <w:t>80</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46">
              <w:r>
                <w:rPr>
                  <w:rStyle w:val="InternetLink"/>
                  <w:rFonts w:ascii="Arial;sans-serif" w:hAnsi="Arial;sans-serif"/>
                  <w:b w:val="false"/>
                  <w:color w:val="0000FF"/>
                  <w:sz w:val="20"/>
                  <w:u w:val="single"/>
                </w:rPr>
                <w:t>Item 7.</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46">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46">
              <w:r>
                <w:rPr>
                  <w:rStyle w:val="InternetLink"/>
                  <w:rFonts w:ascii="Arial;sans-serif" w:hAnsi="Arial;sans-serif"/>
                  <w:b w:val="false"/>
                  <w:color w:val="000000"/>
                  <w:sz w:val="20"/>
                  <w:u w:val="single"/>
                </w:rPr>
                <w:t>80</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70">
              <w:r>
                <w:rPr>
                  <w:rStyle w:val="InternetLink"/>
                  <w:rFonts w:ascii="Arial;sans-serif" w:hAnsi="Arial;sans-serif"/>
                  <w:b w:val="false"/>
                  <w:color w:val="0000FF"/>
                  <w:sz w:val="20"/>
                  <w:u w:val="single"/>
                </w:rPr>
                <w:t>Item 7A.</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70">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70">
              <w:r>
                <w:rPr>
                  <w:rStyle w:val="InternetLink"/>
                  <w:rFonts w:ascii="Arial;sans-serif" w:hAnsi="Arial;sans-serif"/>
                  <w:b w:val="false"/>
                  <w:color w:val="000000"/>
                  <w:sz w:val="20"/>
                  <w:u w:val="single"/>
                </w:rPr>
                <w:t>94</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73">
              <w:r>
                <w:rPr>
                  <w:rStyle w:val="InternetLink"/>
                  <w:rFonts w:ascii="Arial;sans-serif" w:hAnsi="Arial;sans-serif"/>
                  <w:b w:val="false"/>
                  <w:color w:val="0000FF"/>
                  <w:sz w:val="20"/>
                  <w:u w:val="single"/>
                </w:rPr>
                <w:t>Item 8.</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73">
              <w:r>
                <w:rPr>
                  <w:rStyle w:val="InternetLink"/>
                  <w:rFonts w:ascii="Arial;sans-serif" w:hAnsi="Arial;sans-serif"/>
                  <w:b w:val="false"/>
                  <w:color w:val="0000FF"/>
                  <w:sz w:val="20"/>
                  <w:u w:val="single"/>
                </w:rPr>
                <w:t>Financial Statements and Supplementary Data.</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73">
              <w:r>
                <w:rPr>
                  <w:rStyle w:val="InternetLink"/>
                  <w:rFonts w:ascii="Arial;sans-serif" w:hAnsi="Arial;sans-serif"/>
                  <w:b w:val="false"/>
                  <w:color w:val="000000"/>
                  <w:sz w:val="20"/>
                  <w:u w:val="single"/>
                </w:rPr>
                <w:t>95</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0">
              <w:r>
                <w:rPr>
                  <w:rStyle w:val="InternetLink"/>
                  <w:rFonts w:ascii="Arial;sans-serif" w:hAnsi="Arial;sans-serif"/>
                  <w:b w:val="false"/>
                  <w:color w:val="0000FF"/>
                  <w:sz w:val="20"/>
                  <w:u w:val="single"/>
                </w:rPr>
                <w:t>Item 9.</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0">
              <w:r>
                <w:rPr>
                  <w:rStyle w:val="InternetLink"/>
                  <w:rFonts w:ascii="Arial;sans-serif" w:hAnsi="Arial;sans-serif"/>
                  <w:b w:val="false"/>
                  <w:color w:val="0000FF"/>
                  <w:sz w:val="20"/>
                  <w:u w:val="single"/>
                </w:rPr>
                <w:t>Changes in and Disagreements with Accountants on Accounting and Financial Disclosure.</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30">
              <w:r>
                <w:rPr>
                  <w:rStyle w:val="InternetLink"/>
                  <w:rFonts w:ascii="Arial;sans-serif" w:hAnsi="Arial;sans-serif"/>
                  <w:b w:val="false"/>
                  <w:color w:val="000000"/>
                  <w:sz w:val="20"/>
                  <w:u w:val="single"/>
                </w:rPr>
                <w:t>122</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3">
              <w:r>
                <w:rPr>
                  <w:rStyle w:val="InternetLink"/>
                  <w:rFonts w:ascii="Arial;sans-serif" w:hAnsi="Arial;sans-serif"/>
                  <w:b w:val="false"/>
                  <w:color w:val="0000FF"/>
                  <w:sz w:val="20"/>
                  <w:u w:val="single"/>
                </w:rPr>
                <w:t>Item 9A.</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3">
              <w:r>
                <w:rPr>
                  <w:rStyle w:val="InternetLink"/>
                  <w:rFonts w:ascii="Arial;sans-serif" w:hAnsi="Arial;sans-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33">
              <w:r>
                <w:rPr>
                  <w:rStyle w:val="InternetLink"/>
                  <w:rFonts w:ascii="Arial;sans-serif" w:hAnsi="Arial;sans-serif"/>
                  <w:b w:val="false"/>
                  <w:color w:val="000000"/>
                  <w:sz w:val="20"/>
                  <w:u w:val="single"/>
                </w:rPr>
                <w:t>122</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6">
              <w:r>
                <w:rPr>
                  <w:rStyle w:val="InternetLink"/>
                  <w:rFonts w:ascii="Arial;sans-serif" w:hAnsi="Arial;sans-serif"/>
                  <w:b w:val="false"/>
                  <w:color w:val="0000FF"/>
                  <w:sz w:val="20"/>
                  <w:u w:val="single"/>
                </w:rPr>
                <w:t>Item 9B.</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6">
              <w:r>
                <w:rPr>
                  <w:rStyle w:val="InternetLink"/>
                  <w:rFonts w:ascii="Arial;sans-serif" w:hAnsi="Arial;sans-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36">
              <w:r>
                <w:rPr>
                  <w:rStyle w:val="InternetLink"/>
                  <w:rFonts w:ascii="Arial;sans-serif" w:hAnsi="Arial;sans-serif"/>
                  <w:b w:val="false"/>
                  <w:color w:val="000000"/>
                  <w:sz w:val="20"/>
                  <w:u w:val="single"/>
                </w:rPr>
                <w:t>123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9">
              <w:r>
                <w:rPr>
                  <w:rStyle w:val="InternetLink"/>
                  <w:rFonts w:ascii="Arial;sans-serif" w:hAnsi="Arial;sans-serif"/>
                  <w:b w:val="false"/>
                  <w:color w:val="0000FF"/>
                  <w:sz w:val="20"/>
                  <w:u w:val="single"/>
                </w:rPr>
                <w:t>Item 9C.</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39">
              <w:r>
                <w:rPr>
                  <w:rStyle w:val="InternetLink"/>
                  <w:rFonts w:ascii="Arial;sans-serif" w:hAnsi="Arial;sans-serif"/>
                  <w:b w:val="false"/>
                  <w:color w:val="0000FF"/>
                  <w:sz w:val="20"/>
                  <w:u w:val="single"/>
                </w:rPr>
                <w:t>Disclosure Regarding Foreign Jurisdictions that Prevent Inspections.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39">
              <w:r>
                <w:rPr>
                  <w:rStyle w:val="InternetLink"/>
                  <w:rFonts w:ascii="Arial;sans-serif" w:hAnsi="Arial;sans-serif"/>
                  <w:b w:val="false"/>
                  <w:color w:val="000000"/>
                  <w:sz w:val="20"/>
                  <w:u w:val="single"/>
                </w:rPr>
                <w:t>123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42">
              <w:r>
                <w:rPr>
                  <w:rStyle w:val="InternetLink"/>
                  <w:rFonts w:ascii="Arial;sans-serif" w:hAnsi="Arial;sans-serif"/>
                  <w:b w:val="false"/>
                  <w:color w:val="0000FF"/>
                  <w:sz w:val="20"/>
                  <w:u w:val="single"/>
                </w:rPr>
                <w:t>PART III</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42">
              <w:r>
                <w:rPr>
                  <w:rStyle w:val="InternetLink"/>
                  <w:rFonts w:ascii="Arial;sans-serif" w:hAnsi="Arial;sans-serif"/>
                  <w:b w:val="false"/>
                  <w:color w:val="000000"/>
                  <w:sz w:val="20"/>
                  <w:u w:val="single"/>
                </w:rPr>
                <w:t>123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45">
              <w:r>
                <w:rPr>
                  <w:rStyle w:val="InternetLink"/>
                  <w:rFonts w:ascii="Arial;sans-serif" w:hAnsi="Arial;sans-serif"/>
                  <w:b w:val="false"/>
                  <w:color w:val="0000FF"/>
                  <w:sz w:val="20"/>
                  <w:u w:val="single"/>
                </w:rPr>
                <w:t>Item 10.</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45">
              <w:r>
                <w:rPr>
                  <w:rStyle w:val="InternetLink"/>
                  <w:rFonts w:ascii="Arial;sans-serif" w:hAnsi="Arial;sans-serif"/>
                  <w:b w:val="false"/>
                  <w:color w:val="0000FF"/>
                  <w:sz w:val="20"/>
                  <w:u w:val="single"/>
                </w:rPr>
                <w:t>Directors, Executive Officers and Corporate Governance.</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45">
              <w:r>
                <w:rPr>
                  <w:rStyle w:val="InternetLink"/>
                  <w:rFonts w:ascii="Arial;sans-serif" w:hAnsi="Arial;sans-serif"/>
                  <w:b w:val="false"/>
                  <w:color w:val="000000"/>
                  <w:sz w:val="20"/>
                  <w:u w:val="single"/>
                </w:rPr>
                <w:t>123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48">
              <w:r>
                <w:rPr>
                  <w:rStyle w:val="InternetLink"/>
                  <w:rFonts w:ascii="Arial;sans-serif" w:hAnsi="Arial;sans-serif"/>
                  <w:b w:val="false"/>
                  <w:color w:val="0000FF"/>
                  <w:sz w:val="20"/>
                  <w:u w:val="single"/>
                </w:rPr>
                <w:t>Item 11.</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48">
              <w:r>
                <w:rPr>
                  <w:rStyle w:val="InternetLink"/>
                  <w:rFonts w:ascii="Arial;sans-serif" w:hAnsi="Arial;sans-serif"/>
                  <w:b w:val="false"/>
                  <w:color w:val="0000FF"/>
                  <w:sz w:val="20"/>
                  <w:u w:val="single"/>
                </w:rPr>
                <w:t>Executive Compensation.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48">
              <w:r>
                <w:rPr>
                  <w:rStyle w:val="InternetLink"/>
                  <w:rFonts w:ascii="Arial;sans-serif" w:hAnsi="Arial;sans-serif"/>
                  <w:b w:val="false"/>
                  <w:color w:val="000000"/>
                  <w:sz w:val="20"/>
                  <w:u w:val="single"/>
                </w:rPr>
                <w:t>123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51">
              <w:r>
                <w:rPr>
                  <w:rStyle w:val="InternetLink"/>
                  <w:rFonts w:ascii="Arial;sans-serif" w:hAnsi="Arial;sans-serif"/>
                  <w:b w:val="false"/>
                  <w:color w:val="0000FF"/>
                  <w:sz w:val="20"/>
                  <w:u w:val="single"/>
                </w:rPr>
                <w:t>Item 12.</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51">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51">
              <w:r>
                <w:rPr>
                  <w:rStyle w:val="InternetLink"/>
                  <w:rFonts w:ascii="Arial;sans-serif" w:hAnsi="Arial;sans-serif"/>
                  <w:b w:val="false"/>
                  <w:color w:val="000000"/>
                  <w:sz w:val="20"/>
                  <w:u w:val="single"/>
                </w:rPr>
                <w:t>123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54">
              <w:r>
                <w:rPr>
                  <w:rStyle w:val="InternetLink"/>
                  <w:rFonts w:ascii="Arial;sans-serif" w:hAnsi="Arial;sans-serif"/>
                  <w:b w:val="false"/>
                  <w:color w:val="0000FF"/>
                  <w:sz w:val="20"/>
                  <w:u w:val="single"/>
                </w:rPr>
                <w:t>Item 13.</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54">
              <w:r>
                <w:rPr>
                  <w:rStyle w:val="InternetLink"/>
                  <w:rFonts w:ascii="Arial;sans-serif" w:hAnsi="Arial;sans-serif"/>
                  <w:b w:val="false"/>
                  <w:color w:val="0000FF"/>
                  <w:sz w:val="20"/>
                  <w:u w:val="single"/>
                </w:rPr>
                <w:t>Certain Relationships and Related Transactions, and Director Independence.</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54">
              <w:r>
                <w:rPr>
                  <w:rStyle w:val="InternetLink"/>
                  <w:rFonts w:ascii="Arial;sans-serif" w:hAnsi="Arial;sans-serif"/>
                  <w:b w:val="false"/>
                  <w:color w:val="000000"/>
                  <w:sz w:val="20"/>
                  <w:u w:val="single"/>
                </w:rPr>
                <w:t>124</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57">
              <w:r>
                <w:rPr>
                  <w:rStyle w:val="InternetLink"/>
                  <w:rFonts w:ascii="Arial;sans-serif" w:hAnsi="Arial;sans-serif"/>
                  <w:b w:val="false"/>
                  <w:color w:val="0000FF"/>
                  <w:sz w:val="20"/>
                  <w:u w:val="single"/>
                </w:rPr>
                <w:t>Item 14.</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57">
              <w:r>
                <w:rPr>
                  <w:rStyle w:val="InternetLink"/>
                  <w:rFonts w:ascii="Arial;sans-serif" w:hAnsi="Arial;sans-serif"/>
                  <w:b w:val="false"/>
                  <w:color w:val="0000FF"/>
                  <w:sz w:val="20"/>
                  <w:u w:val="single"/>
                </w:rPr>
                <w:t>Principal Accounting Fees and Services.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57">
              <w:r>
                <w:rPr>
                  <w:rStyle w:val="InternetLink"/>
                  <w:rFonts w:ascii="Arial;sans-serif" w:hAnsi="Arial;sans-serif"/>
                  <w:b w:val="false"/>
                  <w:color w:val="000000"/>
                  <w:sz w:val="20"/>
                  <w:u w:val="single"/>
                </w:rPr>
                <w:t>124</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0">
              <w:r>
                <w:rPr>
                  <w:rStyle w:val="InternetLink"/>
                  <w:rFonts w:ascii="Arial;sans-serif" w:hAnsi="Arial;sans-serif"/>
                  <w:b w:val="false"/>
                  <w:color w:val="0000FF"/>
                  <w:sz w:val="20"/>
                  <w:u w:val="single"/>
                </w:rPr>
                <w:t>PART IV</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60">
              <w:r>
                <w:rPr>
                  <w:rStyle w:val="InternetLink"/>
                  <w:rFonts w:ascii="Arial;sans-serif" w:hAnsi="Arial;sans-serif"/>
                  <w:b w:val="false"/>
                  <w:color w:val="000000"/>
                  <w:sz w:val="20"/>
                  <w:u w:val="single"/>
                </w:rPr>
                <w:t>124</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3">
              <w:r>
                <w:rPr>
                  <w:rStyle w:val="InternetLink"/>
                  <w:rFonts w:ascii="Arial;sans-serif" w:hAnsi="Arial;sans-serif"/>
                  <w:b w:val="false"/>
                  <w:color w:val="0000FF"/>
                  <w:sz w:val="20"/>
                  <w:u w:val="single"/>
                </w:rPr>
                <w:t>Item 15.</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3">
              <w:r>
                <w:rPr>
                  <w:rStyle w:val="InternetLink"/>
                  <w:rFonts w:ascii="Arial;sans-serif" w:hAnsi="Arial;sans-serif"/>
                  <w:b w:val="false"/>
                  <w:color w:val="0000FF"/>
                  <w:sz w:val="20"/>
                  <w:u w:val="single"/>
                </w:rPr>
                <w:t>Exhibits, Financial Statement Schedules.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63">
              <w:r>
                <w:rPr>
                  <w:rStyle w:val="InternetLink"/>
                  <w:rFonts w:ascii="Arial;sans-serif" w:hAnsi="Arial;sans-serif"/>
                  <w:b w:val="false"/>
                  <w:color w:val="000000"/>
                  <w:sz w:val="20"/>
                  <w:u w:val="single"/>
                </w:rPr>
                <w:t>124</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6">
              <w:r>
                <w:rPr>
                  <w:rStyle w:val="InternetLink"/>
                  <w:rFonts w:ascii="Arial;sans-serif" w:hAnsi="Arial;sans-serif"/>
                  <w:b w:val="false"/>
                  <w:color w:val="0000FF"/>
                  <w:sz w:val="20"/>
                  <w:u w:val="single"/>
                </w:rPr>
                <w:t>Item 16.</w:t>
              </w:r>
            </w:hyperlink>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6">
              <w:r>
                <w:rPr>
                  <w:rStyle w:val="InternetLink"/>
                  <w:rFonts w:ascii="Arial;sans-serif" w:hAnsi="Arial;sans-serif"/>
                  <w:b w:val="false"/>
                  <w:color w:val="0000FF"/>
                  <w:sz w:val="20"/>
                  <w:u w:val="single"/>
                </w:rPr>
                <w:t>Form 10-K Summary.</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66">
              <w:r>
                <w:rPr>
                  <w:rStyle w:val="InternetLink"/>
                  <w:rFonts w:ascii="Arial;sans-serif" w:hAnsi="Arial;sans-serif"/>
                  <w:b w:val="false"/>
                  <w:color w:val="000000"/>
                  <w:sz w:val="20"/>
                  <w:u w:val="single"/>
                </w:rPr>
                <w:t>127</w:t>
              </w:r>
            </w:hyperlink>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9">
              <w:r>
                <w:rPr>
                  <w:rStyle w:val="InternetLink"/>
                  <w:rFonts w:ascii="Arial;sans-serif" w:hAnsi="Arial;sans-serif"/>
                  <w:b w:val="false"/>
                  <w:color w:val="0000FF"/>
                  <w:sz w:val="20"/>
                  <w:u w:val="singl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113d0c463643f29a3220f032cb5068_169">
              <w:r>
                <w:rPr>
                  <w:rStyle w:val="InternetLink"/>
                  <w:rFonts w:ascii="Arial;sans-serif" w:hAnsi="Arial;sans-serif"/>
                  <w:b w:val="false"/>
                  <w:color w:val="000000"/>
                  <w:sz w:val="20"/>
                  <w:u w:val="single"/>
                </w:rPr>
                <w:t>128</w:t>
              </w:r>
            </w:hyperlink>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Unless the context suggests otherwise, references in this Annual Report on Form 10-K (the “Annual Report”) to “us,” “our,” “NGM,” “NGM Biopharmaceuticals,” “we,” the “Company” and similar designations refer to NGM Biopharmaceuticals, Inc. and, where appropriate, its subsidiary.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2"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Arial;sans-serif" w:hAnsi="Arial;sans-serif"/>
          <w:b w:val="false"/>
          <w:color w:val="000000"/>
          <w:sz w:val="20"/>
        </w:rPr>
        <w:t>This Annual Report contains forward-looking statements that involve risks, uncertainties and assumptions that, if they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"aim," “anticipate,” “believe,” “could,” “estimate,” “expect,” “intend,” “may,” “plan,” “potential,” “predict,” “project,” "seek,"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r>
        <w:rPr>
          <w:color w:val="000000"/>
        </w:rPr>
        <w:t xml:space="preserve">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expectations related to the Agreement and Plan of Merger, dated as of February 25, 2024, or the Merger Agreement, among the Company, Atlas Neon Parent, Inc., a Delaware corporation, or Parent, and Atlas Neon Merger Sub, Inc., a Delaware corporation and a wholly-owned subsidiary of Parent, or Merger Sub, including with respect to the parties’ ability to satisfy the conditions to the consummation of the tender offer and the other conditions set forth in the Merger Agreement, statements about the expected timeline for completing the transactions contemplated by the Merger Agreement, the Company’s and Parent’s beliefs and expectations and statements about the benefits sought to be achieved by Parent’s proposed acquisition of the Company and the possibility of any termination of the Merger Agreement;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success, cost and timing of our product development activities and clinical trials and the initiation of, enrollment in, availability of data for and other events related to such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our belief that NGM707 has the potential to reprogram immunoglobulin-like transcript 4-, or ILT4-, and immunoglobulin-like transcript 2-, or ILT2-, expressing myeloid cells to shift them from a suppressive state that restricts anti-tumor immunity to a stimulatory state that may promote anti-tumor immunity;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design and conduct a potential registrational trial of aldafermin in primary sclerosing cholangitis, or PSC, and our belief that aldafermin has the potential to lower bile acid production and to slow the progression of primary sclerosing cholangitis directly and as measured through certain biomarkers associated with PSC;</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design a toxicology package to support the potential initiation of a Phase 2 proof-of-concept study of NGM120 in patients with hyperemesis gravidarum, or HG;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plans with respect to our three key priorities for clinical development, and the therapeutic potential of NGM707 in solid tumors, aldafermin in PSC and NGM120 in HG;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therapeutic potential of our programs (including our NGM438, NGM831, NGM621 and NGM313 programs) whose further development is dependent on our ability to secure potential future collaboration, out licensing, partnering or other business development arrangements, or BD Arrangements, with third-party partners and our ability to secure such BD Arrangements on beneficial terms, if at all, and, in the absence of such BD Arrangements, whether due to limitations imposed on our ability to secure such BD Arrangements during the pendency of the Merger Agreement or otherwise, we are unlikely to advance development of such product candidates unless our portfolio prioritization changes and we are able to secure the additional capital necessary to fund such development;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obtain funding for our operations;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maintain compliance with the listing standards of The Nasdaq Stock Market LLC, or Nasdaq, if the transactions contemplated by the Merger Agreement are not consummated;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estimates regarding future expenses, revenue, capital requirements and needs for additional funds;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obtain and maintain regulatory approvals for our current and any of our future product candidates, and any related restrictions, limitations and/or warnings in the label of any approved product candidate;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belief regarding the impact of our product candidates’ side effects and our ability to effectively manage these side effects;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commercialization of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3"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size and growth potential of the markets for our product candidates, and our ability to serve those markets;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rate and degree of market acceptance of our product candidates, as well as the reimbursement coverage for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developments in the United States and other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beliefs with respect to the availability of the accelerated approval pathway for any marketing applications that we may submit to the U.S. Food and Drug Administration, or FDA, including potentially with respect to aldafermin for the treatment of PSC;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performance of, and our ability to obtain sufficient supply of clinical trial material in a timely manner from, third-party suppliers and manufacturers;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beliefs around the competitive landscape for our product candidates and the success of competing therapies that are or may become available;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attract and retain key scientific, development and management personnel;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expectations regarding our ability to obtain, maintain, protect and enforce intellectual property protection for our product candidates.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The below summary is qualified in its entirety by that more complete discussion of such risks and uncertainties. You should carefully consider the risks and uncertainties described under “Risk Factors” in Part I, Item 1A of this Annual Report as part of your evaluation of an investment in our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February 25, 2024, we entered into the Merger Agreement with Parent and Merger Sub. The Merger Agreement provides for, among other things, (i) the acquisition of the Company by Parent through a cash tender offer, or the Offer, by Merger Sub for each issued and outstanding share of our common stock, and (ii) the merger of Merger Sub with and into the Company, or the Merger, with the Company surviving the Merger. If the Merger is effected, our common stock will be delisted from The Nasdaq Global Select Market and we will be privately held. During the pendency of the Merger, we may be subject to certain risks and uncertainties as more fully described under “Risk Factors” in Part I, Item 1A of this Annual Report. If the Merger is not consummated for any reason, we will remain subject to the other risks and uncertainties described herein.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Risks Related to the Merger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consummation of the Offer and the Merger are subject to a number of conditions beyond our control, and if one or more of such conditions are not satisfied, and as a result, we do not complete the Offer and the Merger, we would remain liable for significant transaction costs, and the focus of our management would have been diverted from advancing our three key development opportunities, in each case without realizing any benefits of the Offer and the Merger.</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Failure to complete the Offer and the Merger within the expected time frame, or at all, could have a material adverse effect on our business, operating results, financial condition and our stock price.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Merger Agreement contains provisions that could discourage a potential competing acquirer that might have an interest in acquiring all or a significant portion of our common stock from considering or proposing that acquisition, even if it were prepared to pay consideration with a higher per share cash or market value than the Offer Price (as defined in the Merger Agreement).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While the Offer and the Merger are pending, we are subject to uncertainties that could disrupt our business, and our stock price may fluctuate significantly based on announcements regarding the Offer and the Merger or based on market perceptions of the likelihood of the satisfaction of the conditions to the consummation of the Offer and the Merger outside of our control.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While the Offer and the Merger are pending, we are subject to contractual restrictions that limit our ability to pursue or prevent us from pursuing attractive business or fundraising opportunities (if any), such as our ability to raise additional capital, incur indebtedness or pursue BD Arrangements. In addition, if the Merger is not consummated, we may face increased difficulties raising capital and may need to significantly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4"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scale back or discontinue development of, or abandon some or all of, our product candidates, or scale back or discontinue our discovery research efforts.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Stockholder litigation or class actions lawsuits could prevent or delay the consummation of the Offer and the Merger, divert management’s attention, adversely affect our ability to consummate the Merger or otherwise negatively impact our business, operating results and financial condition.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have incurred, and will continue to incur, significant costs and expenses, including fees for professional services and other transaction costs, in connection with the Offer and the Merger.</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Other Risks Related to Our Business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We have incurred net losses every year since our inception, we have no meaningful source of revenue, we expect to continue to incur significant operating losses and we may never become profitable.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have minimal committed external funding for our development efforts and will need to rely on our own financial resources and our ability to raise additional capital in order to further our development efforts.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need significant additional capital to proceed with development and commercialization of our current and potential future product candidates and to finance our other operations, and that additional capital may not be available to us on acceptable terms, or at all; as a result, we may need to significantly delay, scale back or discontinue development of or abandon some or all of our product candidates, or scale back or discontinue our discovery research efforts, or we may be required to cease operations altogether.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We expect to depend in the future on BD Arrangements with third-party partners for the development and commercialization of some or all of our product candidates and for revenue and, if we are unable to secure those BD Arrangements, or if any future BD Arrangements are not successful, we may not be able to capitalize on the market potential of our product candidates or continue their development. BD Arrangements involve numerous risks, any of which could materially and adversely affect our business and financial condition.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While we may consider BD Arrangements to advance development of the product candidates that are within our three key priorities for clinical development, we are seeking BD Arrangements with third-party partners to progress, in whole or in part, the development of one or more of our other programs whose further development is dependent on our ability to secure potential future BD Arrangements, which include NGM438, NGM831, NGM621 and NGM313, and if we are unable to secure BD Arrangements to support these programs, we are unlikely to be able to advance their development unless our portfolio prioritization changes and we are able to secure additional capital necessary to fund such development. We may discontinue or abandon any or all of our programs altogether, in which case we will not realize any return on our investments in those programs.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not be able to obtain and maintain relationships with future partners that are necessary to develop, manufacture and commercialize some or all of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rely completely on contract manufacturers for the manufacture of our product candidates and the process of manufacturing, and conducting release testing for, our biologic product candidates is complex, highly regulated and subject to many risks, any of which could substantially increase our costs and limit supply of our product candidates and any future products needed for clinical trials and commercialization.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need to successfully complete rigorous preclinical and clinical testing of our product candidates before we can seek regulatory approval. The regulatory approval processes of the FDA and comparable foreign health authorities are lengthy and inherently unpredictable, and if we are not successful at each step of the process, commercialization of our product candidates will be delayed or prevented.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product candidates are in early stages of development, with our most advanced product candidates only in Phase 2 development.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product candidates may fail to demonstrate safety and efficacy in ongoing and future clinical trials, may never achieve regulatory approval and, even if approved, may not be able to be successfully commercialized due to competition or other factors.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not successfully identify new product candidates to expand our development pipeline.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future success depends in part on our ability to attract and retain highly skilled employees, including members of our senior management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5"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success depends in significant part upon our ability to obtain and maintain intellectual property protection for our products and technologies.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principal stockholders, including entities affiliated with The Column Group, Merck and our management, own a substantial percentage of our stock and will be able to exert significant control over matters subject to stockholder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We or third parties we rely on or partner with could experience a cybersecurity incident that could harm our business.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are a “smaller reporting company” and the reduced disclosure requirements applicable to such companies that we have availed ourselves of may make our common stock less attractive to investors.</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market price of our common stock has been and may continue to be volatile, and you could lose all or part of your investment.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continue to incur increased costs as a result of operating as a public company and our management devotes substantial time to public company compliance initiatives; for example, we are obligated to develop and maintain proper and effective internal control over financial reporting and to comply with the requirements of Section 404 of the Sarbanes-Oxley Act of 2002.</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have failed in the past and may in the future fail to continue to meet the listing standards of Nasdaq, and as a result our common stock may be delisted, which could have a material adverse effect on the liquidity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6"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Overview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focused on discovering and developing novel, potentially life-changing medicines based on scientific understanding of key biological pathways. Our mission is to translate complex, powerful biology with rigor and urgency into life-changing medicines. Our strategy is built on a straightforward central premise: create an environment that both allows drug discovery research to thrive by focusing on powerful human biology unconstrained by therapeutic area or technology approach and remain grounded in the singular motivation of delivering impactful medicines to address critical unmet or underserved needs of patients suffering from grievous diseases.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biology-driven and therapeutic area agnostic discovery engine has produced a diverse pipeline of product candidates spanning oncology, liver and metabolic disease and retinal disease. We have evolved our strategy to concentrate our resources on three product candidates in three specific disease areas and to continue our discovery research efforts. For our other product candidates and potential future opportunities that have been, and may in the future be, produced by our discovery engine, we are seeking collaboration, out licensing, partnering or other business development arrangements, or BD Arrangements, with third-party partners with sufficient resources and relevant domain expertise to further their development. We believe that this strategy, if successfully implemented, may enable more of the programs in our pipeline to be advanced effectively and efficiently.</w:t>
      </w:r>
    </w:p>
    <w:p>
      <w:pPr>
        <w:pStyle w:val="TextBody"/>
        <w:bidi w:val="0"/>
        <w:spacing w:lineRule="auto" w:line="288" w:before="0" w:after="0"/>
        <w:jc w:val="center"/>
        <w:rPr/>
      </w:pPr>
      <w:r>
        <w:rPr>
          <w:rFonts w:ascii="Arial;sans-serif" w:hAnsi="Arial;sans-serif"/>
          <w:b/>
          <w:color w:val="000000"/>
          <w:sz w:val="20"/>
        </w:rPr>
        <w:t>Pending Transactions Contemplated by the Merger Agreement</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25, 2024, we entered into the Agreement and Plan of Merger, dated as of February 25, 2024, or the Merger Agreement, with Atlas Neon Parent, Inc., a Delaware corporation, or Parent, and Atlas Neon Merger Sub, Inc., a Delaware corporation and a wholly-owned subsidiary of Parent, or Merger Sub. Parent and Merger Sub are affiliates of The Column Group, LP, which, along with certain of its affiliates, is collectively referred to as TCG. TCG is our largest stockholder, holding approximately 26.7% of our common stock as of December 28, 2023.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provides for, among other things, (i) the acquisition of the Company by Parent through a cash tender offer, or the Offer, by Merger Sub for each issued and outstanding share of our common stock for $1.55 per share, or the Offer Price, and (ii) the merger of Merger Sub with and into the Company, or the Merger, with the Company surviving the Merger. Subject to the terms of the Merger Agreement, the Offer Price will be paid subject to any applicable tax withholding and without interest.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Upon the unanimous recommendation of the special committee of our board of directors, or the Special Committee, the members of our board (other than David V. Goeddel, Ph.D. and Roger M. Perlmutter, M.D., Ph.D. who recused themselves because of their relationship to TCG, and William J. Rieflin, who recused himself because he had entered into the Rollover Agreement (as defined in the Merger Agreement) at the time of the board's determination) have unanimously determined that the terms of the Offer, the Merger and the other transactions contemplated by the Merger Agreement are fair to and in the best interests of the Company and the Unaffiliated Stockholders (as defined in the Merger Agreement), authorized and approved the execution, delivery and performance by the Company of the Merger Agreement and, subject to the terms and conditions of the Merger Agreement, the consummation by the Company of the transactions contemplated by the Merger Agreement, declared the Merger Agreement and the transactions contemplated by the Merger Agreement advisable and recommended that the Unaffiliated Stockholders accept the Offer and tender their shares of common stock pursuant to the Offer.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Offer is being made subject to all terms and conditions set forth in the Offer to Purchase, dated March 8, 2024, or, as it may be amended or supplemented from time to time, the Offer to Purchase, and in the related Letter of Transmittal, or as it may be amended or supplemented from time to time, the Letter of Transmittal. The Offer to Purchase and the Letter of Transmittal constitute the Offer. The Offer will expire at one minute after 11:59 p.m., Eastern time, on April 4, 2024, unless extended in accordance with the terms of the Offer and the Merger Agreement and the applicable rules and regulations of the U.S. Securities and Exchange Commission, or the SEC.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terms of the Merger Agreement, as of the effective time of the Merger, or the Effective Time, by virtue of the Merger and without any action on the part of the holders, (i) each outstanding share of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7"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stock (other than any shares of common stock (a) held in the treasury of the Company, (b) owned, directly or indirectly by TCG, Parent, Merger Sub or any other subsidiary of Parent, or the Rollover Stockholders (as defined in the Merger Agreement) at the commencement of the Offer, (c) irrevocably accepted for purchase in the Offer or (d) owned by any stockholders who are entitled to and who properly exercise appraisal rights under Delaware law) will be converted into the right to receive the Offer Price without interest, less any applicable tax withholding; (ii) the vesting of each option to purchase shares of our common stock, or Company Stock Options, shall be accelerated and (A) each Company Stock Option that has an exercise price per share that is less than the Offer Price, or an In-the-Money Option, that is then outstanding will be cancelled and, in exchange therefor, the holder of such cancelled In-the-Money Option will be entitled to receive an amount in cash, without any interest thereon and subject to applicable tax withholding, equal to the product of (x) the total number of shares of our common stock underlying such In-the-Money Option as of immediately prior to the Effective Time multiplied by (y) the excess of the Offer Price over the applicable exercise price per share of the common stock underlying such In-the-Money Option, and (B) each Company Stock Option that is not an In-the-Money Option will be cancelled for no consideration; and (iii) each unvested restricted stock unit, or RSU, of the Company that is then outstanding shall become immediately vested in full and cancelled, and, in exchange therefor, the holder of such cancelled RSU will be entitled to receive an amount in cash without interest, less any applicable tax withholding, equal to the Offer Price.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Merger Sub’s obligation to accept shares of our common stock tendered in the Offer is subject to conditions, including: (i) that the number of shares of common stock validly tendered and not validly withdrawn equals at least a majority of all shares of our common stock then owned by the Unaffiliated Stockholders as of the expiration of the Offer; (ii) the accuracy of our representations and warranties contained in the Merger Agreement (subject to certain exceptions and qualifications described in the Merger Agreement and except, generally, for any inaccuracies that have not had a Company Material Adverse Effect (as defined in the Merger Agreement)); (iii) our performance in all material respects of our obligations under the Merger Agreement and (iv) the other conditions set forth in Exhibit A to the Merger Agreement. The obligations of Parent and Merger Sub to consummate the Offer and the Merger under the Merger Agreement are not subject to a financing condition.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Following the completion of the Offer, subject to the absence of injunctions or other legal restraints preventing or prohibiting the consummation of the Merger, Merger Sub will merge with and into the Company, with the Company surviving as a wholly-owned subsidiary of Parent, pursuant to the procedure provided for under Section 251(h) of the Delaware General Corporation Law, without any additional stockholder approvals. The Merger will be effected as soon as practicable following the time at which Merger Sub purchases the shares of common stock validly tendered and not withdrawn in the Offer.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contains customary representations and warranties by Parent, Merger Sub and the Company. The Merger Agreement also contains customary covenants and agreements, including with respect to the operations of our business between signing and closing.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contains customary non-solicitation restrictions prohibiting our solicitation of alternative business combination transactions and restricts our ability to furnish non-public information to, or participate in any discussions or negotiations with, any third party with respect to any such alternative business combination transaction, subject to customary exceptions in the event of an acquisition proposal that was not solicited in violation of these restrictions and that our board of directors (acting upon the recommendation of the Special Committee) or the Special Committee determines constitutes or could reasonably be expected to lead to a Superior Company Proposal (as defined in the Merger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contains customary termination rights for both Parent and Merger Sub, on the one hand, and the Company, on the other hand, including, among others, for failure to consummate the Offer on or before June 15, 2024. If the Merger Agreement is terminated under certain circumstances specified in the Merger Agreement in connection with our entry into an agreement with respect to a Superior Company Proposal, we will be required to pay Parent a termination fee of $2.0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the Offer and the Merger contemplated under the Merger Agreement will be consummated in the second quarter of 2024. However, there can be no assurance that the Offer and the Merger contemplated by the Merger Agreement will be completed. If the Merger is effected, our common stock will be delisted from The Nasdaq Stock Market LLC and our obligation to file periodic reports under the Securities Exchange Act of 1934, as amended, or the Exchange Act, will terminate, and the Company will be privately held.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Pending consummation of the Offer and the Merger, the Merger Agreement generally requires us to operate in the ordinary course of business consistent with past practice and restricts us from taking certain actions with respect to our business and financial affairs without Parent’s consent. Such restrictions will be in place until either the Offer and the Merger are consummated or the Merger Agreement is terminated. These restrictions could restrict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8"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ability to pursue or prevent us from pursuing attractive business or fundraising opportunities (if any) that arise prior to the consummation of the Offer and the Merger. For example, our ability to raise additional capital through the issuance of equity securities, incur indebtedness or pursue BD Arrangements are generally restricted without Parent’s consent during the pendency of the Offer and the Merger. In addition, if the Merger is not consummated, we may face increased difficulties raising capital and may need to significantly delay, scale back or discontinue development of, or abandon some or all of, our product candidates, or scale back or discontinue our discovery research efforts. See "Risk Factors - Risks Related to the Offer and the Merger." The following discussion of our product development and other plans assumes that the transactions contemplated by the Merger Agreement are not consummated and we continue to operate as a public stand-alone entity. For further information, see Management’s Discussion and Analysis of Financial Condition and Results of Operations, included in Item 7 of this Annual Report. </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Our Pipeline</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Clinical Development Focused on Three Key Priorities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currently prioritizing the majority of our execution efforts and significant resources on three key development opportunities: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completing a Phase 1 Part 1b dose escalation cohort of the ongoing Phase 1/2 trial evaluating NGM707 in combination with KEYTRUDA® (pembrolizumab) for the treatment of patients with advanced or metastatic solid tumors,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designing a potential registrational trial of aldafermin in primary sclerosing cholangitis, or PSC, and continuing discussions with the United States Food and Drug Administration, or FDA, including on the proposed utilization of a primary endpoint composed of surrogate biomarkers with the goal of obtaining accelerated approval from the FDA;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producing a toxicology package that we hope will support the potential initiation of a Phase 2 proof-of-concept trial of NGM120 in patients with hyperemesis gravidarum, or HG.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Subject to our ability to obtain sufficient additional capital, whether through financing activities or potential future BD Arrangements, we may in the future pursue development of other product candidates and programs. While we may consider BD Arrangements to advance these three key priorities for clinical development, we intend to invest our resources in their development, contingent upon capital availability as described below, in the absence of BD Arrangements. </w:t>
      </w:r>
    </w:p>
    <w:p>
      <w:pPr>
        <w:pStyle w:val="TextBody"/>
        <w:bidi w:val="0"/>
        <w:spacing w:before="120" w:after="120"/>
        <w:jc w:val="both"/>
        <w:rPr/>
      </w:pPr>
      <w:r>
        <w:rPr/>
        <w:drawing>
          <wp:inline distT="0" distB="0" distL="0" distR="0">
            <wp:extent cx="6515100" cy="24193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515100" cy="2419350"/>
                    </a:xfrm>
                    <a:prstGeom prst="rect">
                      <a:avLst/>
                    </a:prstGeom>
                  </pic:spPr>
                </pic:pic>
              </a:graphicData>
            </a:graphic>
          </wp:inline>
        </w:drawing>
      </w:r>
    </w:p>
    <w:p>
      <w:pPr>
        <w:pStyle w:val="TextBody"/>
        <w:bidi w:val="0"/>
        <w:spacing w:lineRule="auto" w:line="288" w:before="120" w:after="120"/>
        <w:jc w:val="both"/>
        <w:rPr/>
      </w:pPr>
      <w:r>
        <w:rPr>
          <w:rFonts w:ascii="Arial;sans-serif" w:hAnsi="Arial;sans-serif"/>
          <w:b w:val="false"/>
          <w:i/>
          <w:color w:val="000000"/>
          <w:sz w:val="20"/>
        </w:rPr>
        <w:t>FGF19 = fibroblast growth factor 19; ILT2 = immunoglobulin-like transcript 2; ILT3 = immunoglobulin-like transcript 3; ILT4 = immunoglobulin-like transcript 4; GFRAL = glial cell-derived neurotrophic factor receptor alpha-like; LAIR1 = leukocyte-associated immunoglobulin-like receptor 1;</w:t>
      </w:r>
      <w:r>
        <w:rPr>
          <w:color w:val="000000"/>
        </w:rPr>
        <w:t xml:space="preserve"> </w:t>
      </w:r>
      <w:r>
        <w:rPr>
          <w:rFonts w:ascii="Arial;sans-serif" w:hAnsi="Arial;sans-serif"/>
          <w:b w:val="false"/>
          <w:i/>
          <w:color w:val="000000"/>
          <w:sz w:val="20"/>
        </w:rPr>
        <w:t xml:space="preserve">PD-1 = programmed cell death protein 1 </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NGM707: ILT2/ILT4 Dual Antagonist Antibody for the Potential Treatment of Solid Tumors, Including MSS CRC Patients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Cancer involving solid tumors is a leading cause of death globally and was responsible for an estimated over nine million deaths in 2020. There were an estimated almost 17 million newly diagnosed cancer cases around the world in 2020, excluding non-melanoma skin cancer. By 2040, the number of new cancer cases globally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year is expected to rise to over 25 million and the number of cancer-related deaths per year to grow to nearly 15 million, excluding non-melanoma skin cancer. Cancer was the second leading cause of death in the United States in 2020, causing over 500,000 deaths that year.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Over the past decade, advances in cancer immunotherapy have driven significant improvements in clinical outcomes, especially in certain cancer types that are immunogenic, or capable of eliciting an immune response. In particular, T cell checkpoint inhibitors, including immune checkpoint inhibitors targeting programmed cell death protein 1 and programmed cell death protein ligand 1, or PD-1 and PD-L1, respectively, are designed to inhibit immune checkpoint pathways. When "active” these pathways act as “brakes” on anti-tumor immune responses, enabling tumors to evade detection and destruction by the immune system. T cell checkpoint inhibitors essentially work to “release” the “brakes” by inactivating those pathways. However, the overall response rate to PD-1/PD-L1 inhibitors is typically only 20% to 30% and many cancer patients who initially experience a complete or partial response using T cell checkpoint inhibitors may eventually experience cancer progression.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cancer research is currently focused on an emerging area of immuno-oncology research known as myeloid checkpoint inhibition. The tumor microenvironment, or TME, is composed of both cancerous and non-malignant cells. There is an abundance of myeloid cells present in the TME of many tumor types. While myeloid cells play a critical role in the immune system, in the tumor they can contribute to the inhibition of anti-tumor immune responses using multiple mechanisms, including suboptimal T-cell priming, T-cell suppression and physical exclusion of immune cells from the cancer cells. In essence, they serve as myeloid checkpoints, keeping the “brakes on” and enabling tumors to evade the immune system and drive resistance to cancer therapies. Our focus is on promoting myeloid reprogramming - switching myeloid cells in the TME from an immunosuppressive state to a stimulatory state that enhances anti-tumor immunity by releasing the “brake” and allowing these myeloid cells to potentially play a pivotal role in anti-tumor activity by acting to both kill cancer cells directly as well through the recruitment and activation of tumor-directed T cells.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built a portfolio of three myeloid checkpoint inhibitor product candidates, NGM707, NGM831 and NGM438, targeting four receptors whose elevated expression in myeloid cells in the TME has been associated with poor patient responses to T cell checkpoint inhibitors. We discovered NGM707, NGM831 and NGM438 while receiving funding from Merck Sharp &amp; Dohme LLC, or Merck, as part of our research collaboration with them. NGM707, NGM831 and NGM438 are now wholly-owned programs and we have the sole right, at our sole discretion, to independently research, develop and commercialize each of them, at our sole expense, subject to the payment to Merck of low single-digit royalties on commercial sales of any resulting products. See “Licensing and Collaboration Arrangements—Merck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NGM707, the lead asset and area of primary focus going forward in our myeloid reprogramming and checkpoint inhibition portfolio, is a dual antagonist monoclonal antibody that is designed to improve patient immune responses to tumors by inhibiting both Immunoglobulin-like transcript 2, or ILT2, and Immunoglobulin-like transcript 4, or ILT4,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 xml:space="preserve">Clinical Development of NGM707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conducting an open-label Phase 1/2 clinical trial evaluating NGM707 as a monotherapy and in combination with pembrolizumab for the treatment of patients with advanced or metastatic solid tumors.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ongoing Phase 1 Part 1b cohort evaluating NGM707 in combination with pembrolizumab was initiated in the second quarter of 2022. In January 2024, we released data from this cohort with a data cutoff date of November 6, 2023. As of the data cutoff date, we had enrolled 46 heavily pretreated patients across multiple indications. The combination of NGM707 and pembrolizumab was found to be generally well-tolerated at all four dose levels of NGM707. Treatment-related adverse events, or TRAEs, occurred in 41% of patients, with Grade 3 and above TRAEs occurring in 4% of patients. A maximum tolerated dose was not reached and the maximum administered dose was 1800 mg. Of 37 response-evaluable patients (those completing at least one on-treatment scan), across multiple indications there were four confirmed partial responses, including one pathological complete response and 12 patients with stable disease, representing an 11% overall response rate, or ORR, and a 43% disease control rate, or DCR. The pathological complete response patient had significant target lesion reduction that allowed subsequent surgical resection of all gross residual disease, resulting in a confirmed pathological complete response with no detectable active tumor cells and no detectable circulating tumor DNA. Moreover, three of the four patients with confirmed partial responses had active liver metastases at baseline that were fully or partially reduced. Of the eight response-evaluable patients with a diagnosis of microsatellite stable colorectal cancer, or MSS CRC,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there were two confirmed partial responses (including the one pathological complete response) and two patients with stable disease, representing a 25% ORR and a 50% DCR. In addition, preliminary evidence of myeloid reprogramming was seen in peripheral blood and in tumor biopsies consistent with the putative mechanism of NGM707.</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Phase 1 Part 1a cohort evaluating NGM707 as a monotherapy completed enrollment in 2023. In that cohort, NGM707 monotherapy appeared to be generally well tolerated at all dose levels. TRAEs occurred in 46% of the patients, with Grade 3 and above TRAEs occurring in 5% of patients. A maximum tolerated dose was not reached and the maximum administered dose was 1800 mg. As of the November 6, 2023 data cutoff date in the monotherapy cohort, there was one confirmed partial response and ten patients with stable disease out of 35 response-evaluable patients (those completing at least one on-treatment scan). Eight patients had reduced target lesion size, including a maximum decrease in one patient of 71%. Preliminary evidence of myeloid reprogramming was seen in peripheral blood and in tumor biopsies of patients receiving treatment in the monotherapy cohort consistent with the putative mechanism of NGM707.</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Two Phase 2 expansion cohorts evaluating NGM707 in combination with pembrolizumab in specific tumor types were initiated in the first quarter of 2023. We are no longer enrolling in the Phase 2 expansion cohorts.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Enrollment in the Phase 1b cohort is projected to be complete in the second quarter of 2024. We anticipate providing an update in mid-2024 on the Phase 1 Part 1b cohort and planned next steps in the NGM707 program, including the potential of initiating additional cohorts, which may include MSS CRC patients. Clinical development of NGM707 beyond completing the Phase 1 Part 1b cohort, including initiating additional cohorts, will require us to obtain the additional capital necessary to conduct such development.</w:t>
      </w:r>
    </w:p>
    <w:p>
      <w:pPr>
        <w:pStyle w:val="TextBody"/>
        <w:bidi w:val="0"/>
        <w:spacing w:lineRule="auto" w:line="288" w:before="120" w:after="120"/>
        <w:ind w:left="0" w:right="0" w:firstLine="720"/>
        <w:jc w:val="left"/>
        <w:rPr>
          <w:rFonts w:ascii="Arial;sans-serif" w:hAnsi="Arial;sans-serif"/>
          <w:b/>
          <w:i/>
          <w:color w:val="000000"/>
          <w:sz w:val="20"/>
        </w:rPr>
      </w:pPr>
      <w:r>
        <w:rPr>
          <w:rFonts w:ascii="Arial;sans-serif" w:hAnsi="Arial;sans-serif"/>
          <w:b/>
          <w:i/>
          <w:color w:val="000000"/>
          <w:sz w:val="20"/>
        </w:rPr>
        <w:t>NGM707 Patent Portfolio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we owned one issued U.S. patent covering NGM707, and the product and related compositions of matter and methods of use are disclosed and claimed in other patent applications pending in the United States and in multiple jurisdictions outside of the United States. We expect that the current patent and any patent that may issue from any of the pending applications will not expire before 2041, excluding any patent term adjustments and any patent term extensions.</w:t>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 xml:space="preserve">NGM707 Competition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believe NGM707 is the most advanced candidate currently in clinical development targeting both ILT2 and ILT4. Other clinical stage programs targeting both ILT2 and ILT4 include ImmunOs Therapeutics AG, or ImmunOs', IOS-1002 and Adanate’s ADA-011, both of which are in Phase 1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aware of nine other clinical-stage programs in development that target either ILT4 or ILT2. Seven of them are clinical stage anti-ILT4 programs from Merck, Concentra Biosciences LLC (formerly Jounce Therapeutics, Inc.), or Concentra, Immune-Onc Therapeutics, Inc., or Immune-Onc, Celldex Therapeutics, Inc., OncoResponse, Inc., Elpiscience Biopharmaceuticals USA, Inc. and Bristol-Myers Squibb. Merck's investigational anti-ILT4 therapeutic candidate, MK-4830, is currently in several Phase 2 studies. In late 2023, Concentra completed a Phase 1/2 study of its anti-ILT4 monoclonal antibody, JTX-8064. The others are in Phase 1 trials. We are aware of two clinical-stage anti-ILT2 programs in development: Biond Biologics Ltd., or Biond, has an antagonist antibody targeting ILT2, BND-22 (also known as SAR444881), which has been licensed by Sanofi, in a Phase 1/2 trial and Agenus Inc. has an antagonist antibody targeting ILT2, AGEN1571, in a Phase 1 trial.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aware of at least 20 preclinical-stage programs targeting ILT2, ILT4 or both ILT2 and ILT4.</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Aldafermin: Engineered Analog of Human Hormone FGF19 for the Potential Treatment of PSC</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Primary sclerosing cholangitis, or PSC, is a rare liver disease that irreparably damages the bile ducts, leading to bile acid dysregulation, which, ultimately, results in serious liver damage. PSC is characterized by inflammation and fibrosis of the bile ducts (hardening or narrowing of the bile duct walls), which obstructs the flow of bile in the liver. In the short term, bile acids accumulate in the liver, leading to cell damage, cirrhosis and recurrent cholangitis. Common symptoms include fatigue, pruritus (severe itching), jaundice, abdominal pain, depression and enlarged liver. In the long term, the bile acid accumulation can lead to loss of liver function, end-stage liver disease and cancer.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are currently no FDA- or EU-approved therapies for PSC. Unfortunately, the consequences of PSC are severe when left untreated. Between 5-20% of PSC patients develop cholangiocarcinoma, the cancer of the bile duct. Moreover, one in two PSC patients require a liver transplant within 10-15 years from diagnosis. The only curative treatment is liver transplant; however, PSC recurs in up to 20% of transplant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spent more than a decade discovering and developing product candidates that target various forms of cardio-metabolic and liver diseases, including PSC. Through our research, we have identified multiple hormonal pathways of interest and our product candidates, including aldafermin, stem from novel insights we have made in the regulation of bile acid synthesis and liver function. Aldafermin is an engineered analog of human hormone fibroblast growth factor 19, or FGF19, that is administered through a once-daily subcutaneous injection. Aldafermin is the first and only FGF19 analog in clinical development and is wholly-owned by us.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generated a broad collection of clinical data studying aldafermin in several indications that informed our decision to pursue the potential further clinical development of aldafermin as a treatment for PSC. Indications previously studied with aldafermin include, in addition to PSC, primary biliary cholangitis, or PBC, bile acid malabsorption, or BAM, and non-alcoholic steatohepatitis, or NASH. In December 2023, we received orphan drug designation from the FDA for aldafermin for the treatment of PSC.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Over 800 patients across multiple indications have been treated with aldafermin, which has repeatedly demonstrated powerful bile acid suppression in patients with PSC and NASH. As a result, we believe aldafermin may have the differentiated potential to directly address the underlying pathology of PSC and be well-tolerated. Unlike NASH patients, PSC patients had no statistically elevated cholesterol following daily exposure to aldafermin. We are continuing discussions with the FDA on the design of a potential registrational trial of aldafermin in PSC, including on the proposed utilization of a primary endpoint composed of surrogate biomarkers with the goal of obtaining accelerated approval from the FDA. We plan to continue working with the FDA to reach agreement on a trial design, with the goal of initiating trial enrollment by the end of 2024, contingent upon reaching agreement with the FDA on a trial design and obtaining the additional capital necessary to conduct the potential registrational trial. </w:t>
      </w:r>
    </w:p>
    <w:p>
      <w:pPr>
        <w:pStyle w:val="TextBody"/>
        <w:bidi w:val="0"/>
        <w:spacing w:lineRule="auto" w:line="288" w:before="0" w:after="0"/>
        <w:ind w:left="0" w:right="0" w:firstLine="720"/>
        <w:jc w:val="both"/>
        <w:rPr>
          <w:rFonts w:ascii="Arial;sans-serif" w:hAnsi="Arial;sans-serif"/>
          <w:b/>
          <w:i/>
          <w:color w:val="000000"/>
          <w:sz w:val="20"/>
        </w:rPr>
      </w:pPr>
      <w:r>
        <w:rPr>
          <w:rFonts w:ascii="Arial;sans-serif" w:hAnsi="Arial;sans-serif"/>
          <w:b/>
          <w:i/>
          <w:color w:val="000000"/>
          <w:sz w:val="20"/>
        </w:rPr>
        <w:t>Clinical Development of Aldafermin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2018, we reported data from a randomized, double-blind, placebo-controlled Phase 2 study of aldafermin for the treatment of PSC. While this Phase 2 study did not meet its primary endpoint of a statistically significant reduction in alkaline phosphatase, an exploratory biomarker of PSC disease progression, from baseline to week 12, aldafermin demonstrated statistically significant improvements in biomarkers of hepatic injury and fibrosis, as well as statistically significant reductions in biomarkers of bile acid synthesis and serum bile acids, consistent with past studies of aldafermin in other liver diseases. The Phase 2 study met the secondary endpoints and was generally well tolerated in the study.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May 2023, we announced positive results from the Phase 2b ALPINE 4 trial of aldafermin in patients with compensated cirrhosis (liver fibrosis stage 4 or F4) due to NASH. ALPINE 4 met its primary endpoint, with aldafermin 3 mg demonstrating a statistically significant reduction in Enhanced Liver Fibrosis, or ELF, score compared to placebo at 48 weeks of treatment. Although ALPINE 4 was not statistically powered for the secondary endpoint of histological fibrosis improvement of ≥1-stage (NASH Clinical Research Network, or CRN, criteria), we observed a dose-dependent trend in fibrosis improvement. In November 2023, we presented positive Phase 2b results from the ALPINE 4 trial of aldafermin in compensated cirrhosis (F4) due to NASH at AASLD The Liver Meeting.</w:t>
      </w:r>
    </w:p>
    <w:p>
      <w:pPr>
        <w:pStyle w:val="TextBody"/>
        <w:bidi w:val="0"/>
        <w:spacing w:lineRule="auto" w:line="288" w:before="0" w:after="0"/>
        <w:ind w:left="0" w:right="0" w:firstLine="720"/>
        <w:jc w:val="left"/>
        <w:rPr/>
      </w:pPr>
      <w:r>
        <w:rPr>
          <w:rFonts w:ascii="Arial;sans-serif" w:hAnsi="Arial;sans-serif"/>
          <w:b/>
          <w:i/>
          <w:color w:val="000000"/>
          <w:sz w:val="20"/>
        </w:rPr>
        <w:t>Aldafermin Patent Portfolio</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we owned 27 issued patents in the United States, as well as issued patents in more than 40 foreign countries, including various member states of the European Patent Office, or EPO, covering aldafermin, related compositions of matter and methods of use. We also own patent applications covering similar subject matter in the United States and multiple foreign jurisdictions including Europe. We expect the earliest issued patents in the United States to expire in 2032, excluding any patent term adjustments and any patent term extensions.</w:t>
      </w:r>
    </w:p>
    <w:p>
      <w:pPr>
        <w:pStyle w:val="TextBody"/>
        <w:bidi w:val="0"/>
        <w:spacing w:lineRule="auto" w:line="288" w:before="0" w:after="0"/>
        <w:ind w:left="0" w:right="0" w:firstLine="720"/>
        <w:jc w:val="both"/>
        <w:rPr>
          <w:rFonts w:ascii="Arial;sans-serif" w:hAnsi="Arial;sans-serif"/>
          <w:b/>
          <w:i/>
          <w:color w:val="000000"/>
          <w:sz w:val="20"/>
        </w:rPr>
      </w:pPr>
      <w:r>
        <w:rPr>
          <w:rFonts w:ascii="Arial;sans-serif" w:hAnsi="Arial;sans-serif"/>
          <w:b/>
          <w:i/>
          <w:color w:val="000000"/>
          <w:sz w:val="20"/>
        </w:rPr>
        <w:t xml:space="preserve">Aldafermin Competition in PSC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competitive landscape in PSC includes investigational drugs at various stages of clinical development. Most advanced is Dr. Falk Pharma’s NorUDCA, currently in Phase 3 trials in Europe. We are aware of eleven additional programs in earlier stage trials, from companies including Hepagene Therapeutics, Inc., Cascade Pharmaceuticals, Inc. Orbsen Therapeutics Ltd., Chemomab Therapeutics Ltd., Curome Biosciences Co., Pliant Therapeutics, Inc., or Pliant, Escient Pharmaceuticals, or Escient, Galmed Pharmaceuticals Ltd., GENFIT S.A., Mirum Pharmaceuticals, Inc., or Mirum, Ipsen S.A. and High Tide Therapeutics, Inc. Pliant has reported data from its Phase 2a clinical trial of 320 mg of integrin antagonist bexotegrast in PSC, showing positive safety and preliminary evidence of a reduction in liver fibrosis markers ELF and PRO-C3 relative to placebo at 12 weeks. Escient and Mirum are developing assets focused on PSC patients with moderate-to-severe pruritus, and both are in Phase 2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 xml:space="preserve">NGM120: GFRAL Antagonist for the Potential Treatment of Hyperemesis Gravidarum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scientists have made several discoveries related to growth differentiation factor 15, or GDF15, including identifying its cognate receptor glial cell-derived neurotrophic factor receptor alpha-like, or GFRAL. GFRAL is expressed in a specific region of the hindbrain and remains the only receptor for GDF15 identified to date. We have developed multiple product candidates targeting the GFRAL/GDF15 pathway, including NGM120, a GFRAL antagonist antibody.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GDF15 is secreted from injured or stressed tissues and contributes to appetite reduction and body weight loss. GDF15 through the GFRAL-expressing neurons, or GFRAL neurons, which are found exclusively in the area postrema and nucleus tractus solitarius of the brain stem. The area postrema, located outside of blood brain barrier, is a well-known chemoreceptor trigger zone for nausea and vomiting. GDF15 dosing has been shown to trigger taste aversion (nausea-related behavior) in mice and vomiting in tree shrews. Moreover, in a Phase 1 study of NGM395, one of our GDF15 analog product candidates that we investigated as an obesity treatment, there was evidence of dose-dependent increase in frequency and severity of nausea/vomiting in healthy volunteers, further suggesting that GDF15 plays a role in emesis.</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Our preclinical research also suggests the central role of the GDF15/GFRAL pathway in promoting tumor-associated appetite suppression, metabolic regulation and immune modulation. </w:t>
      </w:r>
      <w:r>
        <w:rPr>
          <w:rFonts w:ascii="Arial;sans-serif" w:hAnsi="Arial;sans-serif"/>
          <w:b w:val="false"/>
          <w:i/>
          <w:color w:val="000000"/>
          <w:sz w:val="20"/>
        </w:rPr>
        <w:t>In vivo</w:t>
      </w:r>
      <w:r>
        <w:rPr>
          <w:color w:val="000000"/>
        </w:rPr>
        <w:t xml:space="preserve"> </w:t>
      </w:r>
      <w:r>
        <w:rPr>
          <w:rFonts w:ascii="Arial;sans-serif" w:hAnsi="Arial;sans-serif"/>
          <w:b w:val="false"/>
          <w:color w:val="000000"/>
          <w:sz w:val="20"/>
        </w:rPr>
        <w:t xml:space="preserve">screening of human genes shows that GDF15 expression leads to an outsized effect on weight loss and, in animal models, elevated serum levels of GDF15 are a regulator of immune function, metabolism and feeding. In addition, elevated serum levels of GDF15 have been shown to be associated with pregnancy, beta thalassemia, prolonged nutritional stress and deficits and other stressors.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Genetic and serological studies have linked GDF15/GFRAL to hyperemesis gravidarum, or HG. GDF15 levels have been shown to increase steadily in the first 12 weeks of pregnancy and, on average, are higher in women who experience HG in pregnancy. Research has further shown that women with GDF15 genetic variants associated with lower levels of GDF15 in a non-pregnant state are predisposed to HG.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HG is a severe condition that affects approximately 100,000 to 150,000 women in the United States each year. Characterized by intractable nausea and vomiting during pregnancy, which results in dehydration, debility, weight loss and malnutrition, HG takes a significant physical and psychosocial toll on patients. Consequently, HG can also lead to higher rates of fetal loss, preeclampsia, preterm birth, low birth weight and malnutrition for the fetus. HG patients may experience symptoms requiring hospitalization throughout the entire pregnancy and HG typically recurs in subsequent pregnancies. HG is the second leading cause of hospitalization in pregnancy (after preterm labor) and is one of the costliest pregnancy complications to treat. There are currently no FDA-approved therapies for this condition.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NGM120 is an antagonist antibody that binds to GFRAL and is designed to block the effects of elevated serum levels of GDF15. We designed NGM120 as a potent, humanized monoclonal antibody inhibitor of GFRAL with the potential for once-monthly or less frequent dosing. Preclinical studies suggest that NGM120 may prevent cisplatin-induced GDF15-mediated weight loss in rodents and reduce cisplatin-induced weight loss and emesis in a cynomolgus monkey model, suggesting that targeting GFRAL has the potential to ameliorate the metabolic and emetic effects caused by overstimulation of GFRAL neurons by excessive GDF15.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discovered NGM120 while receiving funding from Merck as part of our research collaboration. NGM120 is now a wholly-owned program and we have the sole right, at our sole discretion, to independently research, develop and commercialize NGM120, at our sole expense, subject to the payment to Merck of low single-digit royalties on commercial sales of any resulting products. See “Licensing and Collaboration Arrangements—Merck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0" w:after="0"/>
        <w:ind w:left="0" w:right="0" w:firstLine="720"/>
        <w:jc w:val="both"/>
        <w:rPr/>
      </w:pPr>
      <w:r>
        <w:rPr>
          <w:rFonts w:ascii="Arial;sans-serif" w:hAnsi="Arial;sans-serif"/>
          <w:b/>
          <w:i/>
          <w:color w:val="000000"/>
          <w:sz w:val="20"/>
        </w:rPr>
        <w:t>Clinical Development of NGM120</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previously studied NGM120 for the treatment of cancer and cancer-related cachexia. We conducted a Phase 1 study in healthy subjects and are completing a Phase 1/2 clinical trial to assess NGM120’s effect on cancer and cancer-related cachexia in patients with select advanced solid tumors, metastatic pancreatic cancer and metastatic castration-resistant prostate cancer. To date, we have not detected a clear signal of response to NGM120 in the Phase 1/2 trial, and we do not plan to develop NGM120 further in oncology. However, given the compelling genetic and biological evidence supporting the hypothesis that GDF15 may play a direct role in HG, we are exploring the potential initiation of a Phase 2 proof-of-concept study of NGM120 for the treatment of HG by the end of 2024. We are in the process of producing a toxicology package to submit to regulatory authorities in Australia or the United Kingdom that we hope will support the potential initiation of that trial. In our clinical studies of NGM120 for the treatment of cancer and cancer-related cachexia, NGM120 was found to be generally well tolerated in the approximately 140 healthy volunteers and cancer patients that were treated.</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NGM120 Patent Portfolio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December 31, 2023, we owned two issued patents in the United States, as well as nine issued foreign patents, covering NGM120 and related compositions of matter and methods of use. We also own pending patent applications covering similar subject matter in the United States and multiple jurisdictions outside of the United States. We expect that the current patents and any patent that may issue from any of the pending applications will not expire earlier than 2037, excluding any patent term adjustments and any patent term extensions. </w:t>
      </w:r>
    </w:p>
    <w:p>
      <w:pPr>
        <w:pStyle w:val="TextBody"/>
        <w:bidi w:val="0"/>
        <w:spacing w:lineRule="auto" w:line="276" w:before="0" w:after="0"/>
        <w:ind w:left="0" w:right="0" w:firstLine="720"/>
        <w:jc w:val="both"/>
        <w:rPr/>
      </w:pPr>
      <w:r>
        <w:rPr>
          <w:rFonts w:ascii="Arial;sans-serif" w:hAnsi="Arial;sans-serif"/>
          <w:b/>
          <w:i/>
          <w:color w:val="000000"/>
          <w:sz w:val="20"/>
        </w:rPr>
        <w:t>NGM120 Competition</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current standard of care for nausea and vomiting in pregnancy is Diclegis, a combination of doxylamine (antihistamine) and pyridoxine (vitamin B6), which was approved by the FDA in 2013. There are no other approved therapies for HG or severe nausea and vomiting in pregnancy, although several classes of therapies are used off-label: antiemetics (e.g., ondansetron, granisetron), antihistamines (e.g., promethazine), gut motility stimulators (e.g., metoclopramide), steroids, antidepressants (e.g., mirtazapine) and anticonvulsants (e.g., gabapentin).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aware of two publicly disclosed programs targeting GFRAL, from Cantius Therapeutics, LLC and CSPC Pharmaceutical Group Limited, both of which are in preclinical development. There are three clinical stage programs we are aware of that target GDF15: Pfizer’s ponsegromab is in Phase 2 trials in cancer cachexia and heart failure, CatalYm GmbH's, or CatalYm's, visugromab is in Phase 2 trials in multiple solid tumor indications and Aveo Oncology's, or Aveo's, AV-380 is in a Phase 1 trial in cancer cachexia. Kyinno Biotechnology and Leap Therapeutics, Inc. have preclinical programs targeting GDF15.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Additional Programs Currently Without Meaningful Resource Allocation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dependent on our ability to secure potential future BD Arrangements and, in the absence of such BD Arrangements, we are unlikely to advance development of these product candidates unless our portfolio prioritization changes and we are able to secure the additional capital necessary to fund such development. As a result, we are seeking BD Arrangements with third-party partners possessing sufficient resources and relevant domain expertise in the relevant therapeutic area in order to further clinical development of these programs. These programs include: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NGM438 and NGM831, currently being studied in a Phase 1/2 trial in combination with pembrolizumab and described in more detail below.</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NGM621, a monoclonal antibody administered via intravitreal, or IVT, injection, which was engineered to potently bind to, and be a long-acting inhibitor of, complement C3 with the treatment goal of reducing the rate of disease progression in patients with geographic atrophy, or GA, secondary to age-related macular degeneration, or AMD. Our Phase 2 clinical trial which evaluated the efficacy and safety of NGM621 when given to patients with GA every four weeks or every eight weeks via IVT injections compared to sham control did not meet its primary endpoint of a statistically significant reduction in the rate of change in GA lesion area growth using slope analysis over 52 weeks of treatment with NGM621 versus sham.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NGM313, an agonistic antibody that selectively activates fibroblast growth factor receptor 1c-beta-klotho, or FGFR1c/KLB, which regulates insulin sensitivity, blood glucose and liver fat and is administered every four weeks through a subcutaneous injection. In 2018, Merck licensed NGM313 and other FGFR1c/KLB agonists, but terminated its license rights in 2023 and returned the program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NGM438 is an antagonist antibody that is designed to inhibit leukocyte-associated immunoglobulin-like receptor 1, or LAIR1, and thereby promote anti-tumor immune responses. NGM438 has the potential to potently block the binding of all collagens to LAIR1, including tumor-derived collagens. Collagens produced by the tumor stroma, meaning the non-malignant, non-immune components of the tumor, are believed to bind LAIR1 to create an immunosuppressive TME.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NGM831 is an antagonist antibody that is designed to block the interaction of Immunoglobulin-like transcript 3, or ILT3 receptor, with fibronectin, as well as other cognate ligands. ILT3 is a fibronectin-binding inhibitory immune receptor that receives signals from the extracellular matrix to directly promote myeloid cell suppression. ILT3 is expressed on a variety of immune cells including tumor-associated myeloid cells, with particularly high expression on tolerogenic dendritic cells, or DCs, myeloid-derived suppressor cells and M2 macrophages. High ILT3 expression is associated with poor survival. Moreover, fibronectin has been shown to be upregulated in multiple cancers and associated with tumor progression.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2022, we initiated an open-label, Phase 1/1b clinical trial to evaluate NGM438 as a monotherapy and in combination with pembrolizumab for the treatment of patients with advanced or metastatic solid tumors. Both the Phase 1 Part 1a cohort evaluating NGM438 as a monotherapy and the Phase 1 Part 1b cohort evaluating NGM438 in combination with pembrolizumab have completed enrollment. In 2022, we also initiated an open-label Phase 1/1b clinical trial to evaluate NGM831 as a monotherapy and in combination with pembrolizumab for the treatment of patients with advanced or metastatic solid tumors. Both the Phase 1 Part 1a cohort evaluating NGM831 as a monotherapy and the Phase 1 Part 1b cohort evaluating NGM831 in combination with pembrolizumab have completed enrollment. In 2023, we initiated an open-label Phase 1 Part 1c dose finding cohort of that trial evaluating the triplet combination of NGM831, NGM438 and pembrolizumab. This cohort is anticipated to complete enrollment in the first half of 2024.</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we did not own or have a license to any issued patent that covers NGM438. However, NGM438 and related compositions of matter and methods of use are disclosed and claimed in patent applications pending in the United States and in multiple jurisdictions outside of the United States. Any patent that may issue from these applications or any related applications that we file is expected to expire no earlier than 2041, excluding any patent term adjustments and any patent term extensions. As of December 31, 2023, we owned one issued U.S. patent covering NGM831, and the product and related compositions of matter and methods of use are disclosed and claimed in other patent applications pending in the United States and in multiple jurisdictions outside of the United States. The current patent and any patent that may issue from any of the pending applications are expected to expire no earlier than 2040, excluding any patent term adjustments and any patent term extensions.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aware of only two other anti-LAIR1 antibodies currently in Phase 1 clinical development by Immune-Oncs and NextCure, Inc., or NextCure, respectively. NextCure also has a Phase 1 product candidate in the clinic, a LAIR2 fusion protein designed to mimic the natural decoy effects of LAIR2, which binds to collagens and blocks the activity of LAIR1. We are aware of only one other antibody being pursued clinically for the treatment of solid tumors that is intended to block the interaction of Immunoglobulin-like transcript 3, or ILT3, with fibronectin, as well as other cognate ligands, which is a Phase 1 asset of Immune-Onc. However, there are other programs that target ILT3 currently in clinical development by Immune-Onc and Carbiogene Therapeutics Co. Ltd., and five additional preclinical anti-ILT3 candidates in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additional programs that are in various stages of development ranging from functional validation to preclinical development. Given the breadth of opportunities that have been, and may in the future be, produced by our discovery engine, we are also seeking BD Arrangements with third-party partners to progress, in whole or in part, the development of one or more of our preclinical programs. </w:t>
      </w:r>
    </w:p>
    <w:p>
      <w:pPr>
        <w:pStyle w:val="TextBody"/>
        <w:bidi w:val="0"/>
        <w:spacing w:lineRule="auto" w:line="288" w:before="240" w:after="240"/>
        <w:ind w:left="0" w:right="0" w:firstLine="720"/>
        <w:jc w:val="center"/>
        <w:rPr>
          <w:rFonts w:ascii="Arial;sans-serif" w:hAnsi="Arial;sans-serif"/>
          <w:b/>
          <w:color w:val="000000"/>
          <w:sz w:val="20"/>
        </w:rPr>
      </w:pPr>
      <w:r>
        <w:rPr>
          <w:rFonts w:ascii="Arial;sans-serif" w:hAnsi="Arial;sans-serif"/>
          <w:b/>
          <w:color w:val="000000"/>
          <w:sz w:val="20"/>
        </w:rPr>
        <w:t>Manufacturing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own, and have no plans to establish, any manufacturing facilities. We currently use third-party contract development and manufacturing organizations or contract manufacturing organizations, which we refer to collectively as CMOs, to manufacture and supply all of the raw materials, drug substances and drug products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pipeline programs, including all the materials used in the clinical trials of our product candidates. We have established relationships with several CMOs, and the activities of our CMOs are overseen by an experienced group of employees and third-party consultants.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continue to rely on CMOs to manufacture commercial quantities of any products for which we successfully obtain regulatory approval, as well as to provide packaging, storage and distribution of any approved products. We have not entered into long-term clinical or commercial supply agreements with any of our CMOs. In addition, each of our product candidates relies on a single contract manufacturer for supplies of its drug substance and drug product.</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 xml:space="preserve">Competition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biopharmaceutical industry is characterized by intense competition and rapid innovation. Although we believe that we hold a strong position in research in certain areas of cancer and liver and metabolic diseases, our competitors may be able to develop other compounds or drugs that are able to achieve similar or better results. Our competitors include multinational pharmaceutical companies, specialized biotechnology companies, universities and other research institutions. Smaller or earlier-stage companies also may prove to be significant competitors, particularly through collaboration or partnering arrangements with large, established companies. We believe the key competitive factors that will affect the development and commercial success of our product candidates are their efficacy, safety and tolerability profile, and reliability.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are many pharmaceutical companies, biotechnology companies, public and private universities and research organizations actively engaged in the research and development, or R&amp;D, of products that may be competitive with our product candidates. A number of pharmaceutical companies, including AbbVie, Amgen, AstraZeneca, Bayer, Boehringer Ingelheim, Bristol-Myers Squibb, Eisai, Eli Lilly, Gilead, GlaxoSmithKline, Ipsen, Johnson &amp; Johnson, Merck, Novartis, Novo Nordisk, Organon, Pfizer, Roche, Sanofi and Takeda, as well as large and small biotechnology companies such as 89Bio, Agenus, Akero, Alentis, AVEO (a LG Chem company), Biond, BriSTAR, Cantius, Carbiogene, Cascade Pharmaceuticals, CatalYm, Celldex, ChemomAb, Concentra, CSPC, Curome Biosciences, CymaBay Therapeutics, Dr. Falk Pharma, Elpiscience, Escient, Galmed, Genfit, Hepagene, High Tide Therapeutics, Immune-Onc, ImmunOs Therapeutics, Inventiva, Kyinno Biotechnology, Leap Therapeutics, Madrigal, Mirum, NextCure, OncoResponse, Orbsen Therapeutics, Pliant, Salix, Scholar Rock and Tizona, are pursuing the development or marketing of pharmaceuticals that target the same diseases that we are targeting. It is probable that the number of companies seeking to develop products and therapies for the treatment of cancer and liver and metabolic diseases will increase.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Many of these and other existing or potential competitors have substantially greater financial, technical, human and other resources than we have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In addition, other technologies or products may be developed that have an entirely different approach or means of accomplishing the intended purposes of our products, which might render our technology and products noncompetitive or obsolete. </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For more information regarding the competition that our key product candidates face, or may face, see the discussion of specific competition for each product candidate in “—Our Pipeline.”</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intellectual property is critical to our business and 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seek to protect the proprietary technology that we believe is important to our business through a variety of methods, including seeking and maintaining patents and patent applications intended to cover our product candidates, their compositions-of-matter, their methods of use and the processes for their manufacture and any other aspects of inventions that are commercially important to the success of our business. We seek to obtain domestic and international patent protection and, in addition to filing and prosecuting patent applications in the United States, we may file counterpart patent applications in additional countries where we believe such foreign filing is likely to be beneficial.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December 31, 2023, our patent portfolio includes over 600 patents and applications, including over 60 issued U.S. patents and over 20 pending U.S. patent applications covering our product candidates, certain aspects of our proprietary technology, and related inventions and improvements. Our patent portfolio also includes over 500 patents and patent applications in jurisdictions outside of the United States that, in many cases, are counterparts to our U.S. patents and patent applications. For more information regarding the patents and patent applications relating to certain of our pipeline programs, see the discussion of intellectual property protection for each such product candidate in “—Our Pipeline.” The patent landscape surrounding our product candidates is crowded, and we do not know if our pending patent applications will be issued with the claims we are seeking or if our issued patents will withstand challenges from third parties.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Not all patent applications result in the issuance of patents. Patent applications in the United States and certain other jurisdictions are maintained in secrecy for 18 months or potentially longer, so public disclosure of discoveries via the publication of patent applications or in the scientific literature is often delayed. As a result, we cannot be certain of the priority of inventions covered by our patent applications and may be subject to claims of priority from third parties or the United States Patent and Trademark Office, or USPTO, against which we will need to defend ourselves.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scope of claims that may be allowed in any granted patent may be significantly reduced from the coverage claimed in the initial patent application. Further, the scope of the claims in an issued patent may be reinterpreted and, in some cases, narrowed or even cancelled after issuance by courts upon review. In addition, many jurisdictions allow third parties to challenge issued patents in administrative proceedings that may result in further narrowing or cancellation of patent claims. As a result, even issued patents may not provide sufficient protection from competitors.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When patents are issued, the term of each individual patent will depend on the legal term for patents in the countries in which it is granted. In most countries, including the United States, the patent term is 20 years from the earliest claimed filing date of a non-provisional patent application in the applicable country. 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changes we make to the composition, formulation, method of delivery or other attributes of our current and future product candidates to cause them to have what we view as more advantageous properties may not be covered by our existing patents and patent applications, and we may be required to file new applications and/or seek other forms of protection.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patents are issued, if a third party engages in activities covered by valid claims of our patents, we may be required to engage in enforcement actions in the courts to enforce our patents. Not all enforcement proceedings are successful. We also must take care not to infringe the valid patents of third parties. Third-party patent rights that purport to cover our product candidates or their discovery, use or manufacture may require us to challenge their validity in court or administrative proceedings and prevail in such challenges, to alter our development or commercial strategy or our product candidates or their uses and manufacture, to obtain licenses to such patents and/or to stop certain activities altogether. We hold various licenses with third parties to their intellectual property, including those with Horizon Discovery Ltd. and, as described below, Lonza Sales AG, or Lonza, for the use of their cell lines. The patent positions of biotechnology companies like ours are generally uncertain and involve complex legal, scientific and factual questions. We may not obtain or maintain adequate patent protection for any of our programs and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patent protection, we also rely on trademark registration, trade secrets, know-how, other proprietary information and continuing scientific innovation to develop and maintain our competitive position. We seek to maintain the confidentiality of proprietary information to protect aspects of our business that are not amenable to, or that we do not consider appropriate for, patent protection. As a part of these efforts, it is our policy to require our employees, consultants, outside scientific collaborators, sponsored researchers and other advisors to execute confidentiality agreements upon the commencement of their respective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even after they are no longer our employees. Although we take these and other steps to safeguard our proprietary information and trade secrets, these agreements may be breached or third parties may independently develop substantially equivalent proprietary information and techniques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or otherwise gain access to our trade secrets or disclose our technology. Thus, we may not be able to meaningfully protect our proprietary information that is not otherwise protected by patent.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See “Risk Factors—Risks Related to Our Intellectual Property” for information regarding the risks related to our intellectual property.</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Licensing and Collaboration Arrangements </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 xml:space="preserve">Merck Collaboration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2015, we entered into a research collaboration, product development and license agreement with Merck, which, together with amendments made prior to June 30, 2021, is referred to as the Original Collaboration Agreement. The original research phase of the collaboration was for five years and was extended by Merck for an additional two years through March 2022. 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research program term for certain cardiovascular or metabolic-, or CVM-, related programs will continue through March 31, 2024, unless the parties mutually agree to extend the research program term through March 31, 2026, in which case Merck would provide up to a total of $20.0 million in R&amp;D funding during the additional two years of the CVM research program term. We do not expect the research program term to be extended.</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2023, the R&amp;D funding we received from Merck under the Amended Collaboration Agreement was significantly less compared to funding received in prior years. For the first half of 2024, we will receive minimal funding from Merck and we do not expect any funding at all from Merck thereafter. Although new CVM-related programs may be added to the collaboration if recommended by us and selected by Merck, we do not expect any new CVM-related programs to be added.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three-month period before the end of the research program term for the CVM-related programs, Merck has the right to review the product candidates from each applicable program and to elect to have R&amp;D activities continue under the collaboration for an additional period, referred to as a Tail Period. If Merck makes such an election, which we do not expect it to do, then the applicable Tail Period would begin at the end of the research program term for the applicable program and would end on the earlier of achievement of the license option exercise point (as specified in the Amended Collaboration Agreement for each such candidate) or three years, except that in certain circumstances a Tail Period may continue beyond three years if the license option exercise point has not been achieved by such time. All R&amp;D work on CVM-related programs during the applicable Tail Period, if any, would be conducted by Merck or its third-party contractors at Merck’s expense.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Amended Collaboration Agreement, Merck retains license options to obtain an exclusive, worldwide license, on specified terms, to each collaboration compound (and its related compounds) that remains within the scope of the continuing collaboration for the CVM-related programs. Merck generally has a one-time right to exercise its license option for any product candidate when we or Merck achieve the specified license option exercise point. Upon Merck’s exercise of a license option for any CVM-related program, which we do not expect it to do, Merck would pay us an option exercise fee of $6.0 million and we would be eligible to receive a milestone payment of $10.0 million if Merck subsequently completes a proof-of-concept trial for a product candidate from such program.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Merck exercises its license option to a product candidate and its related compounds, referred to as a Licensed Program, we would have the option to receive milestones and royalty payments or, in certain cases, prior to Merck initiating any Phase 3 clinical trial of such licensed compound, to co-fund development and participate in a global cost and profit share arrangement of up to 50%, with an additional option to co-detail any such licensed compound in the United States. If we do not elect to exercise our cost and profit share option for a particular licensed compound, we would be eligible to receive an aggregate of up to $469.0 million in milestone payments upon the achievement of specific clinical development and regulatory events, commercial milestone payments of up to $125.0 million and royalties from low-double digit to mid-teen percentages of worldwide net sales of such licensed compound.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Merck would be responsible, at its own cost, for all development and commercialization of product candidates from each Licensed Program, subject to our options to cost and profit share worldwide, and to co-detail those compounds in the United States as described above. If Merck does not exercise its license option with respect to a particular candidate and its related compounds within the applicable time period, in most instances we retain all rights to research, develop and commercialize that candidate and those compounds on a worldwide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either alone or in partnership with a third party, subject to the payment to Merck of low single-digit royalties on commercial sales of any resulting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Amended Collaboration Agreement, we also granted Merck a worldwide, exclusive right to conduct R&amp;D on, and to manufacture, use and commercialize, small molecule compounds identified or developed by Merck that have specified activity against any target that we are researching or developing under the research program term of the collaboration. Merck’s research license for its own small molecule program will become non-exclusive if Merck does not exercise its option to a product candidate against a target at its option exercise point, but Merck will retain an exclusive license to any small molecule compounds that it has already identified and developed. Merck has sole responsibility for R&amp;D of any of these small molecule compounds, at its own cost. We are eligible to receive milestone and royalty payments on small molecule compounds that are developed by Merck under such a license from us.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to the options and exclusive licenses that we granted or are obligated to grant to Merck, we have the following exclusivity obligations to Merck under the Amended Collaboration Agreement. During the applicable research program term and Tail Period, if any, for the CVM-related programs, we may not directly or indirectly research, develop, manufacture or commercialize, outside of our collaboration with Merck, any product with specified activity against any target that is being researched or developed under the applicable programs and, if Merck exercises its license option for a program, we may not directly or indirectly research, develop, manufacture or commercialize any product with specified activity against the target that is the subject of that Licensed Program for so long as Merck’s license to it remains in effect. In addition, we are prohibited from directly or indirectly researching, developing or commercializing any product for the treatment of heart failure with preserved ejection fraction during the research program term for the CVM-related programs.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Amended Collaboration Agreement, we have the right, in our sole discretion, to independently research, develop and commercialize the collaboration compounds known as NGM707, NGM120, NGM438 and NGM831, their related compounds and all other preclinical and research assets that we researched or developed under our original collaboration agreement with Merck but that were not included within the R&amp;D scope of the Amended Collaboration Agreement, which are referred to as the released NGM compounds. Merck retained the right to receive royalties at low single-digit rates on the sales of any released NGM compounds that receive regulatory approval and, if we decide during a certain time period to engage in a formal partnering process for a released NGM compound or negotiations regarding a license or asset sale of a released NGM compound, we are obligated to notify Merck, provide Merck with certain information and engage in good faith, non-exclusive negotiations with respect to such released NGM compound with Merck at Merck’s request.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After the research program term, Merck may terminate the overall Amended Collaboration Agreement for convenience upon written notice. Subject to certain limitations, Merck may partially terminate the Amended Collaboration Agreement for convenience as it relates to any Licensed Program or any of its rights to research and develop small molecule compounds. </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Either we or Merck may terminate the Amended Collaboration Agreement with respect to a specific Licensed Program or any particular licensed small molecule compound if the other party is in material breach of its obligations regarding that specific program and fails to cure the breach within the specified cure period. If Merck terminates a Licensed Program as a result of our uncured material breach, then we would lose our option to participate in a global cost and profit share if not yet exercised as of the time of termination and lose our co-detailing option (whether or not exercised as of that time) for candidates arising from the relevant Licensed Program. If Merck terminates a licensed small molecule compound program for our uncured material breach, we would continue to receive the full amount of milestones and royalties we were otherwise eligible for with respect to the relevant small molecule compounds.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additional information about our collaboration with Merck, see Note 5, “Research Collaboration and License Agreements—Merck,” in our notes to the consolidated financial statements included in Part II, Item 8 of this Annual Report.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Lonza License</w:t>
      </w:r>
    </w:p>
    <w:p>
      <w:pPr>
        <w:pStyle w:val="TextBody"/>
        <w:bidi w:val="0"/>
        <w:spacing w:lineRule="auto" w:line="288" w:before="120" w:after="120"/>
        <w:ind w:left="0" w:right="0" w:firstLine="720"/>
        <w:jc w:val="both"/>
        <w:rPr/>
      </w:pPr>
      <w:r>
        <w:rPr>
          <w:rFonts w:ascii="Arial;sans-serif" w:hAnsi="Arial;sans-serif"/>
          <w:b w:val="false"/>
          <w:color w:val="000000"/>
          <w:sz w:val="20"/>
        </w:rPr>
        <w:t>In October 2014, we entered into a Multi-Product License Agreement, or the Lonza License, with Lonza under which we obtained a worldwide, non-exclusive license to use Lonza’s glutamine synthetase gene expression system, known as GS Xceed</w:t>
      </w:r>
      <w:r>
        <w:rPr>
          <w:rFonts w:ascii="Arial;sans-serif" w:hAnsi="Arial;sans-serif"/>
          <w:b w:val="false"/>
          <w:color w:val="000000"/>
          <w:sz w:val="13"/>
        </w:rPr>
        <w:t>®</w:t>
      </w:r>
      <w:r>
        <w:rPr>
          <w:rFonts w:ascii="Arial;sans-serif" w:hAnsi="Arial;sans-serif"/>
          <w:b w:val="false"/>
          <w:color w:val="000000"/>
          <w:sz w:val="20"/>
        </w:rPr>
        <w:t xml:space="preserve">, to manufacture and commercialize our proprietary products. </w:t>
      </w:r>
    </w:p>
    <w:p>
      <w:pPr>
        <w:pStyle w:val="TextBody"/>
        <w:bidi w:val="0"/>
        <w:spacing w:lineRule="auto" w:line="288" w:before="120" w:after="120"/>
        <w:ind w:left="0" w:right="0" w:firstLine="720"/>
        <w:jc w:val="both"/>
        <w:rPr/>
      </w:pPr>
      <w:r>
        <w:rPr>
          <w:rFonts w:ascii="Arial;sans-serif" w:hAnsi="Arial;sans-serif"/>
          <w:b w:val="false"/>
          <w:color w:val="000000"/>
          <w:sz w:val="20"/>
        </w:rPr>
        <w:t>Pursuant to the Lonza License, we paid Lonza an upfront fee of £250,000. Upon the initiation of the first Phase 2 clinical trial, the first Phase 3 clinical trial and the first commercial sale of any product manufactured using GS Xceed</w:t>
      </w:r>
      <w:r>
        <w:rPr>
          <w:rFonts w:ascii="Arial;sans-serif" w:hAnsi="Arial;sans-serif"/>
          <w:b w:val="false"/>
          <w:color w:val="000000"/>
          <w:sz w:val="13"/>
        </w:rPr>
        <w:t>®</w:t>
      </w:r>
      <w:r>
        <w:rPr>
          <w:rFonts w:ascii="Arial;sans-serif" w:hAnsi="Arial;sans-serif"/>
          <w:b w:val="false"/>
          <w:color w:val="000000"/>
          <w:sz w:val="20"/>
        </w:rPr>
        <w:t xml:space="preserve">, we are required to pay Lonza one-time milestone payments of £100,000, £100,000 and £150,000,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pPr>
      <w:r>
        <w:rPr>
          <w:rFonts w:ascii="Arial;sans-serif" w:hAnsi="Arial;sans-serif"/>
          <w:b w:val="false"/>
          <w:color w:val="000000"/>
          <w:sz w:val="20"/>
        </w:rPr>
        <w:t>respectively. We paid a one-time milestone payment to Lonza of £100,000 for each of the Phase 2 trial initiations for NGM313, NGM621 and NGM120. We are also required to pay low single-digit royalties to Lonza based on net sales of any product manufactured using GS Xceed</w:t>
      </w:r>
      <w:r>
        <w:rPr>
          <w:rFonts w:ascii="Arial;sans-serif" w:hAnsi="Arial;sans-serif"/>
          <w:b w:val="false"/>
          <w:color w:val="000000"/>
          <w:sz w:val="13"/>
        </w:rPr>
        <w:t>®</w:t>
      </w:r>
      <w:r>
        <w:rPr>
          <w:rFonts w:ascii="Arial;sans-serif" w:hAnsi="Arial;sans-serif"/>
          <w:b w:val="false"/>
          <w:color w:val="000000"/>
          <w:sz w:val="20"/>
        </w:rPr>
        <w:t xml:space="preserve">.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 Lonza, we, our affiliates or our strategic partners (including Merck or any potential future partners) manufactures certain product candidates for commercial activities. We are currently required to pay this fee for NGM313 and NGM120. In accordance with the Lonza License, for certain additional product candidates, we are instead required to pay an annual license fee to Lonza of £25,000 per product candidate prior to the initiation of clinical development, and following the initiation of clinical development, £100,000, £150,000 or £300,000 annually per product candidate, respectively, if such product candidate is in a Phase 1, Phase 2 and Phase 3 clinical trial.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pStyle w:val="TextBody"/>
        <w:bidi w:val="0"/>
        <w:spacing w:lineRule="auto" w:line="288" w:before="300" w:after="120"/>
        <w:ind w:left="0" w:right="0" w:firstLine="720"/>
        <w:jc w:val="center"/>
        <w:rPr>
          <w:rFonts w:ascii="Arial;sans-serif" w:hAnsi="Arial;sans-serif"/>
          <w:b/>
          <w:color w:val="000000"/>
          <w:sz w:val="20"/>
        </w:rPr>
      </w:pPr>
      <w:r>
        <w:rPr>
          <w:rFonts w:ascii="Arial;sans-serif" w:hAnsi="Arial;sans-serif"/>
          <w:b/>
          <w:color w:val="000000"/>
          <w:sz w:val="20"/>
        </w:rPr>
        <w:t xml:space="preserve">Government Regulation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Product Approval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and other regulatory health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and health authorities of the countries in which we wish to conduct studies or seek approval or licensure of our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and civil or criminal fines or penalties. Any agency or judicial enforcement action could have a material adverse effect on our business, the market acceptance of our products and our reputation.</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 xml:space="preserve">Preclinical and Clinical Development </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Prior to beginning the first clinical trial with a product candidate, a sponsor must submit an investigational new drug application, or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 xml:space="preserve">studies assessing the toxicology, pharmacology, pharmacokinetics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concerns or questions regarding safety or conduct of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Clinical trials involve the administration of the investigational product to human subjects under the supervision of qualified investigators in accordance with current Good Clinical Practices, or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institutional review board, or IRB, for each site proposing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conduct the clinical trial must review and approve the plan for any clinical trial and its informed consent form before the clinical trial begins at that site and must monitor the study until completed.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an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study sponsor, known as a data safety monitoring board or committee, which provides authorization for whether a trial may move forward at designated checkpoints based on access to certain data from the trial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purposes of a biologics license application, or BLA, approval, human clinical trials are typically conducted in three sequential phases that may overlap. </w:t>
      </w:r>
    </w:p>
    <w:p>
      <w:pPr>
        <w:pStyle w:val="TextBody"/>
        <w:bidi w:val="0"/>
        <w:spacing w:lineRule="auto" w:line="288" w:before="60" w:after="60"/>
        <w:ind w:left="0" w:right="0" w:hanging="360"/>
        <w:jc w:val="both"/>
        <w:rPr/>
      </w:pPr>
      <w:r>
        <w:rPr>
          <w:color w:val="000000"/>
        </w:rPr>
        <w:t>•</w:t>
      </w:r>
      <w:r>
        <w:rPr>
          <w:rFonts w:ascii="Arial;sans-serif" w:hAnsi="Arial;sans-serif"/>
          <w:b/>
          <w:i/>
          <w:color w:val="000000"/>
          <w:sz w:val="20"/>
        </w:rPr>
        <w:t>Phase 1</w:t>
      </w:r>
      <w:r>
        <w:rPr>
          <w:color w:val="000000"/>
        </w:rPr>
        <w:t>—</w:t>
      </w:r>
      <w:r>
        <w:rPr>
          <w:rFonts w:ascii="Arial;sans-serif" w:hAnsi="Arial;sans-serif"/>
          <w:b w:val="false"/>
          <w:color w:val="000000"/>
          <w:sz w:val="20"/>
        </w:rPr>
        <w:t>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bidi w:val="0"/>
        <w:spacing w:lineRule="auto" w:line="288" w:before="60" w:after="60"/>
        <w:ind w:left="0" w:right="0" w:hanging="360"/>
        <w:jc w:val="both"/>
        <w:rPr/>
      </w:pPr>
      <w:r>
        <w:rPr>
          <w:color w:val="000000"/>
        </w:rPr>
        <w:t>•</w:t>
      </w:r>
      <w:r>
        <w:rPr>
          <w:rFonts w:ascii="Arial;sans-serif" w:hAnsi="Arial;sans-serif"/>
          <w:b/>
          <w:i/>
          <w:color w:val="000000"/>
          <w:sz w:val="20"/>
        </w:rPr>
        <w:t>Phase 2</w:t>
      </w:r>
      <w:r>
        <w:rPr>
          <w:color w:val="000000"/>
        </w:rPr>
        <w:t>—</w:t>
      </w:r>
      <w:r>
        <w:rPr>
          <w:rFonts w:ascii="Arial;sans-serif" w:hAnsi="Arial;sans-serif"/>
          <w:b w:val="false"/>
          <w:color w:val="000000"/>
          <w:sz w:val="20"/>
        </w:rPr>
        <w:t>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TextBody"/>
        <w:bidi w:val="0"/>
        <w:spacing w:lineRule="auto" w:line="288" w:before="60" w:after="60"/>
        <w:ind w:left="0" w:right="0" w:hanging="360"/>
        <w:jc w:val="both"/>
        <w:rPr/>
      </w:pPr>
      <w:r>
        <w:rPr>
          <w:color w:val="000000"/>
        </w:rPr>
        <w:t>•</w:t>
      </w:r>
      <w:r>
        <w:rPr>
          <w:rFonts w:ascii="Arial;sans-serif" w:hAnsi="Arial;sans-serif"/>
          <w:b/>
          <w:i/>
          <w:color w:val="000000"/>
          <w:sz w:val="20"/>
        </w:rPr>
        <w:t>Phase 3—</w:t>
      </w:r>
      <w:r>
        <w:rPr>
          <w:rFonts w:ascii="Arial;sans-serif" w:hAnsi="Arial;sans-serif"/>
          <w:b w:val="false"/>
          <w:color w:val="000000"/>
          <w:sz w:val="20"/>
        </w:rPr>
        <w:t>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some cases, the FDA may require, or companies may voluntarily pursue, additional clinical trials after a product is approved to gain more information about the product. These are called Phase 4 studies and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current Good Manufacturing Practices, or cGMP, requirements. The manufacturing process must be capable of consistently producing quality batches of the product candidate and, among other things, for biologics, must develop methods for testing the identity, strength, quality, purity and potency of the product. Additionally, appropriate packaging must be selected and tested and stability studies must be conducted to demonstrate that the product candidate does not undergo unacceptable deterioration over its shelf life.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 xml:space="preserve">BLA Submission and Review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submission of a BLA requires payment of a substantial application user fee to FDA, unless a waiver or exemption applies.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Once a BLA has been submitted, the FDA generally decides on the acceptance of the application for filing within 60 days of receipt.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will outline the deficiencies in the submission and often will request additional testing or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may issue an approval letter or a Complete Response letter. An approval letter authorizes commercial marketing of the product with specific prescribing information for specific indications. A Complete Response letter will describe all deficiencies that the FDA has identified in the BLA. In issuing the Complete Response letter, the FDA may recommend actions that the applicant might take to place the BLA in condition for approval, including requests for additional information or clarification, completion of other significant and time-consuming requirements related to clinical trials, and/or conduct of additional preclinical studies or manufacturing activities. Even if such data and information are submitted, the FDA may determine that the BLA does not satisfy the criteria for approval. FDA approval of a BLA must be obtained before a biologic may be marketed in the United States. The FDA may delay or refuse approval of a BLA, require additional testing or information and/or require post-marketing testing and surveillance to monitor safety or efficacy of a product.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regulatory approval of a product is granted, such approval will be granted for specific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 surveillance to further assess and monitor the product’s safety and effectiveness after commercialization and may limit further marketing of the product based on the results of these post-marketing studies.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 xml:space="preserve">Expedited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sponsor may seek to develop and obtain approval of its product candidates under programs designed to accelerate the FDA review and approval of marketing applications for new drugs and biologics that meet certain criteria, such as the Fast Track program, priority review, accelerated approval, Breakthrough Therapy designation and Real-Time Oncology Review, or RTOR, Program. </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Fast Track Designation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Fast Track program is intended to facilitate development and expedite review of new drugs and biologics that are intended to treat a serious or life-threatening disease or condition and that demonstrate potential to address an unmet medical need. For a Fast Track-designated product, there may be more frequent meetings and communication with the FDA, and early and frequent communication between the FDA and sponsor is encouraged throughout the entire development and review process. The FDA may consider sections of a BLA for review on a rolling basis if certain conditions are satisfied, including an agreement with the FDA on the proposed schedule for submission of portions of the application and the payment of applicable user fees before the FDA may initiate a review. The product may also be eligible for priority review and accelerated approval. The sponsor can request the FDA to designate the product for Fast Track status any time before receiving BLA approval, but ideally no later than the pre-BLA meeting.</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Priority Review</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Generally, the FDA follows a two-tiered system of review times, standard review and priority review. For a product that receives priority review designation, the FDA has the goal of acting on the marketing application within six months of the 60-day filing date, compared to ten months under standard review. However, the FDA does not always meet its PDUFA goal dates for standard and priority BLAs, and the review process is often extended by FDA requests for additional information or clarification. A priority review designation is applicable for products that, if approved, would be significant improvements in the safety or effectiveness of the treatment, diagnosis, or prevention of serious conditions when compared to marketed products. The FDA decides on the review designation for every application; however, an applicant may expressly request priority review. The FDA informs the applicant of a priority review designation within 60 days of the receipt of the original marketing application. If criteria are not met for priority review, the application is subject to the standard FDA review period of ten months after FDA accepts the application for filing. Priority review designation does not change the scientific or medical standard for approval, or the quality of evidence necessary to support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Accelerated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the FDA may base accelerated approval for drugs and biologics for serious conditions that fill an unmet medical need on whether the drug or biologic has an effect on a surrogate or an intermediate clinical endpoint. A surrogate endpoint used for accelerated approval is a marker, such as a laboratory measurement, radiographic image, physical sign or other measure that is thought to predict clinical benefit but is not itself a measure of clinical benefit. Likewise, an intermediate clinical endpoint is a measure of a therapeutic effect that is considered reasonably likely to predict the clinical benefit of a product, such as an effect on irreversible morbidity and mortality, or IMM. The FDA bases its decision on whether to accept the proposed surrogate or intermediate clinical endpoint on the scientific support for that endpoint. In this regard, we are designing a potential registrational trial of aldafermin in PSC and continuing discussions with the FDA, including on the proposed utilization of a primary endpoint composed of surrogate biomarkers with the goal of obtaining accelerated approval. There is no guarantee that the FDA will accept our proposed primary endpoint, in which case we may abandon the development of aldafermin in PSC.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condition of accelerated approval, the FDA will generally require the sponsor to perform and provide regular updates to the agency on adequate and well-controlled post-marketing clinical studies to verify and describe the anticipated effect on IMM or other clinical benefit. Where confirmatory trials verify clinical benefit, the FDA will generally terminate the requirement. Approval of a product may be withdrawn or the labeled indication of the product changed, if trials fail to verify clinical benefit or do not demonstrate sufficient clinical benefit to justify the risks associated with the product, for example, if the product shows a significantly smaller magnitude or duration of benefit than was anticipated based on the observed effect on the surrogate endpoint. In addition, the FDA currently requires as a condition for accelerated approval the preapproval of promotional materials, which could adversely impact the timing of the commercial launch of the product. </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Breakthrough Therapy Designation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Real-Time Oncology Review (RTOR)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RTOR program is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program does not guarantee or influence approvability of the application, which is subject to the usual benefit-risk evaluation by FDA reviewers, but the program allows FDA to review data earlier, before an applicant formally submits a complete application. The RTOR program does not affect FDA’s PDUFA timelines.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designation and RTOR program acceptance do not change the standards for product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Orphan Drug Designation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Pediatric Information and Pediatric Exclusivity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Pediatric Research Equity Act, or PREA, certain BLAs and certain supplements to a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or PSP.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Market Exclusivity under The Biologics Price Competition and Innovation Act of 2009, or BPCIA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BPCIA, sponsors of new, licensed biological products approved through a BLA receive 12 years of “Reference Product Exclusivity.” FDA cannot license any 351(k) application for a biosimilar or interchangeable product that relies on the previously approved product as a reference for biosimilarity during this 12-year period. This Reference Product Exclusivity does not attach to molecules that are the “same” as a molecule previously approved for the same sponsor.</w:t>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Post-Approval Requirements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claims, are subject to prior FDA review and approval. There also are continuing user fee requirements, under which FDA assesses an annual program fee for each product identified in an approved BLA.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FDA regulations require that products be manufactured in specific approved facilities and in accordance with cGMP regulations. We rely, and expect to continue to rely, on third parties to produce clinical and commercial quantities of our products in accordance with cGMP regulations. These manufacturers must comply with FDA regulations that require, among other things, quality control and quality assurance, the maintenance of records and documentation and the obligation to investigate and correct any deviations from cGMP. FDA regulations also impose reporting requirements upon sponsors and their third-party manufacturers. Manufacturers and other entities involved in the manufacture and distribution of approved biologics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sponsors and their third-party manufacturers. The discovery of violative conditions, including failure to conform to cGMP regulations, could result in enforcement actions, and the discovery of problems with a product after approval may result in restrictions on a product manufacturer or holder of an approved BLA, and, ultimately in a product recall.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sponsors and their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sponsors and their third-party manufacturers.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may also place other conditions on approvals including the requirement for a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restrictions on the marketing or manufacturing of a product, complete withdrawal of the product from the market or product recalls;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fines, warning letters or holds on post-approval clinical studies;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refusal of the FDA to approve pending applications or supplements to approved applications, or suspension or revocation of existing product approvals;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product seizure or detention, or refusal of the FDA to permit the import or export of products;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injunctions or the imposition of civil or criminal penalties.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and misbranding. Failure to comply with these requirements can result in, among other things, adverse publicity, warning letters, corrective actions, including corrective advertising, and potential civil and criminal penalties, including monetary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(or thirty days in advance of their first use if approved via the accelerated approval pathway). Further, if there are any modifications to the drug or biologic, including changes in indications, labeling or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processes or facilities, the applicant may be required to submit and obtain FDA approval of a new BLA or BLA supplement, which may require the development of additional data or preclinical studies and clinical trials.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Other U.S. Healthcare Laws and Compliance Requirements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United States, our current and future operations are subject to regulation by various federal, state and local authorities. For example, our clinical research, sales, marketing and scientific/educational grant programs may have to comply with the anti-fraud and abuse provisions of the Social Security Act, the federal Anti-Kickback Statute, the false claims laws, the privacy and security provisions of the Health Insurance Portability and Accountability Act, or HIPAA, and similar state laws, each as amended, as applicable. </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w:t>
      </w:r>
      <w:r>
        <w:rPr>
          <w:rFonts w:ascii="Arial;sans-serif" w:hAnsi="Arial;sans-serif"/>
          <w:b w:val="false"/>
          <w:i/>
          <w:color w:val="000000"/>
          <w:sz w:val="20"/>
        </w:rPr>
        <w:t>per se</w:t>
      </w:r>
      <w:r>
        <w:rPr>
          <w:color w:val="000000"/>
        </w:rPr>
        <w:t xml:space="preserve"> </w:t>
      </w:r>
      <w:r>
        <w:rPr>
          <w:rFonts w:ascii="Arial;sans-serif" w:hAnsi="Arial;sans-serif"/>
          <w:b w:val="false"/>
          <w:color w:val="000000"/>
          <w:sz w:val="20"/>
        </w:rPr>
        <w:t xml:space="preserve">illegal under the Anti-Kickback Statute. Instead, the legality of the arrangement will be evaluated on a case-by-case basis based on a cumulative review of all of its facts and circumstances. Our practices may not in all cases meet all the criteria for protection under a statutory exception or regulatory safe harbor.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 intent standard under the Anti-Kickback Statute was amended by the Patient Protection and Affordable Care Act, as amended by the Health Care and Education Reconciliation Act, collectively referred to as the ACA, to impose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or FCA. </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The federal false claims and civil monetary penalty laws, including the FCA, which imposes significant penalties and can be enforced by private citizens through civil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 xml:space="preserve">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Also, many states have similar, and typically more prohibitive, fraud and abuse statutes or regulations that apply to items and services reimbursed under Medicaid and other state programs, or, in several states, apply regardless of the payor.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HIPAA, as amended by the Health Information Technology for Economic and Clinical Health Act, or HITECH, and its implementing regulations, imposes requirements on covered entities (including certain health care providers, health plans and health care clearinghouses, business associates and their covered subcontractors) relating to the privacy, security and transmission of individually identifiable health information. HIPAA may be enforced by several federal agencies as well as state attorneys general.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physician-administered products, if approved, may be eligible for coverage under Medicare through Medicare Part B. As a condition of receiving Medicare Part B reimbursement for a manufacturer’s eligible drugs, the manufacturer is required to participate in other government healthcare programs, including the Medicaid Drug Rebate Program and the 340B Drug Pricing Program, and would be subject to those requirements as well.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 federal Physician Payments Sunshine Act, or the Sunshine Act, as amended,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many states also govern the reporting of such payments or other transfers of value, many of which differ from each other in significant ways, are often not preempted and may have a more prohibitive effect than the Sunshine Act, thus further complicating compliance efforts.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Our activities are potentially subject to federal and state consumer protection and unfair competition laws. </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The scope and enforcement of each of these laws is uncertain and subject to rapid change in the current environment of healthcare reform, especially in light of the lack of applicable precedent and regulations. 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 xml:space="preserve">actions brought by individual whistleblowers in the name of the government,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The Foreign Corrupt Practices Act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Environmental, Health and Safety Regulation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to the foregoing, state and federal laws regarding safe working conditions,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We may incur significant costs to comply with such laws and regulations now or in the future. If our operations result in contamination of the environment or expose individuals to hazardous substances, we could be liable for damages and governmental fines. We believe that we are in material compliance with applicable environmental laws and regulations and that continued compliance therewith will not have a material adverse effect on our business. We cannot predict, however, how changes in these laws and regulations may affect our future operations.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European Union Development of Medicinal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European Economic Area, or EEA, which consists of the 27 Member States of the European Union, or the EU and the EU Member States, as well as Norway, Iceland and Liechtenstein, medicinal products can only be commercialized after a marketing authorization, or MA, has been granted by a competent regulatory authority. This is similar to the approach in the United States. Clinical trials in the EEA are currently regulated by Clinical Trials Regulation (EU) No 536/2014, or CTR, which entered into application on January 31, 2022. The regulation, which is directly applicable in all EEA countries, overhauls the previous system of approvals for clinical trials in the EU to simplify and streamline the approval of clinical trials in the EU.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European Union Review of Marketing Authorization and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Depending on the type of product and its intended therapeutic indication, related MAs may be granted either by the European Commission at the EU level or by the competent authorities of EEA countries. An MA issued by the European Commission through the Centralized Procedure, based on the opinion of the Committee for Medicinal Products for Human Use, or CHMP, of the EMA,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subject to the approval of the EMA, for products containing a new active substance not yet authorized in the EEA for the treatment of diseases other than those indicated above, or for products that constitute a significant therapeutic, scientific or technical innovation or which are in the interest of public health in the EU.</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National MAs, which are issued by the competent authorities of the EEA countries, and only cover their respective territory, are available for products not falling within the mandatory scope of the Centralized Procedure. Where a product has already been authorized for marketing in an EEA country, that National MA can be recognized in another EEA country through the Mutual Recognition Procedure. If the product has not received a National MA in any EEA country at the time of application for authorization, it can be approved simultaneously in various EEA countries through the Decentralized Procedure. Under the Decentralized Procedure, an identical dossier is submitted to the competent authorities of each of the EEA countries in which the MA is sought, one of which is selected by the applicant as the Reference Member State, or RMS. The competent authority of the RMS prepares a draft assessment report, a draft Summary of Product Characteristics, or SmPC, the document that provides information to physicians concerning the safe and effective use of the product, and a draft of the labeling and package leaflet, which are sent to the other EEA countries, referred to as the Concerned Member States, or CMSs, for their approval. If the CMSs raise no objections to the assessment, SmPC, labeling or packaging proposed by the RMS, the product is subsequently granted a National MA in the RMS and the Concerned Member States. The RMS or CMSs may only raise objections to authorization that are based on a potential serious risk to public health.</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EEA, an MA, whether granted through the Centralized, Decentralized or Mutual Recognition Procedures, may be granted only to an MA applicant that is established within the EEA.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principle, an MA has an initial validity of five years. The MA may be renewed after five years based on a re-evaluation of the risk-benefit balance by the EMA or by the competent authority of the EEA country in which the original MA was granted. The European Commission or the competent authorities of the EEA country may decide, on justified grounds relating to pharmacovigilance, to require one additional five-year period for the MA before it is definitively renewed. Once subsequently definitively renewed, the MA is valid for an unlimited period. Any MA that is not followed by the actual placing of the medicinal product on the EEA market (in case of Centralized Procedure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approvals), or on the market of the authorizing EEA country if applicable, within three years after authorization ceases to be valid (the so-called sunset clause).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Innovative products that target an unmet medical need and are expected to be of major public health interest may be eligible for several expedited development and review programs, such as the Priority Medicines, or PRIME, scheme, which provides incentives similar to the Breakthrough Therapy designation in the United States. In the EEA, a conditional MA may be granted by the European Commission through the Centralized Procedure in cases where all the required safety and efficacy data are not yet available. Eligible products must fulfill specific criteria and the conditional MA is subject to conditions to be fulfilled concerning generation of missing data or ensuring increased safety measures. It is valid for one year and must be renewed annually until all related conditions have been fulfilled. After this, the conditional MA may be converted to a normal MA.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 MA may also be granted “under exceptional circumstances” by the European Commission through the Centralized Procedure where the MA applicant can show that it is unable to provide comprehensive data on the efficacy and safety of the medicinal product under normal conditions of use even after the product has been authorized and subject to specific procedures after being introduced. These circumstances may arise in particular when the intended therapeutic indications are very rare and, based on the state of scientific knowledge at that time, it is not possible to provide comprehensive information, or when generating data may be contrary to generally accepted ethical principles.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Data and Market Exclusivity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EU legislation governing the grant of marketing authorizations for medicinal products also provides opportunities for data and market exclusivity related to MAs in certain circumstances. Upon grant of an MA, innovative medicinal products generally benefit from eight years of data exclusivity and ten years of market exclusivity. Data exclusivity, if granted, prevents regulatory authorities in the EEA from referencing the innovator’s data to assess a biosimilar application for eight years from the date of authorization of the innovative product, after which a biosimilar application for MA can be submitted, and the innovator’s data may be referenced. The market exclusivity period prevents a successful biosimilar applicant from commercializing its product in the EEA until ten years have elapsed from the initial MA of the innovator product in the EEA. The overall ten-year period may, occasionally, be extended for a further year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There is, however, no guarantee that our products will be considered by EU regulatory authorities to be a new biological entity. In such circumstances, our products, even if granted MA, may not qualify for data and market exclusivity.</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Pediatric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Regulation (EC) No 1901/2006 provides that all applications for an MA for new medicinal products have to include the results of trials conducted in the pediatric population in compliance with a pediatric investigation plan, or PIP, agreed to with the EMA’s Pediatric Committee, or PDCO. The PIP sets out the timing and measures proposed to generate data to support a pediatric indication of the medicinal product for which MA is being sought.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PDCO can grant a deferral of the obligation to implement some or all of the measures provided in the PIP until there are sufficient data to demonstrate the efficacy and safety of the product in adults. The obligation to provide pediatric clinical trial data can be waived entirely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EEA countries and study results in compliance with the PIP are included in the product information, even when those results are negative, the product may be eligible for a six-month extension to certain patent protections or, in the case of orphan medicinal products, a two-year extension of orphan market exclusivity.</w:t>
      </w:r>
    </w:p>
    <w:p>
      <w:pPr>
        <w:pStyle w:val="TextBody"/>
        <w:bidi w:val="0"/>
        <w:spacing w:lineRule="auto" w:line="288" w:before="0" w:after="0"/>
        <w:jc w:val="both"/>
        <w:rPr/>
      </w:pPr>
      <w:r>
        <w:rPr>
          <w:rFonts w:ascii="Arial;sans-serif" w:hAnsi="Arial;sans-serif"/>
          <w:b/>
          <w:i/>
          <w:color w:val="000000"/>
          <w:sz w:val="20"/>
        </w:rPr>
        <w:t>Orphan Designation</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 application. An MA for an orphan medicinal product may only include indications designated as orphan. For non-orphan indications treated with the same active pharmaceutical ingredient, a separate marketing authorization must be sought.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Orphan medicinal product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upon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ten-year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Post-Approval Requirements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Both MA holders and manufacturers of medicinal products are subject to comprehensive regulatory oversight by the EMA, the European Commission and/or the competent regulatory authorities of the individual EEA countries and regional authorities within those countries. Legislation adopted at the EU level, such as Directives, may be implemented differently by individual EEA countries. Examples of post-approval requirements include the obligation on the holder of an MA to comply with a range of regulatory requirements applicable to the manufacturing, marketing, promotion and sale of medicinal products,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applicants for MA must include a risk management plan, or RMP, describing the risk management system that the company will put in place and documenting measures to prevent or minimize the risks associated with the product. The regulatory authorities may also impose risk-minimization measures or post-authorization obligations as a condition of the MA, which may include additional safety monitoring, more frequent submission of PSURs or the conduct of additional clinical trials or post-authorization safety studies.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Marketing of Medicinal Products in the EEA</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EEA, the advertising and promotion of medicinal products are subject to both EU law and the national law of individual EEA countries governing promotion of medicinal products, interactions with physicians and other healthcare professionals, misleading and comparative advertising and unfair commercial practices. Although general requirements for advertising and promotion of medicinal products are established at the EU level, the details are governed by rules developed in individual EEA countries and can differ from one country to another. Examples of regulatory obligations include the requirement that promotional materials and advertising in relation to medicinal products comply with the product’s SmPC as approved by the competent authorities in connection with an MA. Promotion materials and advertising may also require approval by competent authorities in certain EEA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countries. Promotional activity that does not comply with the SmPC is considered off-label and is prohibited in the EU. Direct-to-consumer advertising of prescription medicinal products is also prohibited in the EU.</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Marketed products in the EEA are subject to substantial continuing regulation. This includes, among other things, requirements relating to record-keeping, reporting of adverse experiences, periodic reporting, product sampling and distribution and advertising and promotion of the product. For example, the provision of benefits or advantages to physicians to induce or encourage the prescription, recommendation, endorsement, purchase, supply, order or use of medicinal products is prohibited in the EEA. The provision of benefits or advantages to physicians is governed by national laws, including national anti-bribery laws, national sunshine rules, regulations, industry self-regulation codes or professional codes of conduct and related national implementing laws. Payments made to physicians in certain EEA countries must also be publicly disclosed, and agreements with physicians may be subject to prior notification and approval by the physician’s employer, his or her competent professional organization and/or the regulatory authorities of the individual EEA countries. Failure to comply with these requirements could result in reputational risk, public reprimands, administrative penalties, fines or imprisonment.</w:t>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Regulation in the United Kingdom Following Brexit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United Kingdom’s, or UK's, withdrawal from the EU on January 31, 2020, commonly referred to as Brexit, has changed the regulatory relationship between the UK and the EU. The Medicines and Healthcare products Regulatory Agency, or MHRA, is now the UK’s standalone regulator for medicinal products and medical devices. Great Britain (England, Scotland and Wales) is now a third country to the EU. Northern Ireland will, with regard to EU regulations, continue to follow the EU regulatory rules for now.</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UK regulatory framework in relation to clinical trials is governed by the Medicines for Human Use (Clinical Trials) Regulations 2004, as amended, which is derived from the Clinical Trials Directive, as implemented into UK national law through secondary legislation.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will align with the CTR. In October 2023, the MHRA announced a new Notification Scheme for clinical trials which enables a more streamlined and risk-proportionate approach to initial clinical trial applications for Phase 4 and low-risk Phase 3 clinical trial applications.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Marketing authorizations in the UK are governed by the Human Medicines Regulations (SI 2012/1916), as amended. Since January 1, 2021, an applicant for the EU centralized procedure marketing authorization can no longer be established in the UK. As a result, since this date, companies established in the UK cannot use the EU centralized procedure and instead must follow one of the UK national authorization procedures or one of the remaining post-Brexit international cooperation procedures to obtain a marketing authorization to market products in the UK. All existing EU marketing authorizations for centrally authorized products were automatically converted or grandfathered into UK marketing authorization, effective in Great Britain only, free of charge on January 1, 2021, unless the marketing authorization holder opted-out of this possibility. Northern Ireland currently remains within the scope of EU authorizations in relation to centrally authorized medicinal products. Accordingly, until the Windsor Framework is implemented in Northern Ireland on January 1, 2025, products falling within the scope of the EU centralized procedure can only be authorized through UK national authorization procedures in Great Britain.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Great Britain, rather than the EU, must not be more than five in 10,000. Upon the grant of a marketing authorization with orphan status, the medicinal product will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from up to ten years of market exclusivity from similar products in the approved orphan indication. The start of this market exclusivity period will be set from the date of first approval of the product in Great Britain.</w:t>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 xml:space="preserve">Privacy and Data Security Laws and Compliance Obligations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ordinary course of our business, we may process personal or sensitive data (including health-related data, such as data related to oncology, retinal disease and liver and metabolic disease, as part of our clinical trial and drug discovery activities). Accordingly, we are, or may become, subject to numerous obligations, including U.S. federal, state and local, as well as foreign, data privacy and security laws, regulations, guidance and industry standards, and other legal obligations related to privacy and data security. The regulatory framework with respect to data privacy and security is stringent and constantly evolving. For example, in addition to laws such as HIPAA that govern the processing of health information, we are or may become subject to numerous other data privacy and security laws and legal obligations, which may include laws such as the Federal Trade Commission Act, the California Consumer Privacy Act of 2018, or CCPA, the California Privacy Rights Act of 2020, or CPRA, and similar laws enacted or proposed in other states in the United States, the EU’s General Data Protection Regulation 2016/679, or EU GDPR, and the EU GDPR as it forms part of UK law by virtue of section 3 of the European Union (Withdrawal) Act 2018, or UK GDPR, together referred to as the GDPR. Additionally, we are, or may become, subject to various U.S. federal and state consumer protection laws which require us to publish statements that accurately and fairly describe how we handle personal data and choices individuals may have about the way we handle their personal data.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laws and obligations impose on subject entities extensive, costly and complex compliance obligations, which may conflict or be inconsistent with one another, and violations may result in significant fines, penalties and other adverse consequences. The CCPA and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Also, the CCPA provides for civil penalties and a private right of action for data breaches which may include an award of statutory damages. In addition, the CPRA, effective January 1, 2023, expanded the CCPA to, among other things, give California residents the ability to limit use of certain sensitive personal data, establish restrictions on personal data retention, expand the types of data breaches that are subject to the CCPA’s private right of action and establish a new California Privacy Protection Agency to implement and enforce the new law.</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Foreign data privacy and security laws (including but not limited to the GDPR) impose significant and complex compliance obligations on entities that are subject to those laws, including companies established outside the EEA and/or the UK that process personal data in connection with the offering of goods or services to data subjects in the EEA/UK or the monitoring of the behavior of data subjects in the EEA. These obligations include: limiting personal data processing to only what is necessary for specified, explicit and legitimate purposes; establishing a legal basis for personal data processing; appointing a data protection officer in certain circumstances; facilitating data subject requests; conducting data protection impact assessments in certain circumstances; limiting the collection and retention of personal data; implementing and maintaining appropriate technical and organizational safeguards for personal data; notifying certain personal data breaches to the relevant supervisory authorities and affected individuals; and appointing a representative in the EU and/or the UK.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See “Risk Factors—Risks Related to Our Business and Industry” for additional information about the privacy and data security risks we may face, including in relation to the laws and regulations to which we are or may become subject.</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Rest of the World Regulation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other countries outside of the EU, United Kingdom and the United States, such as countries in Eastern Europe, Latin America or Asia, the requirements governing the conduct of clinical trials, product licensing, pricing and reimbursement vary from country to country. Additionally, clinical trials must be conducted in accordance with cGCP requirements, the applicable regulatory requirements and the ethical principles that have their origin in the Declaration of Helsinki. Failure to comply with applicable foreign laws and regulatory requirements may result in, among other things, fines, suspension or withdrawal of regulatory approvals, product recalls, seizure of products and operating restrictions.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Additional Laws and Regulations Governing International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further expand our operations outside of the United States, we must dedicate additional resources to comply with numerous laws and regulations in each jurisdiction in which we plan to operate, in addition to the FCPA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as described above. For example, the UK Bribery Act of 2010 applies to companies that carry on all or part of their business in the UK, and prohibits bribing another person or being bribed, bribing a foreign public official with the intent to influence and obtain or retain business or an advantage, and failure by a commercial party to prevent bribery, including where the prohibited conduct or its effects occurred entirely outside the UK.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Compliance with the FCPA and anti-corruption and anti-bribery laws in other countries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Coverage, Pricing and Reimbursement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Coverage and reimbursement by a third-party payor may depend upon a number of factors, including the third-party payor’s determination that use of a therapeutic is: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covered benefit under its health plan;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safe, effective and medically necessary;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appropriate for the specific patient;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cost-effective;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neither experimental nor investigational.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Coverage may also be more limited than the purposes for which the product is approved by the FDA or comparable foreign regulatory authorities. Reimbursement may impact the demand for, or the price of, any product for which we obtain regulatory approval.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EU Member States may approve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specific price for a product, or they may instead adopt a system of direct or indirect controls on the profitability of the company placing the product on the market.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Some jurisdictions operate positive and negative list systems under which products may only be marketed once a reimbursement price has been agreed. In addition, to obtain reimbursement or pricing approval, some of these countries may require the completion of studies that compare the cost effectiveness of a particular product candidate to currently available therapies. This Health Technology Assessment, or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In December 2021, Regulation No 2021/2282 on Health Technology Assessment,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 In light of the fact that the United Kingdom has left the EU, Regulation No 2021/2282 on HTA will not apply in the United Kingdom. However, the MHRA is working with UK HTA bodies and other national organizations, such as the Scottish Medicines Consortium, or SMC, the National Institute for Health and Care Excellence, or NICE, and the All-Wales Medicines Strategy Group, to introduce new pathways supporting innovative approaches to the safe, timely and efficient development of medicinal products. Other member states allow companies to fix their own prices for medicines but monitor and control prescription volumes and issue guidance to physicians to limit prescriptions. The downward pressure on health care costs has become intense. As a result, increasingly high barriers are being erected to the entry of new products. In addition, in some countries, cross-border imports from low-priced markets exert a commercial pressure on pricing within a country.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have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Before products become available to patients in the EEA, they are generally subject to decisions on pricing and reimbursement by the applicable authorities in an EEA country. Key criteria to determine the reimbursement status and pricing of a product may include the product’s therapeutic value, medical need, safety and cost effectiveness. Obtaining pricing and reimbursement approval of a product from a government is a time-consuming and costly process, and significant uncertainty exists as to the pricing and reimbursement status of any product candidates for which we may seek marketing approval in the EEA. Our ability to commercialize any such products successfully in the EEA will depend, in part, on the outcome of these decisions.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Legislators, policymakers and healthcare insurance funds in the EU and the UK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Healthcare Reform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ultimate content, timing or effect of any healthcare reform legislation on the U.S. healthcare industry is unclear. For example, on August 16, 2022, President Biden signed the Inflation Reduction Act of 2022, or the IRA, into law, which among other things, (1) directs the U.S. Department of Health and Human Services, or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It is unclear how the IRA will be implemented but is likely to have a significant impact on the pharmaceutical industry.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Further, in March 2010, the ACA was signed into law and has substantially changed healthcare financing and delivery by both governmental and private insurers. Among the ACA provisions of importance to the pharmaceutical and biotechnology industries are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have been legal and political challenges to certain aspects of the ACA. For example, former President Trump signed several executive orders and other directives designed to delay, circumvent or loosen certain requirements mandated by the ACA. On June 17, 2021, the U.S. Supreme Court dismissed a challenge on procedural grounds that argued the ACA is unconstitutional in its entirety because the “individual mandate” was repealed by Congress. However, the ACA may be subject to judicial or Congressional challenges in the future. Additionally, on January 28, 2021,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 IRA,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anticipate that the ACA, if substantially maintained in its current form, will continue to result in additional downward pressure on coverage and the price that we receive for any approved product, and could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 legislation or regulation could be passed that could harm our business, financial condition and results of operations. Other legislative changes have been proposed and adopted since the ACA was enacted. Aggregate reductions to Medicare payments to providers of up to 2% per fiscal year, which went into effect beginning on April 1, 2013, will stay in effect through 2032 unless additional Congressional action is taken.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there has been increasing legislative and enforcement interest in the United States with respect to specialty drug pricing practices. Specifically, there have been several U.S. congressional inquiries, presidential executive orders and proposed and enacted federal legislation designed to, among other things, bring more transparency to drug pricing, reduce the cost of prescription drugs under Medicare, review the relationship between pricing and manufacturer-patient programs and reform government program reimbursement methodologies for drugs. For example, in July 2021, the Biden administration released an executive order, “Promoting Competition in the American Economy,” with multiple provisions aimed at prescription drugs. In response to President Biden’s executive order, on September 9, 2021, the United States Department of Health and Human Services, or HHS, released a Comprehensive Plan for Addressing High Drug Prices that outlines principles for drug pricing reform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sets out a variety of potential legislative policies that Congress could pursue as well as potential administrative actions HHS can take to advance these principles.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this executive order or similar policy initiatives will be implemented in the future.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 xml:space="preserve">Human Capital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team of talented scientists and industry professionals is the foundation of our company and fuels our historical and prospective achievements for patients. We consider the intellectual capital of our employees to be an essential driver of our business and key to our future opportunities. As of December 31, 2023, we had 138 employees, of which approximately 97 (70%) were engaged in R&amp;D activities, 52 hold Ph.D. and/or M.D. degrees and an additional 31 hold a master's or other postgraduate degree. Every NGM Bio team member plays a vital role in furthering our goals and impacting our progress towards fully realizing our mission to develop transformative therapies for patients.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succeed in our mission, we must attract, recruit, retain, develop and motivate qualified clinical, nonclinical, scientific, manufacturing, regulatory, management and other personnel needed to support our business and operations. We recruit for talent in the biotechnology and pharmaceutical industry in the San Francisco Bay Area, which is in one of the most competitive and highest cost labor markets in the United States and periodically experiences higher turnover rates than other industries. We maintain a comprehensive dashboard of measurements, including recruitment productivity, diversity, equity and inclusion metrics, employee engagement scores, total rewards benchmarking, participation rates and satisfaction scores for internal training, turnover rates and exit interview results, to guide our human capital management efforts.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believe that we can best address competitive challenges by enhancing the reputation of NGM Bio as a great place to work, which includes nurturing our workplace culture, providing competitive compensation and benefits programs and supporting employee career development and related management training. To that end, we continue to invest resources and energy into being an employer of choice – attracting and engaging individuals who are innovative, curious, driven, diligent, collaborative and of the highest integrity and ethics. Some of our key efforts in this area and management of our human capital assets generally are described here.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Compensation and Benefits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compensation philosophy is to provide pay and benefits that are competitive in the biotechnology and pharmaceutical industry where we compete for talent. We monitor our compensation programs closely and review them throughout the year to provide what we consider a very competitive mix of compensation and health, welfare and retirement benefits for all our employees. Our compensation package for all employees includes market-competitive base salaries, eligibility for annual performance bonuses and equity grants. Our benefits programs include company-sponsored medical, dental and vision health care coverage, life and AD&amp;D insurance, a 401(k) plan with a matching employer contribution, paid time off and family leave and an employee stock purchase plan, among others benefits. Every year, we undertake a detailed review of our compensation by position and level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make adjustments necessary to ensure that we continue to provide competitive compensation. Our hiring practices and annual compensation reviews are designed to ensure fairness in pay equity across gender and ethnicity among similar roles and responsibilities throughout our organization, after accounting for legitimate business factors that can explain differences, such as performance, time at grade level, education and tenure. To comply with the California’s Pay Transparency law (SB 1162), beginning January 1, 2023, we publish pay ranges in all job postings and we proactively provide existing employees with the salary range for their positions. In addition, our efforts extend beyond pay equity to include fairness in gender and ethnic representation at all levels in the organization.</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Diversity, Equity and Inclusion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a diverse, equitable and inclusive workplace is key to our long-term success. As of December 31, 2023, NGM Bio employed 79 women (57%) and 59 men (43%), and 85 (62%) of our employees are non-white, including 15 (11%) that are from traditionally underrepresented groups. Our leadership, including employees at or above the vice president level and members of our board of directors, includes 53% women and 26% who are non-white. To champion our efforts in this area, a cross-functional team of employees continues to drive our diversity, equity and inclusion initiatives that have focused on awareness and understanding; diverse candidate pipelines; community outreach; advocacy and career advancement; and business impact. Our efforts, which began in 2020 with a focus on anti-Black racism, have included mandatory unconscious bias and discrimination training, an employee-led diversity page on our intranet updated monthly with fresh content, voluntary participation in a program to encourage allyship, guest speaker programs on diversity, equity and inclusion, or DEI, topics, and conducting a survey to understand employee sentiment around race-related issues to establish a baseline for tracking future progress. We implemented an internship program targeted to students from underrepresented minorities and adopted specific quantitative efforts to provide NGM Bio with a diverse candidate pipeline and more diverse interview panels. In addition to internal efforts, our research employees volunteer to teach elementary school students various topics in biology.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2022, we engaged an external consultant with expertise in DEI to help conduct an assessment to understand where improvements could be made in our culture to drive equitable outcomes and foster an inclusive environment, with a particular focus on women scientists. The assessment included cross-organizational interviews, focus group discussions, a detailed review of our policies, programs and business norms, an all-employee inclusion survey and a review of organizational diversity metrics to determine what are the barriers to success and advancement of women and underrepresented groups. The project identified three areas of action that are being shared across NGM Bio, and we began implementing the recommendations in 2023, conducting inclusive leadership training and developing inclusive meeting norms. In addition, we support an employee-led employee resource group, N-GAGE (NGM Gathers to Advance Gender Equity). Since its inception, N-GAGE has supported the DEI assessment, created community spaces for engagement and discussions on current topics disproportionately affecting women, and incubated a company-wide mentorship and professional enrichment program.</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Communication and Engagement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believe that part of what sets NGM Bio apart from other companies is our culture and our focus on providing timely and transparent communications and creating a strong sense of belonging and inclusiveness. We engage in many traditions and celebrations that contribute to what makes NGM Bio a special place to work: monthly themed happy hours; weekly group lunch programs, often with employee-led lunch-and-learns with scientific and other updates of interest; quarterly all-hands' meetings; regular coffee chats or other gatherings for small groups with our CEO and other members of senior management; and events including a summer family picnic, Thanksgiving potluck and holiday white elephant party, among many others. We survey our employees each year to measure their level of engagement at NGM Bio. These surveys provide rich feedback each year that helps us to continue to grow our culture and strive to make NGM Bio a great place to work.</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Health, Wellness and Safety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continue to offer services to promote our employees' whole health and wellness, including an on-site gym, external support from our employee assistance program and mental wellness and health advocacy services. </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None of our employees is subject to a collective bargaining agreement or represented by a trade or labor union. We consider our relations with our employees to be good.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Corporate and Available Information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were incorporated in Delaware in December 2007 and commenced operations in 2008. Our principal executive offices are located at 333 Oyster Point Blvd., South San Francisco, CA 94080-7014, and our telephone number is (650) 243-5555. Our website address is http://www.ngmbio.com.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file with or furnish electronically to the SEC annual reports on Form 10-K, quarterly reports on Form 10-Q, current reports on Form 8-K and amendments to those reports filed or furnished pursuant to Section 13(a) or 15(d) of the Exchange Act. We make copies of these reports available free of charge through the “SEC Filings” tab on the “Investors &amp; Media” page of our website as soon as reasonably practicable after we file with or furnish them to the SEC.</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Information contained on or accessible through our website is not incorporated into, and does not form a part of, this Annual Report or any other report or document we file with the SEC, and any references to our website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Annual Report on Form 10-K, or Annual Report, including in Part II, Item 7, “Management’s Discussion and Analysis of Financial Condition and Results of Operations” and in our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Annual Report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25, 2024, we entered into an Agreement and Plan of Merger, or the Merger Agreement, with Atlas Neon Parent, Inc., or Parent, and Atlas Neon Merger Sub, Inc., a wholly-owned subsidiary of Parent, or Merger Sub. The Merger Agreement provides for, among other things, (i) the acquisition of the Company by Parent through a cash tender offer, or the Offer, by Merger Sub for each issued and outstanding share of our common stock for $1.55 per share, or the Offer Price, and (ii) the merger of Merger Sub with and into the Company, or the Merger, with the Company surviving the Merger. The Merger Agreement, the Offer and the Merger are described in more detail under “Pending Transactions Contemplated by the Merger Agreement” in Part I, Item 1 of this Annual Report. </w:t>
      </w:r>
    </w:p>
    <w:p>
      <w:pPr>
        <w:pStyle w:val="TextBody"/>
        <w:bidi w:val="0"/>
        <w:spacing w:lineRule="auto" w:line="288" w:before="120" w:after="120"/>
        <w:ind w:left="0" w:right="0" w:firstLine="720"/>
        <w:jc w:val="both"/>
        <w:rPr/>
      </w:pPr>
      <w:r>
        <w:rPr>
          <w:rFonts w:ascii="Arial;sans-serif" w:hAnsi="Arial;sans-serif"/>
          <w:b w:val="false"/>
          <w:color w:val="000000"/>
          <w:sz w:val="20"/>
        </w:rPr>
        <w:t>If the Merger is effected, our common stock will be delisted from The Nasdaq Global Select Market and we will be privately held. During the pendency of the Merger, we may be subject to certain risks and uncertainties as more fully described below under the heading "Risks Related to the Offer and the Merger." If the Merger is not consummated for any reason, we will remain subject to the other risks and uncertainties described below.</w:t>
      </w:r>
      <w:r>
        <w:rPr>
          <w:color w:val="000000"/>
        </w:rPr>
        <w:t xml:space="preserve"> </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Risks Related to the Offer and the Merger</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The Offer and the Merger are subject to a number of conditions beyond our control. Failure to complete the Offer and the Merger within the expected time frame, or at all, could have a material adverse effect on our business, operating results, financial condition and our stock price.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Offer and the Merger are subject to a number of conditions beyond our control, including: (i) that the number of shares of our common stock validly tendered and not validly withdrawn, represents at least a majority of our common stock then outstanding owned by the Unaffiliated Stockholders as of the expiration of the Offer; (ii) the accuracy of our representations and warranties contained in the Merger Agreement (subject to certain exceptions and qualifications described in the Merger Agreement and except, generally, for any inaccuracies that have not had a Company Material Adverse Effect (as defined in the Merger Agreement)); (iii) our performance in all material respects of its obligations under the Merger Agreement and (iv) the other conditions set forth in Exhibit A to the Merger Agreement. The obligations of Parent and Merger Sub to consummate the Offer and the Merger under the Merger Agreement are not subject to a financing condition.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predict whether or when the conditions to the Offer will be satisfied. If one or more of the conditions are not satisfied, and as a result, we do not complete the Offer and the Merger, we would remain liable for significant transaction costs, and the focus of our management would have been diverted from advancing our three key development opportunities, in each case without realizing any benefits of the Offer and the Merger. Any disruptions to our business resulting from the announcement and pendency of the Offer and the Merger, including any adverse changes in our relationships with our business partners, suppliers and employees, could continue or accelerate in the event that we fail to consummate the Offer and the Merger.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stock price may also fluctuate significantly based on announcements by Parent, other third parties, or us regarding the Offer and the Merger or based on market perceptions of the likelihood of the satisfaction of the Minimum Tender Condition (as defined in the Merger Agreement) or other conditions to the consummation of the Offer and the Merger outside of our control, such as a governmental entity enacting a legal restraint or prohibition that that prevents or prohibits the Offer or the Merger. Such announcements may lead to perceptions in the market that the Offer and the Merger may not be completed, which could cause our stock price to fluctuate or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do not consummate the Offer and the Merger, our stock price may decline significantly from the current market price, which may reflect a market assumption that the Offer and the Merger will be consummated.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occurrence of any of these events could have a material adverse effect on our business, operating results and financial condition and could cause a decline in our stock price.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The Merger Agreement contains provisions that could discourage a potential competing acquirer.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provides that, upon the terms and subject to the conditions thereof, NGM and its representatives cannot directly or indirectly solicit, initiate or knowingly encourage or knowingly facilitate discussions with third parties regarding other proposals to acquire or combine with NGM, and we are subject to restrictions on our ability to respond to any such proposal. In the event that we receive an acquisition proposal from a third party, we must notify Parent of such proposal and negotiate in good faith with Parent prior to terminating the Merger Agreement or effecting a change in the recommendation of our Board and the Special Committee of the Board to our stockholders with respect to the Offer and Merger. The Merger Agreement also contains certain termination rights for Parent and us and further provides that, upon termination of the Merger Agreement under specified circumstances, including certain terminations in connection with an alternative business combination transaction as permitted by the terms of the Merger Agreement, we will be required to pay Parent a termination fee of $2.0 million. These provisions could discourage a potential third-party acquirer that might have an interest in acquiring all or a significant portion of our common stock from considering or proposing that acquisition, even if it were prepared to pay consideration with a higher per share cash or market value than the Offer Price proposed to be received or realized in the transaction. These provisions also might result in a potential third-party acquirer proposing to pay a lower price to our stockholders than it might otherwise have proposed to pay due to the added expense of the termination fee that may become payable in certain circumstances. If the Merger Agreement is terminated and we determine to seek another business combination, we may not be able to negotiate a transaction with another party on terms comparable to, or better than, the terms of the Offer and Merger. </w:t>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While the Offer and the Merger are pending, we are subject to business uncertainties and contractual restrictions that limit our ability to pursue financing or BD Arrangements and could disrupt our business, and the Offer and the Merger may impair our ability to attract and retain qualified employees or retain and maintain relationships with our suppliers and other business partners.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Whether or not the Offer and the Merger are consummated, the Offer and the Merger may disrupt our current plans and operations, which could have an adverse effect on our business and financial condition. The pendency of the Offer and the Merger will also divert much of management’s attention and our resources from addressing ongoing financing needs and may divert management's attention and resources from our ongoing business and operations and our employees. In addition, the pending Offer and the Merger, as well as the related prior public announcement by The Column Group, LP of its intent to explore and evaluate a potential acquisition of the Company, makes it more difficult to retain qualified employees while the Offer and the Merger are pending or in the event that we are unable to consummate the Offer or the Merger within the expected time frames or at all. If key personnel depart because of such uncertainties, our business and results of operations may be adversely affected.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pending consummation of the Offer and the Merger, the Merger Agreement generally requires us to operate in the ordinary course of business consistent with past practice and restricts us from taking certain actions with respect to our business and financial affairs without Parent’s consent. Such restrictions will be in place until either the Offer and the Merger are consummated or the Merger Agreement is terminated. These restrictions could restrict our ability to pursue or prevent us from pursuing attractive business or fundraising opportunities (if any) that arise prior to the consummation of the Offer and the Merger. For example, our ability to raise additional capital through the issuance of equity securities, incur indebtedness or pursue collaboration, out-licensing, partnership or other business development arrangements, or BD Arrangements, are generally restricted without Parent’s consent during the pendency of the Offer and the Merger. For these and other reasons, the pendency of the Offer and the Merger could adversely affect our business, operating results and financial condition.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clinical stage biotechnology company, our operations consume substantial amounts of cash, and we need significant additional capital to finance our operations and pursue our strategy. During the pendency of the Merger, restrictions on our ability to deploy our cash resources or raise additional cash could impede the progress of our clinical programs. These restrictions will remain in place until the consummation or earlier termination of the Merger Agreement. As a result, we may be subject to these restrictions until June 15, 2024, which is the date after which we or Parent may terminate the Merger Agreement if the Merger has not already occurred, or later, should we and the Parent choose not to terminate the Merger Agreement at such time. In addition, if the Merger is not consummated, we may face increased difficulties raising capital and may need to significantly delay, scale back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1"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discontinue development of, or abandon some or all of, our product candidates, or scale back or discontinue our discovery research efforts.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Stockholder litigation could prevent or delay the consummation of the Offer and the Merger or otherwise negatively impact our business, operating results and financial condition.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incur additional costs in connection with the defense or settlement of any future stockholder litigation in connection with the Offer and the Merger. Any such future litigation may adversely affect our ability to complete the Offer and the Merger. We could incur significant costs in connection with any such litigation, including costs associated with the indemnification of our directors and officers. Furthermore, one of the conditions to the consummation of the Offer and the Merger is the Legal Restraints condition (as defined in the Merger Agreement), such as, for example, if there is a legal prohibition imposed by a governmental entity preventing or prohibiting the consummation of the Merger then in effect. Consequently, if a plaintiff were to secure injunctive or other relief prohibiting, delaying or otherwise adversely affecting our ability to complete the consummation of the Offer and the Merger, then such injunctive or other relief may prevent the consummation of the Offer or the Merger within the expected time frames or at all.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We may become involved in securities class action litigation due to the Offer and the Merger that could divert management’s attention and harm our business, and adversely affect our ability to consummate the Offer and the Merger within the expected time frame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 We may be subject to such litigation or investigation even if no wrongdoing has occurred. Litigation and investigations are usually expensive and divert management’s attention and resources, which could adversely affect our business and cash resources and our ability to consummate the Offer and the Merger within the expected time frame or at all.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executive officers and directors may have interests in the Offer and the Merger that are different from, or in addition to, those of our stockholders generally.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executive officers and directors may have interests in the Offer and the Merger that are different from, or are in addition to, those of our stockholders generally, including the acceleration of equity awards in connection with the Merger and potential severance payments. Such interests of our directors and executive officers are set forth in further detail in the Schedule 14D-9 filed by NGM with the SEC on March 8, 2024.</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particular, David V. Goeddel, Ph.D. and William J. Rieflin entered into the Rollover Agreement (as defined in the Merger Agreement) on the date of the Merger Agreement, and David J. Woodhouse, Ph.D. entered into a joinder to the Rollover Agreement on March 6, 2024. Dr. Goeddel is a Managing Partner of The Column Group and our lead independent director. Mr. Rieflin is the Non-executive Chairman of our board of directors. Dr. Woodhouse is our Chief Executive Officer and a member of our board of directors. In addition, Roger M. Perlmutter, M.D., Ph.D., a member of our board of directors, is a Science Partner with The Column Group. The interests of Dr. Goeddel, Dr. Perlmutter, Mr. Rieflin and Dr. Woodhouse may not coincide with the interests of our other stockholders, particularly as it relates to The Column Group, the Offer and the Merger. </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have incurred, and will continue to incur, direct and indirect costs as a result of the Offer and the Merger.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incurred, and will continue to incur, significant costs and expenses, including fees for professional services and other transaction costs, in connection with the Offer and the Merger, including costs that we may not currently expect. We must pay substantially all of these costs and expenses whether or not the transaction is completed. If the Merger Agreement is terminated under specified circumstances, including certain terminations in connection with a Superior Company Proposal transaction (as defined in the Merger Agreement), we will be required to pay to Parent a termination fee equal to $2.0 million. </w:t>
      </w:r>
    </w:p>
    <w:p>
      <w:pPr>
        <w:pStyle w:val="TextBody"/>
        <w:bidi w:val="0"/>
        <w:spacing w:lineRule="auto" w:line="288" w:before="240" w:after="120"/>
        <w:ind w:left="0" w:right="0" w:hanging="360"/>
        <w:jc w:val="center"/>
        <w:rPr>
          <w:rFonts w:ascii="Arial;sans-serif" w:hAnsi="Arial;sans-serif"/>
          <w:b/>
          <w:color w:val="000000"/>
          <w:sz w:val="20"/>
        </w:rPr>
      </w:pPr>
      <w:r>
        <w:rPr>
          <w:rFonts w:ascii="Arial;sans-serif" w:hAnsi="Arial;sans-serif"/>
          <w:b/>
          <w:color w:val="000000"/>
          <w:sz w:val="20"/>
        </w:rPr>
        <w:t>Risks Related to Our Financial Condition and Capital Needs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incurred net losses every year since our inception and have no meaningful source of revenue. We expect to continue to incur significant operating losses and may never become profitable.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no products approved for commercial sale and have not generated any revenue from product sales to date. As a result, we are not profitable and have incurred losses in each year since commencing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42"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operations. Our net losses were $142.4 million, $162.7 million and $120.3 million for the years ended December 31, 2023, 2022 and 2021, respectively. As of December 31, 2023, we had an accumulated deficit of $724.0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to continue to incur significant research and development, or R&amp;D, and other expenses related to our ongoing operations for the foreseeable future, particularly to fund R&amp;D of, and, if warranted, to seek regulatory approvals for, our product candidates. We incurred substantial net operating losses in 2023 and expect to continue to incur significant operating losses in 2024 and over the next several years as our research, development, manufacturing, preclinical studies, clinical trial and related activities continue. We expect our accumulated deficit will also increase in future periods. The size of our future net losses will depend, in part, on the amount of our expenses and our ability to generate revenue. In this regard, we will receive minimal funding from Merck Sharp &amp; Dohme LLC, or Merck, through the first half of 2024 under the amended and restated research collaboration, product development and license agreement we entered into with Merck on June 30, 2021, or the Amended Collaboration Agreement, and we do not expect any funding thereafter from Merck. Accordingly, the Amended Collaboration Agreement is no longer a source of any meaningful revenue for us and we otherwise have no alternative sources of revenue in place.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prior losses and expected future losses have had and will continue to have an adverse effect on our stockholders’ equity and working capital.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will not be able to generate product revenue unless and until one of our product candidates successfully completes clinical trials, receives regulatory approval and is successfully commercialized. As our most advanced product candidate within our key priorities for clinical development is only in Phase 2 development, we do not expect to receive product revenue from our product candidates for a number of years, if ever.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generate any product revenue from our current or future product candidates also depends on a number of additional factors, including our ability or the ability of any potential future third-party partner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successfully complete research and clinical development of current and future product candidates and obtain regulatory approval for those product candidates;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establish and maintain supply and manufacturing relationships with third parties, and ensure adequate, scaled up and legally compliant manufacturing of bulk drug substances and drug products to maintain sufficient supply;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launch and commercialize any product candidates for which marketing approval is obtained, if any, and, if launched independently by us without a partner, successfully establish a sales force and marketing and distribution infrastructure;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demonstrate the necessary safety data (and, if accelerated approval is obtained, verify the clinical benefit) post-approval to ensure continued regulatory approval;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obtain coverage and adequate product reimbursement from third-party payors, including government payors, for any approved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achieve market acceptance for any approved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establish, maintain, protect and enforce our intellectual property rights;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attract, hire and retain qualified personnel.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successfully complete development and regulatory processes for any product candidates that we take forward, we anticipate incurring significant costs associated with launching and commercializing any approved products. If we fail to become profitable or do not sustain profitability on a continuing basis, we may be unable to continue our operations at planned levels and be forced to reduce or cease our operations.</w:t>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We have minimal committed external funding for our development efforts and will need to rely on our own financial resources and our ability to raise additional capital in order to further our development efforts.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have any committed external source of funds, other than pursuant to the Amended Collaboration Agreement with Merck. Under the Amended Collaboration Agreement, the research program term for certain minimal cardiovascular or metabolic-, or CVM-, related programs will continue through March 31, 2024, unless the parties mutually agree to extend the research program term through March 31, 2026, in which case Merck would provide up to a total of $20.0 million in R&amp;D funding during the additional two years of the CVM program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43"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program term. We do not expect the research program term will be extended. We expect to receive minimal funding from Merck in the first half of 2024 and we do not expect any funding at all from Merck thereafter.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Other than our Amended Collaboration Agreement with Merck, we are not party to any agreements that could provide us with future revenue. Accordingly, we will need to devote a substantial amount of our own financial resources to our R&amp;D programs. As a result, in order to advance our current and potential future product candidates through development and to regulatory approval and commercialization, we need to raise significant additional capital and/or we will need to enter into BD Arrangements to obtain funding or other resources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For example, we will need to raise significant additional capital in order to conduct any potential registrational trial of aldafermin in primary sclerosing cholangitis, or PSC. In addition, clinical development of NGM707 beyond completing the Phase 1 Part 1b cohort, including initiating additional cohorts, which may include MSS CRC patients, will require us to obtain the additional capital necessary to conduct such development. Moreover, further development of certain of our product candidates, such as NGM438, NGM831, NGM621 and NGM313, is dependent on our ability to secure future BD Arrangements and, in the absence of such BD Arrangements, we are unlikely to advance development of such product candidates unless our portfolio prioritization changes and we are able to secure the additional capital necessary to fund such development.</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need significant additional capital to proceed with development and commercialization of our current and potential future product candidates and our other operations. We may not be able to access sufficient capital on acceptable terms, if at all,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operations have consumed substantial amounts of cash since inception, and we need substantial additional capital to finance our operations and pursue our strategy, both in the short and the long term, and the amount of funding we will need depends on many factors,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initiation, progress, timing, delays, costs and results of preclinical studies and clinical trials for our current and future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outcome, timing and cost of seeking and obtaining regulatory approvals from the United States Food and Drug Administration, or FDA, and comparable foreign health authorities, including the potential for such authorities to require that we perform more studies than those that we currently expect or to change their requirements on studies that had previously been agreed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and timing of selecting, auditing and potentially validating a manufacturing site for later-stage clinical and commercial-scale manufacturing;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market acceptance of any approved product candidates, including product pricing and product reimbursement by third-party payors;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whether Merck exercises its option to license any preclinical candidates from our CVM-related programs at the license option exercise point as specified in the Amended Collaboration Agreement for each such candidate, which we do not expect Merck to do;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whether Merck terminates the research program term of the collaboration under pre-specified circumstances set forth in the Amended Collaboration Agreement or terminates any future licensed program, such as Merck's decision to terminate its license for NGM313 and its related compounds;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potentially acquiring, licensing or investing in additional businesses, products, product candidates and technologies;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establishing sales, marketing and distribution capabilities for any of our product candidates for which we may receive regulatory approval and that we determine to commercialize ourselves or in collaboration with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44"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At December 31, 2023, we had $144.2 million in cash, cash equivalents and short-term marketable securities. We believe that our existing cash, cash equivalents and short-term marketable securities will be sufficient to fund our operations for at least one year from the date this Annual Report is filed. We have based these estimates on plans and assumptions that may prove to be insufficient or inaccurate (for example, with respect to anticipated costs, timing or success of certain activities), and we could utilize our available capital resources sooner than we currently expect. These estimates do not include entering into BD Arrangements or receiving funds through debt or equity financing activities and, as a result, unless we significantly lower our use of cash, we may no longer have sufficient cash, cash equivalents and short-term marketable securities to fund our operations for more than one year at the end of future reporting periods. In addition, our forecast of the time period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in July 2022, we entered into an operating lease agreement, or the 2024 Lease Agreement, for our existing corporate office and laboratory space at 333 Oyster Point Boulevard, South San Francisco, California. The initial term of the 2024 Lease Agreement commenced on January 1, 2024 and expires on December 31, 2033. We do not expect to fully occupy our existing space for the foreseeable future, which could negatively impact our financial results given the fixed costs associated with the lease.</w:t>
      </w:r>
    </w:p>
    <w:p>
      <w:pPr>
        <w:pStyle w:val="TextBody"/>
        <w:bidi w:val="0"/>
        <w:spacing w:lineRule="auto" w:line="288" w:before="120" w:after="120"/>
        <w:ind w:left="0" w:right="0" w:firstLine="720"/>
        <w:jc w:val="both"/>
        <w:rPr/>
      </w:pPr>
      <w:r>
        <w:rPr>
          <w:rFonts w:ascii="Arial;sans-serif" w:hAnsi="Arial;sans-serif"/>
          <w:b w:val="false"/>
          <w:color w:val="000000"/>
          <w:sz w:val="20"/>
        </w:rPr>
        <w:t>On June 7, 2023, we entered into Amendment No. 1, or the Amendment, to the Open Market Sales Agreement</w:t>
      </w:r>
      <w:r>
        <w:rPr>
          <w:rFonts w:ascii="Arial;sans-serif" w:hAnsi="Arial;sans-serif"/>
          <w:b w:val="false"/>
          <w:color w:val="000000"/>
          <w:sz w:val="13"/>
        </w:rPr>
        <w:t>SM</w:t>
      </w:r>
      <w:r>
        <w:rPr>
          <w:rFonts w:ascii="Arial;sans-serif" w:hAnsi="Arial;sans-serif"/>
          <w:b w:val="false"/>
          <w:color w:val="000000"/>
          <w:sz w:val="20"/>
        </w:rPr>
        <w:t xml:space="preserve">, or the Sales Agreement, with Jefferies LLC, or Jefferies, and we refer to the Sales Agreement as amended as the Amended Sales Agreement. In connection with the Amendment, we filed a new shelf registration statement on Form S-3 which the SEC declared effective on August 4, 2023. The Amended Sales Agreement provides for the issuance and sales of shares of our common stock having an aggregate offering price of up to $100.0 million through or to Jefferies.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finance our future cash needs through public or private equity or debt offerings, including under the Amended Sales Agreement, BD Arrangements or a combination of these potential financing sources. Additional capital may not be available in sufficient amounts, on reasonable terms or when we need it, if at all. The global economy, including credit and financial markets, has experienced extreme volatility and disruptions, including, among other things, severely diminished liquidity and credit availability, declines in economic growth, supply chain shortages and disruptions, increases in inflation rates, elevated interest rates and uncertainty about economic stability. Increased inflation may result in increased operating costs (including labor costs) and may affect our operating budgets. In addition, the U.S. Federal Reserve has raised, and may further raise, interest rates in response to concerns about inflation. Elevated interest rates, especially if coupled with reduced government spending and volatility in financial markets, may further increase economic uncertainty and heighten these risks. Additionally, public health crises and ongoing global geopolitical conflicts have created extreme volatility in the global capital markets and are expected to have further global economic consequences, including disruptions of the global supply chain and energy markets.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the closures of Silicon Valley Bank, or SVB, and other banks in early 2023 have resulted in broader financial institution liquidity risk and concerns. Although we incurred no losses as a result of the closure of SVB or other banks,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adequate funds are not available from public or private equity or debt offerings on acceptable terms, in order to continue the development of our product candidates we may need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45"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seek strategic alliances for R&amp;D programs when we otherwise would not, at an earlier stage than we would otherwise desire or on terms less favorable than might otherwise be available;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enter into BD Arrangements that could require us to relinquish, or license, on potentially unfavorable terms, our rights to intellectual property, product candidates or products that we otherwise would develop or seek to commercialize ourselves.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this regard, we will need to raise significant additional capital in order to conduct any potential registrational trial of aldafermin in PSC. In addition, clinical development of NGM707 beyond completing the Phase 1 Part 1b cohort evaluating NGM707 in combination with pembrolizumab, including initiating additional cohorts, will require us to obtain the additional capital necessary to conduct such development. There is no guarantee that we will be able to raise sufficient additional capital in order to progress these key priorities in the event the Offer and the Merger are not consummated, in which case, our business, operating results and prospects will be materially and adversely affected, or we may be required to cease operations altogether. </w:t>
      </w:r>
    </w:p>
    <w:p>
      <w:pPr>
        <w:pStyle w:val="TextBody"/>
        <w:bidi w:val="0"/>
        <w:spacing w:lineRule="auto" w:line="288" w:before="120" w:after="120"/>
        <w:ind w:left="0" w:right="0" w:firstLine="720"/>
        <w:jc w:val="both"/>
        <w:rPr/>
      </w:pPr>
      <w:r>
        <w:rPr>
          <w:rFonts w:ascii="Arial;sans-serif" w:hAnsi="Arial;sans-serif"/>
          <w:b w:val="false"/>
          <w:color w:val="000000"/>
          <w:sz w:val="20"/>
        </w:rPr>
        <w:t>Moreover, due to the need to conserve capital and prioritize focused execution, we are seeking BD Arrangements with third-party partners with sufficient resources and relevant domain expertise in order to further the clinical development, if any, of NGM438, NGM831, NGM621 and NGM313. Further development of these programs is dependent on our ability to secure potential future BD Arrangements. However, we may not be able to enter into such BD Arrangements on acceptable terms, if at all. We face significant competition in seeking appropriate partners. Whether we would reach a definitive agreement for a BD Arrangement will depend, among other things, upon the potential partner’s evaluation of the subject product candidate and its market opportunity, our assessment of the partner’s resources and expertise and the terms and conditions of the potential BD Arrangement. In the absence of such BD Arrangements for these programs, we are unlikely to be able to advance their development unless our portfolio prioritization changes and we are able to secure the additional capital necessary to fund such development. For more information, see the risk factor titled “</w:t>
      </w:r>
      <w:r>
        <w:rPr>
          <w:rFonts w:ascii="Arial;sans-serif" w:hAnsi="Arial;sans-serif"/>
          <w:b w:val="false"/>
          <w:i/>
          <w:color w:val="000000"/>
          <w:sz w:val="20"/>
        </w:rPr>
        <w:t>While the Offer and the Merger are pending, we are subject to business uncertainties and contractual restrictions that limit our ability to pursue financing or BD Arrangements and could disrupt our business, and the Offer and the Merger may impair our ability to attract and retain qualified employees or retain and maintain relationships with our suppliers and other business partners</w:t>
      </w:r>
      <w:r>
        <w:rPr>
          <w:rFonts w:ascii="Arial;sans-serif" w:hAnsi="Arial;sans-serif"/>
          <w:b w:val="false"/>
          <w:color w:val="000000"/>
          <w:sz w:val="2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also restricted under our existing Amended Collaboration Agreement with Merck, and may be restricted under future BD Arrangements, from entering into additional agreements on certain terms with potential partners.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 addition, under the Amended Collaboration Agreement, we are prohibited from, directly or indirectly, researching, developing or commercializing any product for the treatment of heart failure with preserved ejection fraction during the research program term for the CVM-related programs. We also may be required to pay a low single-digit royalty on sales of certain product candidates that received funding from Merck and, if we decide, during a specified time period, to engage in partnering, licensing or asset sale negotiations regarding certain of such product candidates, we are obligated to notify Merck, provide Merck with certain information and engage in good faith, non-exclusive negotiations with respect to such product candidates. Such obligations may hamper our ability to successfully enter into BD Arrangements for such programs with parties other than Merck.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not be able to raise adequate additional capital or negotiate potential future BD Arrangements on a timely basis, on acceptable terms or at all. If we are unable to do so,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Raising additional capital may cause dilution to our existing stockholders, lead to restrictions on our operations or require us to relinquish rights to our product candidates or intellectual property.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Our ability to raise capital may be adversely impacted by the trading prices of our common stock given our stock price performance over the past year.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46"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Risks Related to Our Dependence on Third Parties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expect to depend in the future on BD Arrangements with third-party partners for the development and commercialization of our product candidates and for revenue. If we are unable to secure those BD Arrangements on beneficial terms, if at all, or if any such future arrangements are not successful, we may not be able to capitalize on the market potential of our product candidates or continue their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Pursuing BD arrangements has been and is expected to continue to be a key component of our strategy, and we are seeking BD Arrangements with third-party partners to progress, in whole or in part, the development of one or more of our product candidates. While we will consider BD Arrangements to advance development of our programs, the further development of certain programs, including NGM438, NGM831, NGM621 and NGM313, is dependent on our ability to secure potential future BD Arrangements for these programs. Due to the need to conserve capital and prioritize focused execution and unless our portfolio prioritization changes, if we are unable to secure BD Arrangements for these programs on beneficial terms, if at all, we are unlikely to be able to advance their development unless our portfolio prioritization changes and we are able to secure the additional capital necessary to fund such development. We may discontinue or abandon any or all of our programs altogether, in which case we will not realize any return on our investments in these programs. Even if we are successful in entering into any BD Arrangements with third-party partners for our programs, we will likely have limited control over the amount and timing of resources that our partners dedicate to the development or commercialization of the applicable product candidates. Our ability to generate revenue from any such arrangement will depend on the specific financial terms we reach with any partner, as well as each of our partners’ abilities to successfully perform the functions assigned to them in such arrangement towards developing, seeking regulatory approval for and commercializing our product candidates.</w:t>
      </w:r>
    </w:p>
    <w:p>
      <w:pPr>
        <w:pStyle w:val="TextBody"/>
        <w:bidi w:val="0"/>
        <w:spacing w:lineRule="auto" w:line="28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BD Arrangements involving our product candidates pose risks to us, including the following:</w:t>
      </w:r>
    </w:p>
    <w:p>
      <w:pPr>
        <w:pStyle w:val="TextBody"/>
        <w:bidi w:val="0"/>
        <w:spacing w:lineRule="auto" w:line="288" w:before="60" w:after="60"/>
        <w:ind w:left="0" w:right="0" w:hanging="360"/>
        <w:jc w:val="both"/>
        <w:rPr/>
      </w:pPr>
      <w:r>
        <w:rPr>
          <w:color w:val="000000"/>
          <w:shd w:fill="FFFFFF" w:val="clear"/>
        </w:rPr>
        <w:t>•</w:t>
      </w:r>
      <w:r>
        <w:rPr>
          <w:rFonts w:ascii="Arial;sans-serif" w:hAnsi="Arial;sans-serif"/>
          <w:b w:val="false"/>
          <w:color w:val="000000"/>
          <w:sz w:val="20"/>
        </w:rPr>
        <w:t>Partners have significant discretion in determining the efforts and resources that they will apply to these arrangements. For example, under the terms of the collaboration with Merck, if Merck exercises its option to acquire an exclusive license for any CVM-related preclinical candidate that remains within the scope of the collaboration, our ability to influence the resources Merck devotes to such candidate are substantially reduced until such time, if any, that we exercise our right to participate in a cost and profit share arrangement. Even after any exercise of the right to participate in a cost and profit share arrangement, our ability to influence Merck would be limited.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Partners might opt not to pursue development and commercialization of our product candidates or not to continue or renew development or commercialization programs based on clinical trial results, changes in the partner’s strategic focus or available funding or external factors, such as an acquisition that diverts resources or creates competing priorities.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partner with marketing and distribution rights might not commit sufficient resources to the marketing and distribution of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might not properly maintain or defend our intellectual property rights or may use our proprietary information in such a way as to invite litigation that could jeopardize or invalidate our proprietary information or expose us to potential litigation.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Disputes may arise between the partners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lose certain valuable rights under circumstances identified in our BD Arrangements, including if we undergo a change in control.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BD Arrangements might be terminated and, if terminated, may result in a need for additional capital to pursue further development or commercialization of the applicable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BD Arrangements might not lead to development or commercialization of product candidates in the most efficient manner, or at all. If a present or future partner of ours were to be involved in a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47"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combination, the continued pursuit of and emphasis on our product development or commercialization program under such arrangement could be delayed, diminished or terminated.</w:t>
      </w:r>
    </w:p>
    <w:p>
      <w:pPr>
        <w:pStyle w:val="TextBody"/>
        <w:bidi w:val="0"/>
        <w:spacing w:lineRule="auto" w:line="288" w:before="120" w:after="120"/>
        <w:ind w:left="0" w:right="0" w:firstLine="720"/>
        <w:jc w:val="both"/>
        <w:rPr/>
      </w:pPr>
      <w:r>
        <w:rPr>
          <w:rFonts w:ascii="Arial;sans-serif" w:hAnsi="Arial;sans-serif"/>
          <w:b w:val="false"/>
          <w:color w:val="000000"/>
          <w:sz w:val="20"/>
        </w:rPr>
        <w:t>With certain exceptions, we may not generally pursue potential future BD Arrangements for our programs during the pendency of the Offer and the Merger. For more information, see the risk factor titled “</w:t>
      </w:r>
      <w:r>
        <w:rPr>
          <w:rFonts w:ascii="Arial;sans-serif" w:hAnsi="Arial;sans-serif"/>
          <w:b w:val="false"/>
          <w:i/>
          <w:color w:val="000000"/>
          <w:sz w:val="20"/>
        </w:rPr>
        <w:t>While the Offer and the Merger are pending, we are subject to business uncertainties and contractual restrictions that limit our ability to pursue financing or BD Arrangements and could disrupt our business, and the Offer and the Merger may impair our ability to attract and retain qualified employees or retain and maintain relationships with our suppliers and other business partners</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be able to obtain and maintain the relationships with third parties that are necessary to develop, commercialize and manufacture some or all of our product candidates.</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In addition to our dependence on any potential future partners,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color w:val="000000"/>
        </w:rPr>
        <w:t>“</w:t>
      </w:r>
      <w:r>
        <w:rPr>
          <w:rFonts w:ascii="Arial;sans-serif" w:hAnsi="Arial;sans-serif"/>
          <w:b w:val="false"/>
          <w:i/>
          <w:color w:val="000000"/>
          <w:sz w:val="20"/>
        </w:rPr>
        <w:t xml:space="preserve">We rely completely on CMOs for the manufacture of our product candidates, and we are subject to many manufacturing risks, any of which could substantially increase our costs and limit supply of our product candidates and any future products"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We have no experience in sales, marketing and distribution and may have to enter into agreements with third parties to perform these functions, which could prevent us from successfully commercializing our product candidates.”</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guarantee that we or, as applicable, any of our partners will be able to successfully negotiate agreements for, and maintain relationships with, third-party partners and service providers on favorable terms, if at all. If we or any of our partners are unable to obtain and maintain these agreements, we may not be able to clinically develop, formulate, manufacture, obtain regulatory approvals for or commercialize our product candidates, which will, in turn, adversely affect our business. If we or any of our partners need to enter into alternative arrangements, it would delay our product development and, if applicable, commercialization activities and such alternative arrangements may not be available on terms acceptable to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these third parties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48"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completely on CMOs for the manufacture of our product candidates, and we are subject to many manufacturing risks, any of which could substantially increase our costs and limit supply of our product candidates and any future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product loss or other negative consequences due to contamination, equipment failure, improper installation or operation of equipment, vendor or operator error, shortages of qualified personnel or improper delivery or storage conditions;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unexpected quality control results during stability program execution that may lead to shorter than anticipated shelf-life or drug expiry, resulting in the need to manufacture additional batches or present other risks to our clinical supply chain;</w:t>
      </w:r>
    </w:p>
    <w:p>
      <w:pPr>
        <w:pStyle w:val="TextBody"/>
        <w:bidi w:val="0"/>
        <w:spacing w:lineRule="auto" w:line="268" w:before="120" w:after="120"/>
        <w:ind w:left="0" w:right="0" w:hanging="360"/>
        <w:jc w:val="both"/>
        <w:rPr/>
      </w:pPr>
      <w:r>
        <w:rPr>
          <w:color w:val="000000"/>
        </w:rPr>
        <w:t>•</w:t>
      </w:r>
      <w:r>
        <w:rPr>
          <w:rFonts w:ascii="Arial;sans-serif" w:hAnsi="Arial;sans-serif"/>
          <w:b w:val="false"/>
          <w:color w:val="000000"/>
          <w:sz w:val="20"/>
        </w:rPr>
        <w:t>the negative consequences of failure to comply with strictly enforced federal, state and foreign regulations;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minor deviations from normal manufacturing processes, which have in the past and may in the future result in reduced production yields, product defects and other supply disruptions;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presence of microbial, viral or other contaminants discovered in our product candidates or in the manufacturing facilities in which they are made, which can necessitate closure of facilities for an extended time period to investigate and eliminate the contamination;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negative consequences of our CMOs’ failure to qualify upon an audit by regulatory authorities, by us or by our collaborators;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CMOs’ changing strategies and business priorities, including as a result of changes in ownership, which can affect the availability of facilities where we intend to manufacture our product candidates;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CMOs or their manufacturing facilities being adversely affected by labor, raw material and component shortages, turnover of qualified staff or financial difficulties of their owners or operators, including as a result of the effects of financial market disruptions and economic slowdowns, or by disease outbreaks, epidemics, pandemics, natural disasters, power failures, local political unrest or other factors.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example, a CMO that produces aldafermin drug product was inspected by the FDA in 2022 and 2023 and received multiple critical Form 483 observations on its aseptic fill/finish GMP operations. If the CMO fails to address the FDA's concerns to the agency's satisfaction through the CMO's corrective actions, the CMO may receive additional warnings and, if we were to seek regulatory approval of aldafermin, any product that is manufactured on an affected line may not be qualified by the FDA, which could delay regulatory timelines significantly. Furthermore, the CMO recently announced a pending acquisition by an independent pharmaceutical entity. The potential impact on our longer-term ability to manufacture with this CMO is unknown at this time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49"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result in the need to perform a tech transfer to an alternate location, potentially increasing cost, delaying timelines and increasing program risks.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our CMOs,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w:t>
      </w:r>
    </w:p>
    <w:p>
      <w:pPr>
        <w:pStyle w:val="TextBody"/>
        <w:bidi w:val="0"/>
        <w:spacing w:lineRule="auto" w:line="26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to date our product candidates have been manufactured by CMOs solely for preclinical studies and relatively small clinical trials. We intend to continue to use CMOs for these purposes, and for the supply of larger quantities that may be required to conduct accelerated or expanded early clinical trials or larger, later clinical trials and for commercialization if we advance any of our product candidates through regulatory approval and to commercialization.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 Industry drug shortages, especially in prefilled syringe products such as GLP-1 agonists, may have a knock-on effect for clinical pipeline products we produce that use similar syringe components or utilize syringe fill/finish manufacturing lines.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transfer of our small-scale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0"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We have in the past, and we may in the future, experience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 which would adversely affect our ability to continue and complete clinical trials on our anticipated timing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If our CMOs are required to obtain an alternative source of certain raw materials and components, additional testing, validation activities and regulatory approvals may be required, which may negatively impact manufacturing and other development timelines. For example, in 2021, one of our CMOs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Some of our product candidates are currently solely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continue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no experience in sales, marketing and distribution and may have to enter into agreements with third parties to perform these functions, which could prevent us from successfully commercializing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currently have no sales, marketing or distribution capabilities. To commercialize our product candidates, we must either develop our own sales, marketing and distribution capabilities or make arrangements with third parties to perform these services for us.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1"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pStyle w:val="TextBody"/>
        <w:bidi w:val="0"/>
        <w:spacing w:lineRule="auto" w:line="288" w:before="300" w:after="283"/>
        <w:jc w:val="center"/>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ongoing discussions with the FDA or comparable foreign health authorities regarding the scope or design of our clinical trials, such as our discussions with the FDA regarding the design of the PSC registrational trial and whether we will be successful producing a toxicology package to support the potential initiation of a Phase 2 proof-of-concept trial of NGM120 in patients with hyperemesis gravidarum, or HG;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obtaining, or the inability to obtain, required approvals from institutional review boards and ethics committees or other governing entities at clinical trial sites selected for participation in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patient enrollment and other key trial activities, including as a result of the significant competition for recruiting patients with cancer in clinical trials and difficulty recruiting pregnant women to participate in clinical trials of NGM120 in HG;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reaching agreement on acceptable terms with prospective CROs and the failure of CROs, testing laboratories and other third parties to satisfy their contractual duties to us or meet expected deadlines;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deviations from the trial protocol by clinical trial sites and investigators, or failures to conduct the trial in accordance with regulatory requirements;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lower than anticipated retention rates of participants in clinical trials, including patients dropping out due to side effects or disease progression;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of enrolled patients to complete treatment or to return for post-treatment follow-up;</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for clinical trials in selected patient populations, delays in identification and auditing of central or other laboratories and the transfer and validation of assays or tests to be used to identify selected patients and test any patient samples;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implementation of new, or changes to, guidance or interpretations from the FDA or comparable foreign health authorities with respect to approval pathways for product candidates we are pursuing, such as with respect to the proposed utilization of a primary endpoint composed of surrogate biomarkers with the goal of obtaining accelerated approval for aldafermin for the treatment of PSC;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need to repeat clinical trials as a result of inconclusive or negative results, poorly executed testing or changes in required endpoints;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withdrawal of clinical trial sites or investigators from our clinical trials for any reason, including as a result of changing standards of care or the ineligibility of a site to participate in our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unfavorable FDA or comparable foreign health authority inspection or review of a clinical trial site or records of any clinical or preclinical investigation;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drug-related adverse effects or tolerability issues experienced by participants in our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government regulations or administrative actions;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lack of adequate funding to continue the clinical trials, particularly given our need to obtain additional capital in order to continue clinical development of NGM707 beyond completing the Phase 1 Part 1b cohort, including initiating additional cohorts, and to conduct a registrational trial of aldafermin in patients with PSC;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placement of a clinical hold on a trial by the FDA or comparable foreign health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52"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For example, we may need to conduct additional toxicology studies not currently planned in order to produce a toxicology package to support the potential initiation of a Phase 2 proof-of-concept trial of NGM120 in patients with HG. We also have only limited experience in conducting late-stage clinical trials required to obtain regulatory approval. In any event, we do not know whether any of our clinical trials will begin as planned, will need to be restructured or will be completed on schedule, or at all.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development costs will increase if we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early stages of development, with our most advanced product candidate within our key priorities for clinical development only in Phase 2 development. Before obtaining marketing approval from health authorities for the sale of our product candidates, we or our partners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there is a high failure rate for drugs and biologic products proceeding through clinical trials and failure can occur at any stage of testing. For example, despite the results of preclinical and Phase 1 studies of NGM621, our Phase 2 CATALINA clinical trial evaluating NGM621 in patients with geographic atrophy, or GA, secondary to advanced macular degeneration, or AMD, did not meet its primary endpoint. Similarly, our Phase 2b ALPINE 2/3 trial evaluating aldafermin in patients with nonalcoholic steatohepatitis liver fibrosis stage 2 or 3, or F2/F3 NASH, did not meet its primary endpoint and, as a result, we decided to suspend further development of aldafermin in patients with F2/F3 NASH, allowing for the reallocation of resources to advancing our other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Moreover, if we or a future partner seek accelerated approval for one of our product candidates based on a surrogate endpoint, the FDA may not accept such endpoint, may require additional studies or analysis or may not approve our product candidate on an accelerated basis, or at all. For example, we are designing a potential registrational trial of aldafermin in PSC and continuing discussions with the FDA, including on the proposed utilization of a primary endpoint composed of surrogate biomarkers with the goal of obtaining accelerated approval. There is no guarantee that the FDA will accept our proposed primary endpoint, in which case we may abandon the development of aldafermin in PSC.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also not be successful in generating clinical data sufficient to differentiate our product candidates from other products in the same therapeutic area. If our competitors' products are, or are perceived to be,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53"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pPr>
      <w:r>
        <w:rPr>
          <w:rFonts w:ascii="Arial;sans-serif" w:hAnsi="Arial;sans-serif"/>
          <w:b w:val="false"/>
          <w:color w:val="000000"/>
          <w:sz w:val="20"/>
        </w:rPr>
        <w:t>effective, more convenient, less costly or safer than our products, or we are unable to demonstrate differentiation in any of those factors, we may not be able to achieve a competitive position in the market. For more information, refer to the risk factor titled “</w:t>
      </w:r>
      <w:r>
        <w:rPr>
          <w:rFonts w:ascii="Arial;sans-serif" w:hAnsi="Arial;sans-serif"/>
          <w:b w:val="false"/>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partners to develop drugs that regulatory authorities deem effective and safe in humans, we will not have a viable business.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Success in preclinical studies or earlier-stage clinical trials may not be indicative of results in future clinical trials.</w:t>
      </w:r>
    </w:p>
    <w:p>
      <w:pPr>
        <w:pStyle w:val="TextBody"/>
        <w:bidi w:val="0"/>
        <w:spacing w:lineRule="auto" w:line="288" w:before="120" w:after="120"/>
        <w:ind w:left="0" w:right="0" w:firstLine="720"/>
        <w:jc w:val="both"/>
        <w:rPr/>
      </w:pPr>
      <w:r>
        <w:rPr>
          <w:rFonts w:ascii="Arial;sans-serif" w:hAnsi="Arial;sans-serif"/>
          <w:b w:val="false"/>
          <w:color w:val="000000"/>
          <w:sz w:val="20"/>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the data supporting our drug discovery and development programs are derived from laboratory and preclinical studies, and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Preliminary data and interim results from clinical trials may not be predictive of final results. For example, despite the results of preclinical and Phase 1 studies of NGM621, our Phase 2 CATALINA clinical trial evaluating NGM621 in patients with GA secondary to AMD did not meet its primary endpoint. Similarly, in spite of the results we had obtained in our Phase 1 trials of aldafermin and in our first Phase 2 trial, in May 2021, we announced that our Phase 2b ALPINE 2/3 trial evaluating aldafermin in patients with F2/F3 NASH did not meet its primary endpoint. For more information, refer to the risk factor titled “</w:t>
      </w:r>
      <w:r>
        <w:rPr>
          <w:rFonts w:ascii="Arial;sans-serif" w:hAnsi="Arial;sans-serif"/>
          <w:b w:val="false"/>
          <w:i/>
          <w:color w:val="000000"/>
          <w:sz w:val="20"/>
        </w:rPr>
        <w:t xml:space="preserve">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 </w:t>
      </w:r>
      <w:r>
        <w:rPr>
          <w:rFonts w:ascii="Arial;sans-serif" w:hAnsi="Arial;sans-serif"/>
          <w:b w:val="false"/>
          <w:color w:val="000000"/>
          <w:sz w:val="20"/>
        </w:rPr>
        <w:t>There can be no assurance that any clinical testing of our product candidates will be successful or will otherwise be supportive of continued development and/or regulatory approvals of such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earlier-stage clinical trials involve small patient populations, sometimes at single sites, and the results of these clinical trials may be subject to substantial variability and may not be indicative of either future interim results or final results. As a general matter, there is also a substantial risk that Phase 3 trials with larger numbers of patients and/or longer durations of therapy will fail to replicate efficacy and safety results observed in earlier clinical trials.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product candidates may cause undesirable side effects or adverse events or have other properties or safety risks, which could delay or prevent continued clinical development or their regulatory approval or limit the commercial profile of any approved label.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54"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Patients experienced, and we reported, serious adverse events, or SAEs, in the treatment arms of completed trials of NGM313, NGM621 and aldafermin.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solid tumor oncology clinical trials suffer from advanced life-threatening illness and have experienced, and we expect will continue to experience, SAEs and other adverse events, which may or may not be drug-related. If patients in any of our clinical trials experience a high or unacceptable severity and prevalence of side effects, including particularly SAEs, it could affect patient recruitment or the ability of enrolled patients to complete their treatment in a clinical trial, it may result in a regulatory authority putting a clinical hold on the clinical trial or it may result in failure to obtain regulatory approval for our product candidates or product liability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If we determine that ADAs are causing safety or efficacy concerns when using any of our product candidates, we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We may not successfully identify new product candidates to expand our development pipeline.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fail to select or capitalize on the most scientifically, clinically and commercially promising or profitable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For example, our pipeline programs in development include product candidates in solid tumor oncology, and we had previously been focusing the majority of our execution efforts and resources on these programs. Several of our early trials in solid tumor oncology did not show sufficiently promising results to support further investment at this time, and, as a result, we have redirected our focus to targeted oncology indications for NGM707 and for a new indication, HG, for NGM120. We have also redirected our clinical development efforts for aldafermin away from NASH to PSC. However, our new areas of focus may be unsuccessful and may never lead to the development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55"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viable commercial products. Similarly, our decisions to delay or terminate certain drug development programs to concentrate our resources elsewhere may be incorrect and could cause us to miss valuable opportunities.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must attract and retain highly skilled employees in order to succeed. If we are not able to retain our current senior management team, or to continue to attract and retain qualified scientific, technical and business personnel, our business will suffer.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2023, we announced a restructuring of our workforce, reducing our existing headcount by approximately 33%, that our founder, Dr. Jin-Long Chen, resigned from the Board and his position as Chief Scientific Officer, that Siobhan Nolan Mangini was stepping down as Chief Financial Officer and President, and that Jean-Frédéric Viret, Ph.D. was appointed as our new Chief Financial Officer. These significant changes have caused additional attrition of employees and may cause further attrition of employees, including senior management, and negatively affect employee morale. Additionally, as we are operating our business with fewer employees, including fewer members of senior management, the loss of a significant number of our remaining employees or of any of our current executive officers could result in a significant loss in the knowledge and experience that we, as an organization, possess and could cause significant delays, or outright failure, in the development and further commercialization of our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We recruit for talent in the biotechnology and pharmaceutical industry in the San Francisco Bay Area, which is one of the most competitive and highest cost labor markets in the United States and periodically experiences higher turnover rates than other industries. </w:t>
      </w:r>
    </w:p>
    <w:p>
      <w:pPr>
        <w:pStyle w:val="TextBody"/>
        <w:bidi w:val="0"/>
        <w:spacing w:lineRule="auto" w:line="288" w:before="120" w:after="120"/>
        <w:ind w:left="0" w:right="0" w:firstLine="720"/>
        <w:jc w:val="both"/>
        <w:rPr/>
      </w:pPr>
      <w:r>
        <w:rPr>
          <w:rFonts w:ascii="Arial;sans-serif" w:hAnsi="Arial;sans-serif"/>
          <w:b w:val="false"/>
          <w:color w:val="000000"/>
          <w:sz w:val="20"/>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See also the risk factor titled “</w:t>
      </w:r>
      <w:r>
        <w:rPr>
          <w:rFonts w:ascii="Arial;sans-serif" w:hAnsi="Arial;sans-serif"/>
          <w:b w:val="false"/>
          <w:i/>
          <w:color w:val="000000"/>
          <w:sz w:val="20"/>
        </w:rPr>
        <w:t>While the Offer and the Merger are pending, we are subject to business uncertainties and contractual restrictions that limit our ability to pursue financing or BD Arrangements and could disrupt our business, and the Offer and the Merger may impair our ability to attract and retain qualified employees or retain and maintain relationships with our suppliers and other business partners</w:t>
      </w:r>
      <w:r>
        <w:rPr>
          <w:rFonts w:ascii="Arial;sans-serif" w:hAnsi="Arial;sans-serif"/>
          <w:b w:val="false"/>
          <w:color w:val="000000"/>
          <w:sz w:val="20"/>
        </w:rPr>
        <w:t>." If we experience higher than expected employee attrition rates, it could have a negative impact on our productivity. If we are unable to attract and retain high-quality personnel, the rate and success with which we can discover and develop product candidates and our business will be limited.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face substantial competition, which may result in others discovering, developing or commercializing products before or more successfully than us.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Some of these pharmaceuticals in development are active, or seek to be active, against the same targets that our product candidates are engineered to effect. It is probable that the number of companies seeking to develop products and therapies that compete with our product candidates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collaboration or partnering relationships. Smaller and earlier-stage companies may also prove to be significant competitors, particularly through collaboration or partnering arrangements with large, established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56"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Although we believe there are no FDA- or European Commission-approved therapies that specifically target the signaling pathways that our current product candidates are designed to modulate or inhibit, there are numerous currently approved or otherwise widely used therapies for treating the same diseases or indications for which our product candidates may be useful. Some of these therapies act through mechanisms similar to our product candidates or are well-established therapies or products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“Business-Our Pipeline” in this Annual Report.</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efficacy and safety profile of the product candidate as demonstrated in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timing of market introduction of the product candidate, as well as competitive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clinical indications for which the product candidate is approved;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acceptance of the product candidate as a safe and effective treatment by physicians and patients;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actual and perceived advantages of the product candidate over alternative treatments, including any similar generic treatments;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viewpoints of influential physicians with respect to the product candidate;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inclusion or exclusion of the product candidate from treatment guidelines established by various physician groups;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treatment relative to alternative treatments;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pricing and the availability of coverage and adequate reimbursement by third parties and government authorities as described in the risk factor titled “</w:t>
      </w:r>
      <w:r>
        <w:rPr>
          <w:rFonts w:ascii="Arial;sans-serif" w:hAnsi="Arial;sans-serif"/>
          <w:b w:val="false"/>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r>
        <w:rPr>
          <w:color w:val="000000"/>
        </w:rPr>
        <w:t>”</w:t>
      </w:r>
      <w:r>
        <w:rPr>
          <w:rFonts w:ascii="Arial;sans-serif" w:hAnsi="Arial;sans-serif"/>
          <w:b w:val="false"/>
          <w:color w:val="000000"/>
          <w:sz w:val="20"/>
        </w:rPr>
        <w: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relative convenience and ease of administration;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frequency and severity of adverse events;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effectiveness of sales and marketing efforts;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any unfavorable publicity relating to the product candidate.</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For example, aldafermin is administered via a once-daily subcutaneous injection, which may negatively impact market acceptance of an approved aldafermin product, if any. In addition, refer to the risk factor titled </w:t>
      </w:r>
      <w:r>
        <w:rPr>
          <w:color w:val="000000"/>
        </w:rPr>
        <w:t>“</w:t>
      </w:r>
      <w:r>
        <w:rPr>
          <w:rFonts w:ascii="Arial;sans-serif" w:hAnsi="Arial;sans-serif"/>
          <w:b w:val="false"/>
          <w:i/>
          <w:color w:val="000000"/>
          <w:sz w:val="20"/>
        </w:rPr>
        <w:t>Our product candidates may cause undesirable side effects or adverse events or have other properties or safety risks, which could delay or prevent continued clinical development or their regulatory approval or limit the commercial profile of any approved label.</w:t>
      </w:r>
      <w:r>
        <w:rPr>
          <w:rFonts w:ascii="Arial;sans-serif" w:hAnsi="Arial;sans-serif"/>
          <w:b w:val="false"/>
          <w:color w:val="000000"/>
          <w:sz w:val="20"/>
        </w:rPr>
        <w:t xml:space="preserve">" If any product candidate is approved but does not achieve an adequate level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57"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acceptance by such parties, we may not generate or derive sufficient revenue from that product candidate and may not become or remain profitable.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regulations that govern pricing and reimbursement for new drug products vary widely from country to country. In the United States, there has been increasing executive, legislative and enforcement interest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in the United States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many regions outside of the United States, including the European Union, or EU, Japan and Canada, the pricing of prescription drugs is already controlled by the government and some countries require approval of the sale price of a drug before it can be marketed. In many countries, the pricing review period begins after regulatory approval for the product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approving the sale price for a marketed drug, many countries outside of the United States implement health technology assessment, or HTA, procedures that use formal economic metrics such as cost effectiveness to determine prices, coverage and reimbursement of new therapies. These assessments are increasingly implemented in established and emerging markets and could require us to compile additional data comparing the cost-effectiveness of our products to other available therapies. Efforts to generate additional data for the HTA process could involve additional expenses which may substantially increase the cost of commercializing and marketing our products outside the United States. Regulatory agencies may also determine that the pricing for our products should be based on prices of other commercially available drugs for the same disease, rather than allowing us to market our products at a premium as new drugs. Adverse pricing limitations, either before or after initial approvals, may hinder our ability to recoup our investment in one or more product candidates, even if our product candidates obtain marketing approval. If we are unable to maintain favorable pricing status in EU member states or other countries that represent significant markets, our anticipated revenue from and growth prospects for our products from those regions could be negatively affected.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commercial success also depends on coverage and adequate reimbursement of our product candidates by third-party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58"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international operations may expose us to business, regulatory, political, operational, financial, pricing and reimbursement risks associated with doing business outside of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Some of our suppliers and clinical trial sites are located outside of the United States. Furthermore, if we or any future partner succeeds in developing any of our product candidates, we intend to market them in the EU and other jurisdictions in addition to the United States. If approved, we or any future partner may hire sales representatives and conduct physician and patient association outreach activities outside of the United States. Doing business internationally involves a number of challenges and risks, including but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multiple, conflicting and changing laws and regulations, such as privacy and data protection regulations, tax laws, export and import restrictions, employment laws, regulatory requirements and other governmental approvals, permits and licenses;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rejection or qualification of foreign clinical trial data by the competent authorities of other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or interruptions in the supply of clinical trial material resulting from any events affecting raw material or component supply or manufacturing capabilities abroad;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additional potentially relevant third-party patent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complexities and difficulties in obtaining, maintaining, protecting and enforcing our intellectual property;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difficulties in staffing and managing foreign operations;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limits on our ability to penetrate international markets;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financial risks, such as longer payment cycles, difficulty collecting accounts receivable, the impact of inflation and local and regional financial crises on demand and payment for our products and exposure to foreign currency exchange rate fluctuations;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natural disasters, political, geopolitical and economic instability, including wars such as the conflict between Russia and Ukraine, terrorism and political unrest, disease outbreaks, epidemics and pandemics, boycotts, curtailment of trade and other business restrictions;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these factors could harm our ongoing international clinical operations and supply chain, as well as any future international expansion and operations and, consequently, our business, financial condition, prospects and 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face an inherent risk of product liability exposure related to the testing of our product candidates in human clinical trials and will face an even greater risk if we or our partner commercializes any resulting products. This risk is heightened in regard to the potential Phase 2 proof-of-concept study of NGM120 for the treatment of HG given the highly vulnerable potential patient population involved.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59"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decreased demand for any product candidates or products that we may develop;</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termination of clinical trial sites or entire trial programs;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injury to our reputation and significant negative media attention;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withdrawal of clinical trial participants;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significant costs to defend the related litigation;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substantial monetary awards to trial subjects or patients;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loss of revenue;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diversion of management and scientific resources from our business operations;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inability to commercialize any products that we may develop.</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federal False Claims Act, or FCA, imposes criminal and civil penalties, including through civil whistleblower or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0"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analogous state and foreign laws and regulations, such as state and foreign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business could be materially and adversely affected in the future by the effects of disease outbreaks, epidemics and pandemics.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Disease outbreaks, epidemics and pandemics in regions where we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For example, our ability to attract additional clinical trial sites and principal investigators to conduct our clinical trials and to conduct the necessary clinical trial site initiation procedures was impacted by COVID-19 quarantines, shelter-in-place and similar restrictions imposed by federal, state and local governments. In addition, during the COVID-19 pandemic, we experienced, from time to time, a slower pace of clinical site initiation and clinical trial enrollment and a higher subject dropout rate than originally anticipated in certain of our clinical trials, which we believe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General supply chain issues may be exacerbated during disease outbreaks, epidemics and pandemics and may also impact the ability of our clinical trial sites to obtain basic medical supplies used in our trials in a timely fashion, if at all. In addition, our CMOs’ facilities and operations were adversely affected by labor, raw material and component shortages, high turnover of staff and difficulties in hiring trained and qualified replacement staff during the COVID-19 pandemic. These difficulties resulted in some delays in early development timelines and we could experience more significant disruptions to our supply chain and operations as a result of disease outbreaks, epidemics or pandemics in the future. If our CMOs are required to obtain an alternative source of certain raw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1"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future disease outbreaks, epidemics or pandemics. For example, early in the COVID-19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the extent the effects of any future disease outbreak, epidemic or pandemic adversely affect our business and results of operations, it also may have the effect of heightening many of the other risks and uncertainties described elsewhere in this "Risk Factors" section.</w:t>
      </w: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Risks Related to Regulatory Approvals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The regulatory approval processes of the FDA and comparable foreign health authorities are lengthy and inherently unpredictable. Our inability to obtain regulatory approval for our product candidates would substantially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could fail to receive regulatory approval from the FDA or a comparable foreign health authority for many reasons,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disagreement with the design or implementation of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 is safe and effective for its proposed indication;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of results of clinical trials to meet the level of statistical significance required for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candidate’s clinical and other benefits outweigh its safety risks;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disagreement with our interpretation of data from preclinical studies or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insufficiency of data collected from clinical trials to support the submission and filing of a biologics license application, or BLA, or other submission or to obtain regulatory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failure to obtain approval of the manufacturing processes or facilities of third-party manufacturers with whom we contract for clinical and commercial supplies;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unfavorable quality review or audit/inspection findings;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the approval policies or regulations that render our preclinical and clinical data insufficient for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or conditional marketing authorization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 In this regard, we are designing a potential registrational trial of aldafermin in PSC and continuing discussions with the FDA, including on the proposed utilization of a primary endpoint composed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62"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surrogate biomarkers with the goal of obtaining accelerated approval. There is no guarantee that the FDA will accept our proposed primary endpoint, in which case, we may abandon the development of aldafermin in PSC.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a future partner seek accelerated approval for one of our product candidates, such as aldafermin in PSC, based on a surrogate endpoint, the FDA may not accept such endpoint, may require additional studies or analysis or may not approve our product candidate on an accelerated basis, or at all. In addition, if full approval is granted for another product in the same indication for which we are seeking accelerated approval for one of our product candidates, the accelerated approval pathway may no longer be available to us or a future partner for our product candidate.</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failure to obtain health authority approval in foreign jurisdictions would prevent us from marketing our product candidates outside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partners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our product candidates receive regulatory approval, they may still face future development and regulatory difficulties.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variation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authority discover previously unknown problems with a product, such as adverse events of unanticipated severity or frequency, or problems with the facility where the product is manufactured, a regulatory authority may impose restrictions on that product, the manufacturing facility or us, including requiring recall or withdrawal of the product from the market or suspension of manufacturing. If we or the manufacturing facilities for our product candidates fail to comply with applicable regulatory requirements, or if our product candidates are found to cause undesirable or unacceptable side effects, a regulatory authority may: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63"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issue safety alerts, Dear Healthcare Provider letters, press releases or other communications containing warnings about such product;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mandate modifications to promotional materials or require us to provide corrective information to healthcare practitioners;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require that we conduct and complete post-marketing studies;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seek an injunction or impose civil or criminal penalties or monetary fines;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marketing of, withdraw or vary regulatory approval of or initiate a recall of such product;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any ongoing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refuse to approve pending applications or supplements to applications filed by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or impose restrictions on operations, including costly new manufacturing requirements;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seize or detain products or refuse to permit the import or export of products.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occurrence of any event or penalty described above may inhibit our ability to commercialize our products and generate revenue.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the advertising and promotion of medicinal products are subject to both EU and EU member state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Promotion materials and advertising may also require approval by competent authorities in certain European Economic Area, or EEA, countries. Direct-to-consumer advertising of prescription medicinal products is also prohibited in the EU.</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Failure to comply with EU, EU member state, and other country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64"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In addition, legislation adopted at the EU level may be implemented differently by individual EU member states. These regulations, and their differing implementations in EU member states, increase our legal and financial compliance costs and may make some activities more time-consuming and expensive.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we are able to obtain regulatory approvals for any of our product candidates, if they exhibit harmful side effects after approval, our regulatory approvals could be revoked or otherwise negatively impacted.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Additionally, we may be required to conduct additional clinical trials, make changes in labeling of our product, reformulate our product or make changes and obtain new approvals for our and our suppliers’ manufacturing facilities for our product candidates. Equivalent obligations could be imposed by the foreign health authorities.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success depends in significant part upon our ability to obtain and maintain intellectual property protection for our products and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success depends in significant part on our ability and the ability of our current or future licensors, licensees, partners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partners or collaborators may not be able to prepare, file and prosecute all necessary or desirable patent applications at a reasonable cost or in a timely manner. It is also possible that we or our current or future licensors, licensees, partners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partners or collaborators may not result in patents being issued that protect our technology or product candidates, or products resulting therefrom, in whole or in part, or that effectively prevent others from commercializing competitive technologies and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Similar to other biotechnology companies, our patent position is generally highly uncertain and involves complex legal and factual questions. In this regard, we cannot be certain that we or our current or future licensors, licensees, partners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partners or collaborators to obtain new patents or to enforce existing patents and patents we may obtain in the future. In any event, the issuance, scope, validity, enforceability and commercial value of our patent rights and those of our current or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65"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licensors, licensees, partners or collaborators are highly uncertain and may not effectively prevent others from commercializing competitive technologies and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partners or collaborators to perform these activities, which means that these patent applications may not be prosecuted, and these patents may not be enforced, in a manner consistent with the best interests of our business. If our current or future licensors, licensees, partners or collaborators fail to establish, maintain, protect or enforce such patents and other intellectual property rights, such rights may be reduced or eliminated. If our current or future licensors, licensees, partners or collaborators are not fully cooperative or disagree with us as to the prosecution, maintenance or enforcement of any patent rights, such patent rights could be compromised.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partners or collaborators, to enforce intellectual property rights around the world may be inadequate to obtain a significant commercial advantage from the intellectual property that we own or license.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currently own or have a license to any issued patents that cover our NGM438 product candidate, although NGM438 is disclosed and claimed in pending U.S. non-provisional and international applications. Our NGM707 and NGM831 product candidates are each covered by one issued U.S. patent, and our NGM621 product candidate is covered by two issued U.S. patents, although the product and related compositions of matter and methods of use are disclosed and claimed in other pending U.S. non-provisional and/or national stage applications in particular foreign countries.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unable to obtain intellectual property rights or technologies necessary to develop and commercialize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Several third parties are actively researching and seeking and obtaining patent protection in the fields of cancer, liver and metabolic diseases and CVM-related diseases, including heart failure, and there are issued third-party patents and published third-party patent applications in these fields. The patent landscape around our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could lose the ability to continue the development and commercialization of our products or product candidates if we breach any license agreement related to those products or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commercial success depends upon our ability, and the ability of our current and future licensors, licensees, partners and collaborators, to develop, manufacture, market and sell our products and product candidates and use our proprietary technologies without infringing the proprietary rights of third parties. A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66"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We require prior consent from some of these vendors to grant sub-licenses under these agreements. Therefore, these vendors may be able to prevent us from granting sub-licenses to third parties, which could affect our ability to use certain desired manufacturers in order to manufacture our product candidates. In the event of a termination of our license agreements, our ability to manufacture or develop any product candidates covered by these agreements may be limited or halted unless we can develop or obtain the rights to technology necessary to produce these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become involved in lawsuits or other proceedings to protect or enforce our intellectual property, which could be expensive, time-consuming and unsuccessful and have a material adverse effect on the success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infringe patents or misappropriate or otherwise violate intellectual property rights owned or controlled by us or our current or future licensors, licensees, partners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partners or collaborators. Litigation could result in substantial costs and diversion of management resources, which could harm our business and financial results.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current or future licensors, licensees, partners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partners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initiate legal proceedings against us or our current or future licensors, licensees, partners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partners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partners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67"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proceedings or developments. If securities analysts or investors perceive these results to be negative, it could have a material adverse effect on the price of shares of our common stock.</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Third-party pre-issuance submission of prior art to the USPTO, opposition, derivation, revocation, reexamination,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partners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partners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Third parties may initiate legal proceedings against us or our current or future licensors, licensees, partners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derivation proceedings before the USPTO or its counterparts in other jurisdictions. In this regard, we are aware of several third-party patents and patent applications containing claims directed to compositions of 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partners or collaborators may be subject to claims that former employees, partners, collaborators or other third parties have an interest in our owned or in-licensed patents, trade secrets or other intellectual property as an inventor or co-inventor. Litigation may be necessary to defend against these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 unfavorable outcome in any such proceeding could require us and our current or future licensors, licensees, partners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68"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complexity and uncertainty of European patent laws have increased in recent years. In Europe, the new unitary patent system that came into effect in 2023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 xml:space="preserve">Risks Related to Ownership of Our Common Stock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have in the past and may in the future fail to continue to meet the listing standards of Nasdaq, and as a result our common stock may be delisted, which could have a material adverse effect on the liquidity of our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currently trades on The Nasdaq Global Select Market. The Nasdaq Stock Market LLC, or Nasdaq, has requirements that a company must meet in order to remain listed on Nasdaq. On December 1, 2023, we received a letter from the Listing Qualifications Staff, or the Nasdaq Staff, of Nasdaq notifying us that for the last 30 consecutive business days, the bid price of our common stock had closed below $1.00 per share, the minimum closing bid price required by Nasdaq's continued listing requirements. The notification had no immediate effect on the listing of our common stock on The Nasdaq Global Select Market. In accordance with Nasdaq requirements, we had a period of 180 calendar days, or until May 29, 2024, or the Compliance Date, to regain compliance with the minimum bid price requirement. On January 18, 2024, we received a letter from Nasdaq notifying us that the closing bid price of our common stock had been at $1.00 per share or greater for 10 consecutive business days, from January 2, 2024 to January 17, 2024, and accordingly, we had regained compliance with Nasdaq Listing Rule 5450(a)(1). There can be no assurance that we will continue to meet the minimum bid price requirement, or any other Nasdaq requirements, in the future. In addition, we may be unable to meet other applicable Nasdaq listing requirements, including maintaining minimum levels of stockholders’ equity or market values of our common stock, in which case our common stock could be delisted.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remain a public company and our common stock were to be delisted from Nasdaq, we could face significant material adverse consequences,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limited availability of market quotations for our common stock;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reduced amount of news and analyst coverage for our company;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decreased ability to issue additional securities or obtain additional financing in the future;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reduced liquidity for our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potential loss of confidence by partners and employees;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loss of institutional investor interest and fewer business development opportunities.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The market price of our common stock has been and may continue to be volatile, and you could lose all or part of your investment.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market price for our common stock has fluctuated significantly from time to time, for example, varying between a high of $32.12 on March 17, 2021 and a low of $0.60 on November 16, 2023.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failure to complete the Offer and the Merger within the expected time frame, or at all;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interim or final results of clinical trials of our product candidates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69"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raise adequate capital through public or private equity or debt offerings or negotiate potential BD Arrangements in a timely manner or at all, particularly in light of restrictions imposed on such activities under the Merger Agreement;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success of competitive products or technologies;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actions with respect to our product candidates or our competitors’ product candidates or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timeline delays in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level of expenses related to any of our product candidates or clinical development programs;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actual or anticipated changes in our growth rate relative to our competitors;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announcements by us or our competitors or partners of significant acquisitions, strategic collaborations, joint ventures or capital commitments;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legal or payor developments in the United States and other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recruitment or departure of key personnel;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results of our efforts to in-license or acquire additional product candidates or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fluctuations in the valuation of companies perceived by investors to be comparable to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share price and volume fluctuations attributable to inconsistent trading volume levels of our shares;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announcement or expectation of financing efforts;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purchases or sales of our common stock by us, our insiders or our other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the structure of healthcare payment systems;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market conditions in the pharmaceutical and biotechnology sectors; and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general economic, industry and market conditions.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ongoing global geopolitical conflicts,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effects of potential future bank failures, macroeconomic factors including inflation and elevated interest rates, and global geopolitical conflicts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of volatility in our trading price and trading volume, we may incur significant costs from class action securities litigation.</w:t>
      </w:r>
    </w:p>
    <w:p>
      <w:pPr>
        <w:pStyle w:val="TextBody"/>
        <w:bidi w:val="0"/>
        <w:spacing w:lineRule="auto" w:line="288" w:before="120" w:after="120"/>
        <w:ind w:left="0" w:right="0" w:firstLine="720"/>
        <w:jc w:val="both"/>
        <w:rPr/>
      </w:pPr>
      <w:r>
        <w:rPr>
          <w:rFonts w:ascii="Arial;sans-serif" w:hAnsi="Arial;sans-serif"/>
          <w:b w:val="false"/>
          <w:color w:val="000000"/>
          <w:sz w:val="20"/>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factors titled “</w:t>
      </w:r>
      <w:r>
        <w:rPr>
          <w:rFonts w:ascii="Arial;sans-serif" w:hAnsi="Arial;sans-serif"/>
          <w:b w:val="false"/>
          <w:i/>
          <w:color w:val="000000"/>
          <w:sz w:val="20"/>
        </w:rPr>
        <w:t>An active trading market for our common stock may not be sustained and sales of a substantial number of shares of our common stock in the public market could cause our stock price to fall</w:t>
      </w:r>
      <w:r>
        <w:rPr>
          <w:color w:val="000000"/>
        </w:rPr>
        <w:t xml:space="preserve">” </w:t>
      </w:r>
      <w:r>
        <w:rPr>
          <w:rFonts w:ascii="Arial;sans-serif" w:hAnsi="Arial;sans-serif"/>
          <w:b w:val="false"/>
          <w:color w:val="000000"/>
          <w:sz w:val="20"/>
        </w:rPr>
        <w:t>and "</w:t>
      </w:r>
      <w:r>
        <w:rPr>
          <w:rFonts w:ascii="Arial;sans-serif" w:hAnsi="Arial;sans-serif"/>
          <w:b w:val="false"/>
          <w:i/>
          <w:color w:val="000000"/>
          <w:sz w:val="20"/>
        </w:rPr>
        <w:t>We may become involved in securities class action litigation due to the Offer and the Merger that could divert management’s attention and harm our business, and adversely affect our ability to consummate the Offer and the Merger within the expected time frame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0"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Our principal stockholders, including entities affiliated with The Column Group, Merck and management, own a substantial percentage of our stock and collectively will be able to exert significant control over matters subject to stockholder approval.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28, 2023, David V. Goeddel, Ph.D., a member of our board of directors, and entities affiliated with The Column Group, collectively referred to as TCG, collectively beneficially owned approximately 26.7% of our common stock and, as a result, have the ability to significantly influence all matters submitted to our stockholders for approval at a meeting of our stockholders, including the approval of any significant transaction. On December 28, 2023, we received a letter from TCG which expressed TCG's intent to explore and evaluate a potential acquisition of all of our outstanding shares of common stock not already owned by TCG in a going private transaction. We subsequently executed the Merger Agreement with Parent and Merger Sub, each of which TCG is the controlling stockholder and with which Dr. Goeddel is affiliated (although Dr. Goeddel recused himself from the board of directors’ determination in favor of the Merger). With respect to the Offer and the Merger, although TCG has the ability to significantly influence matters submitted to our stockholders for approval at a meeting of our stockholders, the consummation of the Offer is subject to the condition that at least a majority of our stockholders unaffiliated with TCG and certain other parties elect to tender their shares in the Offer.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our executive officers, directors, significant stockholders, including TCG and Merck and their respective affiliates, collectively beneficially own a substantial amount of our voting stock. These stockholders collectively may be able to determine all matters requiring stockholder approval at a meeting of our stockholders. For example, these stockholders collectively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particularly as it relates to TCG and the Offer and the Merger. In addition, if any of our significant stockholders decide to sell a meaningful amount of their ownership position and there is not sufficient demand in the market for our common stock, our stock price could fall.</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a “smaller reporting company” and the reduced disclosure requirements applicable to such companies that we have availed ourselves of may make our common stock less attractive to investors.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currently a “smaller reporting company” as defined in the Exchange Act. We will be a smaller reporting company and may take advantage of the scaled-back disclosures available to smaller reporting companies for so long as (i) the market value of our voting and non-voting ordinary shares held by non-affiliates is less than $250.0 million measured on the last business day of our second fiscal quarter or (ii) (a) our annual revenue is less than $100.0 million during the most recently completed fiscal year and (b) the market value of our voting and non-voting ordinary shares held by non-affiliates is less than $700.0 million measured on the last business day of our second fiscal quarter.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certain of the accommodations available to smaller reporting companies, including but not limited to reduced disclosure obligations regarding executive compensation arrangements.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certain of the scaled-back disclosure permitted for smaller reporting companies, there may be a less active trading market for our common stock and our share price may be more volatile.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and sales of a substantial number of shares of our common stock in the public market could cause our stock price to fall.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the trading days during the three months ended December 31, 2023, the average daily trading volume for our common stock on The Nasdaq Global Select Market was only 481,473 shares. As a result, sales of a substantial number of shares of our common stock in the public market, including pursuant to the Amended Sales Agreement, or by any of our large stockholders, or even the perception in the market that we or the holders of a large number of shares intend to sell shares, could reduce the market price of our common stock. In addition,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1"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do not intend to pay dividends on our common stock so any returns will be limited to the value of our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Some provisions of our charter documents and Delaware law may have anti-takeover effects or could otherwise discourage an acquisition of us by others, even if an acquisition would benefit our stockholders, and may prevent attempts by our stockholders to replace or remove our current management.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authorizing the issuance of “blank check” preferred stock, the terms of which we may establish and shares of which we may issue without stockholder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prohibiting cumulative voting in the election of directors, which would otherwise allow for less than a majority of stockholders to elect director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prohibiting stockholder action by written consent, thereby requiring all stockholder actions to be taken at a meeting of our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eliminating the ability of stockholders to call a special meeting of stockholders;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establishing advance notice requirements for nominations for election to the board of directors or for proposing matters that can be acted upon at stockholder meetings.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which may discourage, delay or prevent someone from acquiring us or merging with us whether or not it is desired by or beneficial to our stockholders. In addition, Section 203 of the Delaware General Corporation Law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72"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duty owed by any director, officer or other employee to us or our stockholders; any action asserting a claim against us or any director or officer or other employee arising pursuant to the Delaware General Corporation Law, our amended and restated certificate of incorporation or our amended and restated bylaws; any action with respect to the validity of our amended and restated certificate of incorporation or amended and restated bylaws; any action as to which the Delaware General Corporation Law confers jurisdiction to the Court of Chancery of the State of Delaware; or any action asserting a claim against us or any director or officer or other employee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our CROs, our CMOs, our current and potential future partners and other third parties we rely on or partner with could experience a cybersecurity incident that could harm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collect, store and transmit proprietary, confidential and sensitive information, including personal information (such as health-related data), in the course of our business. Our technology systems and the information and data processed and stored in our technology systems or otherwise by us or on our behalf, and the technology systems of, and data accessed on our behalf by, our research collaborators, partners,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 Supply-chain attacks have also increased in frequency and severity, and we cannot guarantee that third parties’ infrastructure in our supply chain or our third-party partners’ supply chains have not been compromised. Our ability to monitor third parties on whom we rely to operate our business is limited, and these third parties may be subject to, and may expose us to, cyberattacks and other security incidents.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under certain data privacy and security obligations, be required to, or we may choose to, expend significant resources or modify our business activities (including our clinical trial activities) in an effort designed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73"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Some of our workforce work remotely on a full- or part-time basis outside of our corporate network security protection boundaries or otherwise utilize network connections, computers and devices outside of our premises or network,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or to publicly disclose material breaches when required under securities and other laws and regulations. These disclosures are costly, and the disclosures or the failure to comply with such requirements could lead to adverse consequences.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Outside the United States, an increasing number of laws, regulations, and industry standards may govern data privacy and security. For example, the European Union’s General Data Protection Regulation, or EU GDPR, and the United Kingdom’s GDPR, or UK GDPR, collectively the GDPR, impose strict requirements for processing personal information. The GDPR, together with other relevant laws that govern patient confidentiality and storage of personal health data, may apply to our processing of personal information from clinical trials participants and other individuals located in the EEA and/or the United Kingdom, or UK, and, if any of our product candidates are approved, we may seek to commercialize those products in the EEA and/or the UK (as applicable). Companies that violate the GDPR can face private litigation, prohibitions on data processing, other administrative measures, reputational damage and fines of up to the greater of 20 million Euros under the EU GDPR, 15.5 million pounds sterling under the UK GDPR, or, in each case, 4% of their worldwide annual revenue. The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74"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extensive privacy governance and documentation requirements; and honor individuals’ data protection rights, including, but not limited to, their rights to access, correct and delete their personal information.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July 10, 2023, the European Commission adopted an adequacy decision for the new EU-US Data Privacy Framework, which facilitates international transfers of personal data between the EU and the US for companies that choose to self-certify with the framework and comply with its principles. However, the EU-US Data Privacy Framework is expected to be subject to legal challenges and there is no assurance that we can satisfy or rely on this mechanism to lawfully transfer personal data to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28, 2021, the European Commission adopted an adequacy decision permitting flows of personal data between the EU and the UK to continue without additional requirements. The UK Government also adopted a reciprocal adequacy decision in respect of EEA member states permitting flows of personal data from the UK to the EEA. However, the European Commission's UK adequacy decision will automatically expire in June 2025 unless the European Commission re-assesses and renews/extends that decision and remains under review by the European Commission during this period. The UK adequacy decision could be withdrawn prior to June 2025, for example, if the legal framework of the UK GDPR diverges from the EU GDPR in a way that impacts the deemed adequacy of the UK GDPR, if the UK permits cross-border data transfers to third countries that do not currently have an EU adequacy decision without requiring sufficient privacy protections, or if the UK adequacy decision is successfully challenged at the European Court of Justice. If the UK adequacy decision were to be withdrawn, personal data could not flow freely between the UK and the EU and additional safeguards would need to be adopted, which could result in additional costs for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relationship between the UK and the EU in relation to certain aspects of data protection laws remains unclear, and it is unclear how UK data protection laws and regulations will develop in the medium to longer term, and how data transfers to and from the UK will be regulated in the long term. The UK’s Data Protection and Digital Information Bill, or the Bill, was re-introduced before the UK Parliament in March 2023, proposing reforms intended to update and simplify the UK’s data protection framework, which may deviate from the EU GDPR.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Certain jurisdictions have enacted data localization laws and laws restricting cross-border transfers of personal information. In particular, regulators and courts in the EEA and the UK have in the past significantly restricted the transfer of personal information to the United States and other countries whose privacy laws it believes are inadequate, and may do so again in the future.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including without limitation the EEA’s standard contractual clauses and the UK's international data transfer agreement, these mechanisms are subject to legal challenges, and there is no assurance that we can satisfy or rely on these measures to lawfully transfer personal information to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continue to monitor changes in data protection laws related to the cross-border transfer of personal information; however, uncertainty remains regarding any future regulations, interpretations of existing law or guidance that may be issued, particularly by the EU authorities. If we are unable to implement a valid compliance solution for cross-border transfers of personal information, or if the requirements for a legally-compliant transfer are too onerous, we will face increased exposure to significant adverse consequences, including substantial fines, regulatory actions, as well as injunctions against the export and processing of personal information from the EEA.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these jurisdictions that regulate cybersecurity and non-personal data, such as data collected through the internet of things. Depending on how these laws are interpreted, we may have to make changes to our business practices and products to comply with such obligations.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the California Consumer Privacy Act of 2018, or CCPA, took effect on January 1, 2020. The CCPA gives California residents certain rights similar to the individual rights given under the GDPR, including the right to access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75"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In addition, the California Privacy Rights Act of 2020, or CPRA, which became operative January 1, 2023, expands the CCPA’s requirements, including in that it applies to personal information of business representatives and employees and establishes a new regulatory agency to implement and enforce the law. While the CCPA contains an exemption for certain personal information processed in connection with clinical trials, we may process other personal information that is subject to the CCPA and CPRA. Other states, such as Virginia, Connecticut, Utah and Colorado, have also passed comprehensive privacy laws, and similar laws are being considered in several other states, as well as at the federal and local levels. The evolving patchwork of differing state and federal privacy and data security laws increases the cost and complexity of operating our business and increase our exposure to liability.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also be bound by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third parties on which we rely) fail, or are perceived to have failed, to address or comply with data privacy and security obligations, we could face significant consequences, including (without limitation): government or regulatory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limiting our ability to develop or commercialize our products; expenditure of time and resources to defend any claim or inquiry; adverse publicity; or revision or restructuring of our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operations are vulnerable to interruption by fire, earthquake, power loss, telecommunications failure, terrorist activity and other events beyond our control, which could harm our business.</w:t>
      </w:r>
    </w:p>
    <w:p>
      <w:pPr>
        <w:pStyle w:val="TextBody"/>
        <w:bidi w:val="0"/>
        <w:spacing w:lineRule="auto" w:line="288" w:before="120" w:after="120"/>
        <w:ind w:left="0" w:right="0" w:firstLine="720"/>
        <w:jc w:val="both"/>
        <w:rPr/>
      </w:pPr>
      <w:r>
        <w:rPr>
          <w:rFonts w:ascii="Arial;sans-serif" w:hAnsi="Arial;sans-serif"/>
          <w:b w:val="false"/>
          <w:color w:val="000000"/>
          <w:sz w:val="20"/>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The sole supplier of some of our clinical drug substances is located in Lithuania, a region that has experienced political unrest. Refer to the risk factor titled “</w:t>
      </w:r>
      <w:r>
        <w:rPr>
          <w:rFonts w:ascii="Arial;sans-serif" w:hAnsi="Arial;sans-serif"/>
          <w:b w:val="false"/>
          <w:i/>
          <w:color w:val="000000"/>
          <w:sz w:val="20"/>
        </w:rPr>
        <w:t>We rely completely on CMOs for the manufacture of our product candidates and are subject to many manufacturing risks, any of which could substantially increase our costs and limit supply of our product candidates and any future products</w:t>
      </w:r>
      <w:r>
        <w:rPr>
          <w:rFonts w:ascii="Arial;sans-serif" w:hAnsi="Arial;sans-serif"/>
          <w:b w:val="false"/>
          <w:color w:val="000000"/>
          <w:sz w:val="20"/>
        </w:rPr>
        <w:t>.” If our operations or the operations of third parties providing services to us are disrupted by any such occurrences, our business and future prospects may be negatively affected.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use and generate materials that may expose us to material liability.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research programs involve the use of hazardous materials, chemicals and radioactive and biological materials. We are subject to foreign, federal, state and local environmental and health and safety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76"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Our ability to use net operating loss carryforwards and certain other tax attributes to offset taxable income could be limited.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use our current year operating losses to offset taxable income from any revenue generated from operations, including BD Arrangements. To the extent that our taxable income exceeds any current year operating losses, we plan to use our net operating loss carryforwards to offset income that would otherwise be taxable. Our federal net operating loss carryforwards generated in tax years beginning before January 1, 2018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is limited to 80% of taxable income. It is uncertain if and to what extent various states will conform to the 2017 Tax Act or the CARES Act.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under Sections 382 and 383 of the U.S. Internal Revenue Code of 1986, as amended, or the Code, and corresponding provisions of state law, if we experience an “ownership change,” generally defined as a greater than 50% change, by value, in equity ownership over a three-year period, our ability to use our net operating loss carryforwards and certain other tax attributes (such as R&amp;D tax credits) before the change to offset our income after the change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and certain other tax attributes could be limited. State net operating loss carryforwards may be similarly limited. In addition, at the state level, there may be periods during which the use of net operating losses is suspended or otherwise limited, which could accelerate or permanently increase state taxes owed.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New tax laws or regulations, changes to existing tax laws or regulations or changes in their application to us or our customers may have a material adverse effect on our business, cash flows, financial condition or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Inflation Reduction Act of 2022 imposes, among other rules, a 15% minimum tax on the book income of certain large corporations and a 1% excise tax on certain corporate stock repurchases. In addition, for certain research and experimental expenses incurred in tax years beginning after December 31, 2021, the 2017 Tax Act requires the capitalization and amortization of such expenses over five years if incurred in the United States and fifteen years if incurred outside the United States, rather than deducting such expenses currently. There have been legislative proposals to repeal or defer the capitalization requirement, including legislation recently passed by the U.S. House of Representatives that would restore the deductibility of research and experimental expenses incurred in the United States (but not research and experimental expenses incurred outside the United States); however, there can be no assurance that such requirement will be repealed, deferred or otherwise modified. Changes in corporate tax rates, the realization of net deferred tax assets relating to our operations, the taxation of foreign earnings and the deductibility of expenses under the 2017 Tax Act, as amended by the CARES Act or any future tax reform legislation, could have a material impact on the value of our deferred tax assets, result in significant one-time charges and increase our future U.S. tax expense.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Future changes in financial accounting standards or practices may cause adverse and unexpected revenue fluctuations and adversely affect our reported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77"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404(a) of the Sarbanes-Oxley Act. Our compliance with Section 404(b) of the Sarbanes-Oxley Act requires that we incur substantial accounting expense and expend significant management efforts. We currently do not have an internal audit staff and outsource this function to a third party. We have hired and will need to retain our current accounting and financial staff who have the appropriate public company experience and technical accounting knowledge. As a result of our public float on June 30, 2023, commencing on December 31, 2023, we became a non-accelerated filer. For so long as we remain a non-accelerated filer, our independent registered public accounting firm will not be required to attest to the effectiveness of our internal control over financial reporting pursuant to Section 404(b) of the Sarbanes-Oxley Act. If we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successfully implement our business plan and comply with Section 404(a)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the price for our common stock and could adversely affect our ability to access the capital markets.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Our disclosure controls and procedures may not prevent or detect all errors or acts of fraud.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designed our disclosure controls and procedures to reasonably assure that information we must disclose in reports we file or submit under the Exchange Act is accumulated and communicated to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78"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stock price and trading volume is heavily influenced by the way analysts and investors interpret our clinical trial results, any BD Arrangements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 xml:space="preserve">Item 1C.    Cybersecurity.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Risk Management Strategy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implemented and maintain various information security processes. These processes are designed to identify, assess and manage material risks from cybersecurity threats to our critical computer networks, third-party hosted services, communications systems, hardware and software, and our critical data, including intellectual property, strategic or competitive in nature, and proprietary or confidential information, including clinical trial data, personal and financial information, referred to collectively as Information Systems and Data.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Chief Financial Officer, or CFO, together with our Incident Disclosure Committee, or IDC, Security Incident Response Team, or SIRT, which is led by our head of information technology, or IT, and composed of two employees who have direct work experience in network security, and third-party service providers, help identify, assess and manage the Company’s cybersecurity threats and risks. In doing so, they identify and assess risks from cybersecurity threats by monitoring and evaluating our threat environment and the Company’s risk profile using various methods including, for example, automated and manual tools, third-party threat assessments and intelligence feeds, subscribing to reports and services that identify cybersecurity threats, analyzing reports of threats and threat actors, evaluating the Company’s and the industry’s risk profile, evaluating reported threats, coordinating with law enforcement relating to threats, conducting threat assessments for internal and external threats, conducting red/blue team testing and tabletop incident response exercises jointly with external third parties.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detection and response plan and policy; encryption of data; network security controls; access controls; physical security and employee training.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assessment and management of material risks from cybersecurity threats are integrated into the Company’s overall risk management processes. For example, our IT department works with management to prioritize our risk management processes and mitigate cybersecurity threats that are more likely to lead to a material impact to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use third-party service providers to assist us from time to time to identify, assess and manage material risks from cybersecurity threats, including for example threat intelligence service providers, penetration testing firms, dark web monitoring services, cybersecurity consultants and software providers.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third-party service providers to perform a variety of functions throughout our business, such as application providers, hosting companies, contract research organizations, and contract manufacturing organizations. We have a vendor management program to manage cybersecurity risks associated with our use of these providers. The program includes a risk assessment for each vendor which includes a security questionnaire, a review of the vendor’s written security program, and security assessment calls with the vendor's security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79"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lineRule="auto" w:line="288" w:before="120" w:after="120"/>
        <w:ind w:left="0" w:right="0" w:firstLine="720"/>
        <w:jc w:val="both"/>
        <w:rPr/>
      </w:pPr>
      <w:r>
        <w:rPr>
          <w:rFonts w:ascii="Arial;sans-serif" w:hAnsi="Arial;sans-serif"/>
          <w:b w:val="false"/>
          <w:color w:val="000000"/>
          <w:sz w:val="20"/>
        </w:rPr>
        <w:t>For a description of the risks from cybersecurity threats that may materially affect the Company and how they may do so, see our risk factors under Part 1. Item 1A. Risk Factors in this Annual Report, including “</w:t>
      </w:r>
      <w:r>
        <w:rPr>
          <w:rFonts w:ascii="Arial;sans-serif" w:hAnsi="Arial;sans-serif"/>
          <w:b w:val="false"/>
          <w:i/>
          <w:color w:val="000000"/>
          <w:sz w:val="20"/>
        </w:rPr>
        <w:t>We, our CROs, our CMOs, our current and potential future partners and other third parties we rely on or partner with could experience a cybersecurity incident that could harm our business</w:t>
      </w:r>
      <w:r>
        <w:rPr>
          <w:color w:val="000000"/>
        </w:rPr>
        <w:t>”</w:t>
      </w:r>
      <w:r>
        <w:rPr>
          <w:rFonts w:ascii="Arial;sans-serif" w:hAnsi="Arial;sans-serif"/>
          <w:b w:val="false"/>
          <w:color w:val="000000"/>
          <w:sz w:val="20"/>
        </w:rPr>
        <w:t>.</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Governance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board of directors, or the Board, addresses the Company’s cybersecurity risk management as part of its general oversight function. The Board has delegated to the audit committee of the Board, or Audit Committee, responsibility for overseeing the Company’s cybersecurity risk management processes generally, including oversight and mitigation of risks from cybersecurity threats.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CFO is responsible for cybersecurity risk management and has experience overseeing IT departments in previous roles. Our principal accounting officer, or PAO, oversees the IT department and in that capacity is responsible for hiring appropriate cybersecurity personnel, helping to integrate cybersecurity risk considerations into the Company’s overall risk management strategy, and communicating key priorities to relevant personnel. Our PAO has significant experience with managing access to key company-wide information systems. Our head of IT is responsible for assessing and managing our material risks from cybersecurity threats and for our cybersecurity protections generally, including helping prepare for cybersecurity incidents, approving cybersecurity processes and reviewing security assessments and other security-related reports. Our head of IT has prior work experience in cybersecurity, holds relevant degrees and current cybersecurity certifications. The Audit Committee receives periodic reports from our CFO and head of IT concerning cybersecurity threats and risks, and the processes that we have implemented to address and mitigate them. The Audit Committee updates the Board on such cybersecurity issues as part of its general committee report to the Board at regular Board meetings. Our Board is responsible for approving budgets to support those activities.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in place a cybersecurity incident response plan, reviewed by the Audit Committee, which establishes incident response processes, policies and procedures. Under the plan, our CFO, as incident response leader, works with the Company’s SIRT to help the Company mitigate and remediate cybersecurity incidents of which they are notified.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IDC is notified and activated in the event of a significant cybersecurity incident. The IDC is composed of our CFO, the lead of the SIRT, our General Counsel and other members of our legal and finance teams. In the event of a severe or major cybersecurity incident, the IDC will oversee and coordinate the response, determine materiality of impact and any disclosure requirements in conjunction with legal counsel and will ensure that the Audit Committee and/or the Board are updated and that required disclosures are made in a timely manner.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lease and occupy approximately 122,000 square feet of office and laboratory space in South San Francisco, California. In July 2022, we entered into an operating lease agreement, or the 2024 Lease Agreement, for our existing corporate office and laboratory space at 333 Oyster Point Boulevard, South San Francisco, California. The initial term of the 2024 Lease Agreement commenced on January 1, 2024 and expires on December 31, 2033.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0"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has been listed on The Nasdaq Global Select Market under the symbol “NGM” since April 4, 2019.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Holders of Record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the close of business on March 5, 2024, there were 33 stockholders of record of our common stock. The actual number of stockholders is greater than the number of stockholders of record and includes stockholders who are beneficial owners but whose shares are held in street name by brokers and other nominees. This number of stockholders of record also does not include stockholders whose shares may be held in trust by other entities.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smaller reporting company as defined by Rule 12b-2 of the Exchange Act and are not required to provide the performance graph required by Item 201(e) of Regulation S-K.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year ended December 31, 2023, we did not issue or sell any unregistered securities.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During the three-month period ended December 31, 2023, we did not repurchase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audited consolidated financial statements and related notes appearing elsewhere in this Annual Report.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 Item 1A in this Annual Report on Form 10-K, or Annual Report. In some cases, you can identify forward-looking statements by terminology such as “anticipate,” "aspire," “believe,” “continue,” “could,” “estimate,” “expect,” “intend,” “may,” “plan,” “potentially,” “predict,” “should,” “will” or the negative of these terms or other similar expressions. See “Special Note Regarding Forward-Looking Statements” in this Annual Report.</w:t>
      </w:r>
    </w:p>
    <w:p>
      <w:pPr>
        <w:pStyle w:val="TextBody"/>
        <w:bidi w:val="0"/>
        <w:spacing w:lineRule="auto" w:line="288" w:before="240" w:after="283"/>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 xml:space="preserve">Overview of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biopharmaceutical company focused on discovering and developing novel, potentially life-changing medicines based on scientific understanding of key biological pathways. Our mission is to translate complex, powerful biology with rigor and urgency into life-changing medicines. Our strategy is built on a straightforward central premise: create an environment that both allows drug discovery research to thrive by focusing on powerful human biology unconstrained by therapeutic area or technology approach and remain grounded in the singular motivation of delivering impactful medicines to address critical unmet or underserved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1"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needs of patients suffering from grievous diseases.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biology-driven and therapeutic area agnostic discovery engine has produced a diverse pipeline of product candidates spanning oncology, liver and metabolic disease and retinal disease. We have evolved our strategy to concentrate our resources on three product candidates in three specific disease areas, as well as to continue our discovery research efforts. For our other product candidates and potential future opportunities that have been, and may in the future be, produced by our discovery engine, we are seeking collaboration, out licensing, partnering or other business development arrangements, or BD Arrangements, with third-party partners with sufficient resources and relevant domain expertise to further their development. We believe that this strategy, if successfully implemented, may enable more of the programs in our pipeline to be advanced effectively and efficiently.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Pending Transactions Contemplated by the Merger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25, 2024, we entered into the Merger Agreement with Parent and Merger Sub. The Merger Agreement provides for, among other things, (i) the acquisition of the Company by Parent through a cash tender offer, or the Offer, by Merger Sub for each issued and outstanding share of our common stock for $1.55 per share, or the Offer Price, and (ii) the merger of Merger Sub with and into the Company, or the Merger, with the Company surviving the Merger. Subject to the terms of the Merger Agreement, the Offer Price will be paid subject to any applicable tax withholding and without interest.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anticipate that the Offer and the Merger contemplated under the Merger Agreement will be consummated in the second quarter of 2024. However, there can be no assurance that the Offer and the Merger contemplated by the Merger Agreement will be completed. If the Merger is effected, our common stock will be delisted from The Nasdaq Global Select Market, our obligation to file periodic reports under the Securities Exchange Act of 1934, as amended, or the Exchange Act, will terminate, and we will be privately held.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Pipeline Programs and Operational Updates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currently prioritizing the majority of our execution efforts and significant resources on three key development opportunities: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completing a Phase 1 Part 1b dose escalation cohort of the ongoing Phase 1/2 trial evaluating NGM707 in combination with KEYTRUDA® (pembrolizumab) for the treatment of patients with advanced or metastatic solid tumors;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designing a potential registrational trial of aldafermin in primary sclerosing cholangitis, or PSC, and continuing discussions with the United States Food and Drug Administration, or FDA, including on the proposed utilization of a primary endpoint composed of surrogate biomarkers with the goal of obtaining accelerated approval from the FDA;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producing a toxicology package that we hope will support the potential initiation of a Phase 2 proof-of-concept trial of NGM120 in patients with hyperemesis gravidarum, or HG.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Subject to our ability to obtain sufficient additional capital, whether through financing activities or potential future BD Arrangements, we may in the future pursue development of other product candidates and programs. While we may consider BD Arrangements to advance these three key priorities for clinical development, we intend to invest our resources in their development, contingent upon capital availability as described below, in the absence of BD Arrangements.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NGM707: ILT2/ILT4 Dual Antagonist Antibody for the Potential Treatment of Solid Tumors, Including MSS CRC Patients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NGM707, the lead asset in our myeloid reprogramming and checkpoint inhibition portfolio, is a dual antagonist monoclonal antibody that is designed to improve patient immune responses to tumors by inhibiting both Immunoglobulin-like transcript 2, or ILT2, and Immunoglobulin-like transcript 4, or ILT4,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82"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conducting an open-label Phase 1/2 clinical trial evaluating NGM707 as a monotherapy and in combination with KEYTRUDA® (pembrolizumab) for the treatment of patients with advanced or metastatic solid tumors.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1 Part 1a cohort evaluating NGM707 as a monotherapy was initiated in 2021 and a Phase 1 Part 1b cohort evaluating NGM707 in combination with pembrolizumab was initiated in 2022. Two Phase 2 expansion cohorts evaluating NGM707 in combination with pembrolizumab in specific tumor types were initiated in the first quarter of 2023. The Part 1a cohort has completed enrollment. Enrollment in the Part 1b cohort is ongoing. We are no longer enrolling in the Phase 2 expansion cohorts.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 January 2024, we released data from the Phase 1b cohort. As of the data cutoff date of November 6, 2023, we had enrolled 46 heavily pretreated patients across multiple indications. The combination of NGM707 and pembrolizumab was found to be generally well-tolerated at all four dose levels of NGM707. Of 37 response-evaluable patients (those completing at least one on-treatment scan), there were four confirmed partial responses, including one pathological complete response and 12 patients with stable disease, representing an 11% overall response rate, or ORR, and a 43% disease control rate, or DCR. The pathological complete response patient had significant target lesion reduction that allowed subsequent surgical resection of all gross residual disease, resulting in a confirmed pathological complete response. Moreover, three of the four patients with confirmed partial responses had active liver metastases at baseline that were fully or partially reduced. Of the eight response-evaluable patients with a diagnosis of microsatellite stable colorectal cancer, or MSS CRC, there were two confirmed partial responses (including the one pathological complete response) and two patients with stable disease, representing a 25% ORR and a 50% DCR. Immune checkpoint inhibitors, alone and in combination with other therapies, have shown low or no benefit in MSS CRC patients. In addition, preliminary evidence of myeloid reprogramming was seen in peripheral blood and in tumor biopsies consistent with the putative mechanism of NGM707.</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Enrollment in the Phase 1b cohort is projected to be complete in the second quarter of 2024. We anticipate providing an update in mid-2024 on the Phase 1 Part 1b cohort and planned next steps in the NGM707 program, including the potential for additional cohorts, which we expect will include MSS CRC patients. Clinical development of NGM707 beyond completing the Phase 1 Part 1b cohort, including initiating additional cohorts, will require us to obtain the additional capital necessary to conduct such development.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Aldafermin: Engineered Analog of Human Hormone FGF19 for the Potential Treatment of PSC</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Aldafermin is an engineered analog of human hormone fibroblast growth factor 19, or FGF19, that is administered through a once-daily subcutaneous injection. PSC is a rare liver disease that irreparably damages the bile ducts, leading to bile acid dysregulation, which, ultimately, results in serious liver damage. There are currently no FDA- or EU- approved therapies for PSC. We have spent more than a decade discovering and developing product candidates that target various forms of cardio-metabolic and liver diseases, including PSC, and our product candidates, including aldafermin, stem from novel insights we have made in the regulation of bile acid synthesis and liver function.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decision to pursue the potential further clinical development of aldafermin as a treatment for PSC was informed by a large body of clinical data. Over 800 patients across multiple indications have been treated with aldafermin, which has repeatedly demonstrated powerful bile acid suppression in patients with PSC and non-alcoholic steatohepatitis, or NASH. As a result, we believe aldafermin may have the differentiated potential to directly address the underlying biology of PSC.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continuing discussions with the FDA on the design of a potential registrational trial of aldafermin in PSC, including on the proposed utilization of a primary endpoint composed of surrogate biomarkers with the goal of obtaining accelerated approval from the FDA. We plan to continue working with the FDA to reach agreement on a trial design, with the goal of initiating trial enrollment by the end of 2024, contingent upon reaching agreement with the FDA on trial design and obtaining the additional capital necessary to conduct the potential registrational trial.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In January 2024, we announced that the FDA granted orphan drug designation for aldafermin for the treatment of PSC.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 November 2023, we presented positive Phase 2b results from the ALPINE 4 trial of aldafermin in compensated cirrhosis (F4) due to NASH at AASLD The Liver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83"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NGM120: GFRAL Antagonist for the Potential Treatment of Hyperemesis Gravidarum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NGM120 is an antagonist antibody that binds to glial cell-derived neurotrophic factor receptor alpha-like, or GFRAL, and is designed to block the effects of elevated serum levels of growth differentiation factor 15, or GDF15. We designed NGM120 as a potent, humanized monoclonal antibody inhibitor of GFRAL. Targeting GFRAL has the potential to ameliorate the metabolic and emetic effects caused by overstimulation of GFRAL neurons by excessive GDF15. HG is a severe condition that affects approximately 100,000 to 150,000 women in the United States each year. HG is characterized by intractable nausea and vomiting during pregnancy, resulting in dehydration, debility, weight loss and malnutrition. Genetic and serological studies have linked GDF15/GFRAL to HG. GDF15 levels have been shown to increase steadily in the first 12 weeks of pregnancy and, on average, are higher in women who experience nausea, vomiting or HG in pregnancy. There are currently no FDA-approved therapies for this condition.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are exploring the potential initiation of a Phase 2 proof-of-concept study of NGM120 for the treatment of HG by the end of 2024. We are in the process of producing a toxicology package to submit to regulatory authorities in Australia or the United Kingdom that we hope will support the potential initiation of that trial.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have previous clinical trial experience with NGM120, focused on a four-cohort Phase 1/2 clinical trial to assess NGM120’s effect on cancer and cancer-related cachexia in patients with select advanced solid tumors, metastatic pancreatic cancer and metastatic castration-resistant prostate cancer. NGM120 has been well tolerated in the trial, as well as in a Phase 1 study, together comprising approximately 140 healthy volunteers and cancer patients treated. However, a clear signal of response to NGM120 was not detected, and we do not plan to develop NGM120 further in oncology.</w:t>
      </w:r>
    </w:p>
    <w:p>
      <w:pPr>
        <w:pStyle w:val="TextBody"/>
        <w:bidi w:val="0"/>
        <w:spacing w:lineRule="auto" w:line="288" w:before="240" w:after="283"/>
        <w:jc w:val="both"/>
        <w:rPr/>
      </w:pPr>
      <w:r>
        <w:rPr>
          <w:rFonts w:ascii="Arial;sans-serif" w:hAnsi="Arial;sans-serif"/>
          <w:b/>
          <w:i/>
          <w:color w:val="000000"/>
          <w:sz w:val="20"/>
        </w:rPr>
        <w:t>Additional Programs Currently Without Meaningful Resource Allocation</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(NGM438, NGM831, NGM621 and NGM313) whose further development is dependent on our ability to secure potential future BD Arrangements, and, in the absence of such BD Arrangements, we are unlikely to advance development of these product candidates unless our portfolio prioritization changes and we are able to secure the additional capital necessary to fund such development. As a result, we are seeking BD Arrangements with third-party partners possessing sufficient resources and relevant domain expertise in the relevant therapeutic area in order to further clinical development of these programs. These programs include: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NGM438, an antagonist antibody that is designed to inhibit leukocyte-associated immunoglobulin-like receptor 1, or LAIR1, and thereby promote anti-tumor immune responses, and NGM831, an antagonist antibody that is designed to block the interaction of Immunoglobulin-like transcript 3, or ILT3, receptor, with fibronectin, as well as other cognate ligands, currently being studied in a Phase 1/2 trial in combination with pembrolizumab. In 2022, we initiated an open-label, Phase 1/1b clinical trial to evaluate NGM438 as a monotherapy and in combination with pembrolizumab for the treatment of patients with advanced or metastatic solid tumors. Both the Phase 1 Part 1a cohort evaluating NGM438 as a monotherapy and the Phase 1 Part 1b cohort evaluating NGM438 in combination with pembrolizumab have completed enrollment. In 2022, we also initiated an open-label Phase 1/1b clinical trial to evaluate NGM831 as a monotherapy and in combination with pembrolizumab for the treatment of patients with advanced or metastatic solid tumors. Both the Phase 1 Part 1a cohort evaluating NGM831 as a monotherapy and the Phase 1 Part 1b cohort evaluating NGM831 in combination with pembrolizumab have completed enrollment. In 2023, we initiated an open-label Phase 1 Part 1c dose finding cohort of that trial evaluating the triplet combination of NGM831, NGM438 and pembrolizumab. This cohort is anticipated to complete enrollment in the first half of 2024.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NGM621, a humanized Immunoglobulin 1, or IgG1, monoclonal antibody administered via intravitreal, or IVT, injection, which was engineered to potently bind to, and be a long-acting inhibitor of, complement C3 with the treatment goal of reducing the rate of disease progression in patients with geographic atrophy, or GA, secondary to age-related macular degeneration, or AMD. Our Phase 2 clinical trial which evaluated the efficacy and safety of NGM621 when given to patients with GA every four weeks or every eight weeks via IVT injections compared to sham control did not meet its primary endpoint of a statistically significant reduction in the rate of change in GA lesion area growth using slope analysis over 52 weeks of treatment with NGM621 versus sham.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NGM313, an agonistic antibody that selectively activates fibroblast growth factor receptor 1c-beta-klotho, or FGFR1c/KLB, which regulates insulin sensitivity, blood glucose and liver fat and is administered every four weeks through a subcutaneous injection. Merck licensed NGM313 and other FGFR1c/KLB agonists in 2018, but terminated its license rights in 2023 and returned the program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84"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additional programs that are in various stages of development ranging from functional validation to preclinical development. Given the breadth of opportunities that have been, and may in the future be, produced by our discovery engine, we are also seeking BD Arrangements with third-party partners to progress, in whole or in part, the development of one or more of our preclinical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each of our product candidates may be affected by numerous factors, including preclinical data, clinical data, competition, manufacturing capability, sales capability, any future BD Arrangements, the sufficiency of our cash resources, regulatory matters, third-party payor matters and commercial viability. We do not have any products approved for sale and do not anticipate generating revenue from product sales for the foreseeable future, if ever.</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Operational Updates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R&amp;D resources are focused, and will continue to be focused, on the manufacture and testing of clinical trial materials. If our CMOs and CROs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our ongoing and planned trials and possible acceleration or expansion of those trials may be delayed, perhaps substantially, or abandoned, which could materially and adversely affect our business. For example, in 2022, our planned investigational new drug application, or IND, submissions for NGM438 and NGM831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have historically been times of increased competition in the biotechnology industry for available CMO manufacturing slots and other capabilities generally, which has had, and may in the future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could lead to higher inflation than previously experienced or expected, which could, in turn, lead to an increase in costs. These supply chain effects, increased competition and higher costs of acquired goods and services have not materially impacted our results of operations for the year ended December 31, 2023, although they may negatively impact our business operations and our financial results in the future.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product candidates are currently manufactured solely at a facility in Lithuania. Following Russia's invasion of Ukraine in February 2022, NATO deployed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July 2022, we entered into an operating lease agreement, or the 2024 Lease Agreement, for our existing corporate office and laboratory space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 Base rent during the initial ten-year term of the 2024 Lease Agreement will total $124.1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seek to allocate our capital efficiently and strategically and fund our development portfolio based on each program’s scientific and other merits. Our discipline has been demonstrated by our decision not to proceed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85"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pPr>
      <w:r>
        <w:rPr>
          <w:rFonts w:ascii="Arial;sans-serif" w:hAnsi="Arial;sans-serif"/>
          <w:b w:val="false"/>
          <w:color w:val="000000"/>
          <w:sz w:val="20"/>
        </w:rPr>
        <w:t>with development activities on multiple potentially viable product candidates for portfolio management and capital conservation reasons to concentrate our resources and focus our execution on selected programs. Given that we will receive minimal funding from Merck in the first half of 2024 and expect to receive no funding from Merck thereafter, we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need to enter into additional BD Arrangements in order to proceed with such development through to regulatory approval.</w:t>
      </w:r>
      <w:r>
        <w:rPr>
          <w:color w:val="000000"/>
          <w:shd w:fill="FFFFFF" w:val="clear"/>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Restructuring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April 2023, we announced a restructuring of our workforce pursuant to which our workforce was reduced by 74 people, or approximately 33% of our existing headcount as of such date. The restructuring, including cash payments, was substantially completed by the end of the second quarter of 2023. We incurred approximately $4.9 million in restructuring charges in connection with the restructuring, consisting of (i) approximately $4.2 million in cash-based expenses related to employee severance and notice period payments, benefits and related costs, and (ii) approximately $0.7 million in noncash stock-based compensation expense related to the vesting of stock-based awards.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Highlights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Since inception, we have funded our operations primarily through:</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fees received from collaboration partners, which since inception through December 31, 2023 includes reimbursement of R&amp;D expenses of $544.6 million and upfront cash licensing fees of $123.0 million, primarily from Merck, and a payment of $20.0 million from Merck to license NGM313 and related compounds;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proceeds from private placements of convertible preferred stock prior to our initial public offering, or IPO, including approximately $106.0 million of our Series E convertible preferred stock purchased by Merck;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net proceeds from our IPO in 2019 of approximately $107.8 million, together with proceeds from the concurrent private placement of shares of common stock to Merck of $65.9 million;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net proceeds of $134.6 million from the sale of approximately 5.3 million shares of our common stock in January 2021 upon completion of an underwritten public offering of our common stock, or the follow-on offering, which included the full exercise by the underwriters of their option to purchase additional shares;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net proceeds of $71.5 million through December 31, 2023 from sales of approximately 4.1 million shares of our common stock pursuant to at-the-market sales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At December 31, 2023, we had $144.2 million in cash, cash equivalents and short-term marketable securities.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incurred net losses each year since our inception. As of December 31, 2023, we had an accumulated deficit of $724.0 million.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future BD Arrangements, if any. For further discussion of our financial position and future sources of funding, see “Liquidity and Capital Resources”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Financial Operations Overview</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Related Party Revenue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revenue to date has been generated primarily from recognition of license fees and R&amp;D service funding pursuant to our collaboration with Merck. Merck is also a significant stockholder and, as such, collaboration revenue from Merck is referred to as related party revenue.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Since the Company's inception through December 31, 2023, Merck has paid us $619.8 million pursuant to the terms of our collaboration. Due to the nature of our collaboration with Merck and the timing of related revenue recognition, our revenue has fluctuated from period to period in the past and has decreased significantly in 2023 given the substantial reduction in the level of funding we have received from Merck. In this regard, for the first half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86"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2024, we expect funding and related party revenue from Merck to be minimal. We do not expect the research program term of the collaboration to be extended and accordingly we do not expect any funding from Merck thereafter. As a result, we believe that period-to-period comparisons of our revenue may not be meaningful and should not be relied upon as being indicative of future performance.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R&amp;D efforts are extensive and costly. Our R&amp;D expenses related to the development of our product candidates consist primarily of: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our CROs in connection with our clinical trials and other related clinical trial fees, when applicable;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acquiring and manufacturing drug substance, drug product and clinical trial materials, and the costs of continued testing, such as process validation testing and stability testing, of drug substance and drug product;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toxicology testing and preclinical studies;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salaries and related overhead expenses, which include stock-based compensation and benefits, for personnel in R&amp;D functions;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consultants for R&amp;D activities;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R&amp;D operating expenses, including facility costs and depreciation expenses; and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compliance with regulatory requirements.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need to devote a substantial amount of our own financial resources to our wholly-owned development programs, and we recently have been focusing primarily on NGM707, aldafermin for the treatment of PSC and NGM120 for the treatment of HG. We will need to raise significant additional capital in order to conduct any potential registrational trial of aldafermin in PSC. In addition, clinical development of NGM707 beyond completing the Phase 1 Part 1b cohort evaluating NGM707 in combination with pembrolizumab, including initiating additional cohorts, will require us to obtain the additional capital necessary to conduct such development. Moreover, further development of NGM438, NGM831, NGM621, NGM313 and other product candidates and programs is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 For the foreseeable future, we anticipate a significant portion of our financial resources will be directed to activities required for our ongoing NGM707 trial and efforts to initiate clinical trials of aldafermin in patients with PSC and NGM120 in patients with HG. We expect our R&amp;D expenses will decrease in 2024 compared to 2023 as we suspend development activities related to our other programs and due to a decrease in compensation-related expenses following the workforce restructuring we implemented in the second quarter of 2023.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successful development of our product candidates is highly uncertain. At this time, we cannot reasonably estimate the nature, timing or costs of the efforts that will be necessary to complete the remainder of the development of our product candidates or if we will be able to enter into BD Arrangements or otherwise raise adequate additional capital to meet our funding requirements to support such efforts. This is due to the numerous risks and uncertainties associated with developing medicines, including the uncertainty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87"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scope, rate of progress, results and expense of our ongoing, as well as any future, clinical trials and other R&amp;D activities;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impact and timing of any interactions with regulatory authorities, including timing and receipt of regulatory approvals;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ability to hire and retain key R&amp;D personnel;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manufacturing scale-up challenges, production shortages or other supply disruptions for clinical trial materials;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timely and quality performance of our CROs, CMOs and other service providers;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expand and enforce our intellectual property portfolio.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change in the development of a product candidate could cause a significant change in the costs, as well as the timing, associated with the development of that product candidate. For example, if the FDA or a comparable foreign health authority were to require us to conduct toxicology studies or clinical trials beyond those that we currently anticipate will be required for the initiation or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 Item 1A of this Annual Report. </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2024 will increase moderately compared to 2023. In 2024, our G&amp;A expenses will include an increase of approximately $10.2 million in operating lease expenses under the 2024 Lease Agreement which will be partially offset by a decrease in compensation-related expenses due to the workforce restructuring we implemented in the second quarter of 2023. In addition, we may continue to incur expenses associated with negotiating and entering into BD Arrangements. Further, we expect to incur legal and other professional fees as a result of the potential consummation of the transactions contemplated under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results of operations were as follows (in thousands):</w:t>
      </w:r>
    </w:p>
    <w:tbl>
      <w:tblPr>
        <w:tblW w:w="10040" w:type="dxa"/>
        <w:jc w:val="left"/>
        <w:tblInd w:w="0" w:type="dxa"/>
        <w:tblLayout w:type="fixed"/>
        <w:tblCellMar>
          <w:top w:w="28" w:type="dxa"/>
          <w:left w:w="28" w:type="dxa"/>
          <w:bottom w:w="28" w:type="dxa"/>
          <w:right w:w="28" w:type="dxa"/>
        </w:tblCellMar>
      </w:tblPr>
      <w:tblGrid>
        <w:gridCol w:w="902"/>
        <w:gridCol w:w="792"/>
        <w:gridCol w:w="795"/>
        <w:gridCol w:w="211"/>
        <w:gridCol w:w="916"/>
        <w:gridCol w:w="109"/>
        <w:gridCol w:w="109"/>
        <w:gridCol w:w="109"/>
        <w:gridCol w:w="109"/>
        <w:gridCol w:w="211"/>
        <w:gridCol w:w="916"/>
        <w:gridCol w:w="109"/>
        <w:gridCol w:w="109"/>
        <w:gridCol w:w="109"/>
        <w:gridCol w:w="109"/>
        <w:gridCol w:w="211"/>
        <w:gridCol w:w="916"/>
        <w:gridCol w:w="109"/>
        <w:gridCol w:w="109"/>
        <w:gridCol w:w="109"/>
        <w:gridCol w:w="109"/>
        <w:gridCol w:w="232"/>
        <w:gridCol w:w="893"/>
        <w:gridCol w:w="120"/>
        <w:gridCol w:w="109"/>
        <w:gridCol w:w="109"/>
        <w:gridCol w:w="109"/>
        <w:gridCol w:w="231"/>
        <w:gridCol w:w="890"/>
        <w:gridCol w:w="169"/>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 vs 2021</w:t>
            </w:r>
          </w:p>
        </w:tc>
      </w:tr>
      <w:tr>
        <w:trPr/>
        <w:tc>
          <w:tcPr>
            <w:tcW w:w="24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(50,916)</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(22,549)</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(63,027)</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198,577 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(65,702)</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23,005 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(45,554)</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5,608 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(120,335)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20,292 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(42,332)</w:t>
            </w:r>
          </w:p>
        </w:tc>
        <w:tc>
          <w:tcPr>
            <w:tcW w:w="1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Related Party Revenue from Merck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Revenue decreased $50.9 million and $22.5 million in the years ended December 31, 2023 and 2022, respectively, compared to the prior year periods primarily due to a decrease in R&amp;D revenue under our collaboration with Merck.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88"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Due to the nature of our collaboration with Merck, the timing of related revenue recognition and the substantial decrease in the level of funding we received from Merck in 2023, our revenue has fluctuated from period to period in the past. In the first half of 2024, we expect funding, and related party revenue, from Merck to be minimal. We do not expect the research program term of the collaboration to be extended and accordingly we do not expect any funding from Merck thereafter.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R&amp;D expenses by program were as follows (in thousands):</w:t>
      </w:r>
    </w:p>
    <w:tbl>
      <w:tblPr>
        <w:tblW w:w="8067" w:type="dxa"/>
        <w:jc w:val="left"/>
        <w:tblInd w:w="0" w:type="dxa"/>
        <w:tblLayout w:type="fixed"/>
        <w:tblCellMar>
          <w:top w:w="28" w:type="dxa"/>
          <w:left w:w="28" w:type="dxa"/>
          <w:bottom w:w="28" w:type="dxa"/>
          <w:right w:w="28" w:type="dxa"/>
        </w:tblCellMar>
      </w:tblPr>
      <w:tblGrid>
        <w:gridCol w:w="1391"/>
        <w:gridCol w:w="1223"/>
        <w:gridCol w:w="1226"/>
        <w:gridCol w:w="211"/>
        <w:gridCol w:w="856"/>
        <w:gridCol w:w="109"/>
        <w:gridCol w:w="109"/>
        <w:gridCol w:w="109"/>
        <w:gridCol w:w="109"/>
        <w:gridCol w:w="211"/>
        <w:gridCol w:w="856"/>
        <w:gridCol w:w="109"/>
        <w:gridCol w:w="109"/>
        <w:gridCol w:w="109"/>
        <w:gridCol w:w="109"/>
        <w:gridCol w:w="211"/>
        <w:gridCol w:w="85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External R&amp;D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NGM707 (ILT2/ILT4 dual antagonist)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NGM438 (LAIR1 antagonist)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NGM831 (ILT3 antagonist)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NGM120 (GFRAL antagonist)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Aldafermin (FGF19 analog)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external R&amp;D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NGM621 (C3 inhibitor)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external R&amp;D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and unallocated R&amp;D expenses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(1) Internal and unallocated R&amp;D expenses consist primarily of research supplies and consulting fees, which we deploy across multiple R&amp;D programs and include restructuring charges of $3.8 million in the year ended December 31, 2023.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expenses decreased $63.0 million in the year ended December 31, 2023 compared to the same period in 2022 primarily due to a decrease in expenses for our clinical trial of NGM621 of $21.7 million, a decrease in personnel expenses of $14.9 million, decreases in expenses for our manufacturing activities and our clinical trials of aldafermin of $9.5 million, decreases in expenses for our clinical trials of NGM707 and NGM120 of $7.5 million and $3.0 million, respectively, and a decrease in our internal and unallocated R&amp;D expenses of $6.7 million which include restructuring charges of $3.8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R&amp;D expenses increased $19.4 million in the year ended December 31, 2022 compared to the same period in 2021 primarily due to increases in external expenses, driven by our ongoing clinical trials of NGM707, NGM831, NGM438 and NGM120, our completed trial of NGM621, and personnel expenses including an increase in stock-based compensation expense of $3.6 million, partially offset by a decrease in expenses for our manufacturing activities and our clinical trials of aldafermin.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decrease in 2024 compared to 2023 as we suspend development activities related to certain of our solid tumor oncology and other programs and also due to a decrease in compensation-related expenses following the workforce restructuring we implemented in the second quarter of 2023.</w:t>
      </w:r>
    </w:p>
    <w:p>
      <w:pPr>
        <w:pStyle w:val="TextBody"/>
        <w:bidi w:val="0"/>
        <w:spacing w:lineRule="auto" w:line="288" w:before="240" w:after="60"/>
        <w:jc w:val="both"/>
        <w:rPr>
          <w:rFonts w:ascii="Arial;sans-serif" w:hAnsi="Arial;sans-serif"/>
          <w:b/>
          <w:color w:val="000000"/>
          <w:sz w:val="20"/>
        </w:rPr>
      </w:pPr>
      <w:r>
        <w:rPr>
          <w:rFonts w:ascii="Arial;sans-serif" w:hAnsi="Arial;sans-serif"/>
          <w:b/>
          <w:color w:val="000000"/>
          <w:sz w:val="20"/>
        </w:rPr>
        <w:t>General and Administrative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G&amp;A expenses decreased $2.7 million in the year ended December 31, 2023 compared to the same period in 2022 primarily due to a decrease in compensation-related expenses of $3.2 million, partially offset by restructuring charges of $1.1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G&amp;A expenses increased $3.7 million in the year ended December 31, 2022 compared to the same period in 2021 primarily due to an increase in compensation-related expenses of $3.3 million including an increase in stock-based compensation expense of $2.5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anticipate that our G&amp;A expenses in 2024 will increase moderately compared to 2023 due to an increase in operating lease expenses of approximately $10.2 million under the 2024 Lease Agreement, partially offset by a decrease in compensation-related expenses due to the workforce restructuring we implemented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89"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second quarter of 2023. Further, we expect to incur legal and other professional fees as a result of the potential consummation of the transactions contemplated under the Merger Agreement. </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Interest Income, net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Interest income, net increased $5.6 million and $3.3 million in the years ended December 31, 2023 and 2022, respectively, compared to same prior year periods primarily due to higher interest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Funding Requirements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approved for commercial sale, have not generated any revenue from product sales to date and we are not and may never be profitable. We have incurred losses in each year since commencing operations, and we expect to incur significant operating losses in 2024 and over the next several years. As of December 31, 2023, we had an accumulated deficit of $724.0 million, and we expect our accumulated deficit will continue to increase over time.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an active discovery research group and have spent significant resources to fund R&amp;D of multiple pipeline programs. In 2023, our execution efforts and resources were focused on our solid tumor oncology programs, NGM707, NGM438, NGM831 and NGM120. In 2024, we are narrowing our focus to advance our three key priorities for clinical development -- our ongoing NGM707 clinical trial, the potential development of aldafermin for the treatment of PSC and the potential development of NGM120 for the treatment of HG -- as well as to continue our discovery research efforts. We will need to raise significant additional capital in order to conduct any potential registrational trial of aldafermin in PSC. In addition, clinical development of NGM707 beyond completing the Phase 1 Part 1b cohort evaluating NGM707 in combination with pembrolizumab, including initiating additional cohorts, will require us to obtain the additional capital necessary to conduct such development.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dependent on our ability to secure potential future BD Arrangements. We are seeking BD Arrangements with third-party partners with sufficient resources and relevant domain expertise in order to further the clinical development, if any, of NGM438, NGM831, NGM621 and NGM313. Further development of these programs, which are in therapeutic areas where clinical development is relatively resource intensive and can have long timelines to generate proof-of-concept data, is dependent on our ability to secure potential future BD Arrangements.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Prior to 2022, we received substantial R&amp;D funding from our collaboration with Merck. However, beginning in April 2022 under the narrower scope of the Amended Collaboration Agreement, R&amp;D funding from Merck was substantially lower than the R&amp;D funding previously provided by Merck. For the first half of 2024 we expect minimal funding from Merck. We do not expect the research program term of the collaboration to be extended and accordingly we do not expect any funding from Merck thereafter.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At December 31, 2023, we had $144.2 million in cash, cash equivalents and short-term marketable securities. Our cash requirements for fiscal year 2024 will continue to be driven by our R&amp;D and G&amp;A expenses. In 2023 and 2022, our R&amp;D expenses were $118.0 million and $181.1 million, respectively. In 2024, we expect our R&amp;D expenses to decrease compared to 2023 as we limit our development activities to focus on the continued advancement of NGM707, as well as potential development activities related to aldafermin for the treatment of PSC and NGM120 for the treatment of HG. In 2023 and 2022, our G&amp;A expenses were $37.8 million and $40.5 million, respectively. In 2024, we expect our G&amp;A expenses will increase moderately compared to 2023 due to an increase in our operating lease costs of $10.2 million pursuant to the 2024 Lease Agreement we entered into in July 2022 for our current corporate office and laboratory space in South San Francisco, California. Our previous lease expired on December 31, 2023. The 2024 Lease Agreement commenced on January 1, 2024 and expires on December 31, 2033. In 2024, we are paying an initial monthly base rent of approximately $0.9 million, which is subject to increases at an annual rate of 3.5% each year thereafter, plus certain operating and tax expenses. Further, we expect to incur legal and other professional fees as a result of the potential consummation of the transactions contemplated under the Merger Agreement. In addition, if the Merger is not consummated, we may face increased difficulties raising capital and may need to significantly delay, scale back or discontinue development of, or abandon some or all of, our product candidates, or scale back or discontinue our discovery research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0"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pPr>
      <w:r>
        <w:rPr>
          <w:rFonts w:ascii="Arial;sans-serif" w:hAnsi="Arial;sans-serif"/>
          <w:b w:val="false"/>
          <w:color w:val="000000"/>
          <w:sz w:val="20"/>
        </w:rPr>
        <w:t>We believe that our existing cash, cash equivalents and short-term marketable securities will be sufficient to fund our operations for at least one year from the date this Annual Report is filed. We have based these estimates on plans and assumptions that may prove to be insufficient or inaccurate (for example, with respect to anticipated costs, timing or success of certain activities), and we could utilize our available capital resources sooner than we currently expect. These estimates do not include entering into BD Arrangements or receiving funds through debt or equity financing activities and, as a result, unless we significantly lower our use of cash, we may no longer have sufficient cash, cash equivalents and short-term marketable securities to fund our operations for more than one year at the end of future reporting periods.</w:t>
      </w:r>
      <w:r>
        <w:rPr>
          <w:color w:val="000000"/>
        </w:rPr>
        <w:t xml:space="preserve"> </w:t>
      </w:r>
      <w:r>
        <w:rPr>
          <w:rFonts w:ascii="Arial;sans-serif" w:hAnsi="Arial;sans-serif"/>
          <w:b w:val="false"/>
          <w:color w:val="000000"/>
          <w:sz w:val="20"/>
        </w:rPr>
        <w:t xml:space="preserve">Our forecast of the time period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 Item 1A of this Annual Report. Nonetheless, in order to advance our current and potential future product candidates through development and to regulatory approval and commercialization, we need to raise significant additional capital and we will need to enter into BD Arrangements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Sources of Liquidity</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Cash and Investments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we had cash and cash equivalents of $55.8 million and short-term marketable securities of $88.4 million.</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Merck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revenue we received under our collaboration with Merck was our only source of revenue. In the first half of 2024, we expect funding, and related party revenue, from Merck to be minimal. We do not expect the research program term of the collaboration to be extended and accordingly we do not expect any funding from Merck thereafter. </w:t>
      </w:r>
    </w:p>
    <w:p>
      <w:pPr>
        <w:pStyle w:val="TextBody"/>
        <w:bidi w:val="0"/>
        <w:spacing w:lineRule="auto" w:line="288" w:before="120" w:after="120"/>
        <w:ind w:left="0" w:right="0" w:firstLine="720"/>
        <w:jc w:val="both"/>
        <w:rPr>
          <w:rFonts w:ascii="Arial;sans-serif" w:hAnsi="Arial;sans-serif"/>
          <w:b/>
          <w:i/>
          <w:color w:val="000000"/>
          <w:sz w:val="20"/>
        </w:rPr>
      </w:pPr>
      <w:r>
        <w:rPr>
          <w:rFonts w:ascii="Arial;sans-serif" w:hAnsi="Arial;sans-serif"/>
          <w:b/>
          <w:i/>
          <w:color w:val="000000"/>
          <w:sz w:val="20"/>
        </w:rPr>
        <w:t>Other Sources of Capital</w:t>
      </w:r>
    </w:p>
    <w:p>
      <w:pPr>
        <w:pStyle w:val="TextBody"/>
        <w:bidi w:val="0"/>
        <w:spacing w:lineRule="auto" w:line="288" w:before="120" w:after="120"/>
        <w:ind w:left="0" w:right="0" w:firstLine="720"/>
        <w:jc w:val="both"/>
        <w:rPr/>
      </w:pPr>
      <w:r>
        <w:rPr>
          <w:rFonts w:ascii="Arial;sans-serif" w:hAnsi="Arial;sans-serif"/>
          <w:b w:val="false"/>
          <w:color w:val="000000"/>
          <w:sz w:val="20"/>
        </w:rPr>
        <w:t>In June 2023, we entered into Amendment No. 1, or the Amendment, to the Open Market Sales Agreement</w:t>
      </w:r>
      <w:r>
        <w:rPr>
          <w:rFonts w:ascii="Arial;sans-serif" w:hAnsi="Arial;sans-serif"/>
          <w:b w:val="false"/>
          <w:color w:val="000000"/>
          <w:sz w:val="13"/>
        </w:rPr>
        <w:t>SM</w:t>
      </w:r>
      <w:r>
        <w:rPr>
          <w:rFonts w:ascii="Arial;sans-serif" w:hAnsi="Arial;sans-serif"/>
          <w:b w:val="false"/>
          <w:color w:val="000000"/>
          <w:sz w:val="20"/>
        </w:rPr>
        <w:t xml:space="preserve">, or the Sales Agreement, with Jefferies LLC, or Jefferies, and we refer to the Sales Agreement as amended as the Amended Sales Agreement. As of December 31, 2023, up to $100.0 million of the Company's common stock remained available to be sold through or to Jefferies under the Amended Sales Agreement, subject to conditions specified in the Amended Sales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finance our future cash needs through public or private equity or debt offerings, including under the Amended Sales Agreement, BD Arrangements or a combination of these potential financing sources. Additional capital may not be available in sufficient amounts, on reasonable terms or when we need it, if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ability to raise additional capital through public or private equity or debt offerings may be adversely impacted by global economic conditions and the disruptions to, and volatility in, the credit and financial markets in the United States and worldwide, and in the biotechnology industry specifically. While the long-term economic impact of either the COVID-19 pandemic or ongoing global geopolitical conflicts is difficult to assess or predict, each of these events has caused significant disruptions to the global financial markets and contributed to a general global economic slowdown. Furthermore, higher inflation may result in increased operating costs (including labor costs) and may affect our operating budgets. In addition, the U.S. Federal Reserve raised interest rates in 2022 and 2023 in response to concerns about inflation. Elevated interest rates, especially if coupled with reduced government spending and volatility in financial markets, may further increase economic uncertainty. Moreover, the closures of Silicon Valley Bank, or SVB, and other banks in early 2023 have resulted in broader financial institution liquidity risk and concerns. Although we incurred no losses as a result of the closure of SVB or other banks, future adverse developments with respect to specific financial institutions or the broader financial services industry may lead to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our cash, cash equivalents and investments, including transferring funds, making payments or receiving funds. We also may not be able to access additional capital on favorable terms, or at all, which could materially and adversely affect our financial condition and our ability to pursue our business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1"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While we may consider BD Arrangements to advance development of the product candidates that are our key priorities for clinical development, we are seeking BD Arrangements with third-party partners to progress, in whole or in part, the development of one or more of our other programs whose further development is dependent on our ability to secure potential future BD Arrangements or capital. We believe that this strategy, if successfully implemented, may enable more of the product candidates in our pipeline to be advanced effectively and efficiently. However, we may not be able to enter such BD Arrangements on acceptable terms, if at all. If we are unable to secure BD Arrangements to support these programs, we are unlikely to be able to advance their development unless our portfolio prioritization changes and we are able to secure additional capital necessary to fund such development. We may discontinue or abandon any or all of our programs, in which case we will not realize any return on our investments in these programs. Even if we are successful in securing BD Arrangements for these or our other programs, we will likely have limited control over the amount and timing of resources that our partners dedicate to the development or commercialization of the applicable product candidates. Our ability to generate revenue from any such BD Arrangement will depend on the specific terms of the BD Arrangement.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are unable to raise adequate additional capital through public or private equity or debt offerings, BD Arrangements or otherwise, on acceptable terms or at all, we may be delayed in or prevented from pursuing our planned and any future development and commercialization efforts, which will have a material adverse effect on our business, operating results and prospects, or we may be required to cease operations altogether.</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Cash Flow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cash flow activity for the periods indicated (in thousands):</w:t>
      </w:r>
    </w:p>
    <w:tbl>
      <w:tblPr>
        <w:tblW w:w="10205" w:type="dxa"/>
        <w:jc w:val="left"/>
        <w:tblInd w:w="0" w:type="dxa"/>
        <w:tblLayout w:type="fixed"/>
        <w:tblCellMar>
          <w:top w:w="28" w:type="dxa"/>
          <w:left w:w="28" w:type="dxa"/>
          <w:bottom w:w="28" w:type="dxa"/>
          <w:right w:w="28" w:type="dxa"/>
        </w:tblCellMar>
      </w:tblPr>
      <w:tblGrid>
        <w:gridCol w:w="2150"/>
        <w:gridCol w:w="1874"/>
        <w:gridCol w:w="1887"/>
        <w:gridCol w:w="211"/>
        <w:gridCol w:w="912"/>
        <w:gridCol w:w="109"/>
        <w:gridCol w:w="109"/>
        <w:gridCol w:w="109"/>
        <w:gridCol w:w="109"/>
        <w:gridCol w:w="211"/>
        <w:gridCol w:w="912"/>
        <w:gridCol w:w="109"/>
        <w:gridCol w:w="109"/>
        <w:gridCol w:w="109"/>
        <w:gridCol w:w="109"/>
        <w:gridCol w:w="211"/>
        <w:gridCol w:w="807"/>
        <w:gridCol w:w="158"/>
      </w:tblGrid>
      <w:tr>
        <w:trPr/>
        <w:tc>
          <w:tcPr>
            <w:tcW w:w="215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9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123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(73,229)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(71,650)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149,657 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(16,140)</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(75,884)</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i/>
          <w:color w:val="000000"/>
          <w:sz w:val="20"/>
        </w:rPr>
        <w:t>Operating Activities</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in 2023 was $132.2 million, which consisted of a net loss of $142.4 million, adjusted for noncash charges of $28.6 million and a change in operating assets and liabilities of $18.4 million. The noncash charges consisted primarily of stock-based compensation expense of $28.7 million, depreciation expense of $2.2 million and noncash lease expense of $2.1 million, partially offset by an accretion of the discount on our marketable securities of $5.6 million. The change in operating assets and liabilities was mainly driven by decreases in accrued liabilities of $17.0 million, a related party receivable of $7.5 million, operating lease liabilities of $5.4 million, accounts payable of $5.0 million and prepaid expenses and other current assets of $1.6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in 2022 was $144.4 million, which consisted of a net loss of $162.7 million, adjusted for noncash charges of $39.0 million and a change in operating assets and liabilities of $20.7 million. The noncash charges consisted primarily of stock-based compensation expense of $32.4 million, depreciation expense of $4.0 million and noncash lease expense of $1.9 million. The change in operating assets and liabilities was mainly driven by decreases in contract liabilities of $17.4 million, operating lease liabilities of $5.1 million, prepaid expenses and other current assets of $1.8 million and accrued liabilities of $0.6 million, partially offset by increases in accounts payable of $3.2 million and related party receivable of $2.6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operating activities in 2021 was $73.2 million, which consisted of a net loss of $120.3 million, adjusted for noncash charges of $42.9 million and a change in operating assets and liabilities of $4.2 million. The noncash charges consisted primarily of stock-based compensation expense of $26.2 million, depreciation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92"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of $6.1 million, a decrease in related party contract assets due to the Amended Collaboration Agreement with Merck of $4.6 million, amortization of a premium on marketable securities of $3.5 million and noncash lease expense of $1.8 million. The change in operating assets and liabilities was mainly driven by increases in contract liabilities of $17.8 million, related party receivable of $4.6 million, prepaid expenses and other current assets of $4.1 million and accrued liabilities of $2.9 million, partially offset by decreases in operating lease liabilities of $4.8 million, accounts payable of $4.4 million and related party contract assets of $1.5 million.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provided by investing activities in 2023 was $114.3 million, which consisted primarily of $221.0 million in net proceeds on maturity of marketable securities offset by purchases of marketable securities of $105.4 million. Cash provided by investing activities in 2022 was $14.3 million, which consisted primarily of $289.0 million in net proceeds on maturity of marketable securities offset by purchases of marketable securities of $272.9 million. Cash used in investing activities in 2021 was $71.7 million, which consisted primarily of purchases of marketable securities of $293.5 million primarily from the net proceeds of the follow-on offering, partially offset by $223.5 million in net proceeds on maturity of marketable securities.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provided by financing activities in 2023 was $1.8 million, which consisted of net proceeds from our employee equity incentive and employee purchase plans. Cash provided by financing activities in 2022 was $54.2 million, which consisted of net proceeds of $49.4 million from the sale of shares of our common stock under the Sales Agreement and proceeds from our employee equity incentive and employee purchase plans of $4.8 million. Cash provided by financing activities in 2021 was $149.7 million, which consisted primarily of net proceeds from the follow-on offering of $134.6 million and proceeds from employee equity incentive and employee purchase plans of $14.9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contractual obligations related to our lease liabilities. In July 2022, we entered into the 2024 Lease Agreement for the corporate office and laboratory space in South San Francisco, California that we occupied pursuant to a sublease agreement through December 31, 2023. The initial term of the 2024 Lease Agreement commenced on January 1, 2024 and expires on December 31, 2033. Base rent for the initial ten-year term of the 2024 Lease Agreement amounts to $124.1 million. See Note 6 to our consolidated financial statements included in Part II, Item 8, “Financial Statements and Supplementary Data,” of this Annual Report for additional information.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include cancellation fees. Given that the amount and timing related to such payments are uncertain, they are not considered to be contractual obligations. As of December 31, 2023, we did not accrue for any termination or cancellation charges for any of these agreements as these were not considered probable. See "Liquidity and Capital Resources - Funding Requirements" above for information regarding our expected R&amp;D spend.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and are not considered to be contractual obligations. See "Business— Licensing and Collaboration Arrangements" in Part I, Item 1 of this Annual Report for additional information regarding our current in-license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93"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assets and liabilities that are not readily apparent from other sources. Actual results may differ materially from these estimates under different assumptions or conditions.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While our significant accounting policies are described in Note 2 to our consolidated financial statements included in Part II, Item 8, “Financial Statements and Supplementary Data,” of this Annual Report, we believe that the following critical accounting policies are the most important policies in understanding and evaluating our financial condition and results of operations because they are complex and relate to the more significant areas involving management’s judgment.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Accrued Research and Development Expenses</w:t>
      </w:r>
    </w:p>
    <w:p>
      <w:pPr>
        <w:pStyle w:val="TextBody"/>
        <w:bidi w:val="0"/>
        <w:spacing w:lineRule="auto" w:line="288" w:before="120" w:after="283"/>
        <w:ind w:left="0" w:right="0" w:firstLine="585"/>
        <w:jc w:val="both"/>
        <w:rPr>
          <w:rFonts w:ascii="Arial;sans-serif" w:hAnsi="Arial;sans-serif"/>
          <w:b w:val="false"/>
          <w:color w:val="000000"/>
          <w:sz w:val="20"/>
        </w:rPr>
      </w:pPr>
      <w:r>
        <w:rPr>
          <w:rFonts w:ascii="Arial;sans-serif" w:hAnsi="Arial;sans-serif"/>
          <w:b w:val="false"/>
          <w:color w:val="000000"/>
          <w:sz w:val="20"/>
        </w:rPr>
        <w:t>As part of the process of preparing these consolidated financial statements, we are required to estimate and accrue expenses, the largest of which are R&amp;D expenses. This process involves: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identifying services that have been performed on our behalf by third-party vendors and estimating the level of service performed and the associated cost incurred for the service when we have not yet been invoiced or otherwise notified of actual cost;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estimating and accruing expenses in our consolidated financial statements as of each balance sheet date based on facts and circumstances known to us at the time;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periodically confirming the accuracy of our estimates with selected service providers and making adjustments, if necessary.</w:t>
      </w:r>
    </w:p>
    <w:p>
      <w:pPr>
        <w:pStyle w:val="TextBody"/>
        <w:bidi w:val="0"/>
        <w:spacing w:lineRule="auto" w:line="288" w:before="60" w:after="60"/>
        <w:ind w:left="0" w:right="0" w:firstLine="585"/>
        <w:jc w:val="both"/>
        <w:rPr>
          <w:rFonts w:ascii="Arial;sans-serif" w:hAnsi="Arial;sans-serif"/>
          <w:b w:val="false"/>
          <w:color w:val="000000"/>
          <w:sz w:val="20"/>
        </w:rPr>
      </w:pPr>
      <w:r>
        <w:rPr>
          <w:rFonts w:ascii="Arial;sans-serif" w:hAnsi="Arial;sans-serif"/>
          <w:b w:val="false"/>
          <w:color w:val="000000"/>
          <w:sz w:val="20"/>
        </w:rPr>
        <w:t>Examples of estimated R&amp;D expenses that we accrue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fees paid to CROs and other service providers in connection with preclinical studies and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fees paid to investigative sites in connection with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fees paid to CMOs in connection with the production of clinical trial materials and to procure raw materials and components for manufacture;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professional service fees for consulting and other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clinical trials have been executed with support from CROs and other vendors.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date, we have not experienced significant changes in our estimates of accrued R&amp;D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account for stock-based compensation arrangements in accordance with Topic 718, Compensation—Stock Compensation.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represents the grant-date fair value of stock options and restricted stock units, or RSUs, granted under our 2008 Equity Incentive Plan, or 2008 Plan, and our 2018 Amended and Restated Equity Incentive Plan, or 2018 Plan, and rights to acquire stock granted under our 2019 Employee Stock Purchase Plan, or ESPP, recognized over the requisite service period of the awards (usually the vesting period) on a straight-line basis, net of estimated forfeitures.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94"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use the Black-Scholes option-pricing model to calculate the grant-date fair value of stock options. The Black-Scholes option-pricing model requires the use of subjective assumptions, including stock price volatility, the expected term that stock options will remain outstanding, risk-free interest rates and expected dividends.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expected volatility is based on the historical volatility of our stock and the stock of similar entities within our industry over periods commensurate with our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We base the risk-free interest rate on the interest rate payable on U.S. Treasury securities in effect at the time of grant for a period that is commensurate with the assumed expected option term. In reference to the expected dividend yield assumption, we have not historically paid, and do not expect for the foreseeable future to pay, a dividend.</w:t>
      </w:r>
    </w:p>
    <w:p>
      <w:pPr>
        <w:pStyle w:val="TextBody"/>
        <w:bidi w:val="0"/>
        <w:spacing w:lineRule="auto" w:line="288" w:before="240" w:after="283"/>
        <w:ind w:left="0" w:right="0" w:firstLine="720"/>
        <w:jc w:val="center"/>
        <w:rPr>
          <w:rFonts w:ascii="Arial;sans-serif" w:hAnsi="Arial;sans-serif"/>
          <w:b/>
          <w:color w:val="000000"/>
          <w:sz w:val="20"/>
        </w:rPr>
      </w:pPr>
      <w:r>
        <w:rPr>
          <w:rFonts w:ascii="Arial;sans-serif" w:hAnsi="Arial;sans-serif"/>
          <w:b/>
          <w:color w:val="000000"/>
          <w:sz w:val="20"/>
        </w:rPr>
        <w:t>Smaller Reporting Company Status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smaller reporting company as defined in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certain of the accommodations available to smaller reporting companies, including but not limited to reduced disclosure obligations regarding executive compensation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2 to our consolidated financial statements included in Part II, Item 8, “Financial Statements and Supplementary Data,” of this Annual Report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smaller reporting company as defined by Rule 12b-2 of the Exchange Act and are not required to provide the information under this item.</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250"/>
                <wp:effectExtent l="0" t="0" r="0" b="0"/>
                <wp:wrapNone/>
                <wp:docPr id="95"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ind w:left="0" w:right="0" w:hanging="900"/>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7486" w:type="dxa"/>
        <w:jc w:val="left"/>
        <w:tblInd w:w="0" w:type="dxa"/>
        <w:tblLayout w:type="fixed"/>
        <w:tblCellMar>
          <w:top w:w="28" w:type="dxa"/>
          <w:left w:w="28" w:type="dxa"/>
          <w:bottom w:w="28" w:type="dxa"/>
          <w:right w:w="28" w:type="dxa"/>
        </w:tblCellMar>
      </w:tblPr>
      <w:tblGrid>
        <w:gridCol w:w="2491"/>
        <w:gridCol w:w="2184"/>
        <w:gridCol w:w="2195"/>
        <w:gridCol w:w="180"/>
        <w:gridCol w:w="180"/>
        <w:gridCol w:w="256"/>
      </w:tblGrid>
      <w:tr>
        <w:trPr/>
        <w:tc>
          <w:tcPr>
            <w:tcW w:w="249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76">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No. 42)</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76">
              <w:r>
                <w:rPr>
                  <w:rStyle w:val="InternetLink"/>
                  <w:rFonts w:ascii="Arial;sans-serif" w:hAnsi="Arial;sans-serif"/>
                  <w:b w:val="false"/>
                  <w:strike w:val="false"/>
                  <w:dstrike w:val="false"/>
                  <w:color w:val="000000"/>
                  <w:sz w:val="20"/>
                  <w:u w:val="none"/>
                  <w:effect w:val="none"/>
                </w:rPr>
                <w:t>96</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Audited Consolidated Financial Statements</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79">
              <w:r>
                <w:rPr>
                  <w:rStyle w:val="InternetLink"/>
                  <w:rFonts w:ascii="Arial;sans-serif" w:hAnsi="Arial;sans-serif"/>
                  <w:b w:val="false"/>
                  <w:color w:val="0000FF"/>
                  <w:sz w:val="20"/>
                  <w:u w:val="single"/>
                </w:rPr>
                <w:t>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79">
              <w:r>
                <w:rPr>
                  <w:rStyle w:val="InternetLink"/>
                  <w:rFonts w:ascii="Arial;sans-serif" w:hAnsi="Arial;sans-serif"/>
                  <w:b w:val="false"/>
                  <w:strike w:val="false"/>
                  <w:dstrike w:val="false"/>
                  <w:color w:val="000000"/>
                  <w:sz w:val="20"/>
                  <w:u w:val="none"/>
                  <w:effect w:val="none"/>
                </w:rPr>
                <w:t>97</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85">
              <w:r>
                <w:rPr>
                  <w:rStyle w:val="InternetLink"/>
                  <w:rFonts w:ascii="Arial;sans-serif" w:hAnsi="Arial;sans-serif"/>
                  <w:b w:val="false"/>
                  <w:color w:val="0000FF"/>
                  <w:sz w:val="20"/>
                  <w:u w:val="single"/>
                </w:rPr>
                <w:t>Consolidated Statements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85">
              <w:r>
                <w:rPr>
                  <w:rStyle w:val="InternetLink"/>
                  <w:rFonts w:ascii="Arial;sans-serif" w:hAnsi="Arial;sans-serif"/>
                  <w:b w:val="false"/>
                  <w:strike w:val="false"/>
                  <w:dstrike w:val="false"/>
                  <w:color w:val="000000"/>
                  <w:sz w:val="20"/>
                  <w:u w:val="none"/>
                  <w:effect w:val="none"/>
                </w:rPr>
                <w:t>98</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88">
              <w:r>
                <w:rPr>
                  <w:rStyle w:val="InternetLink"/>
                  <w:rFonts w:ascii="Arial;sans-serif" w:hAnsi="Arial;sans-serif"/>
                  <w:b w:val="false"/>
                  <w:color w:val="0000FF"/>
                  <w:sz w:val="20"/>
                  <w:u w:val="single"/>
                </w:rPr>
                <w:t>Consolidated Statements of Comprehensive Loss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88">
              <w:r>
                <w:rPr>
                  <w:rStyle w:val="InternetLink"/>
                  <w:rFonts w:ascii="Arial;sans-serif" w:hAnsi="Arial;sans-serif"/>
                  <w:b w:val="false"/>
                  <w:strike w:val="false"/>
                  <w:dstrike w:val="false"/>
                  <w:color w:val="000000"/>
                  <w:sz w:val="20"/>
                  <w:u w:val="none"/>
                  <w:effect w:val="none"/>
                </w:rPr>
                <w:t>99</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91">
              <w:r>
                <w:rPr>
                  <w:rStyle w:val="InternetLink"/>
                  <w:rFonts w:ascii="Arial;sans-serif" w:hAnsi="Arial;sans-serif"/>
                  <w:b w:val="false"/>
                  <w:color w:val="0000FF"/>
                  <w:sz w:val="20"/>
                  <w:u w:val="single"/>
                </w:rPr>
                <w:t>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91">
              <w:r>
                <w:rPr>
                  <w:rStyle w:val="InternetLink"/>
                  <w:rFonts w:ascii="Arial;sans-serif" w:hAnsi="Arial;sans-serif"/>
                  <w:b w:val="false"/>
                  <w:strike w:val="false"/>
                  <w:dstrike w:val="false"/>
                  <w:color w:val="000000"/>
                  <w:sz w:val="20"/>
                  <w:u w:val="none"/>
                  <w:effect w:val="none"/>
                </w:rPr>
                <w:t>100</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94">
              <w:r>
                <w:rPr>
                  <w:rStyle w:val="InternetLink"/>
                  <w:rFonts w:ascii="Arial;sans-serif" w:hAnsi="Arial;sans-serif"/>
                  <w:b w:val="false"/>
                  <w:color w:val="0000FF"/>
                  <w:sz w:val="20"/>
                  <w:u w:val="single"/>
                </w:rPr>
                <w:t>Consolidated 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94">
              <w:r>
                <w:rPr>
                  <w:rStyle w:val="InternetLink"/>
                  <w:rFonts w:ascii="Arial;sans-serif" w:hAnsi="Arial;sans-serif"/>
                  <w:b w:val="false"/>
                  <w:strike w:val="false"/>
                  <w:dstrike w:val="false"/>
                  <w:color w:val="000000"/>
                  <w:sz w:val="20"/>
                  <w:u w:val="none"/>
                  <w:effect w:val="none"/>
                </w:rPr>
                <w:t>101</w:t>
              </w:r>
            </w:hyperlink>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113d0c463643f29a3220f032cb5068_97">
              <w:r>
                <w:rPr>
                  <w:rStyle w:val="InternetLink"/>
                  <w:rFonts w:ascii="Arial;sans-serif" w:hAnsi="Arial;sans-serif"/>
                  <w:b w:val="false"/>
                  <w:color w:val="0000FF"/>
                  <w:sz w:val="20"/>
                  <w:u w:val="single"/>
                </w:rPr>
                <w:t>Notes to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113d0c463643f29a3220f032cb5068_97">
              <w:r>
                <w:rPr>
                  <w:rStyle w:val="InternetLink"/>
                  <w:rFonts w:ascii="Arial;sans-serif" w:hAnsi="Arial;sans-serif"/>
                  <w:b w:val="false"/>
                  <w:strike w:val="false"/>
                  <w:dstrike w:val="false"/>
                  <w:color w:val="000000"/>
                  <w:sz w:val="20"/>
                  <w:u w:val="none"/>
                  <w:effect w:val="none"/>
                </w:rPr>
                <w:t>102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250"/>
                <wp:effectExtent l="0" t="0" r="0" b="0"/>
                <wp:wrapNone/>
                <wp:docPr id="96"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the Stockholders and the Board of Directors of NGM Biopharmaceuticals, Inc.</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NGM Biopharmaceuticals, Inc.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pPr>
      <w:r>
        <w:rPr>
          <w:rFonts w:ascii="Arial;sans-serif" w:hAnsi="Arial;sans-serif"/>
          <w:b/>
          <w:color w:val="000000"/>
          <w:sz w:val="20"/>
        </w:rPr>
        <w:t>Critical</w:t>
      </w:r>
      <w:r>
        <w:rPr>
          <w:color w:val="333333"/>
        </w:rPr>
        <w:t xml:space="preserve"> </w:t>
      </w:r>
      <w:r>
        <w:rPr>
          <w:rFonts w:ascii="Arial;sans-serif" w:hAnsi="Arial;sans-serif"/>
          <w:b/>
          <w:color w:val="333333"/>
          <w:sz w:val="20"/>
        </w:rPr>
        <w:t>Audit Matters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120" w:after="283"/>
        <w:jc w:val="both"/>
        <w:rPr/>
      </w:pPr>
      <w:r>
        <w:rPr/>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served as the Company’s auditor since 2008.</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San Mateo, California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March 11,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250"/>
                <wp:effectExtent l="0" t="0" r="0" b="0"/>
                <wp:wrapNone/>
                <wp:docPr id="97"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972"/>
        <w:gridCol w:w="2188"/>
        <w:gridCol w:w="2203"/>
        <w:gridCol w:w="221"/>
        <w:gridCol w:w="898"/>
        <w:gridCol w:w="114"/>
        <w:gridCol w:w="109"/>
        <w:gridCol w:w="109"/>
        <w:gridCol w:w="109"/>
        <w:gridCol w:w="220"/>
        <w:gridCol w:w="897"/>
        <w:gridCol w:w="165"/>
      </w:tblGrid>
      <w:tr>
        <w:trPr/>
        <w:tc>
          <w:tcPr>
            <w:tcW w:w="2972"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ASSETS</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1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156,444 </w:t>
            </w:r>
          </w:p>
        </w:tc>
        <w:tc>
          <w:tcPr>
            <w:tcW w:w="11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6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1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20,081 </w:t>
            </w:r>
          </w:p>
        </w:tc>
        <w:tc>
          <w:tcPr>
            <w:tcW w:w="11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1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20,230 </w:t>
            </w:r>
          </w:p>
        </w:tc>
        <w:tc>
          <w:tcPr>
            <w:tcW w:w="11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6)</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$0.001 par value; 10,000 shares authorized; no shares issued or outstanding as of December 31, 2023 and 2022, respectively</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$0.001 par value; 400,000 shares authorized; 82,907 and 81,885 shares issued and outstanding as of December 31, 2023 and 2022, respectively</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872,545 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(724,008)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11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148,638 </w:t>
            </w:r>
          </w:p>
        </w:tc>
        <w:tc>
          <w:tcPr>
            <w:tcW w:w="11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6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168,868 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98"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186"/>
        <w:gridCol w:w="1821"/>
        <w:gridCol w:w="1828"/>
        <w:gridCol w:w="211"/>
        <w:gridCol w:w="903"/>
        <w:gridCol w:w="109"/>
        <w:gridCol w:w="109"/>
        <w:gridCol w:w="109"/>
        <w:gridCol w:w="109"/>
        <w:gridCol w:w="211"/>
        <w:gridCol w:w="903"/>
        <w:gridCol w:w="109"/>
        <w:gridCol w:w="109"/>
        <w:gridCol w:w="109"/>
        <w:gridCol w:w="109"/>
        <w:gridCol w:w="211"/>
        <w:gridCol w:w="903"/>
        <w:gridCol w:w="156"/>
      </w:tblGrid>
      <w:tr>
        <w:trPr/>
        <w:tc>
          <w:tcPr>
            <w:tcW w:w="218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5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77,882 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118,040 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181,067 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161,712 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1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155,880 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221,582 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198,577 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(151,463)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(166,249)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(120,695)</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(142,375)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(120,335)</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1114"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82,496 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79,950 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77,085 </w:t>
            </w:r>
          </w:p>
        </w:tc>
        <w:tc>
          <w:tcPr>
            <w:tcW w:w="156"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250"/>
                <wp:effectExtent l="0" t="0" r="0" b="0"/>
                <wp:wrapNone/>
                <wp:docPr id="99"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LOSS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04"/>
        <w:gridCol w:w="1843"/>
        <w:gridCol w:w="1859"/>
        <w:gridCol w:w="211"/>
        <w:gridCol w:w="912"/>
        <w:gridCol w:w="109"/>
        <w:gridCol w:w="109"/>
        <w:gridCol w:w="109"/>
        <w:gridCol w:w="109"/>
        <w:gridCol w:w="211"/>
        <w:gridCol w:w="912"/>
        <w:gridCol w:w="109"/>
        <w:gridCol w:w="109"/>
        <w:gridCol w:w="109"/>
        <w:gridCol w:w="109"/>
        <w:gridCol w:w="211"/>
        <w:gridCol w:w="912"/>
        <w:gridCol w:w="158"/>
      </w:tblGrid>
      <w:tr>
        <w:trPr/>
        <w:tc>
          <w:tcPr>
            <w:tcW w:w="2104"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806" w:type="dxa"/>
            <w:gridSpan w:val="3"/>
            <w:vMerge w:val="continue"/>
            <w:tcBorders/>
            <w:tcMar>
              <w:top w:w="0" w:type="dxa"/>
              <w:left w:w="0" w:type="dxa"/>
              <w:bottom w:w="0" w:type="dxa"/>
              <w:right w:w="0" w:type="dxa"/>
            </w:tcMar>
            <w:vAlign w:val="center"/>
          </w:tcPr>
          <w:p>
            <w:pPr>
              <w:pStyle w:val="Normal"/>
              <w:bidi w:val="0"/>
              <w:jc w:val="left"/>
              <w:rPr/>
            </w:pPr>
            <w:r>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80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(120,335)</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gain (loss), net of tax:</w:t>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 (loss) on available-for-sale marketable securities</w:t>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(142,055)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(162,840)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(120,468)</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250"/>
                <wp:effectExtent l="0" t="0" r="0" b="0"/>
                <wp:wrapNone/>
                <wp:docPr id="100"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97"/>
        <w:gridCol w:w="617"/>
        <w:gridCol w:w="622"/>
        <w:gridCol w:w="323"/>
        <w:gridCol w:w="323"/>
        <w:gridCol w:w="186"/>
        <w:gridCol w:w="109"/>
        <w:gridCol w:w="109"/>
        <w:gridCol w:w="109"/>
        <w:gridCol w:w="196"/>
        <w:gridCol w:w="331"/>
        <w:gridCol w:w="109"/>
        <w:gridCol w:w="109"/>
        <w:gridCol w:w="109"/>
        <w:gridCol w:w="109"/>
        <w:gridCol w:w="220"/>
        <w:gridCol w:w="828"/>
        <w:gridCol w:w="122"/>
        <w:gridCol w:w="109"/>
        <w:gridCol w:w="109"/>
        <w:gridCol w:w="109"/>
        <w:gridCol w:w="355"/>
        <w:gridCol w:w="792"/>
        <w:gridCol w:w="200"/>
        <w:gridCol w:w="109"/>
        <w:gridCol w:w="109"/>
        <w:gridCol w:w="109"/>
        <w:gridCol w:w="205"/>
        <w:gridCol w:w="800"/>
        <w:gridCol w:w="114"/>
        <w:gridCol w:w="109"/>
        <w:gridCol w:w="109"/>
        <w:gridCol w:w="109"/>
        <w:gridCol w:w="221"/>
        <w:gridCol w:w="830"/>
        <w:gridCol w:w="179"/>
      </w:tblGrid>
      <w:tr>
        <w:trPr/>
        <w:tc>
          <w:tcPr>
            <w:tcW w:w="9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3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2236" w:type="dxa"/>
            <w:gridSpan w:val="3"/>
            <w:vMerge w:val="continue"/>
            <w:tcBorders/>
            <w:tcMar>
              <w:top w:w="0" w:type="dxa"/>
              <w:left w:w="0" w:type="dxa"/>
              <w:bottom w:w="0" w:type="dxa"/>
              <w:right w:w="0" w:type="dxa"/>
            </w:tcMar>
            <w:vAlign w:val="center"/>
          </w:tcPr>
          <w:p>
            <w:pPr>
              <w:pStyle w:val="Normal"/>
              <w:bidi w:val="0"/>
              <w:jc w:val="left"/>
              <w:rPr/>
            </w:pPr>
            <w:r>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2020</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70,583 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578,599 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(298,631)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280,043 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offering,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134,575 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134,580 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Open Market Agreement,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Vesting of common stock from early exercises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(120,335)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(120,335)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77,962 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754,664 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(418,966)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335,647 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Open Market Sale Agreement,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49,443 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49,446 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(162,667)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(162,667)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81,885 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841,413 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(581,633)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259,560 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(142,375)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(142,375)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82,907 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872,545 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(724,008)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148,638 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250"/>
                <wp:effectExtent l="0" t="0" r="0" b="0"/>
                <wp:wrapNone/>
                <wp:docPr id="101"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00"/>
        <w:gridCol w:w="1841"/>
        <w:gridCol w:w="1852"/>
        <w:gridCol w:w="211"/>
        <w:gridCol w:w="883"/>
        <w:gridCol w:w="109"/>
        <w:gridCol w:w="109"/>
        <w:gridCol w:w="109"/>
        <w:gridCol w:w="109"/>
        <w:gridCol w:w="211"/>
        <w:gridCol w:w="883"/>
        <w:gridCol w:w="109"/>
        <w:gridCol w:w="109"/>
        <w:gridCol w:w="109"/>
        <w:gridCol w:w="109"/>
        <w:gridCol w:w="211"/>
        <w:gridCol w:w="883"/>
        <w:gridCol w:w="158"/>
      </w:tblGrid>
      <w:tr>
        <w:trPr/>
        <w:tc>
          <w:tcPr>
            <w:tcW w:w="220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operating activities: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Reduction in related party contract asset due to Amended Collaboration Agreement with Merck</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(Accretion of discount) amortization of premium on marketable securities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noncash expenses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Related party receivable from collaboration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Related party contract asset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and other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(73,229)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marketable securities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(293,466)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maturities of marketable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(71,650)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Open Market Agreement, net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employee stock purchase plan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follow on offering, net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(decrease) increase in cash and cash equivalents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disclosures of noncash investing and financing activities:</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purchases not yet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Right of use asset acquired under operating lease on the adoption of ASC 842</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250"/>
                <wp:effectExtent l="0" t="0" r="0" b="0"/>
                <wp:wrapNone/>
                <wp:docPr id="102"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 xml:space="preserve">1.Organization and Description of Business </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NGM Biopharmaceuticals, Inc. and its wholly-owned subsidiary, NGM Biopharmaceuticals Australia Pty Ltd., or NGM Australia, collectively referred to as the Company, is a biopharmaceutical company focused on discovering and developing novel, potentially life-changing medicines based on scientific understanding of key biological pathways underlying grievous diseases with critical unmet or underserved patient need. The Company's portfolio of product candidates ranges from early discovery to Phase 2b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was incorporated in Delaware in December 2007 and commenced operations in 2008. The Company's headquarters are located at 333 Oyster Point Blvd., South San Francisco, California 94080.</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Pending Transactions Contemplated by the Merger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25, 2024, the Company entered into the Agreement and Plan of Merger, dated as of February 25, 2024, or the Merger Agreement, with Atlas Neon Parent, Inc., a Delaware corporation, or Parent, and Atlas Neon Merger Sub, Inc., a Delaware corporation and a wholly-owned subsidiary of Parent, or Merger Sub. Parent and Merger Sub are affiliates of The Column Group, LP, which, along with certain of its affiliates, is collectively referred to as TCG. TCG is the Company's largest stockholder, holding approximately 26.7% of the Company's common stock as of December 28, 2023.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provides for, among other things, (i) the acquisition of the Company by Parent through a cash tender offer, or the Offer, by Merger Sub for each issued and outstanding share of the Company’s common stock for $1.55 per share, or the Offer Price, and (ii) the merger of Merger Sub with and into the Company, or the Merger, with the Company surviving the Merger. Subject to the terms of the Merger Agreement, the Offer Price will be paid subject to any applicable tax withholding and without interest.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Upon the unanimous recommendation of the special committee of the Company's board of directors, or the Special Committee, the members of the Company's board (other than David V. Goeddel, Ph.D. and Roger M. Perlmutter, M.D., Ph.D. who recused themselves because of their relationship to TCG, and William J. Rieflin, who recused himself because he had entered into the Rollover Agreement (as defined in the Merger Agreement) at the time of the board's determination) have unanimously determined that the terms of the Offer, the Merger and the other transactions contemplated by the Merger Agreement are fair to and in the best interests of the Company and the Unaffiliated Stockholders (as defined in the Merger Agreement), authorized and approved the execution, delivery and performance by the Company of the Merger Agreement and, subject to the terms and conditions of the Merger Agreement, the consummation by the Company of the transactions contemplated by the Merger Agreement, declared the Merger Agreement and the transactions contemplated by the Merger Agreement advisable and recommended that the Unaffiliated Stockholders accept the Offer and tender their shares of common stock pursuant to the Offer.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Offer is being made subject to all terms and conditions set forth in the Offer to Purchase, dated March 8, 2024, or, as it may be amended or supplemented from time to time, the Offer to Purchase, and in the related Letter of Transmittal, or as it may be amended or supplemented from time to time, the Letter of Transmittal. The Offer to Purchase and the Letter of Transmittal constitute the Offer. The Offer will expire at one minute after 11:59 p.m., Eastern time, on April 4, 2024, unless extended in accordance with the terms of the Offer and the Merger Agreement and the applicable rules and regulations of the U.S. Securities and Exchange Commission, or the SEC.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terms of the Merger Agreement, as of the effective time of the Merger, or the Effective Time, by virtue of the Merger and without any action on the part of the holders, (i) each outstanding share of the Company's common stock (other than any shares of common stock (a) held in the treasury of the Company, (b) owned, directly or indirectly by TCG, Parent, Merger Sub or any other subsidiary of Parent, or the Rollover Stockholders (as defined in the Merger Agreement) at the commencement of the Offer, (c) irrevocably accepted for purchase in the Offer or (d) owned by any stockholders who are entitled to and who properly exercise appraisal rights under Delaware law) will be converted into the right to receive the Offer Price without interest, less any applicable tax withholding; (ii) the vesting of each option to purchase shares of the Company's common stock, or the Company Stock Options, shall be accelerated and (A) each Company Stock Option that has an exercise price per share that is less than the Offer Price, or an In-the-Money Option, that is then outstanding will be cancelled and, in exchange therefor, the holder of such cancelled In-the-Money Option will be entitled to receive an amount in cash, without any interest thereon and subject to applicable tax withholding, equal to the product of (x) the total number of shares of the Company's common stock underlying such In-the-Money Option as of immediately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250"/>
                <wp:effectExtent l="0" t="0" r="0" b="0"/>
                <wp:wrapNone/>
                <wp:docPr id="103" name="Frame10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 Effective Time multiplied by (y) the excess of the Offer Price over the applicable exercise price per share of the common stock underlying such In-the-Money Option, and (B) each Company Stock Option that is not an In-the-Money Option will be cancelled for no consideration; and (iii) each unvested restricted stock unit, or RSU, of the Company that is then outstanding shall become immediately vested in full and cancelled, and, in exchange therefor, the holder of such cancelled RSU will be entitled to receive an amount in cash without interest, less any applicable tax withholding, equal to the Offer Price.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Merger Sub’s obligation to accept shares of the Company's common stock tendered in the Offer is subject to conditions, including: (i) that the number of shares of the Company's common stock validly tendered and not validly withdrawn, equals at least a majority of all shares of the Company's common stock then owned by the Unaffiliated Stockholders as of the expiration of the Offer; (ii) the accuracy of the Company’s representations and warranties contained in the Merger Agreement (subject to certain exceptions and qualifications described in the Merger Agreement and except, generally, for any inaccuracies that have not had a Company Material Adverse Effect (as defined in the Merger Agreement)); (iii) the Company’s performance in all material respects of its obligations under the Merger Agreement and (iv) the other conditions set forth in Exhibit A to the Merger Agreement. The obligations of Parent and Merger Sub to consummate the Offer and the Merger under the Merger Agreement are not subject to a financing condition.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Following the completion of the Offer, subject to the absence of injunctions or other legal restraints preventing or prohibiting the consummation of the Merger, Merger Sub will merge with and into the Company, with the Company surviving as a wholly-owned subsidiary of Parent, pursuant to the procedure provided for under Section 251(h) of the Delaware General Corporation Law, without any additional stockholder approvals. The Merger will be effected as soon as practicable following the time at which Merger Sub purchases the shares of the Company's common stock validly tendered and not withdrawn in the Offer.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Merger Agreement contains customary representations and warranties by Parent, Merger Sub and the Company. The Merger Agreement also contains customary covenants and agreements, including with respect to the operations of the Company's business between signing and closing.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contains customary non-solicitation restrictions prohibiting the Company’s solicitation of alternative business combination transactions and restricts the Company’s ability to furnish non-public information to, or participate in any discussions or negotiations with, any third party with respect to any such alternative business combination transaction, subject to customary exceptions in the event of an acquisition proposal that was not solicited in violation of these restrictions and that our board of directors (acting upon the recommendation of the Special Committee) or the Special Committee determines constitutes or could reasonably be expected to lead to a Superior Company Proposal (as defined in the Merger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Merger Agreement contains customary termination rights for both Parent and Merger Sub, on the one hand, and the Company, on the other hand, including, among others, for failure to consummate the Offer on or before June 15, 2024. If the Merger Agreement is terminated under certain circumstances specified in the Merger Agreement in connection with the Company’s entry into an agreement with respect to a Superior Company Proposal, the Company will be required to pay Parent a termination fee of $2.0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the Offer and the Merger contemplated under the Merger Agreement will be consummated in the second quarter of 2024. However, there can be no assurance that the Offer and the Merger contemplated by the Merger Agreement will be completed. If the Merger is effected, the Company’s common stock will be delisted from The Nasdaq Stock Market LLC and the Company’s obligation to file periodic reports under the Securities Exchange Act of 1934, as amended, or the Exchange Act, will terminate, and NGM Bio will be privately held.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Pending consummation of the Offer and the Merger, the Merger Agreement generally requires the Company to operate in the ordinary course of business consistent with past practice and restricts the Company from taking certain actions with respect to the Company's business and financial affairs without Parent’s consent. Such restrictions will be in place until either the Offer and the Merger are consummated or the Merger Agreement is terminated. These restrictions could restrict the Company's ability to pursue or prevent the Company from pursuing attractive business or fundraising opportunities (if any) that arise prior to the consummation of the Offer and the Merger. For example, the Company's ability to raise additional capital through the issuance of equity securities, incur indebtedness or to pursue business development or similar arrangements are generally restricted without Parent’s consent during the pendency of the Offer and the Merger.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250"/>
                <wp:effectExtent l="0" t="0" r="0" b="0"/>
                <wp:wrapNone/>
                <wp:docPr id="104" name="Frame10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2.Summary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U.S. generally accepted accounting principles, or U.S. GAAP, and include the consolidated accounts of NGM Biopharmaceuticals, Inc. and its wholly-owned foreign subsidiary, NGM Australia. All intercompany balances and transactions have been eliminated upon consolidation.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expense, clinical trial accruals, other accruals including contract manufacturing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Sources and Uses of Liquidity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negative cash flow from operations. During the years ended December 31, 2023, 2022 and 2021, the Company incurred net losses of $142.4 million, $162.7 million and $120.3 million, respectively. As of December 31, 2023, the Company had an accumulated deficit of $724.0 million. The Company expects its accumulated deficit will continue to increase over time and does not expect to experience positive cash flows from operations in the near future.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the Company had $144.2 million of cash, cash equivalents and short-term marketable securities.</w:t>
      </w:r>
    </w:p>
    <w:p>
      <w:pPr>
        <w:pStyle w:val="TextBody"/>
        <w:bidi w:val="0"/>
        <w:spacing w:lineRule="auto" w:line="288" w:before="240" w:after="120"/>
        <w:ind w:left="0" w:right="0" w:firstLine="720"/>
        <w:jc w:val="both"/>
        <w:rPr/>
      </w:pPr>
      <w:r>
        <w:rPr>
          <w:rFonts w:ascii="Arial;sans-serif" w:hAnsi="Arial;sans-serif"/>
          <w:b w:val="false"/>
          <w:color w:val="000000"/>
          <w:sz w:val="20"/>
        </w:rPr>
        <w:t>In June 2020, the Company entered into an Open Market Sale Agreement</w:t>
      </w:r>
      <w:r>
        <w:rPr>
          <w:rFonts w:ascii="Arial;sans-serif" w:hAnsi="Arial;sans-serif"/>
          <w:b w:val="false"/>
          <w:color w:val="000000"/>
          <w:sz w:val="13"/>
        </w:rPr>
        <w:t>SM</w:t>
      </w:r>
      <w:r>
        <w:rPr>
          <w:rFonts w:ascii="Arial;sans-serif" w:hAnsi="Arial;sans-serif"/>
          <w:b w:val="false"/>
          <w:color w:val="000000"/>
          <w:sz w:val="20"/>
        </w:rPr>
        <w:t>, or the Sales Agreement, with Jefferies LLC, or Jefferies, pursuant to which the Company could sell, from time to time, through or to Jefferies, up to an aggregate of $150.0 million of the Company’s common stock. In June 2023, the Company entered into Amendment No. 1, or the Amendment, to the Sales Agreement, and the Sales Agreement as amended is referred to as the Amended Sales Agreement.</w:t>
      </w:r>
      <w:r>
        <w:rPr>
          <w:color w:val="000000"/>
        </w:rPr>
        <w:t xml:space="preserve"> </w:t>
      </w:r>
      <w:r>
        <w:rPr>
          <w:rFonts w:ascii="Arial;sans-serif" w:hAnsi="Arial;sans-serif"/>
          <w:b w:val="false"/>
          <w:color w:val="000000"/>
          <w:sz w:val="20"/>
        </w:rPr>
        <w:t>In connection with the Amendment, the Company filed a new shelf registration statement on Form S-3 which the SEC declared effective in August 2023. The Amended Sales Agreement provides for the issuance and sales of shares of the Company's common stock having an aggregate offering price of up to $100.0 million through or to Jefferies. As of December 31, 2023, up to $100.0 million of the Company's common stock remained available to be sold under the Amended Sales Agreement, subject to conditions specified in the Amended Sales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believes its existing cash, cash equivalents and short-term marketable securities will be sufficient to fund its operations for a period of at least one year from the issuance of these consolidated financial statements.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fully implement the Company’s business plan and fund its operations, the Company needs to raise significant additional capital through public or private equity or debt offerings (which may include potential net proceeds from future sales of the Company's common stock, if any, under the Amended Sales Agreement), potential future collaboration, out licensing, partnering or other business development arrangements, or BD Arrangements, or a combination of the foregoing. None may be possible and, as a result, the Company may need to significantly delay, scale back or discontinue development of or abandon some or all of its product candidates, or scale back or discontinue the Company's discovery research efforts, any of which could have a material adverse effect on the Company's business, operating results and prospects, or the Company may be required to cease operations altogether.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250"/>
                <wp:effectExtent l="0" t="0" r="0" b="0"/>
                <wp:wrapNone/>
                <wp:docPr id="105" name="Frame10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carrying amounts of cash and cash equivalents, the related party receivable from collaboration and other current assets and liabilities approximate their respective fair values due to their short-term nature.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banks it believes are highly creditworthy in amounts that may at times exceed Federal Deposit Insurance Corporation, or FDIC, limits. As of December 31, 2023 and 2022, cash and cash equivalents consisted of bank deposits and investments in money market funds. The Company’s bank deposits as of December 31, 2023 and 2022 included certain amounts over the FDIC limits.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appropriate classification of the Company’s marketable securities is determined at the time of purchase and such designations are re-evaluated at each balance sheet date.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income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investments are regularly reviewed for any impairments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investment is impaired, the Company reduces the carrying value of the security it holds and records a loss for the amount of such decline. As of December 31, 2023, the Company did not record any impairments related to its securities.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restricted cash balances represent collateral required under the Company’s facility lease agreements. Collateral that will not be returned to the Company within twelve months from the date of these consolidated financial statements is classified as a non-current asset.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 of Credit and Other Risks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 banks. Under its investment policy, the Company limits amounts invested in such securities by credit rating, maturity, industry group, investment type and issuer, except for securities issued by the U.S. government.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Related party receivables from collaboration and partnering arrangements are typically unsecured. Accordingly, the Company may be exposed to credit risk generally associated with its current amended and restated research collaboration, product development and license agreement, or the Amended Collaboration Agreement, with Merck Sharp &amp; Dohme, LLC, or Merck, and any future collaboration or partnering arrangements with other potential future partners. To date, the Company has not experienced any losses related to these receivables.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(other than a right that is conditioned only on the passage of time) to receipt are recorded as contract assets in the Company's consolidated balance sheets. Although the Company expects to have an unconditional right to receive such amounts, the Company may be exposed to the risk of not receiving the recorded amounts under its current collaboration agreement with Merck and any future collaboration or partnering arrangements with other potential future partners. To date, the Company has not experienced any losses related to contract assets.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related party revenue from Merck accounted for 100% of the Company’s revenue for the years ended December 31,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250"/>
                <wp:effectExtent l="0" t="0" r="0" b="0"/>
                <wp:wrapNone/>
                <wp:docPr id="106" name="Frame10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are recorded at cost and consist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tbl>
      <w:tblPr>
        <w:tblW w:w="6960" w:type="dxa"/>
        <w:jc w:val="left"/>
        <w:tblInd w:w="0" w:type="dxa"/>
        <w:tblLayout w:type="fixed"/>
        <w:tblCellMar>
          <w:top w:w="28" w:type="dxa"/>
          <w:left w:w="28" w:type="dxa"/>
          <w:bottom w:w="28" w:type="dxa"/>
          <w:right w:w="28" w:type="dxa"/>
        </w:tblCellMar>
      </w:tblPr>
      <w:tblGrid>
        <w:gridCol w:w="1332"/>
        <w:gridCol w:w="1169"/>
        <w:gridCol w:w="1173"/>
        <w:gridCol w:w="958"/>
        <w:gridCol w:w="958"/>
        <w:gridCol w:w="1370"/>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32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w:t>
            </w:r>
          </w:p>
        </w:tc>
        <w:tc>
          <w:tcPr>
            <w:tcW w:w="32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Shorter of life of asset or lease term</w:t>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 or in some cases, the useful life of the underlying asset. The Company accounts for the lease and non-lease components as a single lease component. The Company’s lease agreement for its corporate office and laboratory space is classified as an operating lease.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2023 and 2022, no revision to the remaining useful lives or write-down of long-lived assets was required.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250"/>
                <wp:effectExtent l="0" t="0" r="0" b="0"/>
                <wp:wrapNone/>
                <wp:docPr id="107" name="Frame10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or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R&amp;D services performed under the collaboration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R&amp;D services or participation in research or steering committees, as well as whether options create material rights in the contract. In situations when a contract includes distinct R&amp;D services that are substantially the same and have the same pattern of transfer to the customer over time, they are recognized as a series of distinct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The Company typically submits a budget for the R&amp;D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250"/>
                <wp:effectExtent l="0" t="0" r="0" b="0"/>
                <wp:wrapNone/>
                <wp:docPr id="108" name="Frame10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Company accounts for the contract modification as an add-on to the existing contract and as an adjustment to revenue on a cumulative catch-up basis.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costs are expensed as incurred. R&amp;D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R&amp;D activities as expenses when the goods have been received or when the service has been performed rather than when the payment is made.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Clinical trial costs are a component of R&amp;D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stock-based compensation program includes awards made under the Company's 2018 Equity Incentive Plan, or the 2018 Plan, and the 2019 Employee Stock Purchase Plan, or ESPP. The Company measures stock-based compensation expense for all stock-based awards at the grant date based on the fair value measurement of the award.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Comprehensive loss is composed of net loss and certain changes in stockholders’ equity that are excluded from net loss, primarily unrealized gains or losses, net of taxes, on the Company’s marketable securities.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and the assumed vesting of outstanding RSUs. However, where there is a diluted net loss per share, no adjustment is made for potentially issuable shares since their effect would be anti-dilutive. In this case, diluted net loss per share is equal to basic net loss per share.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Net loss per share was computed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2118"/>
        <w:gridCol w:w="1865"/>
        <w:gridCol w:w="1874"/>
        <w:gridCol w:w="211"/>
        <w:gridCol w:w="895"/>
        <w:gridCol w:w="109"/>
        <w:gridCol w:w="109"/>
        <w:gridCol w:w="109"/>
        <w:gridCol w:w="109"/>
        <w:gridCol w:w="211"/>
        <w:gridCol w:w="895"/>
        <w:gridCol w:w="109"/>
        <w:gridCol w:w="109"/>
        <w:gridCol w:w="109"/>
        <w:gridCol w:w="109"/>
        <w:gridCol w:w="211"/>
        <w:gridCol w:w="895"/>
        <w:gridCol w:w="158"/>
      </w:tblGrid>
      <w:tr>
        <w:trPr/>
        <w:tc>
          <w:tcPr>
            <w:tcW w:w="2118"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585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21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(142,375)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(120,335)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21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used in calculating net loss per share—basic and diluted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77,085 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share—basic and diluted</w:t>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8"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250"/>
                <wp:effectExtent l="0" t="0" r="0" b="0"/>
                <wp:wrapNone/>
                <wp:docPr id="109" name="Frame10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Potentially dilutive securities that were not included in the diluted per share calculations because they would be anti-dilutive were as follows (in thousands):</w:t>
      </w:r>
    </w:p>
    <w:tbl>
      <w:tblPr>
        <w:tblW w:w="6990" w:type="dxa"/>
        <w:jc w:val="left"/>
        <w:tblInd w:w="0" w:type="dxa"/>
        <w:tblLayout w:type="fixed"/>
        <w:tblCellMar>
          <w:top w:w="28" w:type="dxa"/>
          <w:left w:w="28" w:type="dxa"/>
          <w:bottom w:w="28" w:type="dxa"/>
          <w:right w:w="28" w:type="dxa"/>
        </w:tblCellMar>
      </w:tblPr>
      <w:tblGrid>
        <w:gridCol w:w="1169"/>
        <w:gridCol w:w="1024"/>
        <w:gridCol w:w="1031"/>
        <w:gridCol w:w="375"/>
        <w:gridCol w:w="376"/>
        <w:gridCol w:w="176"/>
        <w:gridCol w:w="154"/>
        <w:gridCol w:w="154"/>
        <w:gridCol w:w="154"/>
        <w:gridCol w:w="375"/>
        <w:gridCol w:w="376"/>
        <w:gridCol w:w="176"/>
        <w:gridCol w:w="154"/>
        <w:gridCol w:w="154"/>
        <w:gridCol w:w="154"/>
        <w:gridCol w:w="375"/>
        <w:gridCol w:w="376"/>
        <w:gridCol w:w="237"/>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10,485 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committed under the ESPP</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subject to RSUs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14,949 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Segment and Geographical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operates in one business segment. Substantially all of the Company’s long-lived assets, primarily comprised of property and equipment, are based in the United States. For the years ended December 31, 2023, 2022 and 2021, the Company’s revenues were entirely within the United States based upon the location of the Company and Merck.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 Not Yet Adopted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The guidance requires public business entities to disclose in their rate reconciliation table additional categories of information about federal, state and foreign income taxes and to provide additional information about reconciling items that meet a quantitative threshold. The guidance requires all entities to disclose annually income taxes paid (net of refunds received) disaggregated by federal (national), state and foreign taxes and to disaggregate the information by jurisdiction based on a quantitative threshold. For public business entities, the guidance is effective for annual periods beginning after December 15, 2024. All entities should apply the guidance prospectively but have the option to apply it retrospectively. Early adoption is permitted. The Company is currently assessing the timing of adoption and expects the adoption of ASU 2023-09 will not have a material impact on its results of operations and financial position.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2023, the FASB issued ASU 2023-07, Segment Reporting (Topic 280): Improvements to Reportable Segment Disclosures. The guidance requires a public entity to disclose for each reportable segment, on an interim and annual basis, the significant expense categories and amounts that are regularly provided to the chief operating decision-maker, or CODM, and included in each reported measure of a segment’s profit or loss. Public entities with a single reportable segment are required to provide the new disclosures and all the disclosures required under Accounting Standards Codification (ASC) Topic 280, Segment Reporting. Additionally, ASU 2023-07 requires a public entity to disclose the title and position of the individual or the name of the group or committee identified as the CODM. All public entities are required to explain in the notes to the financial statements how the CODM uses each reported measure of a segment’s profit or loss in assessing segment performance and determining how to allocate resources. The guidance is effective for public entities for fiscal years beginning after December 15, 2023, and interim periods within fiscal years beginning after December 15, 2024. Early adoption is permitted. The guidance is applied retrospectively to all periods presented in the financial statements, unless it is impracticable. The segment expense categories and amounts disclosed in the prior periods should be based on the significant segment expense categories identified and disclosed in the period of adoption. The Company is currently assessing the timing of adoption and expects the adoption of ASU 2023-07 will not have a material impact on its results of operations and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250"/>
                <wp:effectExtent l="0" t="0" r="0" b="0"/>
                <wp:wrapNone/>
                <wp:docPr id="110" name="Frame10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3.Fair Value Measurements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equivalents and marketable securities are classified as available-for-sale securities and consisted of the following (in thousands):</w:t>
      </w:r>
    </w:p>
    <w:tbl>
      <w:tblPr>
        <w:tblW w:w="10205" w:type="dxa"/>
        <w:jc w:val="left"/>
        <w:tblInd w:w="0" w:type="dxa"/>
        <w:tblLayout w:type="fixed"/>
        <w:tblCellMar>
          <w:top w:w="28" w:type="dxa"/>
          <w:left w:w="28" w:type="dxa"/>
          <w:bottom w:w="28" w:type="dxa"/>
          <w:right w:w="28" w:type="dxa"/>
        </w:tblCellMar>
      </w:tblPr>
      <w:tblGrid>
        <w:gridCol w:w="1744"/>
        <w:gridCol w:w="1516"/>
        <w:gridCol w:w="1523"/>
        <w:gridCol w:w="211"/>
        <w:gridCol w:w="856"/>
        <w:gridCol w:w="109"/>
        <w:gridCol w:w="109"/>
        <w:gridCol w:w="109"/>
        <w:gridCol w:w="109"/>
        <w:gridCol w:w="296"/>
        <w:gridCol w:w="570"/>
        <w:gridCol w:w="155"/>
        <w:gridCol w:w="109"/>
        <w:gridCol w:w="109"/>
        <w:gridCol w:w="109"/>
        <w:gridCol w:w="296"/>
        <w:gridCol w:w="570"/>
        <w:gridCol w:w="155"/>
        <w:gridCol w:w="109"/>
        <w:gridCol w:w="109"/>
        <w:gridCol w:w="109"/>
        <w:gridCol w:w="211"/>
        <w:gridCol w:w="856"/>
        <w:gridCol w:w="156"/>
      </w:tblGrid>
      <w:tr>
        <w:trPr/>
        <w:tc>
          <w:tcPr>
            <w:tcW w:w="174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 of December 31, 2023</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$88,351)</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5"/>
        <w:gridCol w:w="1516"/>
        <w:gridCol w:w="1523"/>
        <w:gridCol w:w="211"/>
        <w:gridCol w:w="856"/>
        <w:gridCol w:w="109"/>
        <w:gridCol w:w="109"/>
        <w:gridCol w:w="109"/>
        <w:gridCol w:w="109"/>
        <w:gridCol w:w="309"/>
        <w:gridCol w:w="551"/>
        <w:gridCol w:w="161"/>
        <w:gridCol w:w="109"/>
        <w:gridCol w:w="109"/>
        <w:gridCol w:w="109"/>
        <w:gridCol w:w="268"/>
        <w:gridCol w:w="613"/>
        <w:gridCol w:w="140"/>
        <w:gridCol w:w="109"/>
        <w:gridCol w:w="109"/>
        <w:gridCol w:w="109"/>
        <w:gridCol w:w="211"/>
        <w:gridCol w:w="856"/>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Unrealized</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Unrealized</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$198,338)</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cash and cash equivalents amount in the table above excludes cash on deposit with banks of $6.4 million and $10.6 million as of December 31, 2023 and 2022, respectively.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recorded any impairment charges against the market value of its marketable securities. In determining whether an investment is impaired, the Company considers various factors including the length of time and extent to which the market value has been less than cost, the financial condition and near-term prospects of the issuer and the Company’s intent and ability to retain its investment in the issuer for a time period sufficient to allow for any anticipated recovery in market value.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and 2022, all of the Company’s marketable securities had remaining contractual maturities of less than one year. As of December 31, 2023, the Company had nine marketable securities in an unrealized loss position compared to 19 marketable securities in an unrealized loss position as of December 31, 2022. Marketable securities that were in unrealized loss positions as of December 31, 2023 and 2022 had been in an unrealized loss position for less than twelve months. The Company does not need to, nor does it intend to, sell marketable securities that are in an unrealized loss position, and it is highly unlikely that the Company will be required to sell the investments before recovery of their amortized cost basis, which may be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250"/>
                <wp:effectExtent l="0" t="0" r="0" b="0"/>
                <wp:wrapNone/>
                <wp:docPr id="111" name="Frame1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by major security type, the Company's available-for-sale securities that were measured at fair value on a recurring basis and were categorized using the fair value hierarchy (in thousands):</w:t>
      </w:r>
    </w:p>
    <w:tbl>
      <w:tblPr>
        <w:tblW w:w="7680" w:type="dxa"/>
        <w:jc w:val="left"/>
        <w:tblInd w:w="0" w:type="dxa"/>
        <w:tblLayout w:type="fixed"/>
        <w:tblCellMar>
          <w:top w:w="28" w:type="dxa"/>
          <w:left w:w="28" w:type="dxa"/>
          <w:bottom w:w="28" w:type="dxa"/>
          <w:right w:w="28" w:type="dxa"/>
        </w:tblCellMar>
      </w:tblPr>
      <w:tblGrid>
        <w:gridCol w:w="946"/>
        <w:gridCol w:w="830"/>
        <w:gridCol w:w="834"/>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85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 of December 31, 2023</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9" w:type="dxa"/>
        <w:jc w:val="left"/>
        <w:tblInd w:w="0" w:type="dxa"/>
        <w:tblLayout w:type="fixed"/>
        <w:tblCellMar>
          <w:top w:w="28" w:type="dxa"/>
          <w:left w:w="28" w:type="dxa"/>
          <w:bottom w:w="28" w:type="dxa"/>
          <w:right w:w="28" w:type="dxa"/>
        </w:tblCellMar>
      </w:tblPr>
      <w:tblGrid>
        <w:gridCol w:w="1152"/>
        <w:gridCol w:w="1011"/>
        <w:gridCol w:w="1016"/>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Level 1 fair values are based on quoted prices in active markets for identical assets or liabilities. The Company estimates the fair values of investments in commercial paper, corporate and agency bond securities and U.S. government agency securities using Level 2 inputs by taking into consideration valuations obtained from third-party pricing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were no transfers of assets or liabilities between the fair value measurement levels during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4.Balance Sheet Components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cash, cash equivalents and restricted cash reported within the consolidated balance sheets to the amount reported within the consolidated statements of cash flows is as follows (in thousands):</w:t>
      </w:r>
    </w:p>
    <w:tbl>
      <w:tblPr>
        <w:tblW w:w="6864" w:type="dxa"/>
        <w:jc w:val="left"/>
        <w:tblInd w:w="0" w:type="dxa"/>
        <w:tblLayout w:type="fixed"/>
        <w:tblCellMar>
          <w:top w:w="28" w:type="dxa"/>
          <w:left w:w="28" w:type="dxa"/>
          <w:bottom w:w="28" w:type="dxa"/>
          <w:right w:w="28" w:type="dxa"/>
        </w:tblCellMar>
      </w:tblPr>
      <w:tblGrid>
        <w:gridCol w:w="1574"/>
        <w:gridCol w:w="1385"/>
        <w:gridCol w:w="1391"/>
        <w:gridCol w:w="211"/>
        <w:gridCol w:w="751"/>
        <w:gridCol w:w="109"/>
        <w:gridCol w:w="109"/>
        <w:gridCol w:w="109"/>
        <w:gridCol w:w="109"/>
        <w:gridCol w:w="211"/>
        <w:gridCol w:w="75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61,270 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250"/>
                <wp:effectExtent l="0" t="0" r="0" b="0"/>
                <wp:wrapNone/>
                <wp:docPr id="112" name="Frame1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Property and equipment consisted of the following (in thousands):</w:t>
      </w:r>
    </w:p>
    <w:tbl>
      <w:tblPr>
        <w:tblW w:w="6189" w:type="dxa"/>
        <w:jc w:val="left"/>
        <w:tblInd w:w="0" w:type="dxa"/>
        <w:tblLayout w:type="fixed"/>
        <w:tblCellMar>
          <w:top w:w="28" w:type="dxa"/>
          <w:left w:w="28" w:type="dxa"/>
          <w:bottom w:w="28" w:type="dxa"/>
          <w:right w:w="28" w:type="dxa"/>
        </w:tblCellMar>
      </w:tblPr>
      <w:tblGrid>
        <w:gridCol w:w="1331"/>
        <w:gridCol w:w="1169"/>
        <w:gridCol w:w="1175"/>
        <w:gridCol w:w="211"/>
        <w:gridCol w:w="751"/>
        <w:gridCol w:w="109"/>
        <w:gridCol w:w="109"/>
        <w:gridCol w:w="109"/>
        <w:gridCol w:w="109"/>
        <w:gridCol w:w="211"/>
        <w:gridCol w:w="75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6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Construction-in-progress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gross</w:t>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51,874 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51,390 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Depreciation expense for the years ended December 31, 2023, 2022 and 2021 was approximately $2.2 million, $4.0 million and $6.1 million, respectively.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Accrued Liabilities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Accrued liabilities consisted of the following (in thousands):</w:t>
      </w:r>
    </w:p>
    <w:tbl>
      <w:tblPr>
        <w:tblW w:w="7013" w:type="dxa"/>
        <w:jc w:val="left"/>
        <w:tblInd w:w="0" w:type="dxa"/>
        <w:tblLayout w:type="fixed"/>
        <w:tblCellMar>
          <w:top w:w="28" w:type="dxa"/>
          <w:left w:w="28" w:type="dxa"/>
          <w:bottom w:w="28" w:type="dxa"/>
          <w:right w:w="28" w:type="dxa"/>
        </w:tblCellMar>
      </w:tblPr>
      <w:tblGrid>
        <w:gridCol w:w="1630"/>
        <w:gridCol w:w="1433"/>
        <w:gridCol w:w="1436"/>
        <w:gridCol w:w="211"/>
        <w:gridCol w:w="751"/>
        <w:gridCol w:w="109"/>
        <w:gridCol w:w="109"/>
        <w:gridCol w:w="109"/>
        <w:gridCol w:w="109"/>
        <w:gridCol w:w="211"/>
        <w:gridCol w:w="75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4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Clinical trials and research and development costs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costs (1)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(1) As of December 31, 2022, the Company recorded an aggregate of $3.0 million for cancellation charges related to the Company's cancellation of its agreement with Lonza Ltd for the Phase 3 manufacturing of NGM621 following Merck's decision to not exercise its option to license NGM621 and the Company's decision not to proceed with further development of NGM621, of which $1.8 million was recorded in accrued manufacturing costs and $1.2 million was included in accounts payable. See Note 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5.Research Collaboration and License Agreements</w:t>
      </w:r>
    </w:p>
    <w:p>
      <w:pPr>
        <w:pStyle w:val="TextBody"/>
        <w:bidi w:val="0"/>
        <w:spacing w:lineRule="auto" w:line="288" w:before="120" w:after="120"/>
        <w:jc w:val="both"/>
        <w:rPr>
          <w:rFonts w:ascii="Arial;sans-serif" w:hAnsi="Arial;sans-serif"/>
          <w:b/>
          <w:i/>
          <w:color w:val="0D0D0D"/>
          <w:sz w:val="20"/>
        </w:rPr>
      </w:pPr>
      <w:r>
        <w:rPr>
          <w:rFonts w:ascii="Arial;sans-serif" w:hAnsi="Arial;sans-serif"/>
          <w:b/>
          <w:i/>
          <w:color w:val="0D0D0D"/>
          <w:sz w:val="20"/>
        </w:rPr>
        <w:t>Merck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program term of the collaboration was for five years and was extended by Merck for an additional two years through March 2022. As part of that extension, Merck agreed to continue to fund up to $75.0 million of the Company's R&amp;D efforts each year consistent with the initial five-year research term and, in lieu of a $20.0 million extension fee payable to the Company, Merck agreed to make additional payments totaling up to $20.0 million in support of the Company's R&amp;D activities during 2021 through the first quarter of 2022.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30, 2021, the Company entered into an amended and restated research collaboration, product development and license agreement with Merck, or the Amended Collaboration Agreement, replacing the Original Collaboration Agreement and extending the research program term of the collaboration generally through March 31, 2024, with possible extensions for each of the various programs to allow the Company or Merck to complete ongoing development,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250"/>
                <wp:effectExtent l="0" t="0" r="0" b="0"/>
                <wp:wrapNone/>
                <wp:docPr id="113" name="Frame1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and other activities on compounds that are directed to one of up to two undisclosed targets outside of the fields of ophthalmology and CVM disease, or the Lab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Currently, the only ongoing research activities to be funded under the Amended Collaboration Agreement are certain CVM-related activities. The research program term for the CVM-related continuing programs will continue until March 31, 2024, unless the parties mutually agree to extend the research program term to March 31, 2026, in which case Merck would provide up to a total of $20.0 million in research funding during those additional two years. The Company does not expect the research program term to be extended. Remaining activities under the Lab Programs were substantially completed in the first quarter of 2023.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its related compounds and the ophthalmology bundle upon completion of the Phase 2 CATALINA trial. In December 2022, Merck notified the Company that it would not exercise its option to license NGM621 and its related compounds, nor would Merck exercise the related ophthalmology bundle option; accordingly, these options expired unexercised in January 2023 and the programs are now wholly-owned by the Company. Further, Merck did not elect for the Company to continue to conduct R&amp;D during an extended or tail period on any compounds from the Company's other ophthalmology programs that were subject to the collaboration. Because Merck did not exercise its ophthalmology license options or make an R&amp;D tail period election, the programs are now wholly-owned by the Company and the Company does not have any funding from Merck to pursue such ophthalmology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Pursuant to the Amended Collaboration Agreement, the Company gained the right, in its sole discretion, to independently research, develop and commercialize the collaboration compounds known as NGM707, NGM120, NGM438 and NGM831, their related compounds and all other preclinical and research assets that the Company researched or developed under the Original Collaboration Agreement but that were not included within the R&amp;D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Merck continued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We do not expect any new CVM-related programs to be added to the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 Merck will be responsible, at its own cost, for any further development and commercialization activities for continuing collaboration compounds within any such licensed continuing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March 2022, the Company and Merck entered into a letter agreement, or the Letter Agreement, regarding NGM621 manufacturing activities that the Company undertook with the intention of avoiding a significant delay between the completion of the CATALINA trial and the start of any Phase 3 clinical trial for NGM621.</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Amended Collaboration Agreement, Merck provided $86.0 million in research funding for the four calendar quarters that ended on March 31, 2022, which included the remaining $16.0 million of the up to $20.0 million in additional payments Merck agreed to pay as part of exercising its first option to extend the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250"/>
                <wp:effectExtent l="0" t="0" r="0" b="0"/>
                <wp:wrapNone/>
                <wp:docPr id="114" name="Frame1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program term of the collaboration under the Original Collaboration Agreement for two years through March 16, 2022. The Company was obligated to use commercially reasonable efforts to expend, and did spend, at least $35.0 million of such $86.0 million in funding for the four calendar quarters that ended on March 31, 2022 on the ophthalmology and CVM-related programs and Lab Programs as required under the Amended Collaboration Agreement. The Company was permitted to use the remainder of the $86.0 million in research funding provided by Merck during such time frame to advance the released NGM compounds. Pursuant to the Letter Agreement, the Company also used part of this research funding to cover the costs of its personnel who provided support for the manufacturing activities that the Company undertook in preparation for a potential Phase 3 clinical trial for NGM621 and Merck reimbursed the Company the maximum reimbursable amount for NGM621 third-party manufacturing costs of $4.75 million. Merck also funded certain costs and reimbursements related to the NGM621 program in 2022 and in 2023.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that the Amended Collaboration Agreement is a separate arrangement containing a three-year performance obligation to provide distinct R&amp;D services in accordance with ASC 606. The total transaction price under the Amended Collaboration Agreement is $119.0 million which includes $86.0 million in research funding for the four calendar quarters that ended on March 31, 2022, $15.1 million in research funding for the ophthalmology and CVM-related continuing programs and the Lab Programs during the remaining two years of the research program term after March 2022, $13.1 million in estimated NGM621 reimbursable expenses and costs during the remaining two years of the research program term after March 2022 and $4.75 million for reimbursable amounts paid in 2022 to a third-party manufacturer in accordance with the terms of the Letter Agreement. The Company will continue to re-evaluate the transaction price as uncertain events are resolved or other changes in circumstances occur. The Company continues performing its R&amp;D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 For the first half of 2024, the Company expects Merck will provide minimal funding and this amount is included in the transaction price.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considered whether the Merck license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owned approximately 16% of the Company's outstanding shares as of December 31, 2023.</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Summary of Related Party Revenue</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recognized revenue from its collaboration and license agreements as follows (in thousands):</w:t>
      </w:r>
    </w:p>
    <w:tbl>
      <w:tblPr>
        <w:tblW w:w="5832" w:type="dxa"/>
        <w:jc w:val="left"/>
        <w:tblInd w:w="0" w:type="dxa"/>
        <w:tblLayout w:type="fixed"/>
        <w:tblCellMar>
          <w:top w:w="28" w:type="dxa"/>
          <w:left w:w="28" w:type="dxa"/>
          <w:bottom w:w="28" w:type="dxa"/>
          <w:right w:w="28" w:type="dxa"/>
        </w:tblCellMar>
      </w:tblPr>
      <w:tblGrid>
        <w:gridCol w:w="734"/>
        <w:gridCol w:w="644"/>
        <w:gridCol w:w="647"/>
        <w:gridCol w:w="211"/>
        <w:gridCol w:w="646"/>
        <w:gridCol w:w="109"/>
        <w:gridCol w:w="109"/>
        <w:gridCol w:w="109"/>
        <w:gridCol w:w="109"/>
        <w:gridCol w:w="211"/>
        <w:gridCol w:w="751"/>
        <w:gridCol w:w="109"/>
        <w:gridCol w:w="109"/>
        <w:gridCol w:w="109"/>
        <w:gridCol w:w="109"/>
        <w:gridCol w:w="211"/>
        <w:gridCol w:w="75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77,882 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years ended December 31, 2023 and 2022, the Company recognized collaboration and license revenue primarily related to reimbursable R&amp;D activities associated with the performance obligation under the Amended Collaboration Agreement under which Merck is providing significantly less annual R&amp;D funding than it had provided through March 31, 2022. Related party revenue related to the reimbursable R&amp;D activities was recognized using the cost-based input model related to R&amp;D activities.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the year ended December 31, 2021, the Company recognized collaboration and license revenue primarily related to reimbursable R&amp;D activities associated with the performance obligation for the two-year extension period through March 31, 2021 under the Original Collaboration Agreement and from April 1, 2021 through December 31, 2021 under the Amended Collaboration Agreement, all of which were recognized using the cost-based input model.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Related Party Contract Assets and Liabilities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Amounts recognized as revenue prior to the Company having an unconditional right (or a right that is conditioned only on the passage of time) to receipt are recorded as contract assets in the Company's consolidated balance sheets. If the Company expects to have an unconditional right to receive the consideration in the next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250"/>
                <wp:effectExtent l="0" t="0" r="0" b="0"/>
                <wp:wrapNone/>
                <wp:docPr id="115" name="Frame1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twelve months, the contract asset will be classified in current assets. As of December 31, 2023 and 2022, the Company did not have a related party contract asset.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received prior to satisfying the revenue recognition criteria are recorded as contract liabilities in the Company’s consolidated balance sheets. If the related performance obligation is expected to be satisfied within the next twelve months, the contract liability will be classified in current liabilities. As of December 31, 2023, the Company did not have a contract liability. As of December 31, 2022, the Company recorded a contract liability in current liabilities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0"/>
        </w:rPr>
      </w:pPr>
      <w:r>
        <w:rPr>
          <w:rFonts w:ascii="Arial;sans-serif" w:hAnsi="Arial;sans-serif"/>
          <w:b/>
          <w:color w:val="000000"/>
          <w:sz w:val="20"/>
        </w:rPr>
        <w:t>6.    Commitments and Contingencies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Leases and Lease Guarantee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December 2015, the Company entered into an operating lease agreement, or the 333 Oyster Point lease agreement, for its corporate office and laboratory space at 333 Oyster Point Blvd., South San Francisco, California, or the 333 Oyster Point facility, for approximately 122,000 square feet that expired on December 31, 2023. The 333 Oyster Point lease agreement provided a tenant improvement allowance of $15.2 million that the Company used in 2016 towards $22.3 million in total leasehold improvements that were amortized over the lease term of seven years. As of December 31, 2023, restricted cash in current assets on the Company's consolidated balance sheets included a letter of credit in the amount of $1.5 million required under the 333 Oyster Point lease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paid for amounts included in the measurement of the lease liabilities were $5.5 million and $5.3 million for the years ended December 31, 2023 and 2022, respectively.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years ended December 31, 2023 and 2022, the components of lease costs, which were included in general and administrative expenses on the Company's consolidated statements of operations, were as follows (in thousands):</w:t>
      </w:r>
    </w:p>
    <w:tbl>
      <w:tblPr>
        <w:tblW w:w="4554" w:type="dxa"/>
        <w:jc w:val="left"/>
        <w:tblInd w:w="0" w:type="dxa"/>
        <w:tblLayout w:type="fixed"/>
        <w:tblCellMar>
          <w:top w:w="28" w:type="dxa"/>
          <w:left w:w="28" w:type="dxa"/>
          <w:bottom w:w="28" w:type="dxa"/>
          <w:right w:w="28" w:type="dxa"/>
        </w:tblCellMar>
      </w:tblPr>
      <w:tblGrid>
        <w:gridCol w:w="787"/>
        <w:gridCol w:w="693"/>
        <w:gridCol w:w="695"/>
        <w:gridCol w:w="218"/>
        <w:gridCol w:w="668"/>
        <w:gridCol w:w="112"/>
        <w:gridCol w:w="112"/>
        <w:gridCol w:w="112"/>
        <w:gridCol w:w="112"/>
        <w:gridCol w:w="218"/>
        <w:gridCol w:w="668"/>
        <w:gridCol w:w="159"/>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21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Variable lease costs (1)</w:t>
            </w:r>
          </w:p>
        </w:tc>
        <w:tc>
          <w:tcPr>
            <w:tcW w:w="8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costs</w:t>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1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1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(1) Variable lease costs include certain additional charges for operating costs, including insurance, maintenance, taxes and other costs incurred, which are billed based on both usage and as a percentage of the Company’s share of total square footage.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July 2022, the Company entered into an operating lease agreement, or the 2024 Lease Agreement, for its corporate office and laboratory space at 333 Oyster Point Blvd., South San Francisco, California, which the Company occupied pursuant to the 333 Oyster Point lease agreement through December 31, 2023. Pursuant to the 2024 Lease Agreement, the lease term with the new landlord began on January 1, 2024 (the lease commencement date) and expires on December 31, 2033, and the Company will pay an initial monthly base rent of approximately $0.9 million for the first year, which is subject to increase at an annual rate of 3.5% each year thereafter, plus certain operating and tax expenses. Base rent for the initial ten-year term of the 2024 Lease Agreement amounts to $124.1 million. The 2024 Lease Agreement provides a tenant improvement allowance of approximately $4.9 million. The Company has an option to extend the 2024 Lease Agreement for a period of either eight years or ten years after the initial term. In July 2022, pursuant to the 2024 Lease Agreement, the Company provided the landlord with a letter of credit in the amount of $2.5 million, that was reported as restricted cash in non-current assets on the Company's consolidated balance sheets as of December 31, 2023 and 2022, respectively.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Indemnification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250"/>
                <wp:effectExtent l="0" t="0" r="0" b="0"/>
                <wp:wrapNone/>
                <wp:docPr id="116" name="Frame1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7. Stockholders’ Equity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has 10.0 million shares of preferred stock authorized, which may be issued at the discretion of the Company’s board of directors. The board of directors may issue shares of preferred stock in one or more series and may fix the number, rights, preferences, privileges and restrictions on such shares. These rights, preferences and privileges could include dividend rights, conversion rights, voting rights, terms of redemption, liquidation preferences and sinking fund terms. As of December 31, 2023, the Company does not have any shares of preferred stock issued or outstanding.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Public Offering of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January 2021, the Company sold 5.3 million shares of its common stock through an underwritten public offering at a price to the public of $27.00 per share for aggregate net proceeds to the Company of $134.6 million, after deducting underwriting discounts and commissions and other offering expenses paid by the Company. The offering closed on January 8, 2021.</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and 2022, the Company had 82.9 million and 81.9 million shares of common stock outstanding, respectively.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had reserved the following shares of common stock for issuance as follows (in thousands):</w:t>
      </w:r>
    </w:p>
    <w:tbl>
      <w:tblPr>
        <w:tblW w:w="6307" w:type="dxa"/>
        <w:jc w:val="left"/>
        <w:tblInd w:w="0" w:type="dxa"/>
        <w:tblLayout w:type="fixed"/>
        <w:tblCellMar>
          <w:top w:w="28" w:type="dxa"/>
          <w:left w:w="28" w:type="dxa"/>
          <w:bottom w:w="28" w:type="dxa"/>
          <w:right w:w="28" w:type="dxa"/>
        </w:tblCellMar>
      </w:tblPr>
      <w:tblGrid>
        <w:gridCol w:w="1435"/>
        <w:gridCol w:w="1259"/>
        <w:gridCol w:w="1266"/>
        <w:gridCol w:w="375"/>
        <w:gridCol w:w="376"/>
        <w:gridCol w:w="176"/>
        <w:gridCol w:w="142"/>
        <w:gridCol w:w="142"/>
        <w:gridCol w:w="142"/>
        <w:gridCol w:w="375"/>
        <w:gridCol w:w="376"/>
        <w:gridCol w:w="243"/>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39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options &amp; RSUs outstanding</w:t>
            </w:r>
          </w:p>
        </w:tc>
        <w:tc>
          <w:tcPr>
            <w:tcW w:w="75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13,612 </w:t>
            </w:r>
          </w:p>
        </w:tc>
        <w:tc>
          <w:tcPr>
            <w:tcW w:w="17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14,215 </w:t>
            </w:r>
          </w:p>
        </w:tc>
        <w:tc>
          <w:tcPr>
            <w:tcW w:w="24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Reserve balance for Sales Agreement</w:t>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available for grant</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9,189 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ESPP shares available for purchase</w:t>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401(k) matching plan</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34,343 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31,269 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Open Market Sale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June 2020, the Company entered into the Sales Agreement with Jefferies pursuant to which the Company could sell, from time to time, through or to Jefferies, up to an aggregate of $150.0 million of the Company’s common stock. In June 2023, the Company entered into the Amended Sales Agreement. In connection with the Amendment, the Company filed a new shelf registration statement on Form S-3 which the SEC declared effective in August 2023. The Amended Sales Agreement provides for the issuance and sales of shares of the Company's common stock having an aggregate offering price of up to $100.0 million through or to Jefferies. As of December 31, 2023, up to $100.0 million of the Company's common stock remained available to be sold under the Amended Sales Agreement, subject to conditions specified in the Amended Sales Agreement.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Equity Incentive Plan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2018, the Company adopted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Pursuant to the terms of the 2018 Plan, the number of shares reserved and available to issue will automatically increase on January 1st of each year in an amount equal to 4% of the total number of shares of common stock outstanding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250"/>
                <wp:effectExtent l="0" t="0" r="0" b="0"/>
                <wp:wrapNone/>
                <wp:docPr id="117" name="Frame1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December 31st immediately preceding calendar year, unless the board of directors elects to forego or reduce such increase. As of December 31, 2023, 22.8 million shares of common stock had been authorized for issuance under the 2018 Plan and the Company's 2008 Equity Incentive Plan which expired in 2018.</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 options are governed by stock option agreements between the Company and recipients of stock options. The exercise price of each option may not be less than 100% of the fair market value of the common stock subject to the option on the date the option is granted. A 10% or greater stockholder may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Company's Compensation Committee, or the Committee, of the Board of Directors, or the Board, provided that the term of incentive stock options may not exceed ten years from the date of grant for options granted to those other than 10% stockholders.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2019 Employee Stock Purchase Plan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2019, the Company adopted the ESPP. The Company reserved 1.0 million shares of common stock pursuant to purchase rights granted to the Company’s employees. The ESPP provides that the number of shares reserved and available for issuance will automatically increase on January 1 of each calendar year by the lesser of (1) 1% of the total number of shares of common stock outstanding on December 31 of the preceding calendar year, (2) 1.0 million shares or (3) a number determined by the Company’s board of directors that is less than (1) and (2). 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ESPP is considered a compensatory plan. As of December 31, 2023, 1.3 million shares of common stock had been purchased under the ESPP.</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 xml:space="preserve">Restricted Stock Units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year ended December 31, 2023, the Company granted 1.0 million RSUs covering an equal number of shares of the Company's common stock to employees with a weighted-average grant date fair value of $4.36 per RSU. The fair value of RSUs is determined on the date of grant based on the market price of the Company's common stock as of that date. The fair value of the RSUs is recognized as an expense ratably over the vesting period of four years. As of December 31, 2023, no shares underlying the RSUs had vested or been released and 0.4 million shares had been forfeited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240" w:after="120"/>
        <w:jc w:val="both"/>
        <w:rPr>
          <w:rFonts w:ascii="Arial;sans-serif" w:hAnsi="Arial;sans-serif"/>
          <w:b w:val="false"/>
          <w:i/>
          <w:color w:val="000000"/>
          <w:sz w:val="20"/>
        </w:rPr>
      </w:pPr>
      <w:r>
        <w:rPr>
          <w:rFonts w:ascii="Arial;sans-serif" w:hAnsi="Arial;sans-serif"/>
          <w:b w:val="false"/>
          <w:i/>
          <w:color w:val="000000"/>
          <w:sz w:val="20"/>
        </w:rPr>
        <w:t>Repricing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October 17, 2023, the Committee approved an option repricing program, or the repricing program, which was effective on November 6, 2023, or the Effective Date. The repricing program generally applies to options to purchase shares of the Company’s common stock that: (i) were granted under the Company’s equity incentive plans; (ii) as of the Effective Date, are held by the Company’s then-current employees (subject to the retention requirements below); and (iii) have an exercise price per share greater than $5.00. Such options are referred to as the Eligible Options. The Eligible Options include options held by certain of the Company's executive officers. Options held by nonemployee members of the Board are not eligible for the repricing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the Effective Date, the Eligible Options were immediately repriced such that the exercise price per share for such options was reduced to the closing price of the Company’s common stock on the Effective Date, subject to certain retention requirements outlined below. The closing price of the Company’s common stock was $0.84 and became the reduced exercise price for the Eligible Options. If an employee exercises Eligible Options in advance of the end of the retention period as described below, the employee will be required to pay a premium exercise price equal to the original exercise price per share of the Eligible Options. The Eligible Options that were previously incentive stock options were amended to become nonstatutory stock options on or following the Effective Date. There were no changes to the number of shares underlying the Eligible Options or to the vesting schedules or expiration dates of the Eligible Options.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order to exercise the Eligible Options at the reduced exercise price, holders of the Eligible Options are required to remain in service with the Company through the end of the relevant retention period. The retention period begins on the Effective Date and ends on the earliest of the following: (i) the date 12 months (or, in the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2250"/>
                <wp:effectExtent l="0" t="0" r="0" b="0"/>
                <wp:wrapNone/>
                <wp:docPr id="118" name="Frame1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of the Eligible Options held by the Company's Chief Executive Officer that are unvested as of the Effective Date, 18 months) following the Effective Date; (ii) a Change in Control (as defined in the applicable equity incentive plan) if the Eligible Options are not assumed or continued by the successor or acquiror entity (or its parent company) in such Change in Control or substituted for a similar award of the successor or acquiror entity (or its parent company); and (iii) the optionholder’s termination of Continuous Service (as defined in the applicable equity incentive plan) (a) due to such individual’s death or disability, (b) by the Company (or successor entity in a Change in Control) other than for Cause (as defined in the applicable equity incentive plan) or (c) due to such optionholder’s resignation on or following a Change in Control under certain circumstances.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the Effective Date, the total number of shares underlying all Eligible Options was 6.9 million shares. The effect of the repricing resulted in total incremental stock-based compensation expense of $2.1 million, $1.9 million of which will be recognized on a straight-line basis through the end of each of the applicable retention periods, while the remaining $0.2 million will be recognized on a straight-line basis over the original vesting period for those options that vest after the end of each applicable retention period. The incremental stock-based compensation expense was calculated using the lattice option-pricing model.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year ended December 31, 2023, the Company recognized incremental stock-based compensation expense totaling $0.3 million associated with the repricing program, which is included in general and administrative and research and development expense on the consolidated statement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the activity under the 2008 Plan and the 2018 Plan is as follows:</w:t>
      </w:r>
    </w:p>
    <w:tbl>
      <w:tblPr>
        <w:tblW w:w="10205" w:type="dxa"/>
        <w:jc w:val="left"/>
        <w:tblInd w:w="0" w:type="dxa"/>
        <w:tblLayout w:type="fixed"/>
        <w:tblCellMar>
          <w:top w:w="28" w:type="dxa"/>
          <w:left w:w="28" w:type="dxa"/>
          <w:bottom w:w="28" w:type="dxa"/>
          <w:right w:w="28" w:type="dxa"/>
        </w:tblCellMar>
      </w:tblPr>
      <w:tblGrid>
        <w:gridCol w:w="1470"/>
        <w:gridCol w:w="1271"/>
        <w:gridCol w:w="1280"/>
        <w:gridCol w:w="445"/>
        <w:gridCol w:w="436"/>
        <w:gridCol w:w="438"/>
        <w:gridCol w:w="121"/>
        <w:gridCol w:w="121"/>
        <w:gridCol w:w="121"/>
        <w:gridCol w:w="235"/>
        <w:gridCol w:w="720"/>
        <w:gridCol w:w="121"/>
        <w:gridCol w:w="109"/>
        <w:gridCol w:w="109"/>
        <w:gridCol w:w="109"/>
        <w:gridCol w:w="469"/>
        <w:gridCol w:w="469"/>
        <w:gridCol w:w="470"/>
        <w:gridCol w:w="109"/>
        <w:gridCol w:w="109"/>
        <w:gridCol w:w="109"/>
        <w:gridCol w:w="282"/>
        <w:gridCol w:w="867"/>
        <w:gridCol w:w="215"/>
      </w:tblGrid>
      <w:tr>
        <w:trPr/>
        <w:tc>
          <w:tcPr>
            <w:tcW w:w="14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0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Aggregate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Intrinsic</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Value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c>
      </w:tr>
      <w:tr>
        <w:trPr/>
        <w:tc>
          <w:tcPr>
            <w:tcW w:w="4021" w:type="dxa"/>
            <w:gridSpan w:val="3"/>
            <w:vMerge w:val="continue"/>
            <w:tcBorders/>
            <w:tcMar>
              <w:top w:w="0" w:type="dxa"/>
              <w:left w:w="0" w:type="dxa"/>
              <w:bottom w:w="0" w:type="dxa"/>
              <w:right w:w="0" w:type="dxa"/>
            </w:tcMar>
            <w:vAlign w:val="center"/>
          </w:tcPr>
          <w:p>
            <w:pPr>
              <w:pStyle w:val="Normal"/>
              <w:bidi w:val="0"/>
              <w:jc w:val="left"/>
              <w:rPr/>
            </w:pPr>
            <w:r>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Number of</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Options</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December 31, 2022</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granted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forfeited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expired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December 31, 2023</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12,990 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expected to vest at December 31, 2023</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12,457 </w:t>
            </w:r>
          </w:p>
        </w:tc>
        <w:tc>
          <w:tcPr>
            <w:tcW w:w="4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December 31, 2023</w:t>
            </w:r>
          </w:p>
        </w:tc>
        <w:tc>
          <w:tcPr>
            <w:tcW w:w="8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7,803 </w:t>
            </w:r>
          </w:p>
        </w:tc>
        <w:tc>
          <w:tcPr>
            <w:tcW w:w="4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aggregate intrinsic values of options outstanding, vested and expected to vest, and exercisable were calculated as the difference between the exercise price of the options and the estimated fair value of the Company’s common stock. The weighted average exercise prices and aggregate intrinsic values of the Eligible Options in the above table are based on the original exercise prices due to the applicable retention periods.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for awards was calculated based on awards previously granted to employees, directors and nonemployees that are ultimately expected to vest and has been reduced for estimated forfeitures.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was allocated as follows (in thousands):</w:t>
      </w:r>
    </w:p>
    <w:tbl>
      <w:tblPr>
        <w:tblW w:w="7661" w:type="dxa"/>
        <w:jc w:val="left"/>
        <w:tblInd w:w="0" w:type="dxa"/>
        <w:tblLayout w:type="fixed"/>
        <w:tblCellMar>
          <w:top w:w="28" w:type="dxa"/>
          <w:left w:w="28" w:type="dxa"/>
          <w:bottom w:w="28" w:type="dxa"/>
          <w:right w:w="28" w:type="dxa"/>
        </w:tblCellMar>
      </w:tblPr>
      <w:tblGrid>
        <w:gridCol w:w="1358"/>
        <w:gridCol w:w="1194"/>
        <w:gridCol w:w="1197"/>
        <w:gridCol w:w="211"/>
        <w:gridCol w:w="751"/>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37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14,258 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14,271 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28,719 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32,383 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26,242 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included expense related to the ESPP of $2.6 million, $2.9 million and $1.6 million for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22250"/>
                <wp:effectExtent l="0" t="0" r="0" b="0"/>
                <wp:wrapNone/>
                <wp:docPr id="119" name="Frame1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120"/>
        <w:jc w:val="left"/>
        <w:rPr>
          <w:rFonts w:ascii="Arial;sans-serif" w:hAnsi="Arial;sans-serif"/>
          <w:b w:val="false"/>
          <w:i/>
          <w:color w:val="000000"/>
          <w:sz w:val="20"/>
        </w:rPr>
      </w:pPr>
      <w:r>
        <w:rPr>
          <w:rFonts w:ascii="Arial;sans-serif" w:hAnsi="Arial;sans-serif"/>
          <w:b w:val="false"/>
          <w:i/>
          <w:color w:val="000000"/>
          <w:sz w:val="20"/>
        </w:rPr>
        <w:t>Valuation Assumptions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expected volatility is based on the historical volatility of the Company's stock and the stock of similar entities within the Company’s industry over periods commensurate with the Company’s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The Company bases the risk-free interest rate on the interest rate payable on U.S. Treasury securities in effect at the time of grant for a period that is commensurate with the assumed expected option term. In reference to the expected dividend yield assumption, the Company has not historically paid, and does not expect for the foreseeable future to pay, a dividend.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weighted average grant-date fair value of stock options granted during the years ended December 31, 2023, 2022 and 2021 was $2.87, $8.63 and $18.57 per share, respectively. The intrinsic value of stock options exercised was $1.0 million, $3.2 million and $34.2 million for the years ended December 31, 2023, 2022 and 2021, respectively. Due to the Company’s net operating losses, the Company did not realize any tax benefits from stock-based payment arrangements for the years ended December 31, 2023, 2022 and 2021.</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fair value of stock option awards granted to employees and directors was estimated at the date of grant using a Black-Scholes option-pricing model with the following weighted average valuation assumptions:</w:t>
      </w:r>
    </w:p>
    <w:tbl>
      <w:tblPr>
        <w:tblW w:w="5488" w:type="dxa"/>
        <w:jc w:val="left"/>
        <w:tblInd w:w="0" w:type="dxa"/>
        <w:tblLayout w:type="fixed"/>
        <w:tblCellMar>
          <w:top w:w="28" w:type="dxa"/>
          <w:left w:w="28" w:type="dxa"/>
          <w:bottom w:w="28" w:type="dxa"/>
          <w:right w:w="28" w:type="dxa"/>
        </w:tblCellMar>
      </w:tblPr>
      <w:tblGrid>
        <w:gridCol w:w="792"/>
        <w:gridCol w:w="695"/>
        <w:gridCol w:w="703"/>
        <w:gridCol w:w="270"/>
        <w:gridCol w:w="271"/>
        <w:gridCol w:w="308"/>
        <w:gridCol w:w="117"/>
        <w:gridCol w:w="117"/>
        <w:gridCol w:w="117"/>
        <w:gridCol w:w="270"/>
        <w:gridCol w:w="271"/>
        <w:gridCol w:w="308"/>
        <w:gridCol w:w="117"/>
        <w:gridCol w:w="117"/>
        <w:gridCol w:w="117"/>
        <w:gridCol w:w="270"/>
        <w:gridCol w:w="271"/>
        <w:gridCol w:w="357"/>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21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w:t>
            </w:r>
          </w:p>
        </w:tc>
      </w:tr>
      <w:tr>
        <w:trPr/>
        <w:tc>
          <w:tcPr>
            <w:tcW w:w="21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3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3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3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total compensation cost not yet recognized related to unvested stock options granted to employees and directors was $24.6 million, which is expected to be recognized over a weighted-average period of 1.8 years.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fair value of the rights granted to employees under the ESPP was estimated at the date of offer using a Black-Scholes option-pricing model with the following weighted average valuation assumptions:</w:t>
      </w:r>
    </w:p>
    <w:tbl>
      <w:tblPr>
        <w:tblW w:w="5488" w:type="dxa"/>
        <w:jc w:val="left"/>
        <w:tblInd w:w="0" w:type="dxa"/>
        <w:tblLayout w:type="fixed"/>
        <w:tblCellMar>
          <w:top w:w="28" w:type="dxa"/>
          <w:left w:w="28" w:type="dxa"/>
          <w:bottom w:w="28" w:type="dxa"/>
          <w:right w:w="28" w:type="dxa"/>
        </w:tblCellMar>
      </w:tblPr>
      <w:tblGrid>
        <w:gridCol w:w="792"/>
        <w:gridCol w:w="695"/>
        <w:gridCol w:w="703"/>
        <w:gridCol w:w="269"/>
        <w:gridCol w:w="272"/>
        <w:gridCol w:w="308"/>
        <w:gridCol w:w="117"/>
        <w:gridCol w:w="117"/>
        <w:gridCol w:w="117"/>
        <w:gridCol w:w="269"/>
        <w:gridCol w:w="272"/>
        <w:gridCol w:w="308"/>
        <w:gridCol w:w="117"/>
        <w:gridCol w:w="117"/>
        <w:gridCol w:w="117"/>
        <w:gridCol w:w="270"/>
        <w:gridCol w:w="271"/>
        <w:gridCol w:w="357"/>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21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r>
      <w:tr>
        <w:trPr/>
        <w:tc>
          <w:tcPr>
            <w:tcW w:w="21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3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3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3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Employee Benefit Plan</w:t>
      </w:r>
    </w:p>
    <w:p>
      <w:pPr>
        <w:pStyle w:val="TextBody"/>
        <w:bidi w:val="0"/>
        <w:spacing w:lineRule="auto" w:line="288" w:before="120" w:after="120"/>
        <w:ind w:left="0" w:right="0" w:firstLine="720"/>
        <w:jc w:val="both"/>
        <w:rPr/>
      </w:pPr>
      <w:r>
        <w:rPr>
          <w:rFonts w:ascii="Arial;sans-serif" w:hAnsi="Arial;sans-serif"/>
          <w:b w:val="false"/>
          <w:color w:val="000000"/>
          <w:sz w:val="20"/>
        </w:rPr>
        <w:t>The Company sponsors a 401(k) defined contribution plan for its employees. Employee contributions are voluntary. In December 2011, the Company adopted the 401(k) Matching Plan, under which the Company makes matching contributions in the form of common stock at a rate of $1.00 for each $2.00 of employee contributions up to a maximum of $3,500 of common stock per employee per year beginning in 2022 and $750 prior to 2022.</w:t>
      </w:r>
      <w:r>
        <w:rPr>
          <w:color w:val="000000"/>
        </w:rPr>
        <w:t xml:space="preserve"> </w:t>
      </w:r>
      <w:r>
        <w:rPr>
          <w:rFonts w:ascii="Arial;sans-serif" w:hAnsi="Arial;sans-serif"/>
          <w:b w:val="false"/>
          <w:color w:val="000000"/>
          <w:sz w:val="20"/>
        </w:rPr>
        <w:t>As of December 31, 2023 and 2022, the Company had reserved 64,975 and 192,385 shares of common stock for issuance pursuant to the 401(k) Matching Plan, respectively. Matching contributions of 127,410, 7,615 and 4,117 shares, or $639,000, $137,000 and $125,000 were issued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2250"/>
                <wp:effectExtent l="0" t="0" r="0" b="0"/>
                <wp:wrapNone/>
                <wp:docPr id="120" name="Frame1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9. Workforce Reduction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second quarter of 2023, the Company announced and substantially completed a restructuring of the Company's workforce pursuant to which the Company’s workforce was reduced by 74 people, or approximately 33% of the Company’s existing headcount as of April 3, 2023. The Company incurred approximately $4.9 million in restructuring charges in connection with the restructuring, consisting of (i) approximately $4.2 million in cash-based expenses related to employee severance and notice period payments, benefits and related costs, and (ii) approximately $0.7 million in noncash stock-based compensation expense related to the vesting of stock-based awards.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restructuring charges are included in the Company's consolidated statements of operations for the year end December 31, 2023 as follows (in thousands):</w:t>
      </w:r>
    </w:p>
    <w:tbl>
      <w:tblPr>
        <w:tblW w:w="4305" w:type="dxa"/>
        <w:jc w:val="left"/>
        <w:tblInd w:w="0" w:type="dxa"/>
        <w:tblLayout w:type="fixed"/>
        <w:tblCellMar>
          <w:top w:w="28" w:type="dxa"/>
          <w:left w:w="28" w:type="dxa"/>
          <w:bottom w:w="28" w:type="dxa"/>
          <w:right w:w="28" w:type="dxa"/>
        </w:tblCellMar>
      </w:tblPr>
      <w:tblGrid>
        <w:gridCol w:w="902"/>
        <w:gridCol w:w="793"/>
        <w:gridCol w:w="795"/>
        <w:gridCol w:w="378"/>
        <w:gridCol w:w="1159"/>
        <w:gridCol w:w="278"/>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 2023</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3,811 </w:t>
            </w:r>
          </w:p>
        </w:tc>
        <w:tc>
          <w:tcPr>
            <w:tcW w:w="2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5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expense</w:t>
            </w:r>
          </w:p>
        </w:tc>
        <w:tc>
          <w:tcPr>
            <w:tcW w:w="3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4,916 </w:t>
            </w:r>
          </w:p>
        </w:tc>
        <w:tc>
          <w:tcPr>
            <w:tcW w:w="2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restructuring charges were incurred in the second quarter of 2023, and cash payments were substantially completed by the end of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10. Income Taxes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has reported pretax operating losses for all periods presented. The Company has not reflected any benefit for corresponding tax net operating loss carryforwards in the accompanying consolidated financial statements. The Company has established a full valuation allowance against its deferred tax assets due to the uncertainty surrounding the realization of such assets.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components of the Company’s losses before income taxes were as follows (in thousands):</w:t>
      </w:r>
    </w:p>
    <w:tbl>
      <w:tblPr>
        <w:tblW w:w="5353" w:type="dxa"/>
        <w:jc w:val="left"/>
        <w:tblInd w:w="0" w:type="dxa"/>
        <w:tblLayout w:type="fixed"/>
        <w:tblCellMar>
          <w:top w:w="28" w:type="dxa"/>
          <w:left w:w="28" w:type="dxa"/>
          <w:bottom w:w="28" w:type="dxa"/>
          <w:right w:w="28" w:type="dxa"/>
        </w:tblCellMar>
      </w:tblPr>
      <w:tblGrid>
        <w:gridCol w:w="342"/>
        <w:gridCol w:w="301"/>
        <w:gridCol w:w="303"/>
        <w:gridCol w:w="211"/>
        <w:gridCol w:w="916"/>
        <w:gridCol w:w="109"/>
        <w:gridCol w:w="109"/>
        <w:gridCol w:w="109"/>
        <w:gridCol w:w="109"/>
        <w:gridCol w:w="211"/>
        <w:gridCol w:w="916"/>
        <w:gridCol w:w="109"/>
        <w:gridCol w:w="109"/>
        <w:gridCol w:w="109"/>
        <w:gridCol w:w="109"/>
        <w:gridCol w:w="211"/>
        <w:gridCol w:w="9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(142,348)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(161,813)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(120,858)</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(142,375)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(120,335)</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the statutory U.S. federal rate to the Company’s effective tax rate is as follows:</w:t>
      </w:r>
    </w:p>
    <w:tbl>
      <w:tblPr>
        <w:tblW w:w="6894" w:type="dxa"/>
        <w:jc w:val="left"/>
        <w:tblInd w:w="0" w:type="dxa"/>
        <w:tblLayout w:type="fixed"/>
        <w:tblCellMar>
          <w:top w:w="28" w:type="dxa"/>
          <w:left w:w="28" w:type="dxa"/>
          <w:bottom w:w="28" w:type="dxa"/>
          <w:right w:w="28" w:type="dxa"/>
        </w:tblCellMar>
      </w:tblPr>
      <w:tblGrid>
        <w:gridCol w:w="1239"/>
        <w:gridCol w:w="1088"/>
        <w:gridCol w:w="1092"/>
        <w:gridCol w:w="299"/>
        <w:gridCol w:w="301"/>
        <w:gridCol w:w="308"/>
        <w:gridCol w:w="117"/>
        <w:gridCol w:w="117"/>
        <w:gridCol w:w="117"/>
        <w:gridCol w:w="299"/>
        <w:gridCol w:w="301"/>
        <w:gridCol w:w="308"/>
        <w:gridCol w:w="117"/>
        <w:gridCol w:w="117"/>
        <w:gridCol w:w="117"/>
        <w:gridCol w:w="299"/>
        <w:gridCol w:w="301"/>
        <w:gridCol w:w="357"/>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2021</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federal tax at statutory rate</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tax rate differential</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net of federal benefit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(recovery)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2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2250"/>
                <wp:effectExtent l="0" t="0" r="0" b="0"/>
                <wp:wrapNone/>
                <wp:docPr id="121" name="Frame1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components of the net deferred tax assets are as follows (in thousands):</w:t>
      </w:r>
    </w:p>
    <w:tbl>
      <w:tblPr>
        <w:tblW w:w="7029" w:type="dxa"/>
        <w:jc w:val="left"/>
        <w:tblInd w:w="0" w:type="dxa"/>
        <w:tblLayout w:type="fixed"/>
        <w:tblCellMar>
          <w:top w:w="28" w:type="dxa"/>
          <w:left w:w="28" w:type="dxa"/>
          <w:bottom w:w="28" w:type="dxa"/>
          <w:right w:w="28" w:type="dxa"/>
        </w:tblCellMar>
      </w:tblPr>
      <w:tblGrid>
        <w:gridCol w:w="1635"/>
        <w:gridCol w:w="1434"/>
        <w:gridCol w:w="1446"/>
        <w:gridCol w:w="211"/>
        <w:gridCol w:w="751"/>
        <w:gridCol w:w="109"/>
        <w:gridCol w:w="109"/>
        <w:gridCol w:w="109"/>
        <w:gridCol w:w="109"/>
        <w:gridCol w:w="211"/>
        <w:gridCol w:w="751"/>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R&amp;D Section 174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credit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liability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temporary differences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gross deferred tax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ROU asset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Non-qualified stock options with 83(b) election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gross deferred tax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 before valuation allowance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 valuation allowance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more-likely-than-not to be realized and, accordingly, has provided a valuation allowance.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Realization of deferred tax assets is dependent upon future earnings, if any, the timing and amount of which are uncertain. Accordingly, the net deferred tax assets have been fully offset by a valuation allowance. The valuation allowance increased by approximately $26.0 million and $22.8 million during the years ended December 31, 2023 and 2022, respectively.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the Company had approximately $382.3 million in federal net operating loss carryforwards to reduce future taxable income. Of this amount, $329.8 million was generated after December 31, 2017 and can be carried forward indefinitely. The federal net operating loss carryforwards generated prior to January 1, 2018 are subject to a 20-year carryforward period and will begin to expire after 2032. The utilization of the federal net operating loss carryforwards generated in fiscal year 2018 and onwards is limited to 80% of the federal taxable income. The Company also had approximately $592.5 million in state net operating loss carryforwards to reduce future taxable income, which will begin to expire after 2028, if not utilized.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accordance with the 2017 Tax Act, research and experimental, or R&amp;E, expenses under Internal Revenue Code Section 174 are capitalized beginning in 2022. R&amp;E expenses are required to be amortized over a period of five years for domestic expenses and 15 years for foreign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had approximately $10.3 million and $3.1 million in federal R&amp;D tax credits for the years ended December 31, 2023 and 2022, respectively. In addition, the Company had approximately $5.7 million and $4.0 million in state R&amp;D tax credits for the years ended December 31, 2023 and 2022, respectively. The federal research credits will begin to expire in the years 2028 through 2035, if not utilized. The state R&amp;D credits have no expiration date and can be carried forward indefinitely.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had no foreign net operating loss carryforwards for each of the years ended December 31, 2023 and 2022.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Utilization of the Company’s net operating losses and R&amp;D tax credits may be subject to a substantial annual limitation due to the “change in ownership” provisions of the Internal Revenue Code of 1986, as amended, and similar state provisions. The annual limitation may result in the expiration of net operating losses and R&amp;D tax credits before utilization. The Company has not completed an ownership change analysis pursuant to IRC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2250"/>
                <wp:effectExtent l="0" t="0" r="0" b="0"/>
                <wp:wrapNone/>
                <wp:docPr id="122" name="Frame1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382 as of December 31, 2023. If ownership changes within the meaning of IRC Section 382 are identified as having occurred, the amount of remaining net operating loss carryforwards available to offset future taxable income and income tax expense in future years may be significantly restricted.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the Company’s unrecognized tax benefits is as follows (in thousands):</w:t>
      </w:r>
    </w:p>
    <w:tbl>
      <w:tblPr>
        <w:tblW w:w="8832" w:type="dxa"/>
        <w:jc w:val="left"/>
        <w:tblInd w:w="0" w:type="dxa"/>
        <w:tblLayout w:type="fixed"/>
        <w:tblCellMar>
          <w:top w:w="28" w:type="dxa"/>
          <w:left w:w="28" w:type="dxa"/>
          <w:bottom w:w="28" w:type="dxa"/>
          <w:right w:w="28" w:type="dxa"/>
        </w:tblCellMar>
      </w:tblPr>
      <w:tblGrid>
        <w:gridCol w:w="1779"/>
        <w:gridCol w:w="1566"/>
        <w:gridCol w:w="1575"/>
        <w:gridCol w:w="211"/>
        <w:gridCol w:w="751"/>
        <w:gridCol w:w="109"/>
        <w:gridCol w:w="109"/>
        <w:gridCol w:w="109"/>
        <w:gridCol w:w="109"/>
        <w:gridCol w:w="211"/>
        <w:gridCol w:w="751"/>
        <w:gridCol w:w="109"/>
        <w:gridCol w:w="109"/>
        <w:gridCol w:w="109"/>
        <w:gridCol w:w="109"/>
        <w:gridCol w:w="211"/>
        <w:gridCol w:w="751"/>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9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year</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based on tax positions related to prior year</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based on tax positions related to current year</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year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entire amount of the unrecognized tax benefits would not impact the Company’s effective tax rate if recognized. The Company has elected to include interest and penalties as a component of tax expense. During the years ended December 31, 2023 and 2022, the Company did not recognize accrued interest and penalties related to unrecognized tax benefits. The Company does not anticipate that the amount of existing unrecognized tax benefits will significantly increase or decrease during the next 12 months.</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The Company files U.S. federal, state and foreign income tax returns with varying statutes of limitations. The tax years from inception in 2008 to December 31, 2023 remain subject to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11. Subsequent Event</w:t>
      </w:r>
    </w:p>
    <w:p>
      <w:pPr>
        <w:pStyle w:val="TextBody"/>
        <w:bidi w:val="0"/>
        <w:spacing w:lineRule="auto" w:line="288" w:before="120" w:after="120"/>
        <w:ind w:left="0" w:right="0" w:firstLine="720"/>
        <w:jc w:val="both"/>
        <w:rPr/>
      </w:pPr>
      <w:r>
        <w:rPr>
          <w:rFonts w:ascii="Arial;sans-serif" w:hAnsi="Arial;sans-serif"/>
          <w:b w:val="false"/>
          <w:color w:val="000000"/>
          <w:sz w:val="20"/>
        </w:rPr>
        <w:t>On February 25, 2024, the Company entered into the Merger Agreement with Parent and Merger Sub. See Note 1, "Organization</w:t>
      </w:r>
      <w:r>
        <w:rPr>
          <w:color w:val="000000"/>
        </w:rPr>
        <w:t xml:space="preserve"> </w:t>
      </w:r>
      <w:r>
        <w:rPr>
          <w:rFonts w:ascii="Arial;sans-serif" w:hAnsi="Arial;sans-serif"/>
          <w:b w:val="false"/>
          <w:color w:val="000000"/>
          <w:sz w:val="20"/>
        </w:rPr>
        <w:t>and Description of Business"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2023,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2023, the design and operation of our disclosure controls and procedures were effective at a reasonable assurance level.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 13a-15(f) and 15d-15(f) of the Exchange Act that occurred during the quarter ended December 31, 2023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2250"/>
                <wp:effectExtent l="0" t="0" r="0" b="0"/>
                <wp:wrapNone/>
                <wp:docPr id="123" name="Frame1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management is responsible for establishing and maintaining adequate internal control over financial reporting (as defined in Rule 13a-15(f) under the Exchange Act).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December 31, 2023, none of the Company's directors or Section 16 officers adopted or terminated any contract, instruction or written plan for the purchase or sale of NGM Bio securities that was intended to satisfy the affirmative defense conditions of Rule 10b5-1(c) under the Exchange Act or any “non-Rule 10b5-1 trading arrangement”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20" w:after="283"/>
        <w:ind w:left="0" w:right="0" w:firstLine="900"/>
        <w:jc w:val="both"/>
        <w:rPr/>
      </w:pPr>
      <w:r>
        <w:rPr>
          <w:rFonts w:ascii="Arial;sans-serif" w:hAnsi="Arial;sans-serif"/>
          <w:b w:val="false"/>
          <w:color w:val="000000"/>
          <w:sz w:val="20"/>
        </w:rPr>
        <w:t>Not</w:t>
      </w:r>
      <w:r>
        <w:rPr>
          <w:color w:val="000000"/>
        </w:rPr>
        <w:t xml:space="preserve"> </w:t>
      </w:r>
      <w:r>
        <w:rPr>
          <w:rFonts w:ascii="Arial;sans-serif" w:hAnsi="Arial;sans-serif"/>
          <w:b w:val="false"/>
          <w:color w:val="000000"/>
          <w:sz w:val="20"/>
        </w:rPr>
        <w:t>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 xml:space="preserve">Item 10.    Directors, Executive Officers and Corporate Governance.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Matters” and “Executive Officers” to be included in our Proxy Statement for our 2024 Annual Meeting of Stockholders, or the 2024 Proxy Statement. If required, information required by this item regarding compliance with Section 16(a) of the Exchange Act is incorporated by reference to the information set forth under the caption “Delinquent Section 16(a) Reports” to be included in our 2024 Proxy Statement. If such 2024 Proxy Statement is not filed within 120 days after the end of the fiscal year covered by this Annual Report, such information will be included in an amendment to this Annual Report to be filed within such 120-day period.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written code of business conduct and ethics, the Code of Conduct, applies to all of our employees, officers and directors, including our principal executive officer, principal financial officer, principal accounting officer or controller or persons performing similar functions. The Code of Conduct is available on our corporate website at https://www.ngmbio.com/ in the Investors &amp; Media section under “Corporate Governance.”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Information required by this item regarding executive compensation is incorporated by reference to the information set forth under the captions “Executive Compensation” and “Director Compensation” in the 2024 Proxy Statement. If such 2024 Proxy Statement is not filed within 120 days after the end of the fiscal year covered by this Annual Report, such information will be included in an amendment to this Annual Report to be filed within such 120-day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Information required by this item regarding security ownership of certain beneficial owners and management is incorporated by reference to the information set forth under the caption “Security Ownership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2250"/>
                <wp:effectExtent l="0" t="0" r="0" b="0"/>
                <wp:wrapNone/>
                <wp:docPr id="124" name="Frame1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Certain Beneficial Owners and Management” and “Equity Compensation Plans at December 31, 2023” in the 2024 Proxy Statement. If such 2024 Proxy Statement is not filed within 120 days after the end of the fiscal year covered by this Annual Report, such information will be included in an amendment to this Annual Report to be filed within such 120-day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the 2024 Proxy Statement. If such Proxy Statement is not filed within 120 days after the end of the fiscal year covered by this Annual Report, such information will be included in an amendment to this Annual Report to be filed within such 120-day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Information required by this item regarding principal accounting fees and services is incorporated by reference to the information set forth under the caption “Ratification of Selection of Independent Registered Public Accounting Firm” in the 2024 Proxy Statement. If such 2024 Proxy Statement is not filed within 120 days after the end of the fiscal year covered by this Annual Report, such information will be included in an amendment to this Annual Report to be filed within such 120-day period.</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15.    Exhibits and Financial Statement Schedules. </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(a)The following documents are filed as part of this Annual Report:</w:t>
      </w:r>
    </w:p>
    <w:p>
      <w:pPr>
        <w:pStyle w:val="TextBody"/>
        <w:bidi w:val="0"/>
        <w:spacing w:lineRule="auto" w:line="288" w:before="120" w:after="283"/>
        <w:ind w:left="0" w:right="0" w:hanging="720"/>
        <w:jc w:val="left"/>
        <w:rPr/>
      </w:pPr>
      <w:r>
        <w:rPr>
          <w:rFonts w:ascii="Arial;sans-serif" w:hAnsi="Arial;sans-serif"/>
          <w:b w:val="false"/>
          <w:color w:val="000000"/>
          <w:sz w:val="20"/>
        </w:rPr>
        <w:t>1.</w:t>
      </w:r>
      <w:r>
        <w:rPr>
          <w:rFonts w:ascii="Arial;sans-serif" w:hAnsi="Arial;sans-serif"/>
          <w:b w:val="false"/>
          <w:i/>
          <w:color w:val="000000"/>
          <w:sz w:val="20"/>
        </w:rPr>
        <w:t xml:space="preserve">Financial Statements. </w:t>
      </w:r>
      <w:r>
        <w:rPr>
          <w:rFonts w:ascii="Arial;sans-serif" w:hAnsi="Arial;sans-serif"/>
          <w:b w:val="false"/>
          <w:color w:val="000000"/>
          <w:sz w:val="20"/>
        </w:rPr>
        <w:t>See Index to Consolidated Financial Statements in Part II, Item 8 of this Annual Report.</w:t>
      </w:r>
    </w:p>
    <w:p>
      <w:pPr>
        <w:pStyle w:val="TextBody"/>
        <w:bidi w:val="0"/>
        <w:spacing w:lineRule="auto" w:line="288" w:before="120" w:after="283"/>
        <w:ind w:left="0" w:right="0" w:hanging="720"/>
        <w:jc w:val="both"/>
        <w:rPr/>
      </w:pPr>
      <w:r>
        <w:rPr>
          <w:rFonts w:ascii="Arial;sans-serif" w:hAnsi="Arial;sans-serif"/>
          <w:b w:val="false"/>
          <w:color w:val="000000"/>
          <w:sz w:val="20"/>
        </w:rPr>
        <w:t>2.</w:t>
      </w:r>
      <w:r>
        <w:rPr>
          <w:rFonts w:ascii="Arial;sans-serif" w:hAnsi="Arial;sans-serif"/>
          <w:b w:val="false"/>
          <w:i/>
          <w:color w:val="000000"/>
          <w:sz w:val="20"/>
        </w:rPr>
        <w:t>Financial Statement Schedules</w:t>
      </w:r>
      <w:r>
        <w:rPr>
          <w:rFonts w:ascii="Arial;sans-serif" w:hAnsi="Arial;sans-serif"/>
          <w:b w:val="false"/>
          <w:color w:val="000000"/>
          <w:sz w:val="20"/>
        </w:rPr>
        <w:t>. None. All financial statement schedules are omitted because they are not applicable, not required under the instructions, or the requested information is included in the consolidated financial statements or notes thereto.</w:t>
      </w:r>
    </w:p>
    <w:p>
      <w:pPr>
        <w:pStyle w:val="TextBody"/>
        <w:bidi w:val="0"/>
        <w:spacing w:lineRule="auto" w:line="288" w:before="120" w:after="283"/>
        <w:ind w:left="0" w:right="0" w:hanging="720"/>
        <w:jc w:val="both"/>
        <w:rPr/>
      </w:pPr>
      <w:r>
        <w:rPr>
          <w:rFonts w:ascii="Arial;sans-serif" w:hAnsi="Arial;sans-serif"/>
          <w:b w:val="false"/>
          <w:color w:val="000000"/>
          <w:sz w:val="20"/>
        </w:rPr>
        <w:t>3.</w:t>
      </w:r>
      <w:r>
        <w:rPr>
          <w:rFonts w:ascii="Arial;sans-serif" w:hAnsi="Arial;sans-serif"/>
          <w:b w:val="false"/>
          <w:i/>
          <w:color w:val="000000"/>
          <w:sz w:val="20"/>
        </w:rPr>
        <w:t>Exhibits</w:t>
      </w:r>
      <w:r>
        <w:rPr>
          <w:rFonts w:ascii="Arial;sans-serif" w:hAnsi="Arial;sans-serif"/>
          <w:b w:val="false"/>
          <w:color w:val="000000"/>
          <w:sz w:val="20"/>
        </w:rPr>
        <w:t>. The following is a list of exhibits filed with this Annual Report or incorporated herein by reference:</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726"/>
        <w:gridCol w:w="1659"/>
        <w:gridCol w:w="1664"/>
        <w:gridCol w:w="212"/>
        <w:gridCol w:w="212"/>
        <w:gridCol w:w="189"/>
        <w:gridCol w:w="347"/>
        <w:gridCol w:w="320"/>
        <w:gridCol w:w="203"/>
        <w:gridCol w:w="255"/>
        <w:gridCol w:w="255"/>
        <w:gridCol w:w="256"/>
        <w:gridCol w:w="252"/>
        <w:gridCol w:w="252"/>
        <w:gridCol w:w="254"/>
        <w:gridCol w:w="281"/>
        <w:gridCol w:w="281"/>
        <w:gridCol w:w="40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Description</w:t>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No.</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w:t>
              <w:br/>
              <w:t>Date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w:t>
              <w:br/>
              <w:t>Herewith</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w:t>
              </w:r>
            </w:hyperlink>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4/8/19</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Amended and Restated Bylaws</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9/28/18</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Investors’ Rights Agreement among the Registrant and certain of its stockholders, dated March 20, 2015</w:t>
              </w:r>
            </w:hyperlink>
            <w:r>
              <w:rPr>
                <w:rFonts w:ascii="Arial;sans-serif" w:hAnsi="Arial;sans-serif"/>
                <w:b w:val="false"/>
                <w:color w:val="000000"/>
                <w:sz w:val="20"/>
              </w:rPr>
              <w:t>.</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9/28/2019</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Form of Common Stock Certificate.</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4/1/2019</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Description of Capital Stock.</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3/17/2020</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2008 Equity Incentive Plan, as amended.</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Form of Stock Option Agreement and Stock Option Grant Notice under the 2008 Equity Incentive Plan.</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Amended and Restated 2018 Equity Incentive Plan.</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3/25/2019</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Forms of Stock Option Agreement and Notice of Grant of Stock Option under the Amended and Restated 2018 Equity Incentive Plan.</w:t>
              </w:r>
            </w:hyperlink>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3/25/2019</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25"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dd113d0c463643f29a3220f032cb5068_7">
        <w:r>
          <w:rPr>
            <w:rStyle w:val="InternetLink"/>
            <w:rFonts w:ascii="Arial;sans-serif" w:hAnsi="Arial;sans-serif"/>
            <w:b w:val="false"/>
            <w:color w:val="3051F2"/>
            <w:sz w:val="18"/>
          </w:rPr>
          <w:t>Table of Contents</w:t>
        </w:r>
      </w:hyperlink>
    </w:p>
    <w:tbl>
      <w:tblPr>
        <w:tblW w:w="10205" w:type="dxa"/>
        <w:jc w:val="left"/>
        <w:tblInd w:w="0" w:type="dxa"/>
        <w:tblLayout w:type="fixed"/>
        <w:tblCellMar>
          <w:top w:w="28" w:type="dxa"/>
          <w:left w:w="28" w:type="dxa"/>
          <w:bottom w:w="28" w:type="dxa"/>
          <w:right w:w="28" w:type="dxa"/>
        </w:tblCellMar>
      </w:tblPr>
      <w:tblGrid>
        <w:gridCol w:w="230"/>
        <w:gridCol w:w="203"/>
        <w:gridCol w:w="206"/>
        <w:gridCol w:w="109"/>
        <w:gridCol w:w="109"/>
        <w:gridCol w:w="109"/>
        <w:gridCol w:w="2528"/>
        <w:gridCol w:w="1925"/>
        <w:gridCol w:w="1930"/>
        <w:gridCol w:w="145"/>
        <w:gridCol w:w="143"/>
        <w:gridCol w:w="126"/>
        <w:gridCol w:w="278"/>
        <w:gridCol w:w="278"/>
        <w:gridCol w:w="279"/>
        <w:gridCol w:w="194"/>
        <w:gridCol w:w="194"/>
        <w:gridCol w:w="198"/>
        <w:gridCol w:w="213"/>
        <w:gridCol w:w="213"/>
        <w:gridCol w:w="214"/>
        <w:gridCol w:w="109"/>
        <w:gridCol w:w="109"/>
        <w:gridCol w:w="163"/>
      </w:tblGrid>
      <w:tr>
        <w:trPr/>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Forms of Restricted Stock Unit Agreement and Notice of Grant of Restricted Stock Unit under the Amended and Restated 2018 Equity Incentive Plan.</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3/25/2019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2019 Employee Stock Purchase Plan.</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3/25/2019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Form of Indemnification Agreement, by and between NGM Biopharmaceuticals, Inc. and each of its directors and executive officers.</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Non-Employee Director Compensation Policy</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Forms of Stock Option Agreement and Notice of Grant of Stock Option for Non-employee Directors Under the Amended and Restated 2018 Equity Incentive Plan</w:t>
              </w:r>
            </w:hyperlink>
            <w:r>
              <w:rPr>
                <w:rFonts w:ascii="Arial;sans-serif" w:hAnsi="Arial;sans-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8/5/2021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Sublease Agreement, by and between NGM Biopharmaceuticals, Inc. and AMGEN Inc., dated December 11, 2015.</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Executive Employment Offer Letter, by and between NGM Biopharmaceuticals, Inc. and Jin-Long Chen, Ph.D.</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Executive Employment Agreement, by and between NGM Biopharmaceuticals, Inc. and David Woodhouse, Ph.D.</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3/25/2019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Offer Letter Agreement, by and between the Registrant and Siobhan Nolan Mangini, dated as of May 20, 2020</w:t>
              </w:r>
            </w:hyperlink>
            <w:r>
              <w:rPr>
                <w:rFonts w:ascii="Arial;sans-serif" w:hAnsi="Arial;sans-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8/12/2020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1014.htm">
              <w:r>
                <w:rPr>
                  <w:rStyle w:val="InternetLink"/>
                  <w:rFonts w:ascii="Arial;sans-serif" w:hAnsi="Arial;sans-serif"/>
                  <w:b w:val="false"/>
                  <w:color w:val="0000FF"/>
                  <w:sz w:val="20"/>
                  <w:u w:val="single"/>
                </w:rPr>
                <w:t>Offer Letter Agreement, by and between the Registrant and Hsiao D. Lieu, M.D., dated as of January 16, 2019.</w:t>
              </w:r>
            </w:hyperlink>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1015.htm">
              <w:r>
                <w:rPr>
                  <w:rStyle w:val="InternetLink"/>
                  <w:rFonts w:ascii="Arial;sans-serif" w:hAnsi="Arial;sans-serif"/>
                  <w:b w:val="false"/>
                  <w:color w:val="0000FF"/>
                  <w:sz w:val="20"/>
                  <w:u w:val="single"/>
                </w:rPr>
                <w:t>Offer Letter Agreement, by and between the Registrant and Valerie L. Pierce, dated as of August 6, 2019, and related information.</w:t>
              </w:r>
            </w:hyperlink>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1016.htm">
              <w:r>
                <w:rPr>
                  <w:rStyle w:val="InternetLink"/>
                  <w:rFonts w:ascii="Arial;sans-serif" w:hAnsi="Arial;sans-serif"/>
                  <w:b w:val="false"/>
                  <w:color w:val="0000FF"/>
                  <w:sz w:val="20"/>
                  <w:u w:val="single"/>
                </w:rPr>
                <w:t>Offer Letter and Arbitration Agreement, by and between the Registrant and Jean-Frédéric Viret, Ph.D., dated as of October 20, 2023</w:t>
              </w:r>
            </w:hyperlink>
            <w:r>
              <w:rPr>
                <w:rFonts w:ascii="Arial;sans-serif" w:hAnsi="Arial;sans-serif"/>
                <w:b w:val="false"/>
                <w:color w:val="000000"/>
                <w:sz w:val="20"/>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Research Collaboration, Product Development and License Agreement by and between NGM Biopharmaceuticals, Inc. and Merck Sharp &amp; Dohme Corp., dated as of February 18, 2015.</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Letter Agreement, by and between NGM Biopharmaceuticals, Inc. and Merck Sharp &amp; Dohme Corp., dated as of March 20, 2015.</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Amended and Restated Research Collaboration, Product Development and License Agreement, made effective as of June 30, 2021, by and between NGM Biopharmaceuticals, Inc. and Merck Sharp &amp; Dohme Corp.</w:t>
              </w:r>
            </w:hyperlink>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8/5/2021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26"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dd113d0c463643f29a3220f032cb5068_7">
        <w:r>
          <w:rPr>
            <w:rStyle w:val="InternetLink"/>
            <w:rFonts w:ascii="Arial;sans-serif" w:hAnsi="Arial;sans-serif"/>
            <w:b w:val="false"/>
            <w:color w:val="3051F2"/>
            <w:sz w:val="18"/>
          </w:rPr>
          <w:t>Table of Contents</w:t>
        </w:r>
      </w:hyperlink>
    </w:p>
    <w:tbl>
      <w:tblPr>
        <w:tblW w:w="10205" w:type="dxa"/>
        <w:jc w:val="left"/>
        <w:tblInd w:w="0" w:type="dxa"/>
        <w:tblLayout w:type="fixed"/>
        <w:tblCellMar>
          <w:top w:w="28" w:type="dxa"/>
          <w:left w:w="28" w:type="dxa"/>
          <w:bottom w:w="28" w:type="dxa"/>
          <w:right w:w="28" w:type="dxa"/>
        </w:tblCellMar>
      </w:tblPr>
      <w:tblGrid>
        <w:gridCol w:w="224"/>
        <w:gridCol w:w="197"/>
        <w:gridCol w:w="200"/>
        <w:gridCol w:w="109"/>
        <w:gridCol w:w="109"/>
        <w:gridCol w:w="109"/>
        <w:gridCol w:w="2171"/>
        <w:gridCol w:w="2171"/>
        <w:gridCol w:w="2175"/>
        <w:gridCol w:w="140"/>
        <w:gridCol w:w="138"/>
        <w:gridCol w:w="118"/>
        <w:gridCol w:w="263"/>
        <w:gridCol w:w="263"/>
        <w:gridCol w:w="264"/>
        <w:gridCol w:w="195"/>
        <w:gridCol w:w="195"/>
        <w:gridCol w:w="196"/>
        <w:gridCol w:w="196"/>
        <w:gridCol w:w="196"/>
        <w:gridCol w:w="197"/>
        <w:gridCol w:w="109"/>
        <w:gridCol w:w="109"/>
        <w:gridCol w:w="161"/>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Multi-Product Licence Agreement by and between NGM Biopharmaceuticals, Inc. and Lonza Sales AG, dated as of October 31, 2014, as amended by Amendment No. 1 on July 28, 2015, Amendment No. 2 on October 7, 2015, Amendment No. 3 on April 26, 2016, Amendment No. 4 on October 3, 2017, Amendment No. 5 on March 16, 2018 and Amendment No. 6 on February 6, 2019.</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4/1/2019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Amendment No. 7 on December 22, 2020 to Multi-Product Licence Agreement by and between NGM Biopharmaceuticals, Inc. and Lonza Sales AG, dated as of October 31, 2014</w:t>
              </w:r>
            </w:hyperlink>
            <w:r>
              <w:rPr>
                <w:rFonts w:ascii="Arial;sans-serif" w:hAnsi="Arial;sans-serif"/>
                <w:b w:val="false"/>
                <w:color w:val="000000"/>
                <w:sz w:val="20"/>
              </w:rPr>
              <w:t>.</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3/15/2020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Amendment No. 8 on February 10, 2021 to Multi-Product Licence Agreement by and between NGM Biopharmaceuticals, Inc. and Lonza Sales AG, dated as of October 31, 2014</w:t>
              </w:r>
            </w:hyperlink>
            <w:r>
              <w:rPr>
                <w:rFonts w:ascii="Arial;sans-serif" w:hAnsi="Arial;sans-serif"/>
                <w:b w:val="false"/>
                <w:color w:val="000000"/>
                <w:sz w:val="20"/>
              </w:rPr>
              <w:t>.</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3/15/2020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Amendment No. 9 on November 3, 2021 to Multi-Product Licence Agreement by and between NGM Biopharmaceuticals, Inc. and Lonza Sales AG, dated as of October 31, 2014</w:t>
              </w:r>
            </w:hyperlink>
            <w:hyperlink r:id="rId28">
              <w:r>
                <w:rPr>
                  <w:rStyle w:val="InternetLink"/>
                  <w:rFonts w:ascii="Times New Roman;sans-serif" w:hAnsi="Times New Roman;sans-serif"/>
                  <w:b w:val="false"/>
                  <w:color w:val="0000FF"/>
                  <w:sz w:val="20"/>
                  <w:u w:val="single"/>
                </w:rPr>
                <w:t>.</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10.23</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Amendment No. 10 on October 31, 2023 to the Multi-Product Licence Agreement by and between NGM Biopharmaceuticals, Inc. and Lonza Sales AG, dated as of October 31, 2014.</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Letter Agreement, by and between NGM Biopharmaceuticals, Inc. and Merck Sharp &amp; Dohme Corp., dated as of March 15, 2019.</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3/25/2019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Letter Agreement, by and between NGM Biopharmaceuticals, Inc. and Merck Sharp &amp; Dohme Corp., dated as of March 30, 2022.</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Lease agreement, by and between NGM Biopharmaceuticals, Inc. and HCP BTC, LLC, dated as of July 7, 2022.</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211.htm">
              <w:r>
                <w:rPr>
                  <w:rStyle w:val="InternetLink"/>
                  <w:rFonts w:ascii="Arial;sans-serif" w:hAnsi="Arial;sans-serif"/>
                  <w:b w:val="false"/>
                  <w:color w:val="0000FF"/>
                  <w:sz w:val="20"/>
                  <w:u w:val="single"/>
                </w:rPr>
                <w:t>Subsidiaries of NGM Biopharmaceuticals, Inc.</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231.htm">
              <w:r>
                <w:rPr>
                  <w:rStyle w:val="InternetLink"/>
                  <w:rFonts w:ascii="Arial;sans-serif" w:hAnsi="Arial;sans-serif"/>
                  <w:b w:val="false"/>
                  <w:color w:val="0000FF"/>
                  <w:sz w:val="20"/>
                  <w:u w:val="single"/>
                </w:rPr>
                <w:t>Consent of Independent Registered Public Accounting Firm.</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113d0c463643f29a3220f032cb5068_169">
              <w:r>
                <w:rPr>
                  <w:rStyle w:val="InternetLink"/>
                  <w:rFonts w:ascii="Arial;sans-serif" w:hAnsi="Arial;sans-serif"/>
                  <w:b w:val="false"/>
                  <w:color w:val="0000FF"/>
                  <w:sz w:val="20"/>
                  <w:u w:val="single"/>
                </w:rPr>
                <w:t>Power of Attorney (included on signature page).</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311.htm">
              <w:r>
                <w:rPr>
                  <w:rStyle w:val="InternetLink"/>
                  <w:rFonts w:ascii="Arial;sans-serif" w:hAnsi="Arial;sans-serif"/>
                  <w:b w:val="false"/>
                  <w:color w:val="000000"/>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311.htm">
              <w:r>
                <w:rPr>
                  <w:rStyle w:val="InternetLink"/>
                  <w:rFonts w:ascii="Arial;sans-serif" w:hAnsi="Arial;sans-serif"/>
                  <w:b w:val="false"/>
                  <w:color w:val="0000FF"/>
                  <w:sz w:val="20"/>
                  <w:u w:val="single"/>
                </w:rPr>
                <w:t>Certification of Chief Executive Officer pursuant to Exchange Act Rules 13a-14(a) and 15d-14(a), as adopted pursuant to Section 302 of the Sarbanes-Oxley Act of 2002.</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312.htm">
              <w:r>
                <w:rPr>
                  <w:rStyle w:val="InternetLink"/>
                  <w:rFonts w:ascii="Arial;sans-serif" w:hAnsi="Arial;sans-serif"/>
                  <w:b w:val="false"/>
                  <w:color w:val="000000"/>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312.htm">
              <w:r>
                <w:rPr>
                  <w:rStyle w:val="InternetLink"/>
                  <w:rFonts w:ascii="Arial;sans-serif" w:hAnsi="Arial;sans-serif"/>
                  <w:b w:val="false"/>
                  <w:color w:val="0000FF"/>
                  <w:sz w:val="20"/>
                  <w:u w:val="single"/>
                </w:rPr>
                <w:t>Certification of Chief Financial Officer pursuant to Exchange Act Rules 13a-14(a) and 15d-14(a), as adopted pursuant to Section 302 of the Sarbanes-Oxley Act of 2002.</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321.htm">
              <w:r>
                <w:rPr>
                  <w:rStyle w:val="InternetLink"/>
                  <w:rFonts w:ascii="Arial;sans-serif" w:hAnsi="Arial;sans-serif"/>
                  <w:b w:val="false"/>
                  <w:color w:val="000000"/>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321.htm">
              <w:r>
                <w:rPr>
                  <w:rStyle w:val="InternetLink"/>
                  <w:rFonts w:ascii="Arial;sans-serif" w:hAnsi="Arial;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1231x10kex971.htm">
              <w:r>
                <w:rPr>
                  <w:rStyle w:val="InternetLink"/>
                  <w:rFonts w:ascii="Arial;sans-serif" w:hAnsi="Arial;sans-serif"/>
                  <w:b w:val="false"/>
                  <w:color w:val="0000FF"/>
                  <w:sz w:val="20"/>
                  <w:u w:val="single"/>
                </w:rPr>
                <w:t>NGM Biopharmaceuticals, Inc. Incentive Compensation Recoupment Policy</w:t>
              </w:r>
            </w:hyperlink>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27"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dd113d0c463643f29a3220f032cb5068_7">
        <w:r>
          <w:rPr>
            <w:rStyle w:val="InternetLink"/>
            <w:rFonts w:ascii="Arial;sans-serif" w:hAnsi="Arial;sans-serif"/>
            <w:b w:val="false"/>
            <w:color w:val="3051F2"/>
            <w:sz w:val="18"/>
          </w:rPr>
          <w:t>Table of Contents</w:t>
        </w:r>
      </w:hyperlink>
    </w:p>
    <w:tbl>
      <w:tblPr>
        <w:tblW w:w="10205" w:type="dxa"/>
        <w:jc w:val="left"/>
        <w:tblInd w:w="0" w:type="dxa"/>
        <w:tblLayout w:type="fixed"/>
        <w:tblCellMar>
          <w:top w:w="28" w:type="dxa"/>
          <w:left w:w="28" w:type="dxa"/>
          <w:bottom w:w="28" w:type="dxa"/>
          <w:right w:w="28" w:type="dxa"/>
        </w:tblCellMar>
      </w:tblPr>
      <w:tblGrid>
        <w:gridCol w:w="278"/>
        <w:gridCol w:w="209"/>
        <w:gridCol w:w="212"/>
        <w:gridCol w:w="109"/>
        <w:gridCol w:w="109"/>
        <w:gridCol w:w="109"/>
        <w:gridCol w:w="2560"/>
        <w:gridCol w:w="2464"/>
        <w:gridCol w:w="2471"/>
        <w:gridCol w:w="109"/>
        <w:gridCol w:w="109"/>
        <w:gridCol w:w="109"/>
        <w:gridCol w:w="109"/>
        <w:gridCol w:w="109"/>
        <w:gridCol w:w="109"/>
        <w:gridCol w:w="109"/>
        <w:gridCol w:w="109"/>
        <w:gridCol w:w="109"/>
        <w:gridCol w:w="109"/>
        <w:gridCol w:w="109"/>
        <w:gridCol w:w="109"/>
        <w:gridCol w:w="109"/>
        <w:gridCol w:w="109"/>
        <w:gridCol w:w="158"/>
      </w:tblGrid>
      <w:tr>
        <w:trPr/>
        <w:tc>
          <w:tcPr>
            <w:tcW w:w="2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X</w:t>
            </w:r>
          </w:p>
        </w:tc>
      </w:tr>
    </w:tbl>
    <w:p>
      <w:pPr>
        <w:pStyle w:val="TextBody"/>
        <w:bidi w:val="0"/>
        <w:spacing w:lineRule="auto" w:line="288" w:before="120" w:after="283"/>
        <w:ind w:left="0" w:right="0" w:hanging="540"/>
        <w:jc w:val="left"/>
        <w:rPr/>
      </w:pPr>
      <w:r>
        <w:rPr>
          <w:rFonts w:ascii="Arial;sans-serif" w:hAnsi="Arial;sans-serif"/>
          <w:b w:val="false"/>
          <w:color w:val="000000"/>
          <w:sz w:val="20"/>
        </w:rPr>
        <w:t>*    </w:t>
      </w:r>
      <w:r>
        <w:rPr>
          <w:rFonts w:ascii="Arial;sans-serif" w:hAnsi="Arial;sans-serif"/>
          <w:b w:val="false"/>
          <w:color w:val="000000"/>
          <w:sz w:val="18"/>
        </w:rPr>
        <w:t>Indicates management contract or compensatory plan or arrangement.</w:t>
      </w:r>
    </w:p>
    <w:p>
      <w:pPr>
        <w:pStyle w:val="TextBody"/>
        <w:bidi w:val="0"/>
        <w:spacing w:lineRule="auto" w:line="288" w:before="120" w:after="283"/>
        <w:ind w:left="0" w:right="0" w:hanging="540"/>
        <w:jc w:val="left"/>
        <w:rPr>
          <w:rFonts w:ascii="Arial;sans-serif" w:hAnsi="Arial;sans-serif"/>
          <w:b w:val="false"/>
          <w:color w:val="000000"/>
          <w:sz w:val="18"/>
        </w:rPr>
      </w:pPr>
      <w:r>
        <w:rPr>
          <w:rFonts w:ascii="Arial;sans-serif" w:hAnsi="Arial;sans-serif"/>
          <w:b w:val="false"/>
          <w:color w:val="000000"/>
          <w:sz w:val="18"/>
        </w:rPr>
        <w:t>**    Certain confidential information contained in this exhibit has been omitted because it is both not material and is of the type that the Registrant treats as private or confidential. </w:t>
      </w:r>
    </w:p>
    <w:p>
      <w:pPr>
        <w:pStyle w:val="TextBody"/>
        <w:bidi w:val="0"/>
        <w:spacing w:lineRule="auto" w:line="288" w:before="120" w:after="283"/>
        <w:ind w:left="0" w:right="0" w:hanging="540"/>
        <w:jc w:val="left"/>
        <w:rPr>
          <w:rFonts w:ascii="Arial;sans-serif" w:hAnsi="Arial;sans-serif"/>
          <w:b w:val="false"/>
          <w:color w:val="000000"/>
          <w:sz w:val="18"/>
        </w:rPr>
      </w:pPr>
      <w:r>
        <w:rPr>
          <w:rFonts w:ascii="Arial;sans-serif" w:hAnsi="Arial;sans-serif"/>
          <w:b w:val="false"/>
          <w:color w:val="000000"/>
          <w:sz w:val="18"/>
        </w:rPr>
        <w:t>#    Confidential treatment has been granted for a portion of this exhibit.</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18"/>
        </w:rPr>
        <w:t>The certifications attached as Exhibit 32.1 accompanying this Annual Report are not deemed filed with the SEC and are not to be incorporated by reference into any filing of NGM Biopharmaceuticals, Inc. under the Securities Act of 1933, as amended, or the Securities Exchange Act of 1934, as amended, whether made before or after the date of this Annual Report, irrespective of any general incorporation language contained in such filing.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2250"/>
                <wp:effectExtent l="0" t="0" r="0" b="0"/>
                <wp:wrapNone/>
                <wp:docPr id="128" name="Frame1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173" w:type="dxa"/>
        <w:jc w:val="left"/>
        <w:tblInd w:w="0" w:type="dxa"/>
        <w:tblLayout w:type="fixed"/>
        <w:tblCellMar>
          <w:top w:w="28" w:type="dxa"/>
          <w:left w:w="28" w:type="dxa"/>
          <w:bottom w:w="28" w:type="dxa"/>
          <w:right w:w="28" w:type="dxa"/>
        </w:tblCellMar>
      </w:tblPr>
      <w:tblGrid>
        <w:gridCol w:w="722"/>
        <w:gridCol w:w="633"/>
        <w:gridCol w:w="640"/>
        <w:gridCol w:w="109"/>
        <w:gridCol w:w="109"/>
        <w:gridCol w:w="109"/>
        <w:gridCol w:w="462"/>
        <w:gridCol w:w="462"/>
        <w:gridCol w:w="462"/>
        <w:gridCol w:w="1011"/>
        <w:gridCol w:w="1011"/>
        <w:gridCol w:w="1443"/>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NGM Biopharmaceuticals,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and Director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2250"/>
                <wp:effectExtent l="0" t="0" r="0" b="0"/>
                <wp:wrapNone/>
                <wp:docPr id="129" name="Frame1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lineRule="auto" w:line="288" w:before="120" w:after="120"/>
        <w:jc w:val="both"/>
        <w:rPr/>
      </w:pPr>
      <w:hyperlink w:anchor="idd113d0c463643f29a3220f032cb5068_7">
        <w:r>
          <w:rPr>
            <w:rStyle w:val="InternetLink"/>
            <w:rFonts w:ascii="Arial;sans-serif" w:hAnsi="Arial;sans-serif"/>
            <w:b w:val="false"/>
            <w:strike w:val="false"/>
            <w:dstrike w:val="false"/>
            <w:color w:val="3051F2"/>
            <w:sz w:val="18"/>
            <w:u w:val="none"/>
            <w:effect w:val="non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KNOW ALL PERSONS BY THESE PRESENTS, that each person whose signature appears below constitutes and appoints David J. Woodhouse, Jean-Frédéric Viret and Valerie Pierce,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8196" w:type="dxa"/>
        <w:jc w:val="left"/>
        <w:tblInd w:w="0" w:type="dxa"/>
        <w:tblLayout w:type="fixed"/>
        <w:tblCellMar>
          <w:top w:w="28" w:type="dxa"/>
          <w:left w:w="28" w:type="dxa"/>
          <w:bottom w:w="28" w:type="dxa"/>
          <w:right w:w="28" w:type="dxa"/>
        </w:tblCellMar>
      </w:tblPr>
      <w:tblGrid>
        <w:gridCol w:w="1015"/>
        <w:gridCol w:w="892"/>
        <w:gridCol w:w="897"/>
        <w:gridCol w:w="109"/>
        <w:gridCol w:w="109"/>
        <w:gridCol w:w="109"/>
        <w:gridCol w:w="1075"/>
        <w:gridCol w:w="1075"/>
        <w:gridCol w:w="1089"/>
        <w:gridCol w:w="109"/>
        <w:gridCol w:w="109"/>
        <w:gridCol w:w="109"/>
        <w:gridCol w:w="436"/>
        <w:gridCol w:w="436"/>
        <w:gridCol w:w="627"/>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David J. Woodhouse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Jean-Frédéric Viret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Jean-Frédéric Viret,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Irene Perlich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Irene Perlich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Bill Rieflin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William J. Rieflin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David V. Goeddel,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David V. Goeddel,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Shelly D. Guyer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Shelly D. Guyer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Carole 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Carole Ho,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Suzanne Sawochka Hooper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Suzanne Sawochka Hooper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Roger M. Perlmutter,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11, 2024</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Roger M. Perlmutter,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2250"/>
                <wp:effectExtent l="0" t="0" r="0" b="0"/>
                <wp:wrapNone/>
                <wp:docPr id="130" name="Frame1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10.14</w:t>
      </w:r>
    </w:p>
    <w:p>
      <w:pPr>
        <w:pStyle w:val="TextBody"/>
        <w:bidi w:val="0"/>
        <w:spacing w:before="240" w:after="283"/>
        <w:jc w:val="left"/>
        <w:rPr/>
      </w:pPr>
      <w:r>
        <w:rPr/>
        <w:drawing>
          <wp:inline distT="0" distB="0" distL="0" distR="0">
            <wp:extent cx="1333500" cy="723900"/>
            <wp:effectExtent l="0" t="0" r="0" b="0"/>
            <wp:docPr id="1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 descr=""/>
                    <pic:cNvPicPr>
                      <a:picLocks noChangeAspect="1" noChangeArrowheads="1"/>
                    </pic:cNvPicPr>
                  </pic:nvPicPr>
                  <pic:blipFill>
                    <a:blip r:embed="rId33"/>
                    <a:stretch>
                      <a:fillRect/>
                    </a:stretch>
                  </pic:blipFill>
                  <pic:spPr bwMode="auto">
                    <a:xfrm>
                      <a:off x="0" y="0"/>
                      <a:ext cx="1333500" cy="723900"/>
                    </a:xfrm>
                    <a:prstGeom prst="rect">
                      <a:avLst/>
                    </a:prstGeom>
                  </pic:spPr>
                </pic:pic>
              </a:graphicData>
            </a:graphic>
          </wp:inline>
        </w:drawing>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January 16, 2019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Hsiao D. Lieu, M.D.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Dear Hsiao,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behalf of NGM Biopharmaceuticals, Inc. (“NGM” or the “Company”), we are pleased that you will be joining the Company as Senior Vice President, Chief Medical Officer reporting to me. We believe this position represents an extraordinary opportunity, and we look forward to your joining our exceptional team.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Below are details of the compensation and benefits program we are offering as part of your employment with NGM, as well as other terms of your employment. Should you have questions regarding any part of this offer, or wish to receive additional details, please let us know. Your annual base salary will be $420,000.00, less payroll deductions and all required withholdings, paid semi-monthly over 24 pay periods per year. In addition, you will be eligible to participate in the NGM Incentive Bonus Plan. You will also be eligible to receive a one-time sign-on bonus of $225,000.00, payable within the first two pay periods of your employment with NGM. Should you voluntarily resign from NGM within two (2) years from your start date, you will be required to repay the pro-rated portion of the sign-on bonus payment based on the number of months you were employed by the Company following receipt of the sign-on bonus payment.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NGM provides all eligible employees with a comprehensive benefits program. You will have the opportunity to participate in these benefits, which include medical, dental and vision coverage for you and your eligible dependents, if you choose to enroll in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 important component of your compensation includes the opportunity for ownership in the Company. After you commence employment, and subject to the approval of our Board of Directors (the “Board”), NGM will grant you an option to purchase 400,000 shares of the Company’s common stock (subject to adjustment for stock splits, stock dividends, reclassification and the like) at the fair market value determined by the Board as of the date of grant (the “Option”). The Option will be subject to the terms and conditions of the Company’s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offer is contingent upon our verification of your employment history. Any intentional misrepresentation concerning your employment history may result in actions up to and including revocation of this offer or termination of your employment at NGM.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 As required by law, this offer is subject to satisfactory proof of your identity and right to work in the United States.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Hsiao, we are thrilled that you have decided to accept our employment offer. Under the terms described above, please sign and date this letter and the Proprietary Information Agreement, and return them by January 23, 2019. It is our expectation that you will join NGM in March 2019.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NGM is an ambitious undertaking, and we fully expect our company to become a force in the development and commercialization of pharmaceutical therapies. To this end, we are assembling a team of uniquely qualified individuals with extraordinary knowledge, skills and drive. Your leadership of the development area will be a critical part of our success and we look forward to you joining our team.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234" w:type="dxa"/>
        <w:jc w:val="left"/>
        <w:tblInd w:w="0" w:type="dxa"/>
        <w:tblLayout w:type="fixed"/>
        <w:tblCellMar>
          <w:top w:w="28" w:type="dxa"/>
          <w:left w:w="28" w:type="dxa"/>
          <w:bottom w:w="28" w:type="dxa"/>
          <w:right w:w="28" w:type="dxa"/>
        </w:tblCellMar>
      </w:tblPr>
      <w:tblGrid>
        <w:gridCol w:w="918"/>
        <w:gridCol w:w="804"/>
        <w:gridCol w:w="813"/>
        <w:gridCol w:w="109"/>
        <w:gridCol w:w="109"/>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54" w:type="dxa"/>
        <w:jc w:val="left"/>
        <w:tblInd w:w="0" w:type="dxa"/>
        <w:tblLayout w:type="fixed"/>
        <w:tblCellMar>
          <w:top w:w="28" w:type="dxa"/>
          <w:left w:w="28" w:type="dxa"/>
          <w:bottom w:w="28" w:type="dxa"/>
          <w:right w:w="28" w:type="dxa"/>
        </w:tblCellMar>
      </w:tblPr>
      <w:tblGrid>
        <w:gridCol w:w="857"/>
        <w:gridCol w:w="756"/>
        <w:gridCol w:w="756"/>
        <w:gridCol w:w="682"/>
        <w:gridCol w:w="682"/>
        <w:gridCol w:w="682"/>
        <w:gridCol w:w="682"/>
        <w:gridCol w:w="682"/>
        <w:gridCol w:w="975"/>
      </w:tblGrid>
      <w:tr>
        <w:trPr/>
        <w:tc>
          <w:tcPr>
            <w:tcW w:w="85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67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A — Employee Proprietary Information and Inventions Agreement</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Understood and Accepted</w:t>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Hsiao D. Lieu</w:t>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1/22/2019</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Hsiao D. Lieu, M.D.</w:t>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INFORMATION REGARDING SEVERANCE AND CHANGE IN CONTROL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addition to the employment offer letter with Dr. Lieu entered into on January 16, 2019, in February 2023, the Compensation Committee of the NGM Biopharmaceuticals, Inc. Board of Directors determined that,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Lieu will be entitled to (i) continued payment of his base salary for 6 months; (ii) payment or reimbursement of COBRA premiums for him and his eligible dependents for up to 6 months; and (iii) full vesting of any unvested equity awards held by Dr. Lieu. The complete details of the foregoing benefits will be set forth in a written document provided to Dr. Lieu by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Severance Benefit Addendum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Severance Benefit Addendum (“Addendum”), effective as of December 4, 2023, to the employment offer letter (“Offer Letter”) dated January 16, 2019 by and between Hsiao D. Lieu, M.D. (“Executive”) and NGM Biopharmaceuticals, Inc. (“NGM” or the “Company”) sets forth the terms of Executive’s severance benefits with the Company. This Addendum forms part of the Offer Letter. Capitalized terms not otherwise defined herein shall have the meanings ascribed to them in the Offer Letter.</w:t>
      </w:r>
    </w:p>
    <w:p>
      <w:pPr>
        <w:pStyle w:val="TextBody"/>
        <w:bidi w:val="0"/>
        <w:spacing w:before="0" w:after="0"/>
        <w:jc w:val="both"/>
        <w:rPr/>
      </w:pPr>
      <w:r>
        <w:rPr/>
      </w:r>
    </w:p>
    <w:p>
      <w:pPr>
        <w:pStyle w:val="TextBody"/>
        <w:bidi w:val="0"/>
        <w:spacing w:lineRule="auto" w:line="288" w:before="120" w:after="283"/>
        <w:ind w:left="0" w:right="0" w:hanging="360"/>
        <w:jc w:val="both"/>
        <w:rPr/>
      </w:pPr>
      <w:r>
        <w:rPr>
          <w:rFonts w:ascii="Arial;sans-serif" w:hAnsi="Arial;sans-serif"/>
          <w:b w:val="false"/>
          <w:color w:val="000000"/>
          <w:sz w:val="20"/>
        </w:rPr>
        <w:t>1.</w:t>
      </w:r>
      <w:r>
        <w:rPr>
          <w:rFonts w:ascii="Arial;sans-serif" w:hAnsi="Arial;sans-serif"/>
          <w:b/>
          <w:color w:val="000000"/>
          <w:sz w:val="20"/>
          <w:shd w:fill="FFFFFF" w:val="clear"/>
        </w:rPr>
        <w:t>Termination Without Cause or Resignation for Good Reason Following a Change in Control. </w:t>
      </w:r>
      <w:r>
        <w:rPr>
          <w:rFonts w:ascii="Arial;sans-serif" w:hAnsi="Arial;sans-serif"/>
          <w:b w:val="false"/>
          <w:color w:val="000000"/>
          <w:sz w:val="20"/>
          <w:shd w:fill="FFFFFF" w:val="clear"/>
        </w:rPr>
        <w:t>If, on or within eighteen (18) months after the effective date of a Change in Control (as defined herein), either (i) the Company terminates Executive’s employment without Cause (as defined herein) and other than as a result of Executive’s death or Disability, or (ii) Executive resigns for Good Reason (as defined herein), and provided in any case (a) such termination or resignation constitutes a “separation from service” (within the meaning of Treasury Regulation Section 1.409A-l(h)),  (b) Executive signs the Company’s standard form of release within the time period specified by the Company and allows it to become effective in accordance with its terms (but in no event later than sixty (60) days following Executive’s termination or resignation), and (c) Executive complies with Executive’s obligations under Executive’s Proprietary Information Agreement, then the Company shall provide Executive with the following severance benefits:</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Arial;sans-serif" w:hAnsi="Arial;sans-serif"/>
          <w:b w:val="false"/>
          <w:color w:val="000000"/>
          <w:sz w:val="20"/>
        </w:rPr>
        <w:t>1.1</w:t>
      </w:r>
      <w:r>
        <w:rPr>
          <w:rFonts w:ascii="Arial;sans-serif" w:hAnsi="Arial;sans-serif"/>
          <w:b/>
          <w:color w:val="000000"/>
          <w:sz w:val="20"/>
          <w:shd w:fill="FFFFFF" w:val="clear"/>
        </w:rPr>
        <w:t>Salary and Benefit Continuation. </w:t>
      </w:r>
      <w:r>
        <w:rPr>
          <w:rFonts w:ascii="Arial;sans-serif" w:hAnsi="Arial;sans-serif"/>
          <w:b w:val="false"/>
          <w:color w:val="000000"/>
          <w:sz w:val="20"/>
          <w:shd w:fill="FFFFFF" w:val="clear"/>
        </w:rPr>
        <w:t>The Company will pay Executive severance in the form of Base Salary continuation for a six (6) month period following Executive’s last day of employment. These salary continuation payments will be paid on the Company’s regular payroll schedule and subject to standard deductions and withholdings over the applicable period following termination or resignation; </w:t>
      </w:r>
      <w:r>
        <w:rPr>
          <w:rFonts w:ascii="Arial;sans-serif" w:hAnsi="Arial;sans-serif"/>
          <w:b w:val="false"/>
          <w:i/>
          <w:color w:val="000000"/>
          <w:sz w:val="20"/>
          <w:shd w:fill="FFFFFF" w:val="clear"/>
        </w:rPr>
        <w:t>provided, however,</w:t>
      </w:r>
      <w:r>
        <w:rPr>
          <w:color w:val="000000"/>
          <w:shd w:fill="FFFFFF" w:val="clear"/>
        </w:rPr>
        <w:t> </w:t>
      </w:r>
      <w:r>
        <w:rPr>
          <w:rFonts w:ascii="Arial;sans-serif" w:hAnsi="Arial;sans-serif"/>
          <w:b w:val="false"/>
          <w:color w:val="000000"/>
          <w:sz w:val="20"/>
          <w:shd w:fill="FFFFFF" w:val="clear"/>
        </w:rPr>
        <w:t>that no payments will be made prior to the sixtieth (60</w:t>
      </w:r>
      <w:r>
        <w:rPr>
          <w:rFonts w:ascii="Arial;sans-serif" w:hAnsi="Arial;sans-serif"/>
          <w:b w:val="false"/>
          <w:color w:val="000000"/>
          <w:sz w:val="13"/>
          <w:shd w:fill="FFFFFF" w:val="clear"/>
        </w:rPr>
        <w:t>th</w:t>
      </w:r>
      <w:r>
        <w:rPr>
          <w:rFonts w:ascii="Arial;sans-serif" w:hAnsi="Arial;sans-serif"/>
          <w:b w:val="false"/>
          <w:color w:val="000000"/>
          <w:sz w:val="20"/>
          <w:shd w:fill="FFFFFF" w:val="clear"/>
        </w:rPr>
        <w:t>) day following Executive’s termination or resignation. On the sixtieth (60</w:t>
      </w:r>
      <w:r>
        <w:rPr>
          <w:rFonts w:ascii="Arial;sans-serif" w:hAnsi="Arial;sans-serif"/>
          <w:b w:val="false"/>
          <w:color w:val="000000"/>
          <w:sz w:val="13"/>
          <w:shd w:fill="FFFFFF" w:val="clear"/>
        </w:rPr>
        <w:t>th</w:t>
      </w:r>
      <w:r>
        <w:rPr>
          <w:rFonts w:ascii="Arial;sans-serif" w:hAnsi="Arial;sans-serif"/>
          <w:b w:val="false"/>
          <w:color w:val="000000"/>
          <w:sz w:val="20"/>
          <w:shd w:fill="FFFFFF" w:val="clear"/>
        </w:rPr>
        <w:t>) day following Executive’s termination or resignation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In addition, Executive shall have the right to continue Executive’s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Executive’s eligible dependents for the first six (6) months of such coverage, or such earlier date as Executive (or Executive’s dependents, as applicable) ceases to be eligible for such continuation coverage (such payment period, the “COBRA Payment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Executive’s behalf, the Company will instead pay Executive on the last day of each remaining month of the COBRA Payment Period a fully taxable cash payment equal to the value of Executive’s monthly COBRA premium for the first month of COBRA coverage, subject to applicable tax withholding (such amount, the “Special Severance Payment”), such Special Severance Payment to be made without regard to Executive’s election of COBRA coverage or payment of COBRA premiums and without regard to Executive’s continued eligibility for COBRA coverage during the COBRA Payment Period. Such Special Severance Payment shall end upon expiration of the COBRA Payment Period.</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Arial;sans-serif" w:hAnsi="Arial;sans-serif"/>
          <w:b w:val="false"/>
          <w:color w:val="000000"/>
          <w:sz w:val="20"/>
        </w:rPr>
        <w:t>1.2</w:t>
      </w:r>
      <w:r>
        <w:rPr>
          <w:rFonts w:ascii="Arial;sans-serif" w:hAnsi="Arial;sans-serif"/>
          <w:b/>
          <w:color w:val="000000"/>
          <w:sz w:val="20"/>
          <w:shd w:fill="FFFFFF" w:val="clear"/>
        </w:rPr>
        <w:t>Accelerated Vesting. </w:t>
      </w:r>
      <w:r>
        <w:rPr>
          <w:rFonts w:ascii="Arial;sans-serif" w:hAnsi="Arial;sans-serif"/>
          <w:b w:val="false"/>
          <w:color w:val="000000"/>
          <w:sz w:val="20"/>
          <w:shd w:fill="FFFFFF" w:val="clear"/>
        </w:rPr>
        <w:t>The Company will accelerate the vesting of the Stock Rights, to the extent then-outstanding and unvested, such that all shares subject to the Stock Rights shall be deemed immediately vested and exercisable as of Executive’s termination or resignation date.</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val="false"/>
          <w:color w:val="000000"/>
          <w:sz w:val="20"/>
        </w:rPr>
        <w:t>2.</w:t>
      </w:r>
      <w:r>
        <w:rPr>
          <w:rFonts w:ascii="Arial;sans-serif" w:hAnsi="Arial;sans-serif"/>
          <w:b/>
          <w:color w:val="000000"/>
          <w:sz w:val="20"/>
          <w:shd w:fill="FFFFFF" w:val="clear"/>
        </w:rPr>
        <w:t>Section 409A Compliance. </w:t>
      </w:r>
      <w:r>
        <w:rPr>
          <w:rFonts w:ascii="Arial;sans-serif" w:hAnsi="Arial;sans-serif"/>
          <w:b w:val="false"/>
          <w:color w:val="000000"/>
          <w:sz w:val="20"/>
          <w:shd w:fill="FFFFFF" w:val="clear"/>
        </w:rPr>
        <w:t xml:space="preserve">It is intended that each installment of the severance payments and benefits provided for in this Addendum is a separate “payment” for purposes of Section 409A (“Section 409A”) of the Internal Revenue Code of 1986, as amended (the “Code”). For the avoidance of doubt, it is intended that the severance satisfies, to the greatest extent possible, the exemptions from the application of Section 409A provided under Treasury Regulation 1.409A-l(b)(4) and 1.409A-l(b)(9). Notwithstanding the foregoing, if the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Company (or, if applicable, the successor entity thereto) determines that the severance payment provided above upon a separation from service constitute “deferred compensation” under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(6) months and one (1)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 (B) commence paying the balance of the severance in accordance with the payment schedule set forth above.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3.</w:t>
      </w:r>
      <w:r>
        <w:rPr>
          <w:rFonts w:ascii="Arial;sans-serif" w:hAnsi="Arial;sans-serif"/>
          <w:b/>
          <w:color w:val="000000"/>
          <w:sz w:val="20"/>
          <w:shd w:fill="FFFFFF" w:val="clear"/>
        </w:rPr>
        <w:t xml:space="preserve">Definitions. </w:t>
      </w:r>
      <w:r>
        <w:rPr>
          <w:rFonts w:ascii="Arial;sans-serif" w:hAnsi="Arial;sans-serif"/>
          <w:b w:val="false"/>
          <w:color w:val="000000"/>
          <w:sz w:val="20"/>
          <w:shd w:fill="FFFFFF" w:val="clear"/>
        </w:rPr>
        <w:t>For purposes of this Addendum, the following terms used herein have the definitions set forth below.</w:t>
      </w:r>
    </w:p>
    <w:p>
      <w:pPr>
        <w:pStyle w:val="TextBody"/>
        <w:bidi w:val="0"/>
        <w:spacing w:lineRule="auto" w:line="288" w:before="0" w:after="0"/>
        <w:ind w:left="0" w:right="0" w:hanging="432"/>
        <w:jc w:val="both"/>
        <w:rPr/>
      </w:pPr>
      <w:r>
        <w:rPr>
          <w:rFonts w:ascii="Arial;sans-serif" w:hAnsi="Arial;sans-serif"/>
          <w:b w:val="false"/>
          <w:color w:val="000000"/>
          <w:sz w:val="20"/>
        </w:rPr>
        <w:t>3.1</w:t>
      </w:r>
      <w:r>
        <w:rPr>
          <w:color w:val="000000"/>
          <w:shd w:fill="FFFFFF" w:val="clear"/>
        </w:rPr>
        <w:t>“</w:t>
      </w:r>
      <w:r>
        <w:rPr>
          <w:rFonts w:ascii="Arial;sans-serif" w:hAnsi="Arial;sans-serif"/>
          <w:b/>
          <w:color w:val="000000"/>
          <w:sz w:val="20"/>
          <w:shd w:fill="FFFFFF" w:val="clear"/>
        </w:rPr>
        <w:t>Base Salary</w:t>
      </w:r>
      <w:r>
        <w:rPr>
          <w:color w:val="000000"/>
          <w:shd w:fill="FFFFFF" w:val="clear"/>
        </w:rPr>
        <w:t xml:space="preserve">” </w:t>
      </w:r>
      <w:r>
        <w:rPr>
          <w:rFonts w:ascii="Arial;sans-serif" w:hAnsi="Arial;sans-serif"/>
          <w:b w:val="false"/>
          <w:color w:val="000000"/>
          <w:sz w:val="20"/>
          <w:shd w:fill="FFFFFF" w:val="clear"/>
        </w:rPr>
        <w:t>means base pay (excluding incentive pay, premium pay, commissions, overtime, bonuses and other forms of variable compensation) as in effect immediately prior to Executive’s termination or resignation triggering benefits under this Addendum, except that base pay shall exclude any reduction that would give rise to Executive’s right to a resignation for Good Reason (if applicable).</w:t>
      </w:r>
    </w:p>
    <w:p>
      <w:pPr>
        <w:pStyle w:val="TextBody"/>
        <w:bidi w:val="0"/>
        <w:spacing w:lineRule="auto" w:line="288" w:before="0" w:after="0"/>
        <w:ind w:left="0" w:right="0" w:hanging="432"/>
        <w:jc w:val="both"/>
        <w:rPr/>
      </w:pPr>
      <w:r>
        <w:rPr>
          <w:rFonts w:ascii="Arial;sans-serif" w:hAnsi="Arial;sans-serif"/>
          <w:b w:val="false"/>
          <w:color w:val="000000"/>
          <w:sz w:val="20"/>
        </w:rPr>
        <w:t>3.2</w:t>
      </w:r>
      <w:r>
        <w:rPr>
          <w:color w:val="000000"/>
          <w:shd w:fill="FFFFFF" w:val="clear"/>
        </w:rPr>
        <w:t>“</w:t>
      </w:r>
      <w:r>
        <w:rPr>
          <w:rFonts w:ascii="Arial;sans-serif" w:hAnsi="Arial;sans-serif"/>
          <w:b/>
          <w:color w:val="000000"/>
          <w:sz w:val="20"/>
          <w:shd w:fill="FFFFFF" w:val="clear"/>
        </w:rPr>
        <w:t>Cause</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3.3</w:t>
      </w:r>
      <w:r>
        <w:rPr>
          <w:color w:val="000000"/>
          <w:shd w:fill="FFFFFF" w:val="clear"/>
        </w:rPr>
        <w:t>“</w:t>
      </w:r>
      <w:r>
        <w:rPr>
          <w:rFonts w:ascii="Arial;sans-serif" w:hAnsi="Arial;sans-serif"/>
          <w:b/>
          <w:color w:val="000000"/>
          <w:sz w:val="20"/>
          <w:shd w:fill="FFFFFF" w:val="clear"/>
        </w:rPr>
        <w:t>Change in Control</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left"/>
        <w:rPr/>
      </w:pPr>
      <w:r>
        <w:rPr>
          <w:rFonts w:ascii="Arial;sans-serif" w:hAnsi="Arial;sans-serif"/>
          <w:b w:val="false"/>
          <w:color w:val="000000"/>
          <w:sz w:val="20"/>
        </w:rPr>
        <w:t>3.4</w:t>
      </w:r>
      <w:r>
        <w:rPr>
          <w:color w:val="000000"/>
          <w:shd w:fill="FFFFFF" w:val="clear"/>
        </w:rPr>
        <w:t>“</w:t>
      </w:r>
      <w:r>
        <w:rPr>
          <w:rFonts w:ascii="Arial;sans-serif" w:hAnsi="Arial;sans-serif"/>
          <w:b/>
          <w:color w:val="000000"/>
          <w:sz w:val="20"/>
          <w:shd w:fill="FFFFFF" w:val="clear"/>
        </w:rPr>
        <w:t>Disability</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3.5</w:t>
      </w:r>
      <w:r>
        <w:rPr>
          <w:color w:val="000000"/>
          <w:shd w:fill="FFFFFF" w:val="clear"/>
        </w:rPr>
        <w:t>“</w:t>
      </w:r>
      <w:r>
        <w:rPr>
          <w:rFonts w:ascii="Arial;sans-serif" w:hAnsi="Arial;sans-serif"/>
          <w:b/>
          <w:color w:val="000000"/>
          <w:sz w:val="20"/>
          <w:shd w:fill="FFFFFF" w:val="clear"/>
        </w:rPr>
        <w:t>Good Reason</w:t>
      </w:r>
      <w:r>
        <w:rPr>
          <w:color w:val="000000"/>
          <w:shd w:fill="FFFFFF" w:val="clear"/>
        </w:rPr>
        <w:t xml:space="preserve">” </w:t>
      </w:r>
      <w:r>
        <w:rPr>
          <w:rFonts w:ascii="Arial;sans-serif" w:hAnsi="Arial;sans-serif"/>
          <w:b w:val="false"/>
          <w:color w:val="000000"/>
          <w:sz w:val="20"/>
          <w:shd w:fill="FFFFFF" w:val="clear"/>
        </w:rPr>
        <w:t>means: if any of the following actions are taken by the Company or a successor corporation or entity without Executive’s consent, provided that Executive notifies the Company (or successor, as applicable) in writing, within ten (10) days after the occurrence of one of the following actions, that Executive intends to terminate Executive’s employment no earlier than thirty (30) days after providing such notice, and the Company (or successor, as applicable) fails to cure such actions within thirty (30) days after receipt of such notice, and Executive’s resignation is effective not later than (30) days after the Company (or successor, as applicable) fails to cure the issue: (a) a substantial reduction of Executive’s base salary; (b) a material reduction in Executive’s duties; (c) a material breach by the Company (or a successor corporation or entity, if applicable) of any provision of the Offer Letter, including this Addendum; or (d) a relocation of Executive’s principal place of employment to a place that increases Executive’s one-way commute by greater than fifty (50) miles as compared to Executive’s then-current principal place of employment prior to such relocation (excluding regular travel in the ordinary course of business); provided that (i) if Executive’s principal place of employment is Executive’s personal residence, this clause (d) shall not apply and (ii) if Executive works remotely during any period in which Executive’s regular principal office location is a Company office that is closed, then neither Executive’s relocation to remote work or back to the office from remote work will be considered a relocation of Executive’s principal office location for purposes of this definition.</w:t>
      </w:r>
    </w:p>
    <w:p>
      <w:pPr>
        <w:pStyle w:val="TextBody"/>
        <w:bidi w:val="0"/>
        <w:spacing w:lineRule="auto" w:line="288" w:before="0" w:after="0"/>
        <w:ind w:left="0" w:right="0" w:hanging="432"/>
        <w:jc w:val="both"/>
        <w:rPr/>
      </w:pPr>
      <w:r>
        <w:rPr>
          <w:rFonts w:ascii="Arial;sans-serif" w:hAnsi="Arial;sans-serif"/>
          <w:b w:val="false"/>
          <w:color w:val="000000"/>
          <w:sz w:val="20"/>
        </w:rPr>
        <w:t>3.6</w:t>
      </w:r>
      <w:r>
        <w:rPr>
          <w:color w:val="000000"/>
          <w:shd w:fill="FFFFFF" w:val="clear"/>
        </w:rPr>
        <w:t>“</w:t>
      </w:r>
      <w:r>
        <w:rPr>
          <w:rFonts w:ascii="Arial;sans-serif" w:hAnsi="Arial;sans-serif"/>
          <w:b/>
          <w:color w:val="000000"/>
          <w:sz w:val="20"/>
          <w:shd w:fill="FFFFFF" w:val="clear"/>
        </w:rPr>
        <w:t>Plan</w:t>
      </w:r>
      <w:r>
        <w:rPr>
          <w:color w:val="000000"/>
          <w:shd w:fill="FFFFFF" w:val="clear"/>
        </w:rPr>
        <w:t xml:space="preserve">” </w:t>
      </w:r>
      <w:r>
        <w:rPr>
          <w:rFonts w:ascii="Arial;sans-serif" w:hAnsi="Arial;sans-serif"/>
          <w:b w:val="false"/>
          <w:color w:val="000000"/>
          <w:sz w:val="20"/>
          <w:shd w:fill="FFFFFF" w:val="clear"/>
        </w:rPr>
        <w:t>means the Company’s Amended and Restated 2018 Equity Incentive Plan, as amended from time to time, or any successor plan thereto.</w:t>
      </w:r>
    </w:p>
    <w:p>
      <w:pPr>
        <w:pStyle w:val="TextBody"/>
        <w:bidi w:val="0"/>
        <w:spacing w:lineRule="auto" w:line="288" w:before="0" w:after="0"/>
        <w:ind w:left="0" w:right="0" w:hanging="432"/>
        <w:jc w:val="both"/>
        <w:rPr/>
      </w:pPr>
      <w:r>
        <w:rPr>
          <w:rFonts w:ascii="Arial;sans-serif" w:hAnsi="Arial;sans-serif"/>
          <w:b w:val="false"/>
          <w:color w:val="000000"/>
          <w:sz w:val="20"/>
        </w:rPr>
        <w:t>3.7</w:t>
      </w:r>
      <w:r>
        <w:rPr>
          <w:color w:val="000000"/>
          <w:shd w:fill="FFFFFF" w:val="clear"/>
        </w:rPr>
        <w:t>“</w:t>
      </w:r>
      <w:r>
        <w:rPr>
          <w:rFonts w:ascii="Arial;sans-serif" w:hAnsi="Arial;sans-serif"/>
          <w:b/>
          <w:color w:val="000000"/>
          <w:sz w:val="20"/>
          <w:shd w:fill="FFFFFF" w:val="clear"/>
        </w:rPr>
        <w:t>Stock Rights</w:t>
      </w:r>
      <w:r>
        <w:rPr>
          <w:color w:val="000000"/>
          <w:shd w:fill="FFFFFF" w:val="clear"/>
        </w:rPr>
        <w:t xml:space="preserve">” </w:t>
      </w:r>
      <w:r>
        <w:rPr>
          <w:rFonts w:ascii="Arial;sans-serif" w:hAnsi="Arial;sans-serif"/>
          <w:b w:val="false"/>
          <w:color w:val="000000"/>
          <w:sz w:val="20"/>
          <w:shd w:fill="FFFFFF" w:val="clear"/>
        </w:rPr>
        <w:t>means all of Executive’s options, restricted stock, restricted stock units or rights to acquire vested ownership of shares of the Company’s Common Stock under plans, agreements or arrangements that are compensatory in nature, including, without limitation, the Option, the Plan and other agreements between the Company and Executive.</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parties hereto have executed this Addendum on and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6" w:after="283"/>
        <w:ind w:left="0" w:right="0" w:hanging="3600"/>
        <w:jc w:val="left"/>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tbl>
      <w:tblPr>
        <w:tblW w:w="3179" w:type="dxa"/>
        <w:jc w:val="left"/>
        <w:tblInd w:w="0" w:type="dxa"/>
        <w:tblLayout w:type="fixed"/>
        <w:tblCellMar>
          <w:top w:w="28" w:type="dxa"/>
          <w:left w:w="28" w:type="dxa"/>
          <w:bottom w:w="28" w:type="dxa"/>
          <w:right w:w="28" w:type="dxa"/>
        </w:tblCellMar>
      </w:tblPr>
      <w:tblGrid>
        <w:gridCol w:w="173"/>
        <w:gridCol w:w="153"/>
        <w:gridCol w:w="154"/>
        <w:gridCol w:w="790"/>
        <w:gridCol w:w="790"/>
        <w:gridCol w:w="1119"/>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By: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David J. Woodhouse, Ph.D.</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Hsiao Lieu</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Hsiao D. Lieu, M.D.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10.15</w:t>
      </w:r>
    </w:p>
    <w:p>
      <w:pPr>
        <w:pStyle w:val="TextBody"/>
        <w:bidi w:val="0"/>
        <w:spacing w:before="240" w:after="283"/>
        <w:jc w:val="left"/>
        <w:rPr/>
      </w:pPr>
      <w:r>
        <w:rPr/>
        <w:drawing>
          <wp:inline distT="0" distB="0" distL="0" distR="0">
            <wp:extent cx="1333500" cy="723900"/>
            <wp:effectExtent l="0" t="0" r="0" b="0"/>
            <wp:docPr id="1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 descr=""/>
                    <pic:cNvPicPr>
                      <a:picLocks noChangeAspect="1" noChangeArrowheads="1"/>
                    </pic:cNvPicPr>
                  </pic:nvPicPr>
                  <pic:blipFill>
                    <a:blip r:embed="rId34"/>
                    <a:stretch>
                      <a:fillRect/>
                    </a:stretch>
                  </pic:blipFill>
                  <pic:spPr bwMode="auto">
                    <a:xfrm>
                      <a:off x="0" y="0"/>
                      <a:ext cx="1333500" cy="7239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August 6, 2019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Valerie L. Pierce, Esq.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Dear Valerie,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behalf of NGM Biopharmaceuticals, Inc. ("NGM" or the "Company"), we are pleased that you will be joining the Company as Senior Vice President, General Counsel and Chief Compliance Officer reporting to me. We believe this position represents an extraordinary opportunity, and we look forward to your joining our exceptional team.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Below are details of the compensation and benefits program we are offering as part of your employment with NGM, as well as other terms of your employment. Should you have questions regarding any part of this offer, or wish to receive additional details, please let us know. Your annual base salary will be $390,000.00, less payroll deductions and all required withholdings, paid semi- monthly over 24 pay periods per year. In addition, you will be eligible to participate in the NGM Incentive Bonus Plan. You will also be eligible to receive a one-time sign-on bonus of $75,000.00, payable within the first two pay periods of your employment with NGM. Should you voluntarily resign from NGM within two (2) years from your start date, you will be required to repay the pro-rated portion of the sign-on bonus payment based on the number of months you were employed by the Company following receipt of the sign-on bonus payment. In addition, you will be eligible to receive a one-time retention bonus of $75,000.00 payable within the first two pay periods following the one-year anniversary of your employment. Should you voluntarily resign from NGM within two (2) years from the receipt of your retention bonus payment, you will be required to repay the pro-rated portion of the retention bonus payment based on the number of months you were employed by the Company following receipt of the retention bonus payment.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NGM provides all eligible employees with a comprehensive benefits program. You will have the opportunity to participate in these benefits, which include medical, dental and vision coverage for you and your eligible dependents, if you choose to enroll in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 important component of your compensation includes the opportunity for ownership in the Company. After you commence employment, and subject to the approval of our Board of Directors (the "Board"), NGM will grant you an option to purchase 200,000 shares of the Company's common stock (subject to adjustment for stock splits, stock dividends, reclassification and the like) at the fair market value determined by the Board as of the date of grant (the "Option"). The Option will be subject to the terms and conditions of the Company's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offer is contingent upon our verification of your employment history. Any intentional misrepresentation concerning your employment history may result in actions up to and including revocation of this offer or termination of your employment at NGM.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 and signatures transmitted electronically will be deemed equivalent to originals. As required by law, this offer is subject to satisfactory proof of your identity and right to work in the United States.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Valerie, we are thrilled that you have decided to accept our employment offer. Under the terms described above, please sign and date this letter and the Proprietary Information Agreement, and return them by August 13, 2019. It is our expectation that you will join NGM in September 2019.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NGM is an ambitious undertaking, and we fully expect our company to become a force in the development and commercialization of pharmaceutical therapies. To this end, we are assembling a team of uniquely qualified individuals with extraordinary knowledge, skills and drive. Your leadership of the legal area will be a critical part of our success and we look forward to you joining our team.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519" w:type="dxa"/>
        <w:jc w:val="left"/>
        <w:tblInd w:w="0" w:type="dxa"/>
        <w:tblLayout w:type="fixed"/>
        <w:tblCellMar>
          <w:top w:w="28" w:type="dxa"/>
          <w:left w:w="28" w:type="dxa"/>
          <w:bottom w:w="28" w:type="dxa"/>
          <w:right w:w="28" w:type="dxa"/>
        </w:tblCellMar>
      </w:tblPr>
      <w:tblGrid>
        <w:gridCol w:w="1852"/>
        <w:gridCol w:w="1622"/>
        <w:gridCol w:w="1640"/>
        <w:gridCol w:w="219"/>
        <w:gridCol w:w="219"/>
        <w:gridCol w:w="219"/>
        <w:gridCol w:w="219"/>
        <w:gridCol w:w="219"/>
        <w:gridCol w:w="310"/>
      </w:tblGrid>
      <w:tr>
        <w:trPr/>
        <w:tc>
          <w:tcPr>
            <w:tcW w:w="185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Sincerely,</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A — Employee Proprietary Information and Inventions Agreement</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Understood and Accepted</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Valerie L. Pierce</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8/6/19</w:t>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Valerie L. Pierce, Esq.</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INFORMATION REGARDING SEVERANCE AND CHANGE IN CONTROL ARRANGEMENTS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ind w:left="0" w:right="0" w:firstLine="720"/>
        <w:jc w:val="left"/>
        <w:rPr>
          <w:rFonts w:ascii="Arial;sans-serif" w:hAnsi="Arial;sans-serif"/>
          <w:b w:val="false"/>
          <w:color w:val="000000"/>
          <w:sz w:val="20"/>
        </w:rPr>
      </w:pPr>
      <w:r>
        <w:rPr>
          <w:rFonts w:ascii="Arial;sans-serif" w:hAnsi="Arial;sans-serif"/>
          <w:b w:val="false"/>
          <w:color w:val="000000"/>
          <w:sz w:val="20"/>
        </w:rPr>
        <w:t>In addition to the employment offer letter with Ms. Pierce entered into on August 6, 2019, in May 2020 the Compensation Committee of the NGM Biopharmaceuticals, Inc. Board of Directors determined that, in the event of a termination without cause (and other than as a result of death or disability) or resignation for good reason, in either case on or within 18 months after the effective date of a change in control, and contingent on execution of an effective release of claims against us and satisfaction of certain other conditions, Ms. Pierce will be entitled to (i) continued payment of her base salary for 6 months; (ii) payment or reimbursement of COBRA premiums for her and her eligible dependents for up to 6 months; and (iii) full vesting of any unvested equity awards held by Ms. Pierce.</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Severance Benefit Addendum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Severance Benefit Addendum (“Addendum”), effective as of December 4, 2023, to the employment offer letter (“Offer Letter”) dated August 6, 2019 by and between Valerie Pierce (“Executive”) and NGM Biopharmaceuticals, Inc. (“NGM” or the “Company”) sets forth the terms of Executive’s severance benefits with the Company. This Addendum forms part of the Offer Letter. Capitalized terms not otherwise defined herein shall have the meanings ascribed to them in the Offer Letter.</w:t>
      </w:r>
    </w:p>
    <w:p>
      <w:pPr>
        <w:pStyle w:val="TextBody"/>
        <w:bidi w:val="0"/>
        <w:spacing w:before="0" w:after="0"/>
        <w:jc w:val="both"/>
        <w:rPr/>
      </w:pPr>
      <w:r>
        <w:rPr/>
      </w:r>
    </w:p>
    <w:p>
      <w:pPr>
        <w:pStyle w:val="TextBody"/>
        <w:bidi w:val="0"/>
        <w:spacing w:lineRule="auto" w:line="288" w:before="120" w:after="283"/>
        <w:ind w:left="0" w:right="0" w:hanging="360"/>
        <w:jc w:val="both"/>
        <w:rPr/>
      </w:pPr>
      <w:r>
        <w:rPr>
          <w:rFonts w:ascii="Arial;sans-serif" w:hAnsi="Arial;sans-serif"/>
          <w:b w:val="false"/>
          <w:color w:val="000000"/>
          <w:sz w:val="20"/>
        </w:rPr>
        <w:t>1.</w:t>
      </w:r>
      <w:r>
        <w:rPr>
          <w:rFonts w:ascii="Arial;sans-serif" w:hAnsi="Arial;sans-serif"/>
          <w:b/>
          <w:color w:val="000000"/>
          <w:sz w:val="20"/>
          <w:shd w:fill="FFFFFF" w:val="clear"/>
        </w:rPr>
        <w:t>Termination Without Cause or Resignation for Good Reason Following a Change in Control. </w:t>
      </w:r>
      <w:r>
        <w:rPr>
          <w:rFonts w:ascii="Arial;sans-serif" w:hAnsi="Arial;sans-serif"/>
          <w:b w:val="false"/>
          <w:color w:val="000000"/>
          <w:sz w:val="20"/>
          <w:shd w:fill="FFFFFF" w:val="clear"/>
        </w:rPr>
        <w:t>If, on or within eighteen (18) months after the effective date of a Change in Control (as defined herein), either (i) the Company terminates Executive’s employment without Cause (as defined herein) and other than as a result of Executive’s death or Disability, or (ii) Executive resigns for Good Reason (as defined herein), and provided in any case (a) such termination or resignation constitutes a “separation from service” (within the meaning of Treasury Regulation Section 1.409A-l(h)),  (b) Executive signs the Company’s standard form of release within the time period specified by the Company and allows it to become effective in accordance with its terms (but in no event later than sixty (60) days following Executive’s termination or resignation), and (c) Executive complies with Executive’s obligations under Executive’s Proprietary Information Agreement, then the Company shall provide Executive with the following severance benefits:</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Arial;sans-serif" w:hAnsi="Arial;sans-serif"/>
          <w:b w:val="false"/>
          <w:color w:val="000000"/>
          <w:sz w:val="20"/>
        </w:rPr>
        <w:t>1.1</w:t>
      </w:r>
      <w:r>
        <w:rPr>
          <w:rFonts w:ascii="Arial;sans-serif" w:hAnsi="Arial;sans-serif"/>
          <w:b/>
          <w:color w:val="000000"/>
          <w:sz w:val="20"/>
          <w:shd w:fill="FFFFFF" w:val="clear"/>
        </w:rPr>
        <w:t>Salary and Benefit Continuation. </w:t>
      </w:r>
      <w:r>
        <w:rPr>
          <w:rFonts w:ascii="Arial;sans-serif" w:hAnsi="Arial;sans-serif"/>
          <w:b w:val="false"/>
          <w:color w:val="000000"/>
          <w:sz w:val="20"/>
          <w:shd w:fill="FFFFFF" w:val="clear"/>
        </w:rPr>
        <w:t>The Company will pay Executive severance in the form of Base Salary continuation for a six (6) month period following Executive’s last day of employment. These salary continuation payments will be paid on the Company’s regular payroll schedule and subject to standard deductions and withholdings over the applicable period following termination or resignation; </w:t>
      </w:r>
      <w:r>
        <w:rPr>
          <w:rFonts w:ascii="Arial;sans-serif" w:hAnsi="Arial;sans-serif"/>
          <w:b w:val="false"/>
          <w:i/>
          <w:color w:val="000000"/>
          <w:sz w:val="20"/>
          <w:shd w:fill="FFFFFF" w:val="clear"/>
        </w:rPr>
        <w:t>provided, however,</w:t>
      </w:r>
      <w:r>
        <w:rPr>
          <w:color w:val="000000"/>
          <w:shd w:fill="FFFFFF" w:val="clear"/>
        </w:rPr>
        <w:t> </w:t>
      </w:r>
      <w:r>
        <w:rPr>
          <w:rFonts w:ascii="Arial;sans-serif" w:hAnsi="Arial;sans-serif"/>
          <w:b w:val="false"/>
          <w:color w:val="000000"/>
          <w:sz w:val="20"/>
          <w:shd w:fill="FFFFFF" w:val="clear"/>
        </w:rPr>
        <w:t>that no payments will be made prior to the sixtieth (60</w:t>
      </w:r>
      <w:r>
        <w:rPr>
          <w:rFonts w:ascii="Arial;sans-serif" w:hAnsi="Arial;sans-serif"/>
          <w:b w:val="false"/>
          <w:color w:val="000000"/>
          <w:sz w:val="13"/>
          <w:shd w:fill="FFFFFF" w:val="clear"/>
        </w:rPr>
        <w:t>th</w:t>
      </w:r>
      <w:r>
        <w:rPr>
          <w:rFonts w:ascii="Arial;sans-serif" w:hAnsi="Arial;sans-serif"/>
          <w:b w:val="false"/>
          <w:color w:val="000000"/>
          <w:sz w:val="20"/>
          <w:shd w:fill="FFFFFF" w:val="clear"/>
        </w:rPr>
        <w:t>) day following Executive’s termination or resignation. On the sixtieth (60</w:t>
      </w:r>
      <w:r>
        <w:rPr>
          <w:rFonts w:ascii="Arial;sans-serif" w:hAnsi="Arial;sans-serif"/>
          <w:b w:val="false"/>
          <w:color w:val="000000"/>
          <w:sz w:val="13"/>
          <w:shd w:fill="FFFFFF" w:val="clear"/>
        </w:rPr>
        <w:t>th</w:t>
      </w:r>
      <w:r>
        <w:rPr>
          <w:rFonts w:ascii="Arial;sans-serif" w:hAnsi="Arial;sans-serif"/>
          <w:b w:val="false"/>
          <w:color w:val="000000"/>
          <w:sz w:val="20"/>
          <w:shd w:fill="FFFFFF" w:val="clear"/>
        </w:rPr>
        <w:t>) day following Executive’s termination or resignation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In addition, Executive shall have the right to continue Executive’s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Executive’s eligible dependents for the first six (6) months of such coverage, or such earlier date as Executive (or Executive’s dependents, as applicable) ceases to be eligible for such continuation coverage (such payment period, the “COBRA Payment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Executive’s behalf, the Company will instead pay Executive on the last day of each remaining month of the COBRA Payment Period a fully taxable cash payment equal to the value of Executive’s monthly COBRA premium for the first month of COBRA coverage, subject to applicable tax withholding (such amount, the “Special Severance Payment”), such Special Severance Payment to be made without regard to Executive’s election of COBRA coverage or payment of COBRA premiums and without regard to Executive’s continued eligibility for COBRA coverage during the COBRA Payment Period. Such Special Severance Payment shall end upon expiration of the COBRA Payment Period.</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Arial;sans-serif" w:hAnsi="Arial;sans-serif"/>
          <w:b w:val="false"/>
          <w:color w:val="000000"/>
          <w:sz w:val="20"/>
        </w:rPr>
        <w:t>1.2</w:t>
      </w:r>
      <w:r>
        <w:rPr>
          <w:rFonts w:ascii="Arial;sans-serif" w:hAnsi="Arial;sans-serif"/>
          <w:b/>
          <w:color w:val="000000"/>
          <w:sz w:val="20"/>
          <w:shd w:fill="FFFFFF" w:val="clear"/>
        </w:rPr>
        <w:t>Accelerated Vesting. </w:t>
      </w:r>
      <w:r>
        <w:rPr>
          <w:rFonts w:ascii="Arial;sans-serif" w:hAnsi="Arial;sans-serif"/>
          <w:b w:val="false"/>
          <w:color w:val="000000"/>
          <w:sz w:val="20"/>
          <w:shd w:fill="FFFFFF" w:val="clear"/>
        </w:rPr>
        <w:t>The Company will accelerate the vesting of the Stock Rights, to the extent then-outstanding and unvested, such that all shares subject to the Stock Rights shall be deemed immediately vested and exercisable as of Executive’s termination or resignation date.</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val="false"/>
          <w:color w:val="000000"/>
          <w:sz w:val="20"/>
        </w:rPr>
        <w:t>2.</w:t>
      </w:r>
      <w:r>
        <w:rPr>
          <w:rFonts w:ascii="Arial;sans-serif" w:hAnsi="Arial;sans-serif"/>
          <w:b/>
          <w:color w:val="000000"/>
          <w:sz w:val="20"/>
          <w:shd w:fill="FFFFFF" w:val="clear"/>
        </w:rPr>
        <w:t>Section 409A Compliance. </w:t>
      </w:r>
      <w:r>
        <w:rPr>
          <w:rFonts w:ascii="Arial;sans-serif" w:hAnsi="Arial;sans-serif"/>
          <w:b w:val="false"/>
          <w:color w:val="000000"/>
          <w:sz w:val="20"/>
          <w:shd w:fill="FFFFFF" w:val="clear"/>
        </w:rPr>
        <w:t xml:space="preserve">It is intended that each installment of the severance payments and benefits provided for in this Addendum is a separate “payment” for purposes of Section 409A (“Section 409A”) of the Internal Revenue Code of 1986, as amended (the “Code”). For the avoidance of doubt, it is intended that the severance satisfies, to the greatest extent possible, the exemptions from the application of Section 409A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(6) months and one (1)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 (B) commence paying the balance of the severance in accordance with the payment schedule set forth above.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3.</w:t>
      </w:r>
      <w:r>
        <w:rPr>
          <w:rFonts w:ascii="Arial;sans-serif" w:hAnsi="Arial;sans-serif"/>
          <w:b/>
          <w:color w:val="000000"/>
          <w:sz w:val="20"/>
          <w:shd w:fill="FFFFFF" w:val="clear"/>
        </w:rPr>
        <w:t xml:space="preserve">Definitions. </w:t>
      </w:r>
      <w:r>
        <w:rPr>
          <w:rFonts w:ascii="Arial;sans-serif" w:hAnsi="Arial;sans-serif"/>
          <w:b w:val="false"/>
          <w:color w:val="000000"/>
          <w:sz w:val="20"/>
          <w:shd w:fill="FFFFFF" w:val="clear"/>
        </w:rPr>
        <w:t>For purposes of this Addendum, the following terms used herein have the definitions set forth below.</w:t>
      </w:r>
    </w:p>
    <w:p>
      <w:pPr>
        <w:pStyle w:val="TextBody"/>
        <w:bidi w:val="0"/>
        <w:spacing w:lineRule="auto" w:line="288" w:before="0" w:after="0"/>
        <w:ind w:left="0" w:right="0" w:hanging="432"/>
        <w:jc w:val="both"/>
        <w:rPr/>
      </w:pPr>
      <w:r>
        <w:rPr>
          <w:rFonts w:ascii="Arial;sans-serif" w:hAnsi="Arial;sans-serif"/>
          <w:b w:val="false"/>
          <w:color w:val="000000"/>
          <w:sz w:val="20"/>
        </w:rPr>
        <w:t>3.1</w:t>
      </w:r>
      <w:r>
        <w:rPr>
          <w:color w:val="000000"/>
          <w:shd w:fill="FFFFFF" w:val="clear"/>
        </w:rPr>
        <w:t>“</w:t>
      </w:r>
      <w:r>
        <w:rPr>
          <w:rFonts w:ascii="Arial;sans-serif" w:hAnsi="Arial;sans-serif"/>
          <w:b/>
          <w:color w:val="000000"/>
          <w:sz w:val="20"/>
          <w:shd w:fill="FFFFFF" w:val="clear"/>
        </w:rPr>
        <w:t>Base Salary</w:t>
      </w:r>
      <w:r>
        <w:rPr>
          <w:color w:val="000000"/>
          <w:shd w:fill="FFFFFF" w:val="clear"/>
        </w:rPr>
        <w:t xml:space="preserve">” </w:t>
      </w:r>
      <w:r>
        <w:rPr>
          <w:rFonts w:ascii="Arial;sans-serif" w:hAnsi="Arial;sans-serif"/>
          <w:b w:val="false"/>
          <w:color w:val="000000"/>
          <w:sz w:val="20"/>
          <w:shd w:fill="FFFFFF" w:val="clear"/>
        </w:rPr>
        <w:t>means base pay (excluding incentive pay, premium pay, commissions, overtime, bonuses and other forms of variable compensation) as in effect immediately prior to Executive’s termination or resignation triggering benefits under this Addendum, except that base pay shall exclude any reduction that would give rise to Executive’s right to a resignation for Good Reason (if applicable).</w:t>
      </w:r>
    </w:p>
    <w:p>
      <w:pPr>
        <w:pStyle w:val="TextBody"/>
        <w:bidi w:val="0"/>
        <w:spacing w:lineRule="auto" w:line="288" w:before="0" w:after="0"/>
        <w:ind w:left="0" w:right="0" w:hanging="432"/>
        <w:jc w:val="both"/>
        <w:rPr/>
      </w:pPr>
      <w:r>
        <w:rPr>
          <w:rFonts w:ascii="Arial;sans-serif" w:hAnsi="Arial;sans-serif"/>
          <w:b w:val="false"/>
          <w:color w:val="000000"/>
          <w:sz w:val="20"/>
        </w:rPr>
        <w:t>3.2</w:t>
      </w:r>
      <w:r>
        <w:rPr>
          <w:color w:val="000000"/>
          <w:shd w:fill="FFFFFF" w:val="clear"/>
        </w:rPr>
        <w:t>“</w:t>
      </w:r>
      <w:r>
        <w:rPr>
          <w:rFonts w:ascii="Arial;sans-serif" w:hAnsi="Arial;sans-serif"/>
          <w:b/>
          <w:color w:val="000000"/>
          <w:sz w:val="20"/>
          <w:shd w:fill="FFFFFF" w:val="clear"/>
        </w:rPr>
        <w:t>Cause</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3.3</w:t>
      </w:r>
      <w:r>
        <w:rPr>
          <w:color w:val="000000"/>
          <w:shd w:fill="FFFFFF" w:val="clear"/>
        </w:rPr>
        <w:t>“</w:t>
      </w:r>
      <w:r>
        <w:rPr>
          <w:rFonts w:ascii="Arial;sans-serif" w:hAnsi="Arial;sans-serif"/>
          <w:b/>
          <w:color w:val="000000"/>
          <w:sz w:val="20"/>
          <w:shd w:fill="FFFFFF" w:val="clear"/>
        </w:rPr>
        <w:t>Change in Control</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3.4</w:t>
      </w:r>
      <w:r>
        <w:rPr>
          <w:color w:val="000000"/>
          <w:shd w:fill="FFFFFF" w:val="clear"/>
        </w:rPr>
        <w:t>“</w:t>
      </w:r>
      <w:r>
        <w:rPr>
          <w:rFonts w:ascii="Arial;sans-serif" w:hAnsi="Arial;sans-serif"/>
          <w:b/>
          <w:color w:val="000000"/>
          <w:sz w:val="20"/>
          <w:shd w:fill="FFFFFF" w:val="clear"/>
        </w:rPr>
        <w:t>Disability</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3.5</w:t>
      </w:r>
      <w:r>
        <w:rPr>
          <w:color w:val="000000"/>
          <w:shd w:fill="FFFFFF" w:val="clear"/>
        </w:rPr>
        <w:t>“</w:t>
      </w:r>
      <w:r>
        <w:rPr>
          <w:rFonts w:ascii="Arial;sans-serif" w:hAnsi="Arial;sans-serif"/>
          <w:b/>
          <w:color w:val="000000"/>
          <w:sz w:val="20"/>
          <w:shd w:fill="FFFFFF" w:val="clear"/>
        </w:rPr>
        <w:t>Good Reason</w:t>
      </w:r>
      <w:r>
        <w:rPr>
          <w:color w:val="000000"/>
          <w:shd w:fill="FFFFFF" w:val="clear"/>
        </w:rPr>
        <w:t xml:space="preserve">” </w:t>
      </w:r>
      <w:r>
        <w:rPr>
          <w:rFonts w:ascii="Arial;sans-serif" w:hAnsi="Arial;sans-serif"/>
          <w:b w:val="false"/>
          <w:color w:val="000000"/>
          <w:sz w:val="20"/>
          <w:shd w:fill="FFFFFF" w:val="clear"/>
        </w:rPr>
        <w:t>means: if any of the following actions are taken by the Company or a successor corporation or entity without Executive’s consent, provided that Executive notifies the Company (or successor, as applicable) in writing, within ten (10) days after the occurrence of one of the following actions, that Executive intends to terminate Executive’s employment no earlier than thirty (30) days after providing such notice, and the Company (or successor, as applicable) fails to cure such actions within thirty (30) days after receipt of such notice, and Executive’s resignation is effective not later than (30) days after the Company (or successor, as applicable) fails to cure the issue: (a) a substantial reduction of Executive’s base salary; (b) a material reduction in Executive’s duties; (c) a material breach by the Company (or a successor corporation or entity, if applicable) of any provision of the Offer Letter, including this Addendum; or (d) a relocation of Executive’s principal place of employment to a place that increases Executive’s one-way commute by greater than fifty (50) miles as compared to Executive’s then-current principal place of employment prior to such relocation (excluding regular travel in the ordinary course of business); provided that (i) if Executive’s principal place of employment is Executive’s personal residence, this clause (d) shall not apply and (ii) if Executive works remotely during any period in which Executive’s regular principal office location is a Company office that is closed, then neither Executive’s relocation to remote work or back to the office from remote work will be considered a relocation of Executive’s principal office location for purposes of this definition.</w:t>
      </w:r>
    </w:p>
    <w:p>
      <w:pPr>
        <w:pStyle w:val="TextBody"/>
        <w:bidi w:val="0"/>
        <w:spacing w:lineRule="auto" w:line="288" w:before="0" w:after="0"/>
        <w:ind w:left="0" w:right="0" w:hanging="432"/>
        <w:jc w:val="both"/>
        <w:rPr/>
      </w:pPr>
      <w:r>
        <w:rPr>
          <w:rFonts w:ascii="Arial;sans-serif" w:hAnsi="Arial;sans-serif"/>
          <w:b w:val="false"/>
          <w:color w:val="000000"/>
          <w:sz w:val="20"/>
        </w:rPr>
        <w:t>3.6</w:t>
      </w:r>
      <w:r>
        <w:rPr>
          <w:color w:val="000000"/>
          <w:shd w:fill="FFFFFF" w:val="clear"/>
        </w:rPr>
        <w:t>“</w:t>
      </w:r>
      <w:r>
        <w:rPr>
          <w:rFonts w:ascii="Arial;sans-serif" w:hAnsi="Arial;sans-serif"/>
          <w:b/>
          <w:color w:val="000000"/>
          <w:sz w:val="20"/>
          <w:shd w:fill="FFFFFF" w:val="clear"/>
        </w:rPr>
        <w:t>Plan</w:t>
      </w:r>
      <w:r>
        <w:rPr>
          <w:color w:val="000000"/>
          <w:shd w:fill="FFFFFF" w:val="clear"/>
        </w:rPr>
        <w:t xml:space="preserve">” </w:t>
      </w:r>
      <w:r>
        <w:rPr>
          <w:rFonts w:ascii="Arial;sans-serif" w:hAnsi="Arial;sans-serif"/>
          <w:b w:val="false"/>
          <w:color w:val="000000"/>
          <w:sz w:val="20"/>
          <w:shd w:fill="FFFFFF" w:val="clear"/>
        </w:rPr>
        <w:t>means the Company’s Amended and Restated 2018 Equity Incentive Plan, as amended from time to time, or any successor plan thereto.</w:t>
      </w:r>
    </w:p>
    <w:p>
      <w:pPr>
        <w:pStyle w:val="TextBody"/>
        <w:bidi w:val="0"/>
        <w:spacing w:lineRule="auto" w:line="288" w:before="0" w:after="0"/>
        <w:ind w:left="0" w:right="0" w:hanging="432"/>
        <w:jc w:val="both"/>
        <w:rPr/>
      </w:pPr>
      <w:r>
        <w:rPr>
          <w:rFonts w:ascii="Arial;sans-serif" w:hAnsi="Arial;sans-serif"/>
          <w:b w:val="false"/>
          <w:color w:val="000000"/>
          <w:sz w:val="20"/>
        </w:rPr>
        <w:t>3.7</w:t>
      </w:r>
      <w:r>
        <w:rPr>
          <w:color w:val="000000"/>
          <w:shd w:fill="FFFFFF" w:val="clear"/>
        </w:rPr>
        <w:t>“</w:t>
      </w:r>
      <w:r>
        <w:rPr>
          <w:rFonts w:ascii="Arial;sans-serif" w:hAnsi="Arial;sans-serif"/>
          <w:b/>
          <w:color w:val="000000"/>
          <w:sz w:val="20"/>
          <w:shd w:fill="FFFFFF" w:val="clear"/>
        </w:rPr>
        <w:t>Stock Rights</w:t>
      </w:r>
      <w:r>
        <w:rPr>
          <w:color w:val="000000"/>
          <w:shd w:fill="FFFFFF" w:val="clear"/>
        </w:rPr>
        <w:t xml:space="preserve">” </w:t>
      </w:r>
      <w:r>
        <w:rPr>
          <w:rFonts w:ascii="Arial;sans-serif" w:hAnsi="Arial;sans-serif"/>
          <w:b w:val="false"/>
          <w:color w:val="000000"/>
          <w:sz w:val="20"/>
          <w:shd w:fill="FFFFFF" w:val="clear"/>
        </w:rPr>
        <w:t>means all of Executive’s options, restricted stock, restricted stock units or rights to acquire vested ownership of shares of the Company’s Common Stock under plans, agreements or arrangements that are compensatory in nature, including, without limitation, the Option, the Plan and other agreements between the Company and Executive.</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parties hereto have executed this Addendum on and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6" w:after="283"/>
        <w:ind w:left="0" w:right="0" w:hanging="3600"/>
        <w:jc w:val="left"/>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tbl>
      <w:tblPr>
        <w:tblW w:w="3179" w:type="dxa"/>
        <w:jc w:val="left"/>
        <w:tblInd w:w="0" w:type="dxa"/>
        <w:tblLayout w:type="fixed"/>
        <w:tblCellMar>
          <w:top w:w="28" w:type="dxa"/>
          <w:left w:w="28" w:type="dxa"/>
          <w:bottom w:w="28" w:type="dxa"/>
          <w:right w:w="28" w:type="dxa"/>
        </w:tblCellMar>
      </w:tblPr>
      <w:tblGrid>
        <w:gridCol w:w="173"/>
        <w:gridCol w:w="153"/>
        <w:gridCol w:w="154"/>
        <w:gridCol w:w="790"/>
        <w:gridCol w:w="790"/>
        <w:gridCol w:w="1119"/>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By: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David J. Woodhouse, Ph.D.</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Valerie Pierce</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Valerie Pierce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581150" cy="409575"/>
            <wp:effectExtent l="0" t="0" r="0" b="0"/>
            <wp:docPr id="1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 descr=""/>
                    <pic:cNvPicPr>
                      <a:picLocks noChangeAspect="1" noChangeArrowheads="1"/>
                    </pic:cNvPicPr>
                  </pic:nvPicPr>
                  <pic:blipFill>
                    <a:blip r:embed="rId35"/>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right"/>
        <w:rPr>
          <w:rFonts w:ascii="Calibri;sans-serif" w:hAnsi="Calibri;sans-serif"/>
          <w:b/>
          <w:color w:val="000000"/>
          <w:sz w:val="22"/>
        </w:rPr>
      </w:pPr>
      <w:r>
        <w:rPr>
          <w:rFonts w:ascii="Calibri;sans-serif" w:hAnsi="Calibri;sans-serif"/>
          <w:b/>
          <w:color w:val="000000"/>
          <w:sz w:val="22"/>
        </w:rPr>
        <w:t>Exhibit 10.16</w:t>
      </w:r>
    </w:p>
    <w:p>
      <w:pPr>
        <w:pStyle w:val="TextBody"/>
        <w:bidi w:val="0"/>
        <w:spacing w:lineRule="auto" w:line="319" w:before="0" w:after="2"/>
        <w:jc w:val="both"/>
        <w:rPr>
          <w:rFonts w:ascii="Arial;sans-serif" w:hAnsi="Arial;sans-serif"/>
          <w:b w:val="false"/>
          <w:color w:val="222222"/>
          <w:sz w:val="20"/>
          <w:shd w:fill="FFFFFF" w:val="clear"/>
        </w:rPr>
      </w:pPr>
      <w:r>
        <w:rPr>
          <w:rFonts w:ascii="Arial;sans-serif" w:hAnsi="Arial;sans-serif"/>
          <w:b w:val="false"/>
          <w:color w:val="222222"/>
          <w:sz w:val="20"/>
          <w:shd w:fill="FFFFFF" w:val="clear"/>
        </w:rPr>
        <w:t>October 18, 2023</w:t>
      </w:r>
    </w:p>
    <w:p>
      <w:pPr>
        <w:pStyle w:val="TextBody"/>
        <w:bidi w:val="0"/>
        <w:spacing w:lineRule="auto" w:line="319" w:before="0" w:after="200"/>
        <w:jc w:val="both"/>
        <w:rPr>
          <w:rFonts w:ascii="Arial;sans-serif" w:hAnsi="Arial;sans-serif"/>
          <w:b w:val="false"/>
          <w:color w:val="222222"/>
          <w:sz w:val="20"/>
          <w:shd w:fill="FFFFFF" w:val="clear"/>
        </w:rPr>
      </w:pPr>
      <w:r>
        <w:rPr>
          <w:rFonts w:ascii="Arial;sans-serif" w:hAnsi="Arial;sans-serif"/>
          <w:b w:val="false"/>
          <w:color w:val="222222"/>
          <w:sz w:val="20"/>
          <w:shd w:fill="FFFFFF" w:val="clear"/>
        </w:rPr>
        <w:t>Jean-Frédéric Viret</w:t>
      </w:r>
    </w:p>
    <w:p>
      <w:pPr>
        <w:pStyle w:val="TextBody"/>
        <w:bidi w:val="0"/>
        <w:spacing w:lineRule="auto" w:line="319" w:before="0" w:after="200"/>
        <w:jc w:val="both"/>
        <w:rPr/>
      </w:pPr>
      <w:r>
        <w:rPr>
          <w:rFonts w:ascii="Calibri;sans-serif" w:hAnsi="Calibri;sans-serif"/>
          <w:b w:val="false"/>
          <w:color w:val="000000"/>
          <w:sz w:val="22"/>
        </w:rPr>
        <w:t xml:space="preserve">Dear </w:t>
      </w:r>
      <w:r>
        <w:rPr>
          <w:rFonts w:ascii="Arial;sans-serif" w:hAnsi="Arial;sans-serif"/>
          <w:b w:val="false"/>
          <w:color w:val="222222"/>
          <w:sz w:val="20"/>
          <w:shd w:fill="FFFFFF" w:val="clear"/>
        </w:rPr>
        <w:t>Jean</w:t>
      </w:r>
      <w:r>
        <w:rPr>
          <w:rFonts w:ascii="Calibri;sans-serif" w:hAnsi="Calibri;sans-serif"/>
          <w:b w:val="false"/>
          <w:color w:val="000000"/>
          <w:sz w:val="22"/>
        </w:rPr>
        <w:t xml:space="preserve">: </w:t>
      </w:r>
    </w:p>
    <w:p>
      <w:pPr>
        <w:pStyle w:val="TextBody"/>
        <w:bidi w:val="0"/>
        <w:spacing w:lineRule="auto" w:line="319" w:before="0" w:after="200"/>
        <w:ind w:left="0" w:right="0" w:hanging="2"/>
        <w:jc w:val="both"/>
        <w:rPr/>
      </w:pPr>
      <w:r>
        <w:rPr>
          <w:rFonts w:ascii="Calibri;sans-serif" w:hAnsi="Calibri;sans-serif"/>
          <w:b w:val="false"/>
          <w:color w:val="000000"/>
          <w:sz w:val="22"/>
        </w:rPr>
        <w:t xml:space="preserve">On behalf of NGM Biopharmaceuticals, Inc. (“NGM Bio” or the “Company”), we are pleased to offer you employment with the Company as </w:t>
      </w:r>
      <w:r>
        <w:rPr>
          <w:rFonts w:ascii="Arial;sans-serif" w:hAnsi="Arial;sans-serif"/>
          <w:b w:val="false"/>
          <w:color w:val="222222"/>
          <w:sz w:val="20"/>
          <w:shd w:fill="FFFFFF" w:val="clear"/>
        </w:rPr>
        <w:t xml:space="preserve">Chief Financial Officer </w:t>
      </w:r>
      <w:r>
        <w:rPr>
          <w:rFonts w:ascii="Calibri;sans-serif" w:hAnsi="Calibri;sans-serif"/>
          <w:b w:val="false"/>
          <w:color w:val="000000"/>
          <w:sz w:val="22"/>
        </w:rPr>
        <w:t>reporting to</w:t>
      </w:r>
      <w:r>
        <w:rPr>
          <w:color w:val="222222"/>
          <w:shd w:fill="FFFFFF" w:val="clear"/>
        </w:rPr>
        <w:t xml:space="preserve"> </w:t>
      </w:r>
      <w:r>
        <w:rPr>
          <w:rFonts w:ascii="Arial;sans-serif" w:hAnsi="Arial;sans-serif"/>
          <w:b w:val="false"/>
          <w:color w:val="222222"/>
          <w:sz w:val="20"/>
          <w:shd w:fill="FFFFFF" w:val="clear"/>
        </w:rPr>
        <w:t>me</w:t>
      </w:r>
      <w:r>
        <w:rPr>
          <w:rFonts w:ascii="Calibri;sans-serif" w:hAnsi="Calibri;sans-serif"/>
          <w:b w:val="false"/>
          <w:color w:val="000000"/>
          <w:sz w:val="22"/>
        </w:rPr>
        <w:t xml:space="preserve">. We believe this position represents an extraordinary opportunity, and we look forward to you joining our exceptional team on November 3, 2023. Below are details of the offer. Should you have questions, or wish to receive additional details, please let us know. </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Your annual base salary will be $480,000, less payroll deductions and all required withholdings, paid semi-monthly over 24 pay periods per year. In addition, you will be eligible to participate in the Company’s annual performance-based bonus program. Your annual bonus target (at 100% achievement) will be 40% of your base salary. The amount of any bonus paid relative to your target will be based on your performance (as determined by the Company in its sole discretion) and the Company’s achievement of its corporate goals and in the first year, will be prorated based on your start date. As your start date is after September 30th, you will not be eligible for a bonus this year. You must be employed on the bonus payout date to be eligible for a bonus.</w:t>
      </w:r>
    </w:p>
    <w:p>
      <w:pPr>
        <w:pStyle w:val="TextBody"/>
        <w:bidi w:val="0"/>
        <w:spacing w:lineRule="auto" w:line="319" w:before="0" w:after="200"/>
        <w:ind w:left="0" w:right="0" w:hanging="2"/>
        <w:jc w:val="both"/>
        <w:rPr/>
      </w:pPr>
      <w:r>
        <w:rPr>
          <w:rFonts w:ascii="Calibri;sans-serif" w:hAnsi="Calibri;sans-serif"/>
          <w:b w:val="false"/>
          <w:color w:val="000000"/>
          <w:sz w:val="22"/>
        </w:rPr>
        <w:t>You will be eligible to receive a one-time sign-on bonus of</w:t>
      </w:r>
      <w:r>
        <w:rPr>
          <w:color w:val="222222"/>
          <w:shd w:fill="FFFFFF" w:val="clear"/>
        </w:rPr>
        <w:t xml:space="preserve"> </w:t>
      </w:r>
      <w:r>
        <w:rPr>
          <w:rFonts w:ascii="Arial;sans-serif" w:hAnsi="Arial;sans-serif"/>
          <w:b w:val="false"/>
          <w:color w:val="222222"/>
          <w:sz w:val="20"/>
          <w:shd w:fill="FFFFFF" w:val="clear"/>
        </w:rPr>
        <w:t>$25,000</w:t>
      </w:r>
      <w:r>
        <w:rPr>
          <w:rFonts w:ascii="Calibri;sans-serif" w:hAnsi="Calibri;sans-serif"/>
          <w:b w:val="false"/>
          <w:color w:val="000000"/>
          <w:sz w:val="22"/>
        </w:rPr>
        <w:t>. This sign-on bonus, less deductions and withholdings, will be paid within the first two pay periods of your employment with NGM Bio. Should you resign from NGM Bio for any reason within two years after your start date, you will be required to repay a prorated portion of the sign-on bonus (the gross amount) based on the number of months you were employed by the Company following your start date.</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 xml:space="preserve">NGM Bio provides all eligible employees with a comprehensive benefits program. You will have the opportunity to participate in any benefits we offer during your employment, subject to your enrollment or election to participate, if required, and meeting eligibility requirements. Our current benefits include medical, dental and vision coverage for you and your eligible dependents if you enroll in them. In addition, we provide life insurance, LTD and AD&amp;D coverage and offer a comprehensive 401(k) program. Other current benefits include Company holidays, vacation, sick leave and access to Health Care and Dependent Care Flexible Spending Accounts. </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An important component of your compensation includes the opportunity for equity ownership in the Company. After you commence employment, and subject to the approval of our Board of Directors, NGM Bio will grant you an option to purchase 450,000 shares of the Company’s common stock (subject to adjustment for stock splits, stock dividends, reclassification, and the like) at the fair market on the date of grant (the “Option”).  The Option will be subject to the terms and conditions of the Company’s Equity Incentive Plan (the “Plan”) and your grant agreement.  Your grant agreement will reflect a four-year vesting schedule, under which 25% of the shares underlying your Option will vest after 12 months and the remainder in equal monthly installments over the next 36 months, subject to your continuous service. In addition, you will be eligible to participate in the Company’s Employee Stock Purchase Plan (“ESPP”). The ESPP allows NGM Bio’s employees to allocate a portion of their after-tax pay to purchase Company shares at a discount from the market price. Participation in this plan is strictly voluntary.</w:t>
      </w:r>
    </w:p>
    <w:p>
      <w:pPr>
        <w:pStyle w:val="TextBody"/>
        <w:bidi w:val="0"/>
        <w:spacing w:before="0" w:after="0"/>
        <w:jc w:val="right"/>
        <w:rPr/>
      </w:pPr>
      <w:r>
        <w:rPr/>
        <w:drawing>
          <wp:inline distT="0" distB="0" distL="0" distR="0">
            <wp:extent cx="1581150" cy="409575"/>
            <wp:effectExtent l="0" t="0" r="0" b="0"/>
            <wp:docPr id="1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 descr=""/>
                    <pic:cNvPicPr>
                      <a:picLocks noChangeAspect="1" noChangeArrowheads="1"/>
                    </pic:cNvPicPr>
                  </pic:nvPicPr>
                  <pic:blipFill>
                    <a:blip r:embed="rId36"/>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8"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 xml:space="preserve">This offer is contingent upon our verification of your employment history and satisfactory clearance of background check. Any intentional misrepresentation concerning your employment history may result in disciplinary action up to and including revocation of this offer or termination of your employment at NGM Bio. In addition, as required by law, this offer is subject to satisfactory proof of your identity and right to work in the United States. </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As a condition of your employment, you will be required to read, acknowledge, and abide by the Company’s policies and procedures, including those outlined in our Employee Handbook, to read, sign and comply with the Company’s Employee Confidential Information and Inventions Agreement (“Confidential Information Agreement”) and to read and sign the Arbitration Agreement (the “Arbitration Agreement”).</w: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 In addition, the Company may change your title, duties, reporting relationship, compensation, and benefits from time to time in its discretion. If, on or within 18 months after the effective date of a change in control, your employment is terminated without cause and other than as a result of your death and disability, or you resign for good reason, and subject to you signing the Company’s standard form of release within the time period specified by the Company and allowing it to become effective in accordance with its terms and your compliance with your obligations under the Confidential Information Agreement, you will receive the following severance benefits: (a) continuation of your base salary for a six-month period, (b) payment of premiums for you and your eligible dependents to continue your health insurance benefits for the first six months of such coverage, or such earlier date as you (or your dependents, as applicable) cease to be eligible for continuation coverage, and (c) full vesting acceleration of any unvested outstanding equity awards (together, the “Severance Benefits”). The Severance Benefits will be subject to the definitions and additional terms and conditions set forth by the Company.</w:t>
      </w:r>
    </w:p>
    <w:p>
      <w:pPr>
        <w:pStyle w:val="TextBody"/>
        <w:bidi w:val="0"/>
        <w:spacing w:lineRule="auto" w:line="319" w:before="0" w:after="200"/>
        <w:ind w:left="0" w:right="0" w:hanging="2"/>
        <w:jc w:val="both"/>
        <w:rPr>
          <w:rFonts w:ascii="Calibri;sans-serif" w:hAnsi="Calibri;sans-serif"/>
          <w:b w:val="false"/>
          <w:color w:val="000000"/>
          <w:sz w:val="22"/>
        </w:rPr>
      </w:pPr>
      <w:r>
        <w:rPr>
          <w:rFonts w:ascii="Calibri;sans-serif" w:hAnsi="Calibri;sans-serif"/>
          <w:b w:val="false"/>
          <w:color w:val="000000"/>
          <w:sz w:val="22"/>
        </w:rPr>
        <w:t xml:space="preserve">This letter, together with your Confidential Information Agreement and your Arbitration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to render it valid and enforceable consistent with the general intent of the parties insofar as possible under applicable law. This agreement may be executed in more than one counterpart, and signatures transmitted electronically will be deemed equivalent to originals. </w:t>
      </w:r>
    </w:p>
    <w:p>
      <w:pPr>
        <w:pStyle w:val="TextBody"/>
        <w:bidi w:val="0"/>
        <w:spacing w:lineRule="auto" w:line="319" w:before="0" w:after="200"/>
        <w:jc w:val="both"/>
        <w:rPr/>
      </w:pPr>
      <w:r>
        <w:rPr>
          <w:rFonts w:ascii="Arial;sans-serif" w:hAnsi="Arial;sans-serif"/>
          <w:b w:val="false"/>
          <w:color w:val="222222"/>
          <w:sz w:val="20"/>
          <w:shd w:fill="FFFFFF" w:val="clear"/>
        </w:rPr>
        <w:t>Under</w:t>
      </w:r>
      <w:r>
        <w:rPr>
          <w:color w:val="222222"/>
          <w:shd w:fill="FFFFFF" w:val="clear"/>
        </w:rPr>
        <w:t xml:space="preserve"> </w:t>
      </w:r>
      <w:r>
        <w:rPr>
          <w:rFonts w:ascii="Calibri;sans-serif" w:hAnsi="Calibri;sans-serif"/>
          <w:b w:val="false"/>
          <w:color w:val="000000"/>
          <w:sz w:val="22"/>
        </w:rPr>
        <w:t>the terms described above, please sign and date this letter, the Confidential Information Agreement, and the Arbitration Agreement, and return them to by October 20, 2023</w:t>
      </w:r>
      <w:r>
        <w:rPr>
          <w:rFonts w:ascii="Arial;sans-serif" w:hAnsi="Arial;sans-serif"/>
          <w:b/>
          <w:color w:val="222222"/>
          <w:sz w:val="20"/>
          <w:shd w:fill="FFFFFF" w:val="clear"/>
        </w:rPr>
        <w:t>.</w: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 xml:space="preserve">NGM Bio is an ambitious biopharmaceutical company focused on discovering and developing novel, life-changing medicines for people whose health and lives have been disrupted by disease. To this end, we are assembling a </w:t>
      </w:r>
    </w:p>
    <w:p>
      <w:pPr>
        <w:pStyle w:val="TextBody"/>
        <w:bidi w:val="0"/>
        <w:spacing w:before="0" w:after="0"/>
        <w:jc w:val="right"/>
        <w:rPr/>
      </w:pPr>
      <w:r>
        <w:rPr/>
        <w:drawing>
          <wp:inline distT="0" distB="0" distL="0" distR="0">
            <wp:extent cx="1581150" cy="409575"/>
            <wp:effectExtent l="0" t="0" r="0" b="0"/>
            <wp:docPr id="1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 descr=""/>
                    <pic:cNvPicPr>
                      <a:picLocks noChangeAspect="1" noChangeArrowheads="1"/>
                    </pic:cNvPicPr>
                  </pic:nvPicPr>
                  <pic:blipFill>
                    <a:blip r:embed="rId37"/>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0"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319" w:before="0" w:after="200"/>
        <w:jc w:val="both"/>
        <w:rPr>
          <w:rFonts w:ascii="Calibri;sans-serif" w:hAnsi="Calibri;sans-serif"/>
          <w:b w:val="false"/>
          <w:color w:val="000000"/>
          <w:sz w:val="22"/>
        </w:rPr>
      </w:pPr>
      <w:r>
        <w:rPr>
          <w:rFonts w:ascii="Calibri;sans-serif" w:hAnsi="Calibri;sans-serif"/>
          <w:b w:val="false"/>
          <w:color w:val="000000"/>
          <w:sz w:val="22"/>
        </w:rPr>
        <w:t>team of uniquely qualified individuals with extraordinary knowledge, skills and drive. We look forward to you joining our team.</w:t>
      </w:r>
    </w:p>
    <w:tbl>
      <w:tblPr>
        <w:tblW w:w="5381" w:type="dxa"/>
        <w:jc w:val="left"/>
        <w:tblInd w:w="0" w:type="dxa"/>
        <w:tblLayout w:type="fixed"/>
        <w:tblCellMar>
          <w:top w:w="28" w:type="dxa"/>
          <w:left w:w="28" w:type="dxa"/>
          <w:bottom w:w="28" w:type="dxa"/>
          <w:right w:w="28" w:type="dxa"/>
        </w:tblCellMar>
      </w:tblPr>
      <w:tblGrid>
        <w:gridCol w:w="929"/>
        <w:gridCol w:w="814"/>
        <w:gridCol w:w="821"/>
        <w:gridCol w:w="109"/>
        <w:gridCol w:w="109"/>
        <w:gridCol w:w="109"/>
        <w:gridCol w:w="728"/>
        <w:gridCol w:w="728"/>
        <w:gridCol w:w="1034"/>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 David J. Woodhouse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David J. Woodhouse,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Understood and Accepted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 Jean-Frédéric Viret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___October 20, 2023____</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2"/>
              </w:rPr>
            </w:pPr>
            <w:r>
              <w:rPr>
                <w:rFonts w:ascii="Calibri;sans-serif" w:hAnsi="Calibri;sans-serif"/>
                <w:b/>
                <w:color w:val="000000"/>
                <w:sz w:val="22"/>
              </w:rPr>
              <w:t>Jean-Frédéric Viret,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2"/>
              </w:rPr>
            </w:pPr>
            <w:r>
              <w:rPr>
                <w:rFonts w:ascii="Calibri;sans-serif" w:hAnsi="Calibri;sans-serif"/>
                <w:b/>
                <w:color w:val="000000"/>
                <w:sz w:val="22"/>
              </w:rPr>
              <w:t>Date of Signature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319" w:before="0" w:after="2"/>
        <w:jc w:val="both"/>
        <w:rPr>
          <w:color w:val="222222"/>
          <w:shd w:fill="FFFFFF" w:val="clear"/>
        </w:rPr>
      </w:pPr>
      <w:r>
        <w:rPr>
          <w:color w:val="222222"/>
          <w:shd w:fill="FFFFFF" w:val="clear"/>
        </w:rPr>
        <w:t>            </w:t>
      </w:r>
    </w:p>
    <w:p>
      <w:pPr>
        <w:pStyle w:val="TextBody"/>
        <w:bidi w:val="0"/>
        <w:spacing w:before="0" w:after="200"/>
        <w:jc w:val="both"/>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0"/>
        <w:jc w:val="right"/>
        <w:rPr/>
      </w:pPr>
      <w:r>
        <w:rPr/>
        <w:drawing>
          <wp:inline distT="0" distB="0" distL="0" distR="0">
            <wp:extent cx="1581150" cy="409575"/>
            <wp:effectExtent l="0" t="0" r="0" b="0"/>
            <wp:docPr id="1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 descr=""/>
                    <pic:cNvPicPr>
                      <a:picLocks noChangeAspect="1" noChangeArrowheads="1"/>
                    </pic:cNvPicPr>
                  </pic:nvPicPr>
                  <pic:blipFill>
                    <a:blip r:embed="rId38"/>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2"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before="0" w:after="200"/>
        <w:jc w:val="center"/>
        <w:rPr/>
      </w:pPr>
      <w:r>
        <w:rPr/>
      </w:r>
    </w:p>
    <w:p>
      <w:pPr>
        <w:pStyle w:val="TextBody"/>
        <w:bidi w:val="0"/>
        <w:spacing w:before="0" w:after="2"/>
        <w:jc w:val="center"/>
        <w:rPr/>
      </w:pPr>
      <w:r>
        <w:rPr/>
      </w:r>
    </w:p>
    <w:p>
      <w:pPr>
        <w:pStyle w:val="TextBody"/>
        <w:bidi w:val="0"/>
        <w:spacing w:lineRule="auto" w:line="319" w:before="0" w:after="2"/>
        <w:jc w:val="center"/>
        <w:rPr>
          <w:rFonts w:ascii="Calibri;sans-serif" w:hAnsi="Calibri;sans-serif"/>
          <w:b/>
          <w:color w:val="222222"/>
          <w:sz w:val="22"/>
          <w:shd w:fill="FFFFFF" w:val="clear"/>
        </w:rPr>
      </w:pPr>
      <w:r>
        <w:rPr>
          <w:rFonts w:ascii="Calibri;sans-serif" w:hAnsi="Calibri;sans-serif"/>
          <w:b/>
          <w:color w:val="222222"/>
          <w:sz w:val="22"/>
          <w:shd w:fill="FFFFFF" w:val="clear"/>
        </w:rPr>
        <w:t>ARBITRATION AGREEMENT</w:t>
      </w:r>
    </w:p>
    <w:p>
      <w:pPr>
        <w:pStyle w:val="TextBody"/>
        <w:bidi w:val="0"/>
        <w:spacing w:lineRule="auto" w:line="319" w:before="0" w:after="0"/>
        <w:jc w:val="both"/>
        <w:rPr/>
      </w:pPr>
      <w:r>
        <w:rPr>
          <w:rFonts w:ascii="Calibri;sans-serif" w:hAnsi="Calibri;sans-serif"/>
          <w:b w:val="false"/>
          <w:color w:val="000000"/>
          <w:sz w:val="22"/>
        </w:rPr>
        <w:t>To aid the rapid and economical resolution of disputes that may arise in connection with your employment with NGM Biopharmaceuticals, Inc. (the “Company”), and in exchange for the mutual promises contained in your offer letter, you and the Company agree that any and all disputes, claims, or causes of action, in law or equity, including but not limited to statutory claims arising from or relating to the enforcement, breach, performance, or interpretation of your offer letter, your employment with the Company, or the termination of your employment, shall be resolved pursuant to the Federal Arbitration Act, 9 U.S.C. § 1-16, to the fullest extent permitted by law, by final, binding and confidential arbitration conducted by JAMS, Inc. (“</w:t>
      </w:r>
      <w:r>
        <w:rPr>
          <w:rFonts w:ascii="Calibri;sans-serif" w:hAnsi="Calibri;sans-serif"/>
          <w:b/>
          <w:i/>
          <w:color w:val="000000"/>
          <w:sz w:val="22"/>
        </w:rPr>
        <w:t>JAMS</w:t>
      </w:r>
      <w:r>
        <w:rPr>
          <w:color w:val="000000"/>
        </w:rPr>
        <w:t>”</w:t>
      </w:r>
      <w:r>
        <w:rPr>
          <w:rFonts w:ascii="Calibri;sans-serif" w:hAnsi="Calibri;sans-serif"/>
          <w:b w:val="false"/>
          <w:color w:val="000000"/>
          <w:sz w:val="22"/>
        </w:rPr>
        <w:t>) or its successor, under such arbitration service’s then applicable rules and procedures appropriate to the relief being sought (available upon request and also currently available at the following web address(es):</w:t>
      </w:r>
    </w:p>
    <w:p>
      <w:pPr>
        <w:pStyle w:val="TextBody"/>
        <w:bidi w:val="0"/>
        <w:spacing w:lineRule="auto" w:line="319" w:before="0" w:after="0"/>
        <w:ind w:left="0" w:right="0" w:hanging="720"/>
        <w:jc w:val="both"/>
        <w:rPr/>
      </w:pPr>
      <w:r>
        <w:rPr>
          <w:rFonts w:ascii="Calibri;sans-serif" w:hAnsi="Calibri;sans-serif"/>
          <w:b w:val="false"/>
          <w:color w:val="000000"/>
          <w:sz w:val="22"/>
        </w:rPr>
        <w:t>(i)</w:t>
      </w:r>
      <w:r>
        <w:rPr>
          <w:rFonts w:ascii="Calibri;sans-serif" w:hAnsi="Calibri;sans-serif"/>
          <w:b w:val="false"/>
          <w:color w:val="0000FF"/>
          <w:sz w:val="22"/>
          <w:u w:val="single"/>
        </w:rPr>
        <w:t>https://www.jamsadr.com/rules-employment-arbitration/</w:t>
      </w:r>
      <w:r>
        <w:rPr>
          <w:color w:val="000000"/>
        </w:rPr>
        <w:t xml:space="preserve"> </w:t>
      </w:r>
      <w:r>
        <w:rPr>
          <w:rFonts w:ascii="Calibri;sans-serif" w:hAnsi="Calibri;sans-serif"/>
          <w:b w:val="false"/>
          <w:color w:val="000000"/>
          <w:sz w:val="22"/>
        </w:rPr>
        <w:t>and</w:t>
      </w:r>
    </w:p>
    <w:p>
      <w:pPr>
        <w:pStyle w:val="TextBody"/>
        <w:bidi w:val="0"/>
        <w:spacing w:lineRule="auto" w:line="319" w:before="0" w:after="0"/>
        <w:ind w:left="0" w:right="0" w:hanging="720"/>
        <w:jc w:val="both"/>
        <w:rPr/>
      </w:pPr>
      <w:r>
        <w:rPr>
          <w:rFonts w:ascii="Calibri;sans-serif" w:hAnsi="Calibri;sans-serif"/>
          <w:b w:val="false"/>
          <w:color w:val="000000"/>
          <w:sz w:val="22"/>
        </w:rPr>
        <w:t>(ii)</w:t>
      </w:r>
      <w:r>
        <w:rPr>
          <w:rFonts w:ascii="Calibri;sans-serif" w:hAnsi="Calibri;sans-serif"/>
          <w:b w:val="false"/>
          <w:color w:val="0000FF"/>
          <w:sz w:val="22"/>
          <w:u w:val="single"/>
        </w:rPr>
        <w:t>https://www.jamsadr.com/rules-comprehensive-arbitration/</w:t>
      </w:r>
      <w:r>
        <w:rPr>
          <w:rFonts w:ascii="Calibri;sans-serif" w:hAnsi="Calibri;sans-serif"/>
          <w:b w:val="false"/>
          <w:color w:val="000000"/>
          <w:sz w:val="22"/>
        </w:rPr>
        <w:t xml:space="preserve">) </w:t>
      </w:r>
    </w:p>
    <w:p>
      <w:pPr>
        <w:pStyle w:val="TextBody"/>
        <w:bidi w:val="0"/>
        <w:spacing w:before="0" w:after="0"/>
        <w:jc w:val="both"/>
        <w:rPr/>
      </w:pPr>
      <w:r>
        <w:rPr/>
      </w:r>
    </w:p>
    <w:p>
      <w:pPr>
        <w:pStyle w:val="TextBody"/>
        <w:bidi w:val="0"/>
        <w:spacing w:lineRule="auto" w:line="319" w:before="0" w:after="0"/>
        <w:jc w:val="both"/>
        <w:rPr/>
      </w:pPr>
      <w:r>
        <w:rPr>
          <w:rFonts w:ascii="Calibri;sans-serif" w:hAnsi="Calibri;sans-serif"/>
          <w:b w:val="false"/>
          <w:color w:val="000000"/>
          <w:sz w:val="22"/>
        </w:rPr>
        <w:t xml:space="preserve">at a location closest to where you last worked for the Company or another mutually agreeable location. </w:t>
      </w:r>
      <w:r>
        <w:rPr>
          <w:rFonts w:ascii="Calibri;sans-serif" w:hAnsi="Calibri;sans-serif"/>
          <w:b/>
          <w:color w:val="000000"/>
          <w:sz w:val="22"/>
        </w:rPr>
        <w:t>You acknowledge that by agreeing to this arbitration procedure, both you and the Company waive the right to resolve any such dispute through a trial by jury or judge.</w:t>
      </w:r>
      <w:r>
        <w:rPr>
          <w:color w:val="000000"/>
        </w:rPr>
        <w:t xml:space="preserve"> </w:t>
      </w:r>
    </w:p>
    <w:p>
      <w:pPr>
        <w:pStyle w:val="TextBody"/>
        <w:bidi w:val="0"/>
        <w:spacing w:before="0" w:after="0"/>
        <w:jc w:val="both"/>
        <w:rPr/>
      </w:pPr>
      <w:r>
        <w:rPr/>
      </w:r>
    </w:p>
    <w:p>
      <w:pPr>
        <w:pStyle w:val="TextBody"/>
        <w:bidi w:val="0"/>
        <w:spacing w:lineRule="auto" w:line="319" w:before="0" w:after="0"/>
        <w:jc w:val="both"/>
        <w:rPr/>
      </w:pPr>
      <w:r>
        <w:rPr>
          <w:rFonts w:ascii="Calibri;sans-serif" w:hAnsi="Calibri;sans-serif"/>
          <w:b w:val="false"/>
          <w:color w:val="000000"/>
          <w:sz w:val="22"/>
        </w:rPr>
        <w:t>This arbitration agreement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Calibri;sans-serif" w:hAnsi="Calibri;sans-serif"/>
          <w:b/>
          <w:i/>
          <w:color w:val="000000"/>
          <w:sz w:val="22"/>
        </w:rPr>
        <w:t>Excluded Claims</w:t>
      </w:r>
      <w:r>
        <w:rPr>
          <w:color w:val="000000"/>
        </w:rPr>
        <w:t>”</w:t>
      </w:r>
      <w:r>
        <w:rPr>
          <w:rFonts w:ascii="Calibri;sans-serif" w:hAnsi="Calibri;sans-serif"/>
          <w:b w:val="false"/>
          <w:color w:val="000000"/>
          <w:sz w:val="22"/>
        </w:rPr>
        <w:t xml:space="preserve">),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chapter 4,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or representative claims or proceedings are found to violate applicable law or are otherwise found unenforceable, any claim(s) alleged or brought on behalf of a class or in a representative capacity shall proceed in a court of law rather than by arbitration. </w:t>
      </w:r>
    </w:p>
    <w:p>
      <w:pPr>
        <w:pStyle w:val="TextBody"/>
        <w:bidi w:val="0"/>
        <w:spacing w:before="0" w:after="0"/>
        <w:jc w:val="both"/>
        <w:rPr/>
      </w:pPr>
      <w:r>
        <w:rPr/>
      </w:r>
    </w:p>
    <w:p>
      <w:pPr>
        <w:pStyle w:val="TextBody"/>
        <w:bidi w:val="0"/>
        <w:spacing w:lineRule="auto" w:line="319"/>
        <w:jc w:val="both"/>
        <w:rPr>
          <w:rFonts w:ascii="Calibri;sans-serif" w:hAnsi="Calibri;sans-serif"/>
          <w:b w:val="false"/>
          <w:color w:val="000000"/>
          <w:sz w:val="22"/>
        </w:rPr>
      </w:pPr>
      <w:r>
        <w:rPr>
          <w:rFonts w:ascii="Calibri;sans-serif" w:hAnsi="Calibri;sans-serif"/>
          <w:b w:val="false"/>
          <w:color w:val="000000"/>
          <w:sz w:val="22"/>
        </w:rPr>
        <w:t xml:space="preserve">You will have the right to be represented by legal counsel at any arbitration proceeding. Questions of whether a claim is subject to arbitration under this arbitration agreement shall be decided by the arbitrator. Likewise, </w:t>
      </w:r>
    </w:p>
    <w:p>
      <w:pPr>
        <w:pStyle w:val="TextBody"/>
        <w:bidi w:val="0"/>
        <w:spacing w:before="0" w:after="0"/>
        <w:jc w:val="right"/>
        <w:rPr/>
      </w:pPr>
      <w:r>
        <w:rPr/>
        <w:drawing>
          <wp:inline distT="0" distB="0" distL="0" distR="0">
            <wp:extent cx="1581150" cy="409575"/>
            <wp:effectExtent l="0" t="0" r="0" b="0"/>
            <wp:docPr id="1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 descr=""/>
                    <pic:cNvPicPr>
                      <a:picLocks noChangeAspect="1" noChangeArrowheads="1"/>
                    </pic:cNvPicPr>
                  </pic:nvPicPr>
                  <pic:blipFill>
                    <a:blip r:embed="rId39"/>
                    <a:stretch>
                      <a:fillRect/>
                    </a:stretch>
                  </pic:blipFill>
                  <pic:spPr bwMode="auto">
                    <a:xfrm>
                      <a:off x="0" y="0"/>
                      <a:ext cx="1581150" cy="409575"/>
                    </a:xfrm>
                    <a:prstGeom prst="rect">
                      <a:avLst/>
                    </a:prstGeom>
                  </pic:spPr>
                </pic:pic>
              </a:graphicData>
            </a:graphic>
          </wp:inline>
        </w:drawing>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7.5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319" w:before="0" w:after="0"/>
        <w:jc w:val="both"/>
        <w:rPr>
          <w:rFonts w:ascii="Calibri;sans-serif" w:hAnsi="Calibri;sans-serif"/>
          <w:b w:val="false"/>
          <w:color w:val="000000"/>
          <w:sz w:val="22"/>
        </w:rPr>
      </w:pPr>
      <w:r>
        <w:rPr>
          <w:rFonts w:ascii="Calibri;sans-serif" w:hAnsi="Calibri;sans-serif"/>
          <w:b w:val="false"/>
          <w:color w:val="000000"/>
          <w:sz w:val="22"/>
        </w:rPr>
        <w:t xml:space="preserve">procedural questions which grow out of the dispute and bear on the final disposition are also matters for the arbitrator. Notwithstanding the foregoing, provided however, that if required by applicable law, a court and not the arbitrator may determine the enforceability of the previous section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w:t>
      </w:r>
    </w:p>
    <w:p>
      <w:pPr>
        <w:pStyle w:val="TextBody"/>
        <w:bidi w:val="0"/>
        <w:spacing w:before="0" w:after="0"/>
        <w:jc w:val="both"/>
        <w:rPr/>
      </w:pPr>
      <w:r>
        <w:rPr/>
      </w:r>
    </w:p>
    <w:p>
      <w:pPr>
        <w:pStyle w:val="TextBody"/>
        <w:bidi w:val="0"/>
        <w:spacing w:lineRule="auto" w:line="319" w:before="0" w:after="0"/>
        <w:jc w:val="both"/>
        <w:rPr/>
      </w:pPr>
      <w:r>
        <w:rPr>
          <w:rFonts w:ascii="Calibri;sans-serif" w:hAnsi="Calibri;sans-serif"/>
          <w:b/>
          <w:color w:val="000000"/>
          <w:sz w:val="22"/>
        </w:rPr>
        <w:t>For California and Hawaii Employees Only:</w:t>
      </w:r>
      <w:r>
        <w:rPr>
          <w:color w:val="000000"/>
        </w:rPr>
        <w:t xml:space="preserve"> </w:t>
      </w:r>
      <w:r>
        <w:rPr>
          <w:rFonts w:ascii="Calibri;sans-serif" w:hAnsi="Calibri;sans-serif"/>
          <w:b w:val="false"/>
          <w:color w:val="000000"/>
          <w:sz w:val="22"/>
        </w:rPr>
        <w:t xml:space="preserve">The Company shall pay all arbitration administrative fees in excess of the administrative fees that you would be required to pay if the dispute were decided in a court of law. Each party is responsible for its own attorneys’ fees, except as may be expressly set forth in your employee confidential information and inventions assignment agreement or as otherwise provided under applicable law. Nothing in this arbitration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0" w:after="0"/>
        <w:jc w:val="both"/>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This arbitration agreement will be effective as of my first day of employment with the Company.</w:t>
      </w:r>
    </w:p>
    <w:tbl>
      <w:tblPr>
        <w:tblW w:w="10205" w:type="dxa"/>
        <w:jc w:val="left"/>
        <w:tblInd w:w="0" w:type="dxa"/>
        <w:tblLayout w:type="fixed"/>
        <w:tblCellMar>
          <w:top w:w="28" w:type="dxa"/>
          <w:left w:w="28" w:type="dxa"/>
          <w:bottom w:w="28" w:type="dxa"/>
          <w:right w:w="28" w:type="dxa"/>
        </w:tblCellMar>
      </w:tblPr>
      <w:tblGrid>
        <w:gridCol w:w="2474"/>
        <w:gridCol w:w="2170"/>
        <w:gridCol w:w="2181"/>
        <w:gridCol w:w="109"/>
        <w:gridCol w:w="109"/>
        <w:gridCol w:w="109"/>
        <w:gridCol w:w="109"/>
        <w:gridCol w:w="109"/>
        <w:gridCol w:w="109"/>
        <w:gridCol w:w="893"/>
        <w:gridCol w:w="811"/>
        <w:gridCol w:w="1022"/>
      </w:tblGrid>
      <w:tr>
        <w:trPr/>
        <w:tc>
          <w:tcPr>
            <w:tcW w:w="2474"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color w:val="000000"/>
                <w:sz w:val="22"/>
              </w:rPr>
            </w:pPr>
            <w:r>
              <w:rPr>
                <w:rFonts w:ascii="Calibri;sans-serif" w:hAnsi="Calibri;sans-serif"/>
                <w:b/>
                <w:color w:val="000000"/>
                <w:sz w:val="22"/>
              </w:rPr>
              <w:t>EMPLOYEE: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color w:val="000000"/>
                <w:sz w:val="22"/>
              </w:rPr>
            </w:pPr>
            <w:r>
              <w:rPr>
                <w:rFonts w:ascii="Calibri;sans-serif" w:hAnsi="Calibri;sans-serif"/>
                <w:b/>
                <w:color w:val="000000"/>
                <w:sz w:val="22"/>
              </w:rPr>
              <w:t>COMPANY:</w:t>
            </w:r>
          </w:p>
        </w:tc>
      </w:tr>
      <w:tr>
        <w:trPr/>
        <w:tc>
          <w:tcPr>
            <w:tcW w:w="682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2"/>
              <w:jc w:val="both"/>
              <w:rPr/>
            </w:pPr>
            <w:r>
              <w:rPr>
                <w:rFonts w:ascii="Calibri;sans-serif" w:hAnsi="Calibri;sans-serif"/>
                <w:b/>
                <w:color w:val="000000"/>
                <w:sz w:val="22"/>
              </w:rPr>
              <w:t>I</w:t>
            </w:r>
            <w:r>
              <w:rPr>
                <w:color w:val="000000"/>
              </w:rPr>
              <w:t xml:space="preserve"> </w:t>
            </w:r>
            <w:r>
              <w:rPr>
                <w:rFonts w:ascii="Calibri;sans-serif" w:hAnsi="Calibri;sans-serif"/>
                <w:b/>
                <w:color w:val="000000"/>
                <w:sz w:val="18"/>
              </w:rPr>
              <w:t>HAVE READ, UNDERSTAND AND ACCEPT THIS ARBITRATION AGREEMENT AND HAVE BEEN GIVEN THE OPPORTUNITY TO REVIEW IT WITH INDEPENDENT LEGAL COUNSEL.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240" w:before="0" w:after="0"/>
              <w:ind w:left="0" w:right="0" w:hanging="2"/>
              <w:jc w:val="both"/>
              <w:rPr/>
            </w:pPr>
            <w:r>
              <w:rPr>
                <w:rFonts w:ascii="Calibri;sans-serif" w:hAnsi="Calibri;sans-serif"/>
                <w:b/>
                <w:color w:val="000000"/>
                <w:sz w:val="22"/>
              </w:rPr>
              <w:t>A</w:t>
            </w:r>
            <w:r>
              <w:rPr>
                <w:rFonts w:ascii="Calibri;sans-serif" w:hAnsi="Calibri;sans-serif"/>
                <w:b/>
                <w:color w:val="000000"/>
                <w:sz w:val="18"/>
              </w:rPr>
              <w:t>CCEPTED AND AGREED.</w:t>
            </w:r>
          </w:p>
        </w:tc>
      </w:tr>
      <w:tr>
        <w:trPr/>
        <w:tc>
          <w:tcPr>
            <w:tcW w:w="6825" w:type="dxa"/>
            <w:gridSpan w:val="3"/>
            <w:tcBorders>
              <w:left w:val="single" w:sz="8" w:space="0" w:color="000000"/>
            </w:tcBorders>
            <w:tcMar>
              <w:top w:w="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color w:val="222222"/>
                <w:sz w:val="22"/>
              </w:rPr>
            </w:pPr>
            <w:r>
              <w:rPr>
                <w:rFonts w:ascii="Calibri;sans-serif" w:hAnsi="Calibri;sans-serif"/>
                <w:b/>
                <w:color w:val="222222"/>
                <w:sz w:val="22"/>
              </w:rPr>
              <w:t>/s/ Jean-Frédéric Viret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right w:val="single" w:sz="8" w:space="0" w:color="000000"/>
            </w:tcBorders>
            <w:tcMar>
              <w:top w:w="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color w:val="222222"/>
                <w:sz w:val="22"/>
              </w:rPr>
            </w:pPr>
            <w:r>
              <w:rPr>
                <w:rFonts w:ascii="Calibri;sans-serif" w:hAnsi="Calibri;sans-serif"/>
                <w:b/>
                <w:color w:val="222222"/>
                <w:sz w:val="22"/>
              </w:rPr>
              <w:t>/s/ Valerie Pierce</w:t>
            </w:r>
          </w:p>
        </w:tc>
      </w:tr>
      <w:tr>
        <w:trPr/>
        <w:tc>
          <w:tcPr>
            <w:tcW w:w="6825"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center"/>
              <w:rPr>
                <w:rFonts w:ascii="Calibri;sans-serif" w:hAnsi="Calibri;sans-serif"/>
                <w:b w:val="false"/>
                <w:i/>
                <w:color w:val="222222"/>
                <w:sz w:val="22"/>
              </w:rPr>
            </w:pPr>
            <w:r>
              <w:rPr>
                <w:rFonts w:ascii="Calibri;sans-serif" w:hAnsi="Calibri;sans-serif"/>
                <w:b w:val="false"/>
                <w:i/>
                <w:color w:val="222222"/>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12"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val="false"/>
                <w:i/>
                <w:color w:val="222222"/>
                <w:sz w:val="22"/>
              </w:rPr>
            </w:pPr>
            <w:r>
              <w:rPr>
                <w:rFonts w:ascii="Calibri;sans-serif" w:hAnsi="Calibri;sans-serif"/>
                <w:b w:val="false"/>
                <w:i/>
                <w:color w:val="222222"/>
                <w:sz w:val="22"/>
              </w:rPr>
              <w:t>(Signature)</w:t>
            </w:r>
          </w:p>
        </w:tc>
      </w:tr>
      <w:tr>
        <w:trPr/>
        <w:tc>
          <w:tcPr>
            <w:tcW w:w="682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By: Jean-Frédéric Viret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rPr>
            </w:pPr>
            <w:r>
              <w:rPr>
                <w:rFonts w:ascii="Calibri;sans-serif" w:hAnsi="Calibri;sans-serif"/>
                <w:b w:val="false"/>
                <w:color w:val="222222"/>
                <w:sz w:val="22"/>
              </w:rPr>
              <w:t>By: Valerie Pierce</w:t>
            </w:r>
          </w:p>
        </w:tc>
      </w:tr>
      <w:tr>
        <w:trPr/>
        <w:tc>
          <w:tcPr>
            <w:tcW w:w="682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Title: CFO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rPr>
            </w:pPr>
            <w:r>
              <w:rPr>
                <w:rFonts w:ascii="Calibri;sans-serif" w:hAnsi="Calibri;sans-serif"/>
                <w:b w:val="false"/>
                <w:color w:val="222222"/>
                <w:sz w:val="22"/>
              </w:rPr>
              <w:t>Title: General Counsel</w:t>
            </w:r>
          </w:p>
        </w:tc>
      </w:tr>
      <w:tr>
        <w:trPr/>
        <w:tc>
          <w:tcPr>
            <w:tcW w:w="682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319" w:before="0" w:after="200"/>
              <w:ind w:left="0" w:right="0" w:hanging="2"/>
              <w:jc w:val="both"/>
              <w:rPr>
                <w:rFonts w:ascii="Calibri;sans-serif" w:hAnsi="Calibri;sans-serif"/>
                <w:b w:val="false"/>
                <w:color w:val="222222"/>
                <w:sz w:val="22"/>
                <w:shd w:fill="FFFFFF" w:val="clear"/>
              </w:rPr>
            </w:pPr>
            <w:r>
              <w:rPr>
                <w:rFonts w:ascii="Calibri;sans-serif" w:hAnsi="Calibri;sans-serif"/>
                <w:b w:val="false"/>
                <w:color w:val="222222"/>
                <w:sz w:val="22"/>
                <w:shd w:fill="FFFFFF" w:val="clear"/>
              </w:rPr>
              <w:t>Date: October 20,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4" w:space="0" w:color="000000"/>
              <w:right w:val="single" w:sz="8" w:space="0" w:color="000000"/>
            </w:tcBorders>
            <w:tcMar>
              <w:top w:w="30" w:type="dxa"/>
              <w:left w:w="0" w:type="dxa"/>
              <w:bottom w:w="0" w:type="dxa"/>
            </w:tcMar>
            <w:vAlign w:val="center"/>
          </w:tcPr>
          <w:p>
            <w:pPr>
              <w:pStyle w:val="TableContents"/>
              <w:bidi w:val="0"/>
              <w:spacing w:lineRule="auto" w:line="319" w:before="0" w:after="200"/>
              <w:jc w:val="left"/>
              <w:rPr>
                <w:rFonts w:ascii="Calibri;sans-serif" w:hAnsi="Calibri;sans-serif"/>
                <w:b w:val="false"/>
                <w:color w:val="222222"/>
                <w:sz w:val="22"/>
                <w:shd w:fill="FFFFFF" w:val="clear"/>
              </w:rPr>
            </w:pPr>
            <w:r>
              <w:rPr>
                <w:rFonts w:ascii="Calibri;sans-serif" w:hAnsi="Calibri;sans-serif"/>
                <w:b w:val="false"/>
                <w:color w:val="222222"/>
                <w:sz w:val="22"/>
                <w:shd w:fill="FFFFFF" w:val="clear"/>
              </w:rPr>
              <w:t>Date: October 20, 2023</w:t>
            </w:r>
          </w:p>
        </w:tc>
      </w:tr>
      <w:tr>
        <w:trPr/>
        <w:tc>
          <w:tcPr>
            <w:tcW w:w="6825"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0"/>
              <w:jc w:val="left"/>
              <w:rPr>
                <w:rFonts w:ascii="Calibri;sans-serif" w:hAnsi="Calibri;sans-serif"/>
                <w:b w:val="false"/>
                <w:color w:val="222222"/>
                <w:sz w:val="22"/>
                <w:shd w:fill="FFFFFF" w:val="clear"/>
              </w:rPr>
            </w:pPr>
            <w:r>
              <w:rPr>
                <w:rFonts w:ascii="Calibri;sans-serif" w:hAnsi="Calibri;sans-serif"/>
                <w:b w:val="false"/>
                <w:color w:val="222222"/>
                <w:sz w:val="22"/>
                <w:shd w:fill="FFFFFF" w:val="clear"/>
              </w:rPr>
              <w:t>Address: [redacted]</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4"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0"/>
              <w:ind w:left="0" w:right="0" w:hanging="2"/>
              <w:jc w:val="both"/>
              <w:rPr>
                <w:rFonts w:ascii="Calibri;sans-serif" w:hAnsi="Calibri;sans-serif"/>
                <w:b w:val="false"/>
                <w:color w:val="000000"/>
                <w:sz w:val="22"/>
              </w:rPr>
            </w:pPr>
            <w:r>
              <w:rPr>
                <w:rFonts w:ascii="Calibri;sans-serif" w:hAnsi="Calibri;sans-serif"/>
                <w:b w:val="false"/>
                <w:color w:val="000000"/>
                <w:sz w:val="22"/>
              </w:rPr>
              <w:t>Address: 333 Oyster Point Boulevard</w:t>
            </w:r>
          </w:p>
          <w:p>
            <w:pPr>
              <w:pStyle w:val="TableContents"/>
              <w:bidi w:val="0"/>
              <w:spacing w:lineRule="auto" w:line="300" w:before="0" w:after="2"/>
              <w:jc w:val="left"/>
              <w:rPr>
                <w:color w:val="000000"/>
              </w:rPr>
            </w:pPr>
            <w:r>
              <w:rPr>
                <w:color w:val="000000"/>
              </w:rPr>
              <w:t>                </w:t>
            </w:r>
            <w:r>
              <w:rPr>
                <w:rFonts w:ascii="Calibri;sans-serif" w:hAnsi="Calibri;sans-serif"/>
                <w:b w:val="false"/>
                <w:color w:val="000000"/>
                <w:sz w:val="22"/>
              </w:rPr>
              <w:t>South San Francisco, CA 94080</w:t>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Calibri;sans-serif" w:hAnsi="Calibri;sans-serif"/>
                          <w:b/>
                          <w:color w:val="000000"/>
                          <w:sz w:val="18"/>
                        </w:rPr>
                        <w:t>NGM Biopharmaceuticals, Inc.</w:t>
                      </w:r>
                      <w:r>
                        <w:rPr>
                          <w:color w:val="000000"/>
                        </w:rPr>
                        <w:t xml:space="preserve"> </w:t>
                      </w:r>
                      <w:r>
                        <w:rPr>
                          <w:rFonts w:ascii="Calibri;sans-serif" w:hAnsi="Calibri;sans-serif"/>
                          <w:b w:val="false"/>
                          <w:color w:val="000000"/>
                          <w:sz w:val="18"/>
                        </w:rPr>
                        <w:t xml:space="preserve">333 Oyster Point Blvd. | South San Francisco, CA 94080 | 650.243.5555 </w:t>
                      </w:r>
                      <w:r>
                        <w:rPr>
                          <w:rFonts w:ascii="Calibri;sans-serif" w:hAnsi="Calibri;sans-serif"/>
                          <w:b/>
                          <w:color w:val="000000"/>
                          <w:sz w:val="18"/>
                        </w:rPr>
                        <w:t>ngmbio.com</w:t>
                      </w:r>
                    </w:p>
                  </w:txbxContent>
                </v:textbox>
                <w10:wrap type="none"/>
              </v:rect>
            </w:pict>
          </mc:Fallback>
        </mc:AlternateContent>
      </w:r>
    </w:p>
    <w:p>
      <w:pPr>
        <w:pStyle w:val="TextBody"/>
        <w:bidi w:val="0"/>
        <w:spacing w:lineRule="auto" w:line="288" w:before="0" w:after="2"/>
        <w:jc w:val="center"/>
        <w:rPr>
          <w:rFonts w:ascii="Arial;sans-serif" w:hAnsi="Arial;sans-serif"/>
          <w:b/>
          <w:color w:val="000000"/>
          <w:sz w:val="20"/>
        </w:rPr>
      </w:pPr>
      <w:r>
        <w:rPr>
          <w:rFonts w:ascii="Arial;sans-serif" w:hAnsi="Arial;sans-serif"/>
          <w:b/>
          <w:color w:val="000000"/>
          <w:sz w:val="20"/>
        </w:rPr>
        <w:t>Severance Benefit Addendum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Severance Benefit Addendum (“Addendum”), effective as of December 4, 2023, to the employment offer letter (“Offer Letter”) dated October 18, 2023 by and between Jean-Frederic Viret, Ph.D. (“Executive”) and NGM Biopharmaceuticals, Inc. (“NGM” or the “Company”) sets forth the terms of Executive’s severance benefits with the Company. This Addendum forms part of the Offer Letter. Capitalized terms not otherwise defined herein shall have the meanings ascribed to them in the Offer Letter.</w:t>
      </w:r>
    </w:p>
    <w:p>
      <w:pPr>
        <w:pStyle w:val="TextBody"/>
        <w:bidi w:val="0"/>
        <w:spacing w:before="0" w:after="0"/>
        <w:jc w:val="both"/>
        <w:rPr/>
      </w:pPr>
      <w:r>
        <w:rPr/>
      </w:r>
    </w:p>
    <w:p>
      <w:pPr>
        <w:pStyle w:val="TextBody"/>
        <w:bidi w:val="0"/>
        <w:spacing w:lineRule="auto" w:line="288" w:before="120" w:after="283"/>
        <w:ind w:left="0" w:right="0" w:hanging="360"/>
        <w:jc w:val="both"/>
        <w:rPr/>
      </w:pPr>
      <w:r>
        <w:rPr>
          <w:rFonts w:ascii="Arial;sans-serif" w:hAnsi="Arial;sans-serif"/>
          <w:b w:val="false"/>
          <w:color w:val="000000"/>
          <w:sz w:val="20"/>
        </w:rPr>
        <w:t>1.</w:t>
      </w:r>
      <w:r>
        <w:rPr>
          <w:rFonts w:ascii="Arial;sans-serif" w:hAnsi="Arial;sans-serif"/>
          <w:b/>
          <w:color w:val="000000"/>
          <w:sz w:val="20"/>
          <w:shd w:fill="FFFFFF" w:val="clear"/>
        </w:rPr>
        <w:t>Termination Without Cause or Resignation for Good Reason Following a Change in Control. </w:t>
      </w:r>
      <w:r>
        <w:rPr>
          <w:rFonts w:ascii="Arial;sans-serif" w:hAnsi="Arial;sans-serif"/>
          <w:b w:val="false"/>
          <w:color w:val="000000"/>
          <w:sz w:val="20"/>
          <w:shd w:fill="FFFFFF" w:val="clear"/>
        </w:rPr>
        <w:t>If, on or within eighteen (18) months after the effective date of a Change in Control (as defined herein), either (i) the Company terminates Executive’s employment without Cause (as defined herein) and other than as a result of Executive’s death or Disability, or (ii) Executive resigns for Good Reason (as defined herein), and provided in any case (a) such termination or resignation constitutes a “separation from service” (within the meaning of Treasury Regulation Section 1.409A-l(h)),  (b) Executive signs the Company’s standard form of release within the time period specified by the Company and allows it to become effective in accordance with its terms (but in no event later than sixty (60) days following Executive’s termination or resignation), and (c) Executive complies with Executive’s obligations under Executive’s Proprietary Information Agreement, then the Company shall provide Executive with the following severance benefits:</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Arial;sans-serif" w:hAnsi="Arial;sans-serif"/>
          <w:b w:val="false"/>
          <w:color w:val="000000"/>
          <w:sz w:val="20"/>
        </w:rPr>
        <w:t>1.1</w:t>
      </w:r>
      <w:r>
        <w:rPr>
          <w:rFonts w:ascii="Arial;sans-serif" w:hAnsi="Arial;sans-serif"/>
          <w:b/>
          <w:color w:val="000000"/>
          <w:sz w:val="20"/>
          <w:shd w:fill="FFFFFF" w:val="clear"/>
        </w:rPr>
        <w:t>Salary and Benefit Continuation. </w:t>
      </w:r>
      <w:r>
        <w:rPr>
          <w:rFonts w:ascii="Arial;sans-serif" w:hAnsi="Arial;sans-serif"/>
          <w:b w:val="false"/>
          <w:color w:val="000000"/>
          <w:sz w:val="20"/>
          <w:shd w:fill="FFFFFF" w:val="clear"/>
        </w:rPr>
        <w:t>The Company will pay Executive severance in the form of Base Salary continuation for a six (6) month period following Executive’s last day of employment. These salary continuation payments will be paid on the Company’s regular payroll schedule and subject to standard deductions and withholdings over the applicable period following termination or resignation; </w:t>
      </w:r>
      <w:r>
        <w:rPr>
          <w:rFonts w:ascii="Arial;sans-serif" w:hAnsi="Arial;sans-serif"/>
          <w:b w:val="false"/>
          <w:i/>
          <w:color w:val="000000"/>
          <w:sz w:val="20"/>
          <w:shd w:fill="FFFFFF" w:val="clear"/>
        </w:rPr>
        <w:t>provided, however,</w:t>
      </w:r>
      <w:r>
        <w:rPr>
          <w:color w:val="000000"/>
          <w:shd w:fill="FFFFFF" w:val="clear"/>
        </w:rPr>
        <w:t> </w:t>
      </w:r>
      <w:r>
        <w:rPr>
          <w:rFonts w:ascii="Arial;sans-serif" w:hAnsi="Arial;sans-serif"/>
          <w:b w:val="false"/>
          <w:color w:val="000000"/>
          <w:sz w:val="20"/>
          <w:shd w:fill="FFFFFF" w:val="clear"/>
        </w:rPr>
        <w:t>that no payments will be made prior to the sixtieth (60</w:t>
      </w:r>
      <w:r>
        <w:rPr>
          <w:rFonts w:ascii="Arial;sans-serif" w:hAnsi="Arial;sans-serif"/>
          <w:b w:val="false"/>
          <w:color w:val="000000"/>
          <w:sz w:val="13"/>
          <w:shd w:fill="FFFFFF" w:val="clear"/>
        </w:rPr>
        <w:t>th</w:t>
      </w:r>
      <w:r>
        <w:rPr>
          <w:rFonts w:ascii="Arial;sans-serif" w:hAnsi="Arial;sans-serif"/>
          <w:b w:val="false"/>
          <w:color w:val="000000"/>
          <w:sz w:val="20"/>
          <w:shd w:fill="FFFFFF" w:val="clear"/>
        </w:rPr>
        <w:t>) day following Executive’s termination or resignation. On the sixtieth (60</w:t>
      </w:r>
      <w:r>
        <w:rPr>
          <w:rFonts w:ascii="Arial;sans-serif" w:hAnsi="Arial;sans-serif"/>
          <w:b w:val="false"/>
          <w:color w:val="000000"/>
          <w:sz w:val="13"/>
          <w:shd w:fill="FFFFFF" w:val="clear"/>
        </w:rPr>
        <w:t>th</w:t>
      </w:r>
      <w:r>
        <w:rPr>
          <w:rFonts w:ascii="Arial;sans-serif" w:hAnsi="Arial;sans-serif"/>
          <w:b w:val="false"/>
          <w:color w:val="000000"/>
          <w:sz w:val="20"/>
          <w:shd w:fill="FFFFFF" w:val="clear"/>
        </w:rPr>
        <w:t>) day following Executive’s termination or resignation date, the Company will pay Executive in a lump sum the salary continuation payments that Executive would have received on or prior to such date under the original schedule but for the delay while waiting for the release deadline, with the balance of the cash severance being paid as originally scheduled. In addition, Executive shall have the right to continue Executive’s health insurance benefits pursuant to the Consolidated Omnibus Budget Reconciliation Act of 1985 (“COBRA”) or successor statute and any analogous provisions of applicable state law. Provided that Executive makes a timely and accurate election for continued health insurance coverage (including medical, dental, vision and prescription) under COBRA (or any state law of similar effect), the Company will pay the premiums for such continued coverage for Executive and Executive’s eligible dependents for the first six (6) months of such coverage, or such earlier date as Executive (or Executive’s dependents, as applicable) ceases to be eligible for such continuation coverage (such payment period, the “COBRA Payment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Executive’s behalf, the Company will instead pay Executive on the last day of each remaining month of the COBRA Payment Period a fully taxable cash payment equal to the value of Executive’s monthly COBRA premium for the first month of COBRA coverage, subject to applicable tax withholding (such amount, the “Special Severance Payment”), such Special Severance Payment to be made without regard to Executive’s election of COBRA coverage or payment of COBRA premiums and without regard to Executive’s continued eligibility for COBRA coverage during the COBRA Payment Period. Such Special Severance Payment shall end upon expiration of the COBRA Payment Period.</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Arial;sans-serif" w:hAnsi="Arial;sans-serif"/>
          <w:b w:val="false"/>
          <w:color w:val="000000"/>
          <w:sz w:val="20"/>
        </w:rPr>
        <w:t>1.2</w:t>
      </w:r>
      <w:r>
        <w:rPr>
          <w:rFonts w:ascii="Arial;sans-serif" w:hAnsi="Arial;sans-serif"/>
          <w:b/>
          <w:color w:val="000000"/>
          <w:sz w:val="20"/>
          <w:shd w:fill="FFFFFF" w:val="clear"/>
        </w:rPr>
        <w:t>Accelerated Vesting. </w:t>
      </w:r>
      <w:r>
        <w:rPr>
          <w:rFonts w:ascii="Arial;sans-serif" w:hAnsi="Arial;sans-serif"/>
          <w:b w:val="false"/>
          <w:color w:val="000000"/>
          <w:sz w:val="20"/>
          <w:shd w:fill="FFFFFF" w:val="clear"/>
        </w:rPr>
        <w:t>The Company will accelerate the vesting of the Stock Rights, to the extent then-outstanding and unvested, such that all shares subject to the Stock Rights shall be deemed immediately vested and exercisable as of Executive’s termination or resignation date.</w:t>
      </w:r>
    </w:p>
    <w:p>
      <w:pPr>
        <w:pStyle w:val="TextBody"/>
        <w:bidi w:val="0"/>
        <w:jc w:val="both"/>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Arial;sans-serif" w:hAnsi="Arial;sans-serif"/>
          <w:b w:val="false"/>
          <w:color w:val="000000"/>
          <w:sz w:val="20"/>
        </w:rPr>
        <w:t>2.</w:t>
      </w:r>
      <w:r>
        <w:rPr>
          <w:rFonts w:ascii="Arial;sans-serif" w:hAnsi="Arial;sans-serif"/>
          <w:b/>
          <w:color w:val="000000"/>
          <w:sz w:val="20"/>
          <w:shd w:fill="FFFFFF" w:val="clear"/>
        </w:rPr>
        <w:t>Section 409A Compliance. </w:t>
      </w:r>
      <w:r>
        <w:rPr>
          <w:rFonts w:ascii="Arial;sans-serif" w:hAnsi="Arial;sans-serif"/>
          <w:b w:val="false"/>
          <w:color w:val="000000"/>
          <w:sz w:val="20"/>
          <w:shd w:fill="FFFFFF" w:val="clear"/>
        </w:rPr>
        <w:t>It is intended that each installment of the severance payments and benefits provided for in this Addendum is a separate “payment” for purposes of Section 409A (“Section 409A”) of the Internal Revenue Code of 1986, as amended (the “Code”). For the avoidance of doubt, it is intended that the severance satisfies, to the greatest extent possible, the exemptions from the application of Section 409A provided under Treasury Regulation 1.409A-l(b)(4) and 1.409A-l(b)(9). Notwithstanding the foregoing, if the Company (or, if applicable, the successor entity thereto) determines that the severance payment provided above upon a separation from service constitute “deferred compensation” under Section 409A and if Executive is a “specified employee” of the Company or any successor entity thereto as of the separation from service, as such term is defined in Section 409A(a)(2)(B)(i) (a “Specified Employee”), then, solely to the extent necessary to avoid the incurrence of the adverse personal tax consequences under Section 409A, the timing of the severance (or any portion thereof) shall be delayed as follows: on the earlier to occur of (i) the date that is six (6) months and one (1) day after the date of separation of service or (ii) the date of Executive’s death (such earlier date, the “Delayed Initial Payment Date”), the Company (or the successor entity thereto, as applicable) shall (A) pay to Executive a lump sum amount equal to the sum of the severance payments that Executive would otherwise have received through the Delayed Initial Payment Date if the commencement of the payment of the severance had not been delayed pursuant to this paragraph and (B) commence paying the balance of the severance in accordance with the payment schedule set forth above.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3.</w:t>
      </w:r>
      <w:r>
        <w:rPr>
          <w:rFonts w:ascii="Arial;sans-serif" w:hAnsi="Arial;sans-serif"/>
          <w:b/>
          <w:color w:val="000000"/>
          <w:sz w:val="20"/>
          <w:shd w:fill="FFFFFF" w:val="clear"/>
        </w:rPr>
        <w:t xml:space="preserve">Definitions. </w:t>
      </w:r>
      <w:r>
        <w:rPr>
          <w:rFonts w:ascii="Arial;sans-serif" w:hAnsi="Arial;sans-serif"/>
          <w:b w:val="false"/>
          <w:color w:val="000000"/>
          <w:sz w:val="20"/>
          <w:shd w:fill="FFFFFF" w:val="clear"/>
        </w:rPr>
        <w:t>For purposes of this Addendum, the following terms used herein have the definitions set forth below.</w:t>
      </w:r>
    </w:p>
    <w:p>
      <w:pPr>
        <w:pStyle w:val="TextBody"/>
        <w:bidi w:val="0"/>
        <w:spacing w:lineRule="auto" w:line="288" w:before="0" w:after="0"/>
        <w:ind w:left="0" w:right="0" w:hanging="432"/>
        <w:jc w:val="both"/>
        <w:rPr/>
      </w:pPr>
      <w:r>
        <w:rPr>
          <w:rFonts w:ascii="Arial;sans-serif" w:hAnsi="Arial;sans-serif"/>
          <w:b w:val="false"/>
          <w:color w:val="000000"/>
          <w:sz w:val="20"/>
        </w:rPr>
        <w:t>3.1</w:t>
      </w:r>
      <w:r>
        <w:rPr>
          <w:color w:val="000000"/>
          <w:shd w:fill="FFFFFF" w:val="clear"/>
        </w:rPr>
        <w:t>“</w:t>
      </w:r>
      <w:r>
        <w:rPr>
          <w:rFonts w:ascii="Arial;sans-serif" w:hAnsi="Arial;sans-serif"/>
          <w:b/>
          <w:color w:val="000000"/>
          <w:sz w:val="20"/>
          <w:shd w:fill="FFFFFF" w:val="clear"/>
        </w:rPr>
        <w:t>Base Salary</w:t>
      </w:r>
      <w:r>
        <w:rPr>
          <w:color w:val="000000"/>
          <w:shd w:fill="FFFFFF" w:val="clear"/>
        </w:rPr>
        <w:t xml:space="preserve">” </w:t>
      </w:r>
      <w:r>
        <w:rPr>
          <w:rFonts w:ascii="Arial;sans-serif" w:hAnsi="Arial;sans-serif"/>
          <w:b w:val="false"/>
          <w:color w:val="000000"/>
          <w:sz w:val="20"/>
          <w:shd w:fill="FFFFFF" w:val="clear"/>
        </w:rPr>
        <w:t>means base pay (excluding incentive pay, premium pay, commissions, overtime, bonuses and other forms of variable compensation) as in effect immediately prior to Executive’s termination or resignation triggering benefits under this Addendum, except that base pay shall exclude any reduction that would give rise to Executive’s right to a resignation for Good Reason (if applicable).</w:t>
      </w:r>
    </w:p>
    <w:p>
      <w:pPr>
        <w:pStyle w:val="TextBody"/>
        <w:bidi w:val="0"/>
        <w:spacing w:lineRule="auto" w:line="319" w:before="0" w:after="2"/>
        <w:ind w:left="0" w:right="0" w:hanging="432"/>
        <w:jc w:val="left"/>
        <w:rPr/>
      </w:pPr>
      <w:r>
        <w:rPr>
          <w:rFonts w:ascii="Arial;sans-serif" w:hAnsi="Arial;sans-serif"/>
          <w:b w:val="false"/>
          <w:color w:val="000000"/>
          <w:sz w:val="20"/>
        </w:rPr>
        <w:t>3.2</w:t>
      </w:r>
      <w:r>
        <w:rPr>
          <w:color w:val="000000"/>
          <w:shd w:fill="FFFFFF" w:val="clear"/>
        </w:rPr>
        <w:t>“</w:t>
      </w:r>
      <w:r>
        <w:rPr>
          <w:rFonts w:ascii="Arial;sans-serif" w:hAnsi="Arial;sans-serif"/>
          <w:b/>
          <w:color w:val="000000"/>
          <w:sz w:val="20"/>
          <w:shd w:fill="FFFFFF" w:val="clear"/>
        </w:rPr>
        <w:t>Cause</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3.3</w:t>
      </w:r>
      <w:r>
        <w:rPr>
          <w:color w:val="000000"/>
          <w:shd w:fill="FFFFFF" w:val="clear"/>
        </w:rPr>
        <w:t>“</w:t>
      </w:r>
      <w:r>
        <w:rPr>
          <w:rFonts w:ascii="Arial;sans-serif" w:hAnsi="Arial;sans-serif"/>
          <w:b/>
          <w:color w:val="000000"/>
          <w:sz w:val="20"/>
          <w:shd w:fill="FFFFFF" w:val="clear"/>
        </w:rPr>
        <w:t>Change in Control</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3.4</w:t>
      </w:r>
      <w:r>
        <w:rPr>
          <w:color w:val="000000"/>
          <w:shd w:fill="FFFFFF" w:val="clear"/>
        </w:rPr>
        <w:t>“</w:t>
      </w:r>
      <w:r>
        <w:rPr>
          <w:rFonts w:ascii="Arial;sans-serif" w:hAnsi="Arial;sans-serif"/>
          <w:b/>
          <w:color w:val="000000"/>
          <w:sz w:val="20"/>
          <w:shd w:fill="FFFFFF" w:val="clear"/>
        </w:rPr>
        <w:t>Disability</w:t>
      </w:r>
      <w:r>
        <w:rPr>
          <w:color w:val="000000"/>
          <w:shd w:fill="FFFFFF" w:val="clear"/>
        </w:rPr>
        <w:t xml:space="preserve">” </w:t>
      </w:r>
      <w:r>
        <w:rPr>
          <w:rFonts w:ascii="Arial;sans-serif" w:hAnsi="Arial;sans-serif"/>
          <w:b w:val="false"/>
          <w:color w:val="000000"/>
          <w:sz w:val="20"/>
          <w:shd w:fill="FFFFFF" w:val="clear"/>
        </w:rPr>
        <w:t>has the meaning ascribed to such term in the Plan.</w:t>
      </w:r>
    </w:p>
    <w:p>
      <w:pPr>
        <w:pStyle w:val="TextBody"/>
        <w:bidi w:val="0"/>
        <w:spacing w:lineRule="auto" w:line="288" w:before="0" w:after="0"/>
        <w:ind w:left="0" w:right="0" w:hanging="432"/>
        <w:jc w:val="both"/>
        <w:rPr/>
      </w:pPr>
      <w:r>
        <w:rPr>
          <w:rFonts w:ascii="Arial;sans-serif" w:hAnsi="Arial;sans-serif"/>
          <w:b w:val="false"/>
          <w:color w:val="000000"/>
          <w:sz w:val="20"/>
        </w:rPr>
        <w:t>3.5</w:t>
      </w:r>
      <w:r>
        <w:rPr>
          <w:color w:val="000000"/>
          <w:shd w:fill="FFFFFF" w:val="clear"/>
        </w:rPr>
        <w:t>“</w:t>
      </w:r>
      <w:r>
        <w:rPr>
          <w:rFonts w:ascii="Arial;sans-serif" w:hAnsi="Arial;sans-serif"/>
          <w:b/>
          <w:color w:val="000000"/>
          <w:sz w:val="20"/>
          <w:shd w:fill="FFFFFF" w:val="clear"/>
        </w:rPr>
        <w:t>Good Reason</w:t>
      </w:r>
      <w:r>
        <w:rPr>
          <w:color w:val="000000"/>
          <w:shd w:fill="FFFFFF" w:val="clear"/>
        </w:rPr>
        <w:t xml:space="preserve">” </w:t>
      </w:r>
      <w:r>
        <w:rPr>
          <w:rFonts w:ascii="Arial;sans-serif" w:hAnsi="Arial;sans-serif"/>
          <w:b w:val="false"/>
          <w:color w:val="000000"/>
          <w:sz w:val="20"/>
          <w:shd w:fill="FFFFFF" w:val="clear"/>
        </w:rPr>
        <w:t>means: if any of the following actions are taken by the Company or a successor corporation or entity without Executive’s consent, provided that Executive notifies the Company (or successor, as applicable) in writing, within ten (10) days after the occurrence of one of the following actions, that Executive intends to terminate Executive’s employment no earlier than thirty (30) days after providing such notice, and the Company (or successor, as applicable) fails to cure such actions within thirty (30) days after receipt of such notice, and Executive’s resignation is effective not later than (30) days after the Company (or successor, as applicable) fails to cure the issue: (a) a substantial reduction of Executive’s base salary; (b) a material reduction in Executive’s duties; (c) a material breach by the Company (or a successor corporation or entity, if applicable) of any provision of the Offer Letter, including this Addendum; or (d) a relocation of Executive’s principal place of employment to a place that increases Executive’s one-way commute by greater than fifty (50) miles as compared to Executive’s then-current principal place of employment prior to such relocation (excluding regular travel in the ordinary course of business); provided that (i) if Executive’s principal place of employment is Executive’s personal residence, this clause (d) shall not apply and (ii) if Executive works remotely during any period in which Executive’s regular principal office location is a Company office that is closed, then neither Executive’s relocation to remote work or back to the office from remote work will be considered a relocation of Executive’s principal office location for purposes of this definition.</w:t>
      </w:r>
    </w:p>
    <w:p>
      <w:pPr>
        <w:pStyle w:val="TextBody"/>
        <w:bidi w:val="0"/>
        <w:spacing w:lineRule="auto" w:line="288" w:before="0" w:after="0"/>
        <w:ind w:left="0" w:right="0" w:hanging="432"/>
        <w:jc w:val="both"/>
        <w:rPr/>
      </w:pPr>
      <w:r>
        <w:rPr>
          <w:rFonts w:ascii="Arial;sans-serif" w:hAnsi="Arial;sans-serif"/>
          <w:b w:val="false"/>
          <w:color w:val="000000"/>
          <w:sz w:val="20"/>
        </w:rPr>
        <w:t>3.6</w:t>
      </w:r>
      <w:r>
        <w:rPr>
          <w:color w:val="000000"/>
          <w:shd w:fill="FFFFFF" w:val="clear"/>
        </w:rPr>
        <w:t>“</w:t>
      </w:r>
      <w:r>
        <w:rPr>
          <w:rFonts w:ascii="Arial;sans-serif" w:hAnsi="Arial;sans-serif"/>
          <w:b/>
          <w:color w:val="000000"/>
          <w:sz w:val="20"/>
          <w:shd w:fill="FFFFFF" w:val="clear"/>
        </w:rPr>
        <w:t>Plan</w:t>
      </w:r>
      <w:r>
        <w:rPr>
          <w:color w:val="000000"/>
          <w:shd w:fill="FFFFFF" w:val="clear"/>
        </w:rPr>
        <w:t xml:space="preserve">” </w:t>
      </w:r>
      <w:r>
        <w:rPr>
          <w:rFonts w:ascii="Arial;sans-serif" w:hAnsi="Arial;sans-serif"/>
          <w:b w:val="false"/>
          <w:color w:val="000000"/>
          <w:sz w:val="20"/>
          <w:shd w:fill="FFFFFF" w:val="clear"/>
        </w:rPr>
        <w:t>means the Company’s Amended and Restated 2018 Equity Incentive Plan, as amended from time to time, or any successor plan thereto.</w:t>
      </w:r>
    </w:p>
    <w:p>
      <w:pPr>
        <w:pStyle w:val="TextBody"/>
        <w:bidi w:val="0"/>
        <w:spacing w:lineRule="auto" w:line="288" w:before="0" w:after="0"/>
        <w:ind w:left="0" w:right="0" w:hanging="432"/>
        <w:jc w:val="both"/>
        <w:rPr/>
      </w:pPr>
      <w:r>
        <w:rPr>
          <w:rFonts w:ascii="Arial;sans-serif" w:hAnsi="Arial;sans-serif"/>
          <w:b w:val="false"/>
          <w:color w:val="000000"/>
          <w:sz w:val="20"/>
        </w:rPr>
        <w:t>3.7</w:t>
      </w:r>
      <w:r>
        <w:rPr>
          <w:color w:val="000000"/>
          <w:shd w:fill="FFFFFF" w:val="clear"/>
        </w:rPr>
        <w:t>“</w:t>
      </w:r>
      <w:r>
        <w:rPr>
          <w:rFonts w:ascii="Arial;sans-serif" w:hAnsi="Arial;sans-serif"/>
          <w:b/>
          <w:color w:val="000000"/>
          <w:sz w:val="20"/>
          <w:shd w:fill="FFFFFF" w:val="clear"/>
        </w:rPr>
        <w:t>Stock Rights</w:t>
      </w:r>
      <w:r>
        <w:rPr>
          <w:color w:val="000000"/>
          <w:shd w:fill="FFFFFF" w:val="clear"/>
        </w:rPr>
        <w:t xml:space="preserve">” </w:t>
      </w:r>
      <w:r>
        <w:rPr>
          <w:rFonts w:ascii="Arial;sans-serif" w:hAnsi="Arial;sans-serif"/>
          <w:b w:val="false"/>
          <w:color w:val="000000"/>
          <w:sz w:val="20"/>
          <w:shd w:fill="FFFFFF" w:val="clear"/>
        </w:rPr>
        <w:t>means all of Executive’s options, restricted stock, restricted stock units or rights to acquire vested ownership of shares of the Company’s Common Stock under plans, agreements or arrangements that are compensatory in nature, including, without limitation, the Option, the Plan and other agreements between the Company and Executive.</w:t>
      </w:r>
    </w:p>
    <w:p>
      <w:pPr>
        <w:pStyle w:val="TextBody"/>
        <w:bidi w:val="0"/>
        <w:spacing w:before="0" w:after="200"/>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parties hereto have executed this Addendum on and as of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6" w:after="283"/>
        <w:ind w:left="0" w:right="0" w:hanging="3600"/>
        <w:jc w:val="left"/>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p>
      <w:pPr>
        <w:pStyle w:val="TextBody"/>
        <w:bidi w:val="0"/>
        <w:spacing w:before="26" w:after="283"/>
        <w:ind w:left="0" w:right="0" w:hanging="3600"/>
        <w:jc w:val="left"/>
        <w:rPr/>
      </w:pPr>
      <w:r>
        <w:rPr/>
      </w:r>
    </w:p>
    <w:tbl>
      <w:tblPr>
        <w:tblW w:w="3179" w:type="dxa"/>
        <w:jc w:val="left"/>
        <w:tblInd w:w="0" w:type="dxa"/>
        <w:tblLayout w:type="fixed"/>
        <w:tblCellMar>
          <w:top w:w="28" w:type="dxa"/>
          <w:left w:w="28" w:type="dxa"/>
          <w:bottom w:w="28" w:type="dxa"/>
          <w:right w:w="28" w:type="dxa"/>
        </w:tblCellMar>
      </w:tblPr>
      <w:tblGrid>
        <w:gridCol w:w="173"/>
        <w:gridCol w:w="153"/>
        <w:gridCol w:w="154"/>
        <w:gridCol w:w="790"/>
        <w:gridCol w:w="790"/>
        <w:gridCol w:w="1119"/>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 xml:space="preserve">By: </w:t>
            </w:r>
          </w:p>
        </w:tc>
        <w:tc>
          <w:tcPr>
            <w:tcW w:w="26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David J. Woodhouse, Ph.D.</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Chief Executive Officer</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/s/ Jean-Frédéric Viret</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Jean-Frederic Viret, Ph.D.</w:t>
            </w:r>
          </w:p>
        </w:tc>
      </w:tr>
    </w:tbl>
    <w:p>
      <w:pPr>
        <w:pStyle w:val="TextBody"/>
        <w:bidi w:val="0"/>
        <w:spacing w:before="0" w:after="2"/>
        <w:ind w:left="0" w:right="0" w:hanging="36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before="0" w:after="0"/>
        <w:jc w:val="righ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SUBSIDIARIES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98"/>
        <w:gridCol w:w="1492"/>
        <w:gridCol w:w="1503"/>
        <w:gridCol w:w="109"/>
        <w:gridCol w:w="109"/>
        <w:gridCol w:w="109"/>
        <w:gridCol w:w="1515"/>
        <w:gridCol w:w="1515"/>
        <w:gridCol w:w="2155"/>
      </w:tblGrid>
      <w:tr>
        <w:trPr/>
        <w:tc>
          <w:tcPr>
            <w:tcW w:w="169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469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Jurisdiction of Incorporation or Organization</w:t>
            </w:r>
          </w:p>
        </w:tc>
      </w:tr>
      <w:tr>
        <w:trPr/>
        <w:tc>
          <w:tcPr>
            <w:tcW w:w="4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NGM Biopharmaceuticals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Australia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p>
      <w:pPr>
        <w:pStyle w:val="TextBody"/>
        <w:bidi w:val="0"/>
        <w:spacing w:lineRule="auto" w:line="288" w:before="6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1.Registration Statements (Form S-8 Nos. 333-230725 and 333-270121) pertaining to NGM Biopharmaceuticals, Inc. Amended and Restated 2018 Equity Incentive Plan and NGM Biopharmaceuticals, Inc. 2019 Employee Stock Purchase Plan; </w:t>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2.Registration Statements (Form S-8 Nos. 333-237243, 333-254295 and 333-263155) pertaining to NGM Biopharmaceuticals, Inc. Amended and Restated 2018 Equity Incentive Plan; and</w:t>
      </w:r>
    </w:p>
    <w:p>
      <w:pPr>
        <w:pStyle w:val="TextBody"/>
        <w:bidi w:val="0"/>
        <w:spacing w:lineRule="auto" w:line="288" w:before="60" w:after="60"/>
        <w:ind w:left="0" w:right="0" w:hanging="360"/>
        <w:jc w:val="left"/>
        <w:rPr/>
      </w:pPr>
      <w:r>
        <w:rPr>
          <w:rFonts w:ascii="Arial;sans-serif" w:hAnsi="Arial;sans-serif"/>
          <w:b w:val="false"/>
          <w:color w:val="000000"/>
          <w:sz w:val="20"/>
        </w:rPr>
        <w:t xml:space="preserve">3.Registration Statement (Form S-3 No. </w:t>
      </w:r>
      <w:r>
        <w:rPr>
          <w:rFonts w:ascii="Arial;sans-serif" w:hAnsi="Arial;sans-serif"/>
          <w:b w:val="false"/>
          <w:color w:val="000000"/>
          <w:sz w:val="20"/>
          <w:shd w:fill="FFFFFF" w:val="clear"/>
        </w:rPr>
        <w:t xml:space="preserve">333-272509) </w:t>
      </w:r>
      <w:r>
        <w:rPr>
          <w:rFonts w:ascii="Arial;sans-serif" w:hAnsi="Arial;sans-serif"/>
          <w:b w:val="false"/>
          <w:color w:val="000000"/>
          <w:sz w:val="20"/>
        </w:rPr>
        <w:t>and related prospectus and prospectus supplements of NGM Biopharmaceuticals, Inc.</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of our report dated March 11, 2024, with respect to the consolidated financial statements of NGM Biopharmaceuticals, Inc., included in this Annual Report (Form 10-K) of NGM Biopharmaceuticals, Inc. for the year ended December 31, 2023.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333333"/>
          <w:sz w:val="20"/>
        </w:rPr>
      </w:pPr>
      <w:r>
        <w:rPr>
          <w:rFonts w:ascii="Arial;sans-serif" w:hAnsi="Arial;sans-serif"/>
          <w:b w:val="false"/>
          <w:color w:val="333333"/>
          <w:sz w:val="20"/>
        </w:rPr>
        <w:t>San Mateo, California</w:t>
      </w:r>
    </w:p>
    <w:p>
      <w:pPr>
        <w:pStyle w:val="TextBody"/>
        <w:bidi w:val="0"/>
        <w:spacing w:lineRule="auto" w:line="268" w:before="0" w:after="0"/>
        <w:jc w:val="left"/>
        <w:rPr>
          <w:rFonts w:ascii="Arial;sans-serif" w:hAnsi="Arial;sans-serif"/>
          <w:b w:val="false"/>
          <w:color w:val="333333"/>
          <w:sz w:val="20"/>
        </w:rPr>
      </w:pPr>
      <w:r>
        <w:rPr>
          <w:rFonts w:ascii="Arial;sans-serif" w:hAnsi="Arial;sans-serif"/>
          <w:b w:val="false"/>
          <w:color w:val="333333"/>
          <w:sz w:val="20"/>
        </w:rPr>
        <w:t>March 11,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BY THE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David J. Woodhouse, certify that:</w:t>
      </w:r>
    </w:p>
    <w:p>
      <w:pPr>
        <w:pStyle w:val="TextBody"/>
        <w:bidi w:val="0"/>
        <w:spacing w:lineRule="auto" w:line="288" w:before="240" w:after="12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NGM Biopharmaceuticals, Inc.;</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Date: March 11, 2024</w:t>
      </w:r>
    </w:p>
    <w:tbl>
      <w:tblPr>
        <w:tblW w:w="421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13"/>
        <w:gridCol w:w="1013"/>
        <w:gridCol w:w="14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David J. Woodhouse,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David J. Woodhouse,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Chief Executive Officer and Director</w:t>
            </w:r>
          </w:p>
          <w:p>
            <w:pPr>
              <w:pStyle w:val="TableContents"/>
              <w:bidi w:val="0"/>
              <w:spacing w:lineRule="auto" w:line="240" w:before="0" w:after="0"/>
              <w:jc w:val="center"/>
              <w:rPr>
                <w:rFonts w:ascii="Arial;sans-serif" w:hAnsi="Arial;sans-serif"/>
                <w:b/>
                <w:i/>
                <w:color w:val="000000"/>
                <w:sz w:val="20"/>
              </w:rPr>
            </w:pPr>
            <w:r>
              <w:rPr>
                <w:rFonts w:ascii="Arial;sans-serif" w:hAnsi="Arial;sans-serif"/>
                <w:b/>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BY THE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Jean-Frédéric Viret, certify that: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NGM Biopharmaceuticals, Inc.;</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Date: March 11, 2024 </w:t>
      </w:r>
    </w:p>
    <w:tbl>
      <w:tblPr>
        <w:tblW w:w="344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6"/>
        <w:gridCol w:w="786"/>
        <w:gridCol w:w="1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Jean-Frédéric Viret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Jean-Frédéric Viret,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Chief Financial Officer</w:t>
            </w:r>
          </w:p>
          <w:p>
            <w:pPr>
              <w:pStyle w:val="TableContents"/>
              <w:bidi w:val="0"/>
              <w:spacing w:lineRule="auto" w:line="240" w:before="0" w:after="0"/>
              <w:jc w:val="center"/>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Jean-Frédéric Viret, Chief Financial Officer of the Company, each hereby certifies that, to the best of his knowledge:</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1.The Company’s Annual Report on Form 10-K for the fiscal year ended December 31, 2023, to which this Certification is attached as Exhibit 32.1 (the “Annual Report”), fully complies with the requirements of Section 13(a) or Section 15(d) of the Exchange Act;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Annual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March 11, 2024 </w:t>
      </w:r>
    </w:p>
    <w:tbl>
      <w:tblPr>
        <w:tblW w:w="3627" w:type="dxa"/>
        <w:jc w:val="left"/>
        <w:tblInd w:w="0" w:type="dxa"/>
        <w:tblLayout w:type="fixed"/>
        <w:tblCellMar>
          <w:top w:w="28" w:type="dxa"/>
          <w:left w:w="28" w:type="dxa"/>
          <w:bottom w:w="28" w:type="dxa"/>
          <w:right w:w="28" w:type="dxa"/>
        </w:tblCellMar>
      </w:tblPr>
      <w:tblGrid>
        <w:gridCol w:w="1179"/>
        <w:gridCol w:w="1036"/>
        <w:gridCol w:w="1040"/>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 and Director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Jean-Frédéric Viret,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Jean-Frédéric Viret,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83"/>
        <w:jc w:val="both"/>
        <w:rPr>
          <w:rFonts w:ascii="Arial;sans-serif" w:hAnsi="Arial;sans-serif"/>
          <w:b w:val="false"/>
          <w:color w:val="000000"/>
          <w:sz w:val="20"/>
        </w:rPr>
      </w:pPr>
      <w:r>
        <w:rPr>
          <w:rFonts w:ascii="Arial;sans-serif" w:hAnsi="Arial;sans-serif"/>
          <w:b w:val="false"/>
          <w:color w:val="000000"/>
          <w:sz w:val="20"/>
        </w:rPr>
        <w:t xml:space="preserve">This certification accompanies the Annual Report to which it relates, is not deemed filed with the Securities and Exchange Commission and is not to be incorporated by reference into any filing of NGM Biopharmaceuticals, Inc. under the Securities Act of 1933, as amended, or the Exchange Act (whether made before or after the date of the Annual Report),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97.1</w:t>
      </w:r>
    </w:p>
    <w:p>
      <w:pPr>
        <w:pStyle w:val="TextBody"/>
        <w:bidi w:val="0"/>
        <w:spacing w:before="0" w:after="0"/>
        <w:jc w:val="right"/>
        <w:rPr/>
      </w:pPr>
      <w:r>
        <w:rPr/>
      </w:r>
    </w:p>
    <w:p>
      <w:pPr>
        <w:pStyle w:val="TextBody"/>
        <w:bidi w:val="0"/>
        <w:spacing w:before="0" w:after="220"/>
        <w:jc w:val="center"/>
        <w:rPr/>
      </w:pPr>
      <w:r>
        <w:rPr/>
        <w:drawing>
          <wp:inline distT="0" distB="0" distL="0" distR="0">
            <wp:extent cx="1581150" cy="400050"/>
            <wp:effectExtent l="0" t="0" r="0" b="0"/>
            <wp:docPr id="16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 descr=""/>
                    <pic:cNvPicPr>
                      <a:picLocks noChangeAspect="1" noChangeArrowheads="1"/>
                    </pic:cNvPicPr>
                  </pic:nvPicPr>
                  <pic:blipFill>
                    <a:blip r:embed="rId40"/>
                    <a:stretch>
                      <a:fillRect/>
                    </a:stretch>
                  </pic:blipFill>
                  <pic:spPr bwMode="auto">
                    <a:xfrm>
                      <a:off x="0" y="0"/>
                      <a:ext cx="1581150" cy="400050"/>
                    </a:xfrm>
                    <a:prstGeom prst="rect">
                      <a:avLst/>
                    </a:prstGeom>
                  </pic:spPr>
                </pic:pic>
              </a:graphicData>
            </a:graphic>
          </wp:inline>
        </w:drawing>
      </w:r>
    </w:p>
    <w:p>
      <w:pPr>
        <w:pStyle w:val="TextBody"/>
        <w:bidi w:val="0"/>
        <w:spacing w:lineRule="auto" w:line="240" w:before="0" w:after="220"/>
        <w:jc w:val="center"/>
        <w:rPr>
          <w:rFonts w:ascii="Arial;sans-serif" w:hAnsi="Arial;sans-serif"/>
          <w:b/>
          <w:color w:val="000000"/>
          <w:sz w:val="30"/>
        </w:rPr>
      </w:pPr>
      <w:r>
        <w:rPr>
          <w:rFonts w:ascii="Arial;sans-serif" w:hAnsi="Arial;sans-serif"/>
          <w:b/>
          <w:color w:val="000000"/>
          <w:sz w:val="30"/>
        </w:rPr>
        <w:t>INCENTIVE COMPENSATION RECOUPMENT POLICY</w:t>
      </w:r>
    </w:p>
    <w:p>
      <w:pPr>
        <w:pStyle w:val="TextBody"/>
        <w:bidi w:val="0"/>
        <w:spacing w:lineRule="auto" w:line="288" w:before="0" w:after="220"/>
        <w:ind w:left="0" w:right="0" w:firstLine="720"/>
        <w:jc w:val="both"/>
        <w:rPr/>
      </w:pPr>
      <w:r>
        <w:rPr>
          <w:rFonts w:ascii="Arial;sans-serif" w:hAnsi="Arial;sans-serif"/>
          <w:b w:val="false"/>
          <w:color w:val="000000"/>
          <w:sz w:val="22"/>
        </w:rPr>
        <w:t>The Board of Directors (the “</w:t>
      </w:r>
      <w:r>
        <w:rPr>
          <w:rFonts w:ascii="Arial;sans-serif" w:hAnsi="Arial;sans-serif"/>
          <w:b/>
          <w:i/>
          <w:color w:val="000000"/>
          <w:sz w:val="22"/>
        </w:rPr>
        <w:t>Board</w:t>
      </w:r>
      <w:r>
        <w:rPr>
          <w:color w:val="000000"/>
        </w:rPr>
        <w:t>”</w:t>
      </w:r>
      <w:r>
        <w:rPr>
          <w:rFonts w:ascii="Arial;sans-serif" w:hAnsi="Arial;sans-serif"/>
          <w:b w:val="false"/>
          <w:color w:val="000000"/>
          <w:sz w:val="22"/>
        </w:rPr>
        <w:t>) of NGM Biopharmaceuticals, Inc., a Delaware corporation (the “</w:t>
      </w:r>
      <w:r>
        <w:rPr>
          <w:rFonts w:ascii="Arial;sans-serif" w:hAnsi="Arial;sans-serif"/>
          <w:b/>
          <w:i/>
          <w:color w:val="000000"/>
          <w:sz w:val="22"/>
        </w:rPr>
        <w:t>Company</w:t>
      </w:r>
      <w:r>
        <w:rPr>
          <w:color w:val="000000"/>
        </w:rPr>
        <w:t>”</w:t>
      </w:r>
      <w:r>
        <w:rPr>
          <w:rFonts w:ascii="Arial;sans-serif" w:hAnsi="Arial;sans-serif"/>
          <w:b w:val="false"/>
          <w:color w:val="000000"/>
          <w:sz w:val="22"/>
        </w:rPr>
        <w:t>), has determined that it is in the best interests of the Company and its stockholders to adopt this Incentive Compensation Recoupment Policy (this “</w:t>
      </w:r>
      <w:r>
        <w:rPr>
          <w:rFonts w:ascii="Arial;sans-serif" w:hAnsi="Arial;sans-serif"/>
          <w:b/>
          <w:i/>
          <w:color w:val="000000"/>
          <w:sz w:val="22"/>
        </w:rPr>
        <w:t>Policy</w:t>
      </w:r>
      <w:r>
        <w:rPr>
          <w:color w:val="000000"/>
        </w:rPr>
        <w:t>”</w:t>
      </w:r>
      <w:r>
        <w:rPr>
          <w:rFonts w:ascii="Arial;sans-serif" w:hAnsi="Arial;sans-serif"/>
          <w:b w:val="false"/>
          <w:color w:val="000000"/>
          <w:sz w:val="22"/>
        </w:rPr>
        <w:t xml:space="preserve">) providing for the Company’s recoupment of Recoverable Incentive Compensation (as defined below) that is received by Covered Officers (as defined below) of the Company under certain circumstances. </w:t>
      </w:r>
    </w:p>
    <w:p>
      <w:pPr>
        <w:pStyle w:val="TextBody"/>
        <w:bidi w:val="0"/>
        <w:spacing w:lineRule="auto" w:line="288" w:before="0" w:after="220"/>
        <w:ind w:left="0" w:right="0" w:firstLine="720"/>
        <w:jc w:val="both"/>
        <w:rPr/>
      </w:pPr>
      <w:r>
        <w:rPr>
          <w:rFonts w:ascii="Arial;sans-serif" w:hAnsi="Arial;sans-serif"/>
          <w:b w:val="false"/>
          <w:color w:val="000000"/>
          <w:sz w:val="22"/>
        </w:rPr>
        <w:t>This Policy is designed to comply with, and shall be interpreted to be consistent with, Section 10D of the U.S. Securities Exchange Act of 1934, as amended (the “</w:t>
      </w:r>
      <w:r>
        <w:rPr>
          <w:rFonts w:ascii="Arial;sans-serif" w:hAnsi="Arial;sans-serif"/>
          <w:b/>
          <w:i/>
          <w:color w:val="000000"/>
          <w:sz w:val="22"/>
        </w:rPr>
        <w:t>Exchange Act</w:t>
      </w:r>
      <w:r>
        <w:rPr>
          <w:color w:val="000000"/>
        </w:rPr>
        <w:t>”</w:t>
      </w:r>
      <w:r>
        <w:rPr>
          <w:rFonts w:ascii="Arial;sans-serif" w:hAnsi="Arial;sans-serif"/>
          <w:b w:val="false"/>
          <w:color w:val="000000"/>
          <w:sz w:val="22"/>
        </w:rPr>
        <w:t>), Rule 10D-1 promulgated thereunder (“</w:t>
      </w:r>
      <w:r>
        <w:rPr>
          <w:rFonts w:ascii="Arial;sans-serif" w:hAnsi="Arial;sans-serif"/>
          <w:b/>
          <w:i/>
          <w:color w:val="000000"/>
          <w:sz w:val="22"/>
        </w:rPr>
        <w:t>Rule 10D-1</w:t>
      </w:r>
      <w:r>
        <w:rPr>
          <w:color w:val="000000"/>
        </w:rPr>
        <w:t>”</w:t>
      </w:r>
      <w:r>
        <w:rPr>
          <w:rFonts w:ascii="Arial;sans-serif" w:hAnsi="Arial;sans-serif"/>
          <w:b w:val="false"/>
          <w:color w:val="000000"/>
          <w:sz w:val="22"/>
        </w:rPr>
        <w:t>) and Nasdaq Listing Rule 5608 (the “</w:t>
      </w:r>
      <w:r>
        <w:rPr>
          <w:rFonts w:ascii="Arial;sans-serif" w:hAnsi="Arial;sans-serif"/>
          <w:b/>
          <w:i/>
          <w:color w:val="000000"/>
          <w:sz w:val="22"/>
        </w:rPr>
        <w:t>Listing Standards</w:t>
      </w:r>
      <w:r>
        <w:rPr>
          <w:color w:val="000000"/>
        </w:rPr>
        <w:t>”</w:t>
      </w:r>
      <w:r>
        <w:rPr>
          <w:rFonts w:ascii="Arial;sans-serif" w:hAnsi="Arial;sans-serif"/>
          <w:b w:val="false"/>
          <w:color w:val="000000"/>
          <w:sz w:val="22"/>
        </w:rPr>
        <w:t>).</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Definitions</w:t>
      </w:r>
    </w:p>
    <w:p>
      <w:pPr>
        <w:pStyle w:val="TextBody"/>
        <w:bidi w:val="0"/>
        <w:spacing w:lineRule="auto" w:line="288" w:before="0" w:after="220"/>
        <w:ind w:left="0" w:right="0" w:firstLine="810"/>
        <w:jc w:val="both"/>
        <w:rPr/>
      </w:pPr>
      <w:r>
        <w:rPr>
          <w:color w:val="000000"/>
        </w:rPr>
        <w:t>“</w:t>
      </w:r>
      <w:r>
        <w:rPr>
          <w:rFonts w:ascii="Arial;sans-serif" w:hAnsi="Arial;sans-serif"/>
          <w:b/>
          <w:i/>
          <w:color w:val="000000"/>
          <w:sz w:val="22"/>
        </w:rPr>
        <w:t>Accounting Restatement</w:t>
      </w:r>
      <w:r>
        <w:rPr>
          <w:color w:val="000000"/>
        </w:rPr>
        <w:t xml:space="preserve">” </w:t>
      </w:r>
      <w:r>
        <w:rPr>
          <w:rFonts w:ascii="Arial;sans-serif" w:hAnsi="Arial;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Accounting Restatement Date</w:t>
      </w:r>
      <w:r>
        <w:rPr>
          <w:color w:val="000000"/>
        </w:rPr>
        <w:t xml:space="preserve">” </w:t>
      </w:r>
      <w:r>
        <w:rPr>
          <w:rFonts w:ascii="Arial;sans-serif" w:hAnsi="Arial;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Administrator</w:t>
      </w:r>
      <w:r>
        <w:rPr>
          <w:color w:val="000000"/>
        </w:rPr>
        <w:t xml:space="preserve">” </w:t>
      </w:r>
      <w:r>
        <w:rPr>
          <w:rFonts w:ascii="Arial;sans-serif" w:hAnsi="Arial;sans-serif"/>
          <w:b w:val="false"/>
          <w:color w:val="000000"/>
          <w:sz w:val="22"/>
        </w:rPr>
        <w:t>means the Compensation Committee or, in the absence of such committee, the Board.</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Code</w:t>
      </w:r>
      <w:r>
        <w:rPr>
          <w:color w:val="000000"/>
        </w:rPr>
        <w:t xml:space="preserve">” </w:t>
      </w:r>
      <w:r>
        <w:rPr>
          <w:rFonts w:ascii="Arial;sans-serif" w:hAnsi="Arial;sans-serif"/>
          <w:b w:val="false"/>
          <w:color w:val="000000"/>
          <w:sz w:val="22"/>
        </w:rPr>
        <w:t>means the U.S. Internal Revenue Code of 1986, as amended, and the regulations promulgated thereunder.</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Compensation Committee</w:t>
      </w:r>
      <w:r>
        <w:rPr>
          <w:color w:val="000000"/>
        </w:rPr>
        <w:t xml:space="preserve">” </w:t>
      </w:r>
      <w:r>
        <w:rPr>
          <w:rFonts w:ascii="Arial;sans-serif" w:hAnsi="Arial;sans-serif"/>
          <w:b w:val="false"/>
          <w:color w:val="000000"/>
          <w:sz w:val="22"/>
        </w:rPr>
        <w:t>means the Compensation Committee of the Board.</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Covered Officer</w:t>
      </w:r>
      <w:r>
        <w:rPr>
          <w:color w:val="000000"/>
        </w:rPr>
        <w:t xml:space="preserve">” </w:t>
      </w:r>
      <w:r>
        <w:rPr>
          <w:rFonts w:ascii="Arial;sans-serif" w:hAnsi="Arial;sans-serif"/>
          <w:b w:val="false"/>
          <w:color w:val="000000"/>
          <w:sz w:val="22"/>
        </w:rPr>
        <w:t>means each current and former Executive Officer.</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Exchange</w:t>
      </w:r>
      <w:r>
        <w:rPr>
          <w:color w:val="000000"/>
        </w:rPr>
        <w:t xml:space="preserve">” </w:t>
      </w:r>
      <w:r>
        <w:rPr>
          <w:rFonts w:ascii="Arial;sans-serif" w:hAnsi="Arial;sans-serif"/>
          <w:b w:val="false"/>
          <w:color w:val="000000"/>
          <w:sz w:val="22"/>
        </w:rPr>
        <w:t>means the Nasdaq Stock Market.</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Executive Officer</w:t>
      </w:r>
      <w:r>
        <w:rPr>
          <w:color w:val="000000"/>
        </w:rPr>
        <w:t xml:space="preserve">” </w:t>
      </w:r>
      <w:r>
        <w:rPr>
          <w:rFonts w:ascii="Arial;sans-serif" w:hAnsi="Arial;sans-serif"/>
          <w:b w:val="false"/>
          <w:color w:val="000000"/>
          <w:sz w:val="22"/>
        </w:rPr>
        <w:t xml:space="preserve">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35915"/>
                <wp:effectExtent l="0" t="0" r="0" b="0"/>
                <wp:wrapNone/>
                <wp:docPr id="165" name="Frame15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Financial Reporting Measures</w:t>
      </w:r>
      <w:r>
        <w:rPr>
          <w:color w:val="000000"/>
        </w:rPr>
        <w:t xml:space="preserve">” </w:t>
      </w:r>
      <w:r>
        <w:rPr>
          <w:rFonts w:ascii="Arial;sans-serif" w:hAnsi="Arial;sans-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Arial;sans-serif" w:hAnsi="Arial;sans-serif"/>
          <w:b/>
          <w:i/>
          <w:color w:val="000000"/>
          <w:sz w:val="22"/>
        </w:rPr>
        <w:t>TSR</w:t>
      </w:r>
      <w:r>
        <w:rPr>
          <w:color w:val="000000"/>
        </w:rPr>
        <w:t>”</w:t>
      </w:r>
      <w:r>
        <w:rPr>
          <w:rFonts w:ascii="Arial;sans-serif" w:hAnsi="Arial;sans-serif"/>
          <w:b w:val="false"/>
          <w:color w:val="000000"/>
          <w:sz w:val="22"/>
        </w:rPr>
        <w:t>). A measure need not be presented in the Company’s financial statements or included in a filing with the SEC in order to be a Financial Reporting Measure.</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Incentive Compensation</w:t>
      </w:r>
      <w:r>
        <w:rPr>
          <w:color w:val="000000"/>
        </w:rPr>
        <w:t xml:space="preserve">” </w:t>
      </w:r>
      <w:r>
        <w:rPr>
          <w:rFonts w:ascii="Arial;sans-serif" w:hAnsi="Arial;sans-serif"/>
          <w:b w:val="false"/>
          <w:color w:val="000000"/>
          <w:sz w:val="22"/>
        </w:rPr>
        <w:t>means any compensation that is granted, earned or vested based wholly or in part upon the attainment of a Financial Reporting Measure. For clarity, Incentive Compensation does not include base salaries, bonuses or equity awards paid solely upon satisfying one or more subjective standards, strategic or operational measures, or continued employment, unless such base salaries, bonuses, or equity awards were granted, paid, or vested (as applicable) based in part on a Financial Reporting Measure.</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Lookback Period</w:t>
      </w:r>
      <w:r>
        <w:rPr>
          <w:color w:val="000000"/>
        </w:rPr>
        <w:t xml:space="preserve">” </w:t>
      </w:r>
      <w:r>
        <w:rPr>
          <w:rFonts w:ascii="Arial;sans-serif" w:hAnsi="Arial;sans-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Recoverable Incentive Compensation</w:t>
      </w:r>
      <w:r>
        <w:rPr>
          <w:color w:val="000000"/>
        </w:rPr>
        <w:t xml:space="preserve">” </w:t>
      </w:r>
      <w:r>
        <w:rPr>
          <w:rFonts w:ascii="Arial;sans-serif" w:hAnsi="Arial;sans-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Arial;sans-serif" w:hAnsi="Arial;sans-serif"/>
          <w:b w:val="false"/>
          <w:i/>
          <w:color w:val="000000"/>
          <w:sz w:val="22"/>
        </w:rPr>
        <w:t>i.e.</w:t>
      </w:r>
      <w:r>
        <w:rPr>
          <w:rFonts w:ascii="Arial;sans-serif" w:hAnsi="Arial;sans-serif"/>
          <w:b w:val="false"/>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88" w:before="0" w:after="220"/>
        <w:ind w:left="0" w:right="0" w:firstLine="720"/>
        <w:jc w:val="both"/>
        <w:rPr/>
      </w:pPr>
      <w:r>
        <w:rPr>
          <w:color w:val="000000"/>
        </w:rPr>
        <w:t>“</w:t>
      </w:r>
      <w:r>
        <w:rPr>
          <w:rFonts w:ascii="Arial;sans-serif" w:hAnsi="Arial;sans-serif"/>
          <w:b/>
          <w:i/>
          <w:color w:val="000000"/>
          <w:sz w:val="22"/>
        </w:rPr>
        <w:t>SEC</w:t>
      </w:r>
      <w:r>
        <w:rPr>
          <w:color w:val="000000"/>
        </w:rPr>
        <w:t xml:space="preserve">” </w:t>
      </w:r>
      <w:r>
        <w:rPr>
          <w:rFonts w:ascii="Arial;sans-serif" w:hAnsi="Arial;sans-serif"/>
          <w:b w:val="false"/>
          <w:color w:val="000000"/>
          <w:sz w:val="22"/>
        </w:rPr>
        <w:t>means the U.S. Securities and Exchange Commission.</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Effective Date</w:t>
      </w:r>
    </w:p>
    <w:p>
      <w:pPr>
        <w:pStyle w:val="TextBody"/>
        <w:bidi w:val="0"/>
        <w:spacing w:lineRule="auto" w:line="288" w:before="0" w:after="220"/>
        <w:ind w:left="0" w:right="0" w:firstLine="720"/>
        <w:jc w:val="both"/>
        <w:rPr/>
      </w:pPr>
      <w:r>
        <w:rPr>
          <w:rFonts w:ascii="Arial;sans-serif" w:hAnsi="Arial;sans-serif"/>
          <w:b w:val="false"/>
          <w:color w:val="000000"/>
          <w:sz w:val="22"/>
        </w:rPr>
        <w:t>This Policy shall apply to all Incentive Compensation that is received by a Covered Officer on or after October 2, 2023 (the “</w:t>
      </w:r>
      <w:r>
        <w:rPr>
          <w:rFonts w:ascii="Arial;sans-serif" w:hAnsi="Arial;sans-serif"/>
          <w:b/>
          <w:i/>
          <w:color w:val="000000"/>
          <w:sz w:val="22"/>
        </w:rPr>
        <w:t>Effective Date</w:t>
      </w:r>
      <w:r>
        <w:rPr>
          <w:color w:val="000000"/>
        </w:rPr>
        <w:t>”</w:t>
      </w:r>
      <w:r>
        <w:rPr>
          <w:rFonts w:ascii="Arial;sans-serif" w:hAnsi="Arial;sans-serif"/>
          <w:b w:val="false"/>
          <w:color w:val="000000"/>
          <w:sz w:val="22"/>
        </w:rPr>
        <w:t>). Incentive Compensation is deemed “</w:t>
      </w:r>
      <w:r>
        <w:rPr>
          <w:rFonts w:ascii="Arial;sans-serif" w:hAnsi="Arial;sans-serif"/>
          <w:b/>
          <w:i/>
          <w:color w:val="000000"/>
          <w:sz w:val="22"/>
        </w:rPr>
        <w:t>received</w:t>
      </w:r>
      <w:r>
        <w:rPr>
          <w:color w:val="000000"/>
        </w:rPr>
        <w:t xml:space="preserve">” </w:t>
      </w:r>
      <w:r>
        <w:rPr>
          <w:rFonts w:ascii="Arial;sans-serif" w:hAnsi="Arial;sans-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35915"/>
                <wp:effectExtent l="0" t="0" r="0" b="0"/>
                <wp:wrapNone/>
                <wp:docPr id="166" name="Frame15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Recoupment</w:t>
      </w:r>
    </w:p>
    <w:p>
      <w:pPr>
        <w:pStyle w:val="TextBody"/>
        <w:bidi w:val="0"/>
        <w:spacing w:lineRule="auto" w:line="288" w:before="0" w:after="220"/>
        <w:ind w:left="0" w:right="0" w:firstLine="720"/>
        <w:jc w:val="both"/>
        <w:rPr/>
      </w:pPr>
      <w:r>
        <w:rPr>
          <w:rFonts w:ascii="Arial;sans-serif" w:hAnsi="Arial;sans-serif"/>
          <w:b/>
          <w:i/>
          <w:color w:val="000000"/>
          <w:sz w:val="22"/>
        </w:rPr>
        <w:t>Applicability of Policy</w:t>
      </w:r>
      <w:r>
        <w:rPr>
          <w:color w:val="000000"/>
        </w:rPr>
        <w:t xml:space="preserve"> </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This Policy applies to Incentive Compensation received by a Covered Officer (a) after beginning services as an Executive Officer, (b) who served as an Executive Officer at any time during the performance period for such Incentive Compensation, (c) while the Company had a class of securities listed on a national securities exchange or a national securities association, and (d) during the Lookback Period. </w:t>
      </w:r>
    </w:p>
    <w:p>
      <w:pPr>
        <w:pStyle w:val="TextBody"/>
        <w:bidi w:val="0"/>
        <w:spacing w:lineRule="auto" w:line="288" w:before="0" w:after="220"/>
        <w:ind w:left="0" w:right="0" w:firstLine="720"/>
        <w:jc w:val="both"/>
        <w:rPr/>
      </w:pPr>
      <w:r>
        <w:rPr>
          <w:rFonts w:ascii="Arial;sans-serif" w:hAnsi="Arial;sans-serif"/>
          <w:b/>
          <w:i/>
          <w:color w:val="000000"/>
          <w:sz w:val="22"/>
        </w:rPr>
        <w:t>Recoupment Generally</w:t>
      </w:r>
      <w:r>
        <w:rPr>
          <w:color w:val="000000"/>
        </w:rPr>
        <w:t xml:space="preserve"> </w:t>
      </w:r>
    </w:p>
    <w:p>
      <w:pPr>
        <w:pStyle w:val="TextBody"/>
        <w:bidi w:val="0"/>
        <w:spacing w:lineRule="auto" w:line="288" w:before="0" w:after="220"/>
        <w:ind w:left="0" w:right="0" w:firstLine="720"/>
        <w:jc w:val="both"/>
        <w:rPr/>
      </w:pPr>
      <w:r>
        <w:rPr>
          <w:rFonts w:ascii="Arial;sans-serif" w:hAnsi="Arial;sans-serif"/>
          <w:b w:val="false"/>
          <w:color w:val="000000"/>
          <w:sz w:val="22"/>
        </w:rPr>
        <w:t>Pursuant to the provisions of this Policy, if there is an Accounting Restatement, the Company must reasonably promptly recoup the full amount of the Recoverable Incentive Compensation, unless the conditions of one or more subsections of the section of this Policy entitled “</w:t>
      </w:r>
      <w:r>
        <w:rPr>
          <w:rFonts w:ascii="Arial;sans-serif" w:hAnsi="Arial;sans-serif"/>
          <w:b/>
          <w:i/>
          <w:color w:val="000000"/>
          <w:sz w:val="22"/>
        </w:rPr>
        <w:t>Impracticability of Recovery</w:t>
      </w:r>
      <w:r>
        <w:rPr>
          <w:color w:val="000000"/>
        </w:rPr>
        <w:t xml:space="preserve">” </w:t>
      </w:r>
      <w:r>
        <w:rPr>
          <w:rFonts w:ascii="Arial;sans-serif" w:hAnsi="Arial;sans-serif"/>
          <w:b w:val="false"/>
          <w:color w:val="000000"/>
          <w:sz w:val="22"/>
        </w:rPr>
        <w:t xml:space="preserve">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88" w:before="0" w:after="220"/>
        <w:ind w:left="0" w:right="0" w:firstLine="720"/>
        <w:jc w:val="both"/>
        <w:rPr>
          <w:rFonts w:ascii="Arial;sans-serif" w:hAnsi="Arial;sans-serif"/>
          <w:b/>
          <w:i/>
          <w:color w:val="000000"/>
          <w:sz w:val="22"/>
        </w:rPr>
      </w:pPr>
      <w:r>
        <w:rPr>
          <w:rFonts w:ascii="Arial;sans-serif" w:hAnsi="Arial;sans-serif"/>
          <w:b/>
          <w:i/>
          <w:color w:val="000000"/>
          <w:sz w:val="22"/>
        </w:rPr>
        <w:t>Impracticability of Recovery</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Recoupment may be determined to be impracticable if, and only if:</w:t>
      </w:r>
    </w:p>
    <w:p>
      <w:pPr>
        <w:pStyle w:val="TextBody"/>
        <w:bidi w:val="0"/>
        <w:spacing w:lineRule="auto" w:line="288" w:before="0" w:after="220"/>
        <w:ind w:left="0" w:right="0" w:firstLine="720"/>
        <w:jc w:val="both"/>
        <w:rPr/>
      </w:pPr>
      <w:r>
        <w:rPr>
          <w:rFonts w:ascii="Arial;sans-serif" w:hAnsi="Arial;sans-serif"/>
          <w:b w:val="false"/>
          <w:color w:val="000000"/>
          <w:sz w:val="22"/>
        </w:rPr>
        <w:t>(a)</w:t>
      </w:r>
      <w:r>
        <w:rPr>
          <w:rFonts w:ascii="Arial;sans-serif" w:hAnsi="Arial;sans-serif"/>
          <w:b w:val="false"/>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88" w:before="0" w:after="220"/>
        <w:ind w:left="0" w:right="0" w:firstLine="720"/>
        <w:jc w:val="both"/>
        <w:rPr/>
      </w:pPr>
      <w:r>
        <w:rPr>
          <w:rFonts w:ascii="Arial;sans-serif" w:hAnsi="Arial;sans-serif"/>
          <w:b w:val="false"/>
          <w:color w:val="000000"/>
          <w:sz w:val="22"/>
        </w:rPr>
        <w:t>(b)</w:t>
      </w:r>
      <w:r>
        <w:rPr>
          <w:rFonts w:ascii="Arial;sans-serif" w:hAnsi="Arial;sans-serif"/>
          <w:b w:val="false"/>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88" w:before="0" w:after="220"/>
        <w:ind w:left="0" w:right="0" w:firstLine="720"/>
        <w:jc w:val="both"/>
        <w:rPr>
          <w:rFonts w:ascii="Arial;sans-serif" w:hAnsi="Arial;sans-serif"/>
          <w:b/>
          <w:i/>
          <w:color w:val="000000"/>
          <w:sz w:val="22"/>
        </w:rPr>
      </w:pPr>
      <w:r>
        <w:rPr>
          <w:rFonts w:ascii="Arial;sans-serif" w:hAnsi="Arial;sans-serif"/>
          <w:b/>
          <w:i/>
          <w:color w:val="000000"/>
          <w:sz w:val="22"/>
        </w:rPr>
        <w:t>Sources of Recoupment</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(a) direct repayment of Recoverable Incentive Compensation previously paid to the Covered Officer; (b) cancelling prior cash or equity-based awards (whether vested or unvested and whether paid or unpaid); (c) cancelling or offsetting against any planned future cash or equity-based awards; (d) forfeiture of deferred compensation, subject to compliance with Code Section 409A; and (e) any other method authorized by applicable law or contract. Subject to compliance with any applicable law,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35915"/>
                <wp:effectExtent l="0" t="0" r="0" b="0"/>
                <wp:wrapNone/>
                <wp:docPr id="167" name="Frame15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pPr>
      <w:r>
        <w:rPr>
          <w:rFonts w:ascii="Arial;sans-serif" w:hAnsi="Arial;sans-serif"/>
          <w:b w:val="false"/>
          <w:color w:val="000000"/>
          <w:sz w:val="22"/>
        </w:rPr>
        <w:t xml:space="preserve">Administrator may effectuate recoupment under this Policy from any amount otherwise payable to the Covered Officer, including amounts payable to such individual under any otherwise applicable Company plan or program, </w:t>
      </w:r>
      <w:r>
        <w:rPr>
          <w:rFonts w:ascii="Arial;sans-serif" w:hAnsi="Arial;sans-serif"/>
          <w:b w:val="false"/>
          <w:i/>
          <w:color w:val="000000"/>
          <w:sz w:val="22"/>
        </w:rPr>
        <w:t>e.g.</w:t>
      </w:r>
      <w:r>
        <w:rPr>
          <w:rFonts w:ascii="Arial;sans-serif" w:hAnsi="Arial;sans-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88" w:before="0" w:after="220"/>
        <w:ind w:left="0" w:right="0" w:firstLine="720"/>
        <w:jc w:val="both"/>
        <w:rPr>
          <w:rFonts w:ascii="Arial;sans-serif" w:hAnsi="Arial;sans-serif"/>
          <w:b/>
          <w:i/>
          <w:color w:val="000000"/>
          <w:sz w:val="22"/>
        </w:rPr>
      </w:pPr>
      <w:r>
        <w:rPr>
          <w:rFonts w:ascii="Arial;sans-serif" w:hAnsi="Arial;sans-serif"/>
          <w:b/>
          <w:i/>
          <w:color w:val="000000"/>
          <w:sz w:val="22"/>
        </w:rPr>
        <w:t>No Indemnification of Covered Officers</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88" w:before="0" w:after="220"/>
        <w:ind w:left="0" w:right="0" w:firstLine="720"/>
        <w:jc w:val="both"/>
        <w:rPr>
          <w:rFonts w:ascii="Arial;sans-serif" w:hAnsi="Arial;sans-serif"/>
          <w:b/>
          <w:i/>
          <w:color w:val="000000"/>
          <w:sz w:val="22"/>
        </w:rPr>
      </w:pPr>
      <w:r>
        <w:rPr>
          <w:rFonts w:ascii="Arial;sans-serif" w:hAnsi="Arial;sans-serif"/>
          <w:b/>
          <w:i/>
          <w:color w:val="000000"/>
          <w:sz w:val="22"/>
        </w:rPr>
        <w:t>Indemnification of Administrator</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88" w:before="0" w:after="220"/>
        <w:ind w:left="0" w:right="0" w:firstLine="720"/>
        <w:jc w:val="both"/>
        <w:rPr>
          <w:rFonts w:ascii="Arial;sans-serif" w:hAnsi="Arial;sans-serif"/>
          <w:b/>
          <w:i/>
          <w:color w:val="000000"/>
          <w:sz w:val="22"/>
        </w:rPr>
      </w:pPr>
      <w:r>
        <w:rPr>
          <w:rFonts w:ascii="Arial;sans-serif" w:hAnsi="Arial;sans-serif"/>
          <w:b/>
          <w:i/>
          <w:color w:val="000000"/>
          <w:sz w:val="22"/>
        </w:rPr>
        <w:t>No “Good Reason” for Covered Officers</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Any action by the Company to recoup or any recoupment of Recoverable Incentive Compensation under this Policy from a Covered Officer shall not be deemed (a) “good reason” for resignation or to serve as a basis for a claim of constructive termination under any benefits or compensation arrangement applicable to such Covered Officer, or (b) to constitute a breach of a contract or other arrangement to which such Covered Officer is party.</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Administration of Policy</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35915"/>
                <wp:effectExtent l="0" t="0" r="0" b="0"/>
                <wp:wrapNone/>
                <wp:docPr id="168" name="Frame15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Severability</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No Impairment of Other Remedies</w:t>
      </w:r>
    </w:p>
    <w:p>
      <w:pPr>
        <w:pStyle w:val="TextBody"/>
        <w:bidi w:val="0"/>
        <w:spacing w:lineRule="auto" w:line="288" w:before="0" w:after="220"/>
        <w:ind w:left="0" w:right="0" w:firstLine="720"/>
        <w:jc w:val="both"/>
        <w:rPr/>
      </w:pPr>
      <w:r>
        <w:rPr>
          <w:rFonts w:ascii="Arial;sans-serif" w:hAnsi="Arial;sans-serif"/>
          <w:b w:val="false"/>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Arial;sans-serif" w:hAnsi="Arial;sans-serif"/>
          <w:b/>
          <w:i/>
          <w:color w:val="000000"/>
          <w:sz w:val="22"/>
        </w:rPr>
        <w:t>SOX 304</w:t>
      </w:r>
      <w:r>
        <w:rPr>
          <w:color w:val="000000"/>
        </w:rPr>
        <w:t>”</w:t>
      </w:r>
      <w:r>
        <w:rPr>
          <w:rFonts w:ascii="Arial;sans-serif" w:hAnsi="Arial;sans-serif"/>
          <w:b w:val="false"/>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Amendment; Termination</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Successors</w: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88" w:before="0" w:after="220"/>
        <w:jc w:val="both"/>
        <w:rPr>
          <w:rFonts w:ascii="Arial;sans-serif" w:hAnsi="Arial;sans-serif"/>
          <w:b/>
          <w:color w:val="000000"/>
          <w:sz w:val="22"/>
        </w:rPr>
      </w:pPr>
      <w:r>
        <w:rPr>
          <w:rFonts w:ascii="Arial;sans-serif" w:hAnsi="Arial;sans-serif"/>
          <w:b/>
          <w:color w:val="000000"/>
          <w:sz w:val="22"/>
        </w:rPr>
        <w:t>Required Filings</w:t>
      </w:r>
    </w:p>
    <w:p>
      <w:pPr>
        <w:pStyle w:val="TextBody"/>
        <w:bidi w:val="0"/>
        <w:spacing w:lineRule="auto" w:line="288" w:before="0" w:after="240"/>
        <w:ind w:left="0" w:right="0" w:firstLine="720"/>
        <w:jc w:val="left"/>
        <w:rPr>
          <w:rFonts w:ascii="Arial;sans-serif" w:hAnsi="Arial;sans-serif"/>
          <w:b w:val="false"/>
          <w:color w:val="000000"/>
          <w:sz w:val="22"/>
        </w:rPr>
      </w:pPr>
      <w:r>
        <w:rPr>
          <w:rFonts w:ascii="Arial;sans-serif" w:hAnsi="Arial;sans-serif"/>
          <w:b w:val="false"/>
          <w:color w:val="000000"/>
          <w:sz w:val="22"/>
        </w:rPr>
        <w:t>The Company shall make any disclosures and filings with respect to this Policy that are required by law, including as required by the SEC.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240" w:after="283"/>
        <w:jc w:val="center"/>
        <w:rPr>
          <w:rFonts w:ascii="Arial;sans-serif" w:hAnsi="Arial;sans-serif"/>
          <w:b w:val="false"/>
          <w:i/>
          <w:color w:val="000000"/>
          <w:sz w:val="22"/>
        </w:rPr>
      </w:pPr>
      <w:r>
        <w:rPr>
          <w:rFonts w:ascii="Arial;sans-serif" w:hAnsi="Arial;sans-serif"/>
          <w:b w:val="false"/>
          <w:i/>
          <w:color w:val="000000"/>
          <w:sz w:val="22"/>
        </w:rPr>
        <w:t>Adopted by the Company’s Board of Directors on November 8,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35915"/>
                <wp:effectExtent l="0" t="0" r="0" b="0"/>
                <wp:wrapNone/>
                <wp:docPr id="169" name="Frame16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NGM Biopharmaceuticals, Inc.</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Incentive Compensation Recoupment Policy</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Form of Executive Acknowledgment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2"/>
        </w:rPr>
        <w:t>I, the undersigned, agree and acknowledge that I am bound by, and subject to, the NGM Biopharmaceuticals, Inc. Incentive Compensation Recoupment Policy, as may be amended, restated, supplemented or otherwise modified from time to time (the “</w:t>
      </w:r>
      <w:r>
        <w:rPr>
          <w:rFonts w:ascii="Arial;sans-serif" w:hAnsi="Arial;sans-serif"/>
          <w:b/>
          <w:i/>
          <w:color w:val="000000"/>
          <w:sz w:val="24"/>
        </w:rPr>
        <w:t>Policy</w:t>
      </w:r>
      <w:r>
        <w:rPr>
          <w:color w:val="000000"/>
        </w:rPr>
        <w:t>”</w:t>
      </w:r>
      <w:r>
        <w:rPr>
          <w:rFonts w:ascii="Arial;sans-serif" w:hAnsi="Arial;sans-serif"/>
          <w:b w:val="false"/>
          <w:color w:val="000000"/>
          <w:sz w:val="22"/>
        </w:rPr>
        <w:t>). In the event of any inconsistency between the Policy and the terms of any employment agreement, offer letter or other individual agreement with NGM Biopharmaceuticals, Inc. (the “</w:t>
      </w:r>
      <w:r>
        <w:rPr>
          <w:rFonts w:ascii="Arial;sans-serif" w:hAnsi="Arial;sans-serif"/>
          <w:b/>
          <w:i/>
          <w:color w:val="000000"/>
          <w:sz w:val="24"/>
        </w:rPr>
        <w:t>Company</w:t>
      </w:r>
      <w:r>
        <w:rPr>
          <w:color w:val="000000"/>
        </w:rPr>
        <w:t>”</w:t>
      </w:r>
      <w:r>
        <w:rPr>
          <w:rFonts w:ascii="Arial;sans-serif" w:hAnsi="Arial;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2"/>
        </w:rPr>
      </w:pPr>
      <w:r>
        <w:rPr>
          <w:rFonts w:ascii="Arial;sans-serif" w:hAnsi="Arial;sans-serif"/>
          <w:b/>
          <w:color w:val="000000"/>
          <w:sz w:val="22"/>
        </w:rPr>
        <w:t>Agreed and Acknowledged: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709" w:type="dxa"/>
        <w:jc w:val="left"/>
        <w:tblInd w:w="0" w:type="dxa"/>
        <w:tblLayout w:type="fixed"/>
        <w:tblCellMar>
          <w:top w:w="28" w:type="dxa"/>
          <w:left w:w="28" w:type="dxa"/>
          <w:bottom w:w="28" w:type="dxa"/>
          <w:right w:w="28" w:type="dxa"/>
        </w:tblCellMar>
      </w:tblPr>
      <w:tblGrid>
        <w:gridCol w:w="1509"/>
        <w:gridCol w:w="1326"/>
        <w:gridCol w:w="1874"/>
      </w:tblGrid>
      <w:tr>
        <w:trPr/>
        <w:tc>
          <w:tcPr>
            <w:tcW w:w="15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Name: ________________________________</w:t>
            </w:r>
          </w:p>
        </w:tc>
      </w:tr>
      <w:tr>
        <w:trPr/>
        <w:tc>
          <w:tcPr>
            <w:tcW w:w="47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2"/>
              </w:rPr>
            </w:pPr>
            <w:r>
              <w:rPr>
                <w:rFonts w:ascii="Arial;sans-serif" w:hAnsi="Arial;sans-serif"/>
                <w:b w:val="false"/>
                <w:color w:val="000000"/>
                <w:sz w:val="22"/>
              </w:rPr>
              <w:t>Title: _________________________________</w:t>
            </w:r>
          </w:p>
        </w:tc>
      </w:tr>
      <w:tr>
        <w:trPr/>
        <w:tc>
          <w:tcPr>
            <w:tcW w:w="4709" w:type="dxa"/>
            <w:gridSpan w:val="3"/>
            <w:tcBorders/>
            <w:tcMar>
              <w:top w:w="0" w:type="dxa"/>
              <w:left w:w="0" w:type="dxa"/>
              <w:bottom w:w="0" w:type="dxa"/>
              <w:right w:w="0" w:type="dxa"/>
            </w:tcMar>
            <w:vAlign w:val="center"/>
          </w:tcPr>
          <w:p>
            <w:pPr>
              <w:pStyle w:val="TableContents"/>
              <w:bidi w:val="0"/>
              <w:spacing w:lineRule="auto" w:line="319" w:before="0" w:after="200"/>
              <w:jc w:val="left"/>
              <w:rPr/>
            </w:pPr>
            <w:r>
              <w:rPr>
                <w:rFonts w:ascii="Arial;sans-serif" w:hAnsi="Arial;sans-serif"/>
                <w:b w:val="false"/>
                <w:color w:val="000000"/>
                <w:sz w:val="22"/>
              </w:rPr>
              <w:t>Date: _________________</w:t>
            </w:r>
            <w:r>
              <w:rPr>
                <w:rFonts w:ascii="Calibri;sans-serif" w:hAnsi="Calibri;sans-serif"/>
                <w:b w:val="false"/>
                <w:color w:val="000000"/>
                <w:sz w:val="22"/>
              </w:rPr>
              <w:t>__________________</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35915"/>
                <wp:effectExtent l="0" t="0" r="0" b="0"/>
                <wp:wrapNone/>
                <wp:docPr id="170" name="Frame16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426332/000119312519100757/d731361dex31.htm" TargetMode="External"/><Relationship Id="rId4" Type="http://schemas.openxmlformats.org/officeDocument/2006/relationships/hyperlink" Target="https://www.sec.gov/Archives/edgar/data/0001426332/000119312518287727/d693178dex34.htm" TargetMode="External"/><Relationship Id="rId5" Type="http://schemas.openxmlformats.org/officeDocument/2006/relationships/hyperlink" Target="https://www.sec.gov/Archives/edgar/data/0001426332/000119312518287727/d693178dex41.htm" TargetMode="External"/><Relationship Id="rId6" Type="http://schemas.openxmlformats.org/officeDocument/2006/relationships/hyperlink" Target="https://www.sec.gov/Archives/edgar/data/0001426332/000119312519094494/d693178dex42.htm" TargetMode="External"/><Relationship Id="rId7" Type="http://schemas.openxmlformats.org/officeDocument/2006/relationships/hyperlink" Target="https://www.sec.gov/Archives/edgar/data/1426332/000156459020011422/ngm-ex43_293.htm" TargetMode="External"/><Relationship Id="rId8" Type="http://schemas.openxmlformats.org/officeDocument/2006/relationships/hyperlink" Target="https://www.sec.gov/Archives/edgar/data/0001426332/000119312518287727/d693178dex101.htm" TargetMode="External"/><Relationship Id="rId9" Type="http://schemas.openxmlformats.org/officeDocument/2006/relationships/hyperlink" Target="https://www.sec.gov/Archives/edgar/data/0001426332/000119312518287727/d693178dex102.htm" TargetMode="External"/><Relationship Id="rId10" Type="http://schemas.openxmlformats.org/officeDocument/2006/relationships/hyperlink" Target="https://www.sec.gov/Archives/edgar/data/0001426332/000119312519084550/d693178dex103.htm" TargetMode="External"/><Relationship Id="rId11" Type="http://schemas.openxmlformats.org/officeDocument/2006/relationships/hyperlink" Target="https://www.sec.gov/Archives/edgar/data/0001426332/000119312519084550/d693178dex104.htm" TargetMode="External"/><Relationship Id="rId12" Type="http://schemas.openxmlformats.org/officeDocument/2006/relationships/hyperlink" Target="https://www.sec.gov/Archives/edgar/data/0001426332/000119312519084550/d693178dex105.htm" TargetMode="External"/><Relationship Id="rId13" Type="http://schemas.openxmlformats.org/officeDocument/2006/relationships/hyperlink" Target="https://www.sec.gov/Archives/edgar/data/0001426332/000119312519084550/d693178dex106.htm" TargetMode="External"/><Relationship Id="rId14" Type="http://schemas.openxmlformats.org/officeDocument/2006/relationships/hyperlink" Target="https://www.sec.gov/Archives/edgar/data/0001426332/000119312518287727/d693178dex107.htm" TargetMode="External"/><Relationship Id="rId15" Type="http://schemas.openxmlformats.org/officeDocument/2006/relationships/hyperlink" Target="https://www.sec.gov/Archives/edgar/data/1426332/000162828023015766/ngm-20230331x10qex101.htm" TargetMode="External"/><Relationship Id="rId16" Type="http://schemas.openxmlformats.org/officeDocument/2006/relationships/hyperlink" Target="https://www.sec.gov/Archives/edgar/data/1426332/000162828021015882/ngm-20210630x10qex102.htm" TargetMode="External"/><Relationship Id="rId17" Type="http://schemas.openxmlformats.org/officeDocument/2006/relationships/hyperlink" Target="https://www.sec.gov/Archives/edgar/data/0001426332/000119312518287727/d693178dex109.htm" TargetMode="External"/><Relationship Id="rId18" Type="http://schemas.openxmlformats.org/officeDocument/2006/relationships/hyperlink" Target="https://www.sec.gov/Archives/edgar/data/0001426332/000119312518287727/d693178dex1011.htm" TargetMode="External"/><Relationship Id="rId19" Type="http://schemas.openxmlformats.org/officeDocument/2006/relationships/hyperlink" Target="https://www.sec.gov/Archives/edgar/data/0001426332/000119312519084550/d693178dex1013.htm" TargetMode="External"/><Relationship Id="rId20" Type="http://schemas.openxmlformats.org/officeDocument/2006/relationships/hyperlink" Target="https://www.sec.gov/Archives/edgar/data/0001426332/000156459020039692/ngm-ex101_91.htm" TargetMode="External"/><Relationship Id="rId21" Type="http://schemas.openxmlformats.org/officeDocument/2006/relationships/hyperlink" Target="https://www.sec.gov/Archives/edgar/data/0001426332/000119312518287727/d693178dex1015.htm" TargetMode="External"/><Relationship Id="rId22" Type="http://schemas.openxmlformats.org/officeDocument/2006/relationships/hyperlink" Target="https://www.sec.gov/Archives/edgar/data/0001426332/000119312518287727/d693178dex1017.htm" TargetMode="External"/><Relationship Id="rId23" Type="http://schemas.openxmlformats.org/officeDocument/2006/relationships/hyperlink" Target="https://www.sec.gov/Archives/edgar/data/1426332/000162828021015882/ngm-20210630x10qex101.htm" TargetMode="External"/><Relationship Id="rId24" Type="http://schemas.openxmlformats.org/officeDocument/2006/relationships/hyperlink" Target="https://www.sec.gov/Archives/edgar/data/0001426332/000119312519094494/d693178dex1017.htm" TargetMode="External"/><Relationship Id="rId25" Type="http://schemas.openxmlformats.org/officeDocument/2006/relationships/hyperlink" Target="https://www.sec.gov/Archives/edgar/data/1426332/000156459021013179/ngm-ex1017_396.htm" TargetMode="External"/><Relationship Id="rId26" Type="http://schemas.openxmlformats.org/officeDocument/2006/relationships/hyperlink" Target="https://www.sec.gov/Archives/edgar/data/1426332/000156459021013179/ngm-ex1018_397.htm" TargetMode="External"/><Relationship Id="rId27" Type="http://schemas.openxmlformats.org/officeDocument/2006/relationships/hyperlink" Target="https://www.sec.gov/Archives/edgar/data/1426332/000162828022004526/ngm-20211231x10kex1023.htm" TargetMode="External"/><Relationship Id="rId28" Type="http://schemas.openxmlformats.org/officeDocument/2006/relationships/hyperlink" Target="https://www.sec.gov/Archives/edgar/data/1426332/000162828022004526/ngm-20211231x10kex1023.htm" TargetMode="External"/><Relationship Id="rId29" Type="http://schemas.openxmlformats.org/officeDocument/2006/relationships/hyperlink" Target="https://www.sec.gov/Archives/edgar/data/1426332/000162828023036401/ngm-20230930xex102lonzaame.htm" TargetMode="External"/><Relationship Id="rId30" Type="http://schemas.openxmlformats.org/officeDocument/2006/relationships/hyperlink" Target="https://www.sec.gov/Archives/edgar/data/0001426332/000119312519084550/d693178dex1018.htm" TargetMode="External"/><Relationship Id="rId31" Type="http://schemas.openxmlformats.org/officeDocument/2006/relationships/hyperlink" Target="https://www.sec.gov/Archives/edgar/data/1426332/000162828022012690/ngm-20220331x10qex101.htm" TargetMode="External"/><Relationship Id="rId32" Type="http://schemas.openxmlformats.org/officeDocument/2006/relationships/hyperlink" Target="https://www.sec.gov/Archives/edgar/data/1426332/000162828022021104/ngm-20220630x10qex101.htm" TargetMode="External"/><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3.png"/><Relationship Id="rId36" Type="http://schemas.openxmlformats.org/officeDocument/2006/relationships/image" Target="media/image3.png"/><Relationship Id="rId37" Type="http://schemas.openxmlformats.org/officeDocument/2006/relationships/image" Target="media/image3.png"/><Relationship Id="rId38" Type="http://schemas.openxmlformats.org/officeDocument/2006/relationships/image" Target="media/image3.png"/><Relationship Id="rId39" Type="http://schemas.openxmlformats.org/officeDocument/2006/relationships/image" Target="media/image3.png"/><Relationship Id="rId40" Type="http://schemas.openxmlformats.org/officeDocument/2006/relationships/image" Target="media/image4.pn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103877</Words>
  <Characters>579285</Characters>
  <CharactersWithSpaces>680883</CharactersWithSpaces>
  <Paragraphs>3624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