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5,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 No. 333-272509</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w w:val="98"/>
              </w:rPr>
              <w:t>26-1679911</w:t>
            </w:r>
          </w:p>
        </w:tc>
      </w:tr>
      <w:tr>
        <w:trPr>
          <w:trHeight w:val="149"/>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Not applicable. Removal from registration of securities that were not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above referenced registration statement.</w:t>
      </w:r>
    </w:p>
    <w:p>
      <w:pPr>
        <w:spacing w:after="0" w:line="159"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431(b)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5" w:right="439" w:bottom="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80"/>
            <w:col w:w="5760" w:space="720"/>
            <w:col w:w="1600" w:space="720"/>
            <w:col w:w="220"/>
          </w:cols>
          <w:pgMar w:left="440" w:top="225" w:right="439" w:bottom="0"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0" w:space="480"/>
            <w:col w:w="5760" w:space="720"/>
            <w:col w:w="1980" w:space="340"/>
            <w:col w:w="220"/>
          </w:cols>
          <w:pgMar w:left="440" w:top="225"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4"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NGM Biopharmaceuticals, Inc., a Delaware corporation (the “Registrant”), is filing this Post-Effective Amendment (this “Post-Effective Amendment”) to the following Registration Statement on Form S-3 (as amended, the “Registration Statement”) previously filed by the Registrant with the U.S. Securities and Exchange Commission (the “SEC”), to deregister any and all shares of the Registrant’s common stock (the “Common Stock”), par value $0.001 per share, registered but unsold or otherwise unissued under the Registration Statement as of the date hereof:</w:t>
      </w:r>
    </w:p>
    <w:p>
      <w:pPr>
        <w:spacing w:after="0" w:line="85" w:lineRule="exact"/>
        <w:rPr>
          <w:sz w:val="20"/>
          <w:szCs w:val="20"/>
          <w:color w:val="auto"/>
        </w:rPr>
      </w:pPr>
    </w:p>
    <w:p>
      <w:pPr>
        <w:ind w:left="960" w:hanging="532"/>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(Registration File No. 333-272509), which was filed on June 8, 2023, amended on August 4, 2023 and then declared effective by the SEC on August 4, 2023, registering the sale by the Registrant of an indeterminate number of shares of the Registrant’s Common Stock and preferred stock, an indeterminate principal amount of debt securities and an indeterminate number of warrants to purchase Common Stock, preferred stock and/or debt securities, at a maximum aggregate offering price not to exceed $300,000,000.</w:t>
      </w:r>
    </w:p>
    <w:p>
      <w:pPr>
        <w:spacing w:after="0" w:line="183"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Effective as of April 5, 2024, pursuant to an Agreement and Plan of Merger, dated as of February 25, 2024, by and among the Registrant, Atlas Neon Parent, Inc., a Delaware corporation (“Parent”), and Atlas Neon Merger Sub, Inc., a Delaware corporation and a wholly-owned subsidiary of Parent (“Merger Sub”), Merger Sub merged with and into the Registrant, with the Registrant surviving as a wholly owned subsidiary of Parent (the “Merger”).</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offerings of its securities pursuant to the Registration Statement. Accordingly, the Registrant hereby terminates the effectiveness of the Registration Statement and, in accordance with an undertaking made by the Registrant in the Registration Statement to remove from registration, by means of a post-effective amendment, any and all securities that remain unsold at the termination of the offerings, removes from registration any and all securities registered but unsold under the Registration Statement. The Registration Statement is hereby amended, as appropriate, to reflect the deregistration of such securities. After giving effect to this Post-Effective Amendment to the Registration Statement, there will be no remaining securities registered by the Registrant pursuant to the Registration Statement.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to be signed on its behalf by the undersigned, thereunto duly authorized, in the City of South San Francisco, State of California, on this 5th day of April,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J. Woodhouse,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840"/>
      </w:cols>
      <w:pgMar w:left="440" w:top="26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2024-04-05T09:53:03Z</dcterms:created>
  <dcterms:modified xsi:type="dcterms:W3CDTF">2024-04-05T09:53:03Z</dcterms:modified>
</cp:coreProperties>
</file>