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NGM Biopharmaceuticals,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62921N105</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2,385,873</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2,385,873</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2,385,873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 IA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2,385,873</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2,385,873</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2,385,873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2,243,854</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2,243,854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2,243,854</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2.7%</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NGM Biopharmaceuticals,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333 Oyster Point Boulevard, South San Francisco, CA 94080</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5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1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62921N105</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229"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EcoR1.</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46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Mr. Nodelman.</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480" w:hanging="1304"/>
        <w:spacing w:after="0" w:line="269" w:lineRule="auto"/>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82,715,507 shares of the Issuer’s Common Stock outstanding as of October 30, 2023, as reported in the Form 10-Q filed by the Issuer on November 2, 2023.</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1300" w:right="22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EcoR1 is the general partner and investment adviser of investment funds, including Qualified Fund. Mr. Nodelman is the control person of EcoR1.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EcoR1 and Mr. Nodelman:</w:t>
      </w:r>
    </w:p>
    <w:p>
      <w:pPr>
        <w:spacing w:after="0" w:line="233" w:lineRule="exact"/>
        <w:rPr>
          <w:sz w:val="20"/>
          <w:szCs w:val="20"/>
          <w:color w:val="auto"/>
        </w:rPr>
      </w:pPr>
    </w:p>
    <w:p>
      <w:pPr>
        <w:ind w:left="660" w:right="50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Qualified Fund:</w:t>
      </w:r>
    </w:p>
    <w:p>
      <w:pPr>
        <w:spacing w:after="0" w:line="233" w:lineRule="exact"/>
        <w:rPr>
          <w:sz w:val="20"/>
          <w:szCs w:val="20"/>
          <w:color w:val="auto"/>
        </w:rPr>
      </w:pPr>
    </w:p>
    <w:p>
      <w:pPr>
        <w:ind w:left="660" w:right="580"/>
        <w:spacing w:after="0" w:line="295"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w:t>
      </w:r>
    </w:p>
    <w:p>
      <w:pPr>
        <w:sectPr>
          <w:pgSz w:w="11900" w:h="16838" w:orient="portrait"/>
          <w:cols w:equalWidth="0" w:num="1">
            <w:col w:w="11080"/>
          </w:cols>
          <w:pgMar w:left="320" w:top="229" w:right="499" w:bottom="0" w:gutter="0" w:footer="0" w:header="0"/>
        </w:sectPr>
      </w:pPr>
    </w:p>
    <w:bookmarkStart w:id="6" w:name="page7"/>
    <w:bookmarkEnd w:id="6"/>
    <w:p>
      <w:pPr>
        <w:ind w:left="660" w:right="980"/>
        <w:spacing w:after="0" w:line="268" w:lineRule="auto"/>
        <w:rPr>
          <w:sz w:val="20"/>
          <w:szCs w:val="20"/>
          <w:color w:val="auto"/>
        </w:rPr>
      </w:pPr>
      <w:r>
        <w:rPr>
          <w:rFonts w:ascii="Times New Roman" w:cs="Times New Roman" w:eastAsia="Times New Roman" w:hAnsi="Times New Roman"/>
          <w:sz w:val="20"/>
          <w:szCs w:val="20"/>
          <w:color w:val="auto"/>
        </w:rPr>
        <w:t>were not acquired and are not held in connection with or as a participant in any transaction having that purpose or effect, other than activities solely in connection with a nomination under § 240.14a-11.</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9"/>
          <w:szCs w:val="19"/>
          <w:color w:val="auto"/>
        </w:rPr>
        <w:t>Dated: February 14, 2024</w:t>
      </w:r>
    </w:p>
    <w:p>
      <w:pPr>
        <w:spacing w:after="0" w:line="156" w:lineRule="exact"/>
        <w:rPr>
          <w:sz w:val="20"/>
          <w:szCs w:val="20"/>
          <w:color w:val="auto"/>
        </w:rPr>
      </w:pPr>
    </w:p>
    <w:p>
      <w:pPr>
        <w:jc w:val="right"/>
        <w:ind w:right="908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2024-02-14T19:13:50Z</dcterms:created>
  <dcterms:modified xsi:type="dcterms:W3CDTF">2024-02-14T19:13:50Z</dcterms:modified>
</cp:coreProperties>
</file>