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2"/>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Svennilson Peter</w:t>
              </w:r>
            </w:hyperlink>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line="205"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NGM BIOPHARMACEUTICALS INC</w:t>
              </w:r>
              <w:r>
                <w:rPr>
                  <w:rFonts w:ascii="Arial" w:cs="Arial" w:eastAsia="Arial" w:hAnsi="Arial"/>
                  <w:sz w:val="21"/>
                  <w:szCs w:val="21"/>
                  <w:color w:val="0000EE"/>
                </w:rPr>
                <w:t xml:space="preserve"> </w:t>
              </w:r>
            </w:hyperlink>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12"/>
        </w:trPr>
        <w:tc>
          <w:tcPr>
            <w:tcW w:w="40" w:type="dxa"/>
            <w:vAlign w:val="bottom"/>
          </w:tcPr>
          <w:p>
            <w:pPr>
              <w:spacing w:after="0"/>
              <w:rPr>
                <w:sz w:val="9"/>
                <w:szCs w:val="9"/>
                <w:color w:val="auto"/>
              </w:rPr>
            </w:pPr>
          </w:p>
        </w:tc>
        <w:tc>
          <w:tcPr>
            <w:tcW w:w="2060" w:type="dxa"/>
            <w:vAlign w:val="bottom"/>
            <w:gridSpan w:val="2"/>
            <w:vMerge w:val="continue"/>
          </w:tcPr>
          <w:p>
            <w:pPr>
              <w:spacing w:after="0"/>
              <w:rPr>
                <w:sz w:val="9"/>
                <w:szCs w:val="9"/>
                <w:color w:val="auto"/>
              </w:rPr>
            </w:pPr>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20" w:type="dxa"/>
            <w:vAlign w:val="bottom"/>
            <w:vMerge w:val="restart"/>
          </w:tcPr>
          <w:p>
            <w:pPr>
              <w:ind w:left="80"/>
              <w:spacing w:after="0"/>
              <w:rPr>
                <w:sz w:val="20"/>
                <w:szCs w:val="20"/>
                <w:color w:val="auto"/>
              </w:rPr>
            </w:pPr>
            <w:r>
              <w:rPr>
                <w:rFonts w:ascii="Arial" w:cs="Arial" w:eastAsia="Arial" w:hAnsi="Arial"/>
                <w:sz w:val="17"/>
                <w:szCs w:val="17"/>
                <w:color w:val="0000FF"/>
              </w:rPr>
              <w:t xml:space="preserve">NGM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143"/>
        </w:trPr>
        <w:tc>
          <w:tcPr>
            <w:tcW w:w="4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3"/>
        </w:trPr>
        <w:tc>
          <w:tcPr>
            <w:tcW w:w="40" w:type="dxa"/>
            <w:vAlign w:val="bottom"/>
          </w:tcPr>
          <w:p>
            <w:pPr>
              <w:spacing w:after="0"/>
              <w:rPr>
                <w:sz w:val="23"/>
                <w:szCs w:val="23"/>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(Last)</w:t>
            </w:r>
          </w:p>
        </w:tc>
        <w:tc>
          <w:tcPr>
            <w:tcW w:w="1060" w:type="dxa"/>
            <w:vAlign w:val="bottom"/>
          </w:tcPr>
          <w:p>
            <w:pPr>
              <w:ind w:left="22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3"/>
                <w:szCs w:val="23"/>
                <w:color w:val="auto"/>
              </w:rPr>
            </w:pPr>
          </w:p>
        </w:tc>
        <w:tc>
          <w:tcPr>
            <w:tcW w:w="382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2060" w:type="dxa"/>
            <w:vAlign w:val="bottom"/>
            <w:gridSpan w:val="2"/>
          </w:tcPr>
          <w:p>
            <w:pPr>
              <w:spacing w:after="0"/>
              <w:rPr>
                <w:sz w:val="20"/>
                <w:szCs w:val="20"/>
                <w:color w:val="auto"/>
              </w:rPr>
            </w:pPr>
            <w:r>
              <w:rPr>
                <w:rFonts w:ascii="Arial" w:cs="Arial" w:eastAsia="Arial" w:hAnsi="Arial"/>
                <w:sz w:val="17"/>
                <w:szCs w:val="17"/>
                <w:color w:val="0000FF"/>
              </w:rPr>
              <w:t>1700 OWENS STREET</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20" w:type="dxa"/>
            <w:vAlign w:val="bottom"/>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1000" w:type="dxa"/>
            <w:vAlign w:val="bottom"/>
            <w:vMerge w:val="restart"/>
          </w:tcPr>
          <w:p>
            <w:pPr>
              <w:spacing w:after="0"/>
              <w:rPr>
                <w:sz w:val="20"/>
                <w:szCs w:val="20"/>
                <w:color w:val="auto"/>
              </w:rPr>
            </w:pPr>
            <w:r>
              <w:rPr>
                <w:rFonts w:ascii="Arial" w:cs="Arial" w:eastAsia="Arial" w:hAnsi="Arial"/>
                <w:sz w:val="17"/>
                <w:szCs w:val="17"/>
                <w:color w:val="0000FF"/>
              </w:rPr>
              <w:t>SUITE 500</w:t>
            </w:r>
          </w:p>
        </w:tc>
        <w:tc>
          <w:tcPr>
            <w:tcW w:w="106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900" w:type="dxa"/>
            <w:vAlign w:val="bottom"/>
            <w:gridSpan w:val="2"/>
          </w:tcPr>
          <w:p>
            <w:pPr>
              <w:ind w:left="160"/>
              <w:spacing w:after="0"/>
              <w:rPr>
                <w:sz w:val="20"/>
                <w:szCs w:val="20"/>
                <w:color w:val="auto"/>
              </w:rPr>
            </w:pPr>
            <w:r>
              <w:rPr>
                <w:rFonts w:ascii="Arial" w:cs="Arial" w:eastAsia="Arial" w:hAnsi="Arial"/>
                <w:sz w:val="17"/>
                <w:szCs w:val="17"/>
                <w:color w:val="0000FF"/>
              </w:rPr>
              <w:t>04/03/2020</w:t>
            </w:r>
          </w:p>
        </w:tc>
        <w:tc>
          <w:tcPr>
            <w:tcW w:w="0" w:type="dxa"/>
            <w:vAlign w:val="bottom"/>
          </w:tcPr>
          <w:p>
            <w:pPr>
              <w:spacing w:after="0"/>
              <w:rPr>
                <w:sz w:val="1"/>
                <w:szCs w:val="1"/>
                <w:color w:val="auto"/>
              </w:rPr>
            </w:pPr>
          </w:p>
        </w:tc>
      </w:tr>
      <w:tr>
        <w:trPr>
          <w:trHeight w:val="133"/>
        </w:trPr>
        <w:tc>
          <w:tcPr>
            <w:tcW w:w="4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174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10% Owner</w:t>
      </w:r>
    </w:p>
    <w:p>
      <w:pPr>
        <w:spacing w:after="0" w:line="76"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10" w:lineRule="exact"/>
        <w:rPr>
          <w:sz w:val="20"/>
          <w:szCs w:val="20"/>
          <w:color w:val="auto"/>
        </w:rPr>
      </w:pPr>
    </w:p>
    <w:p>
      <w:pPr>
        <w:sectPr>
          <w:pgSz w:w="11900" w:h="16838" w:orient="portrait"/>
          <w:cols w:equalWidth="0" w:num="2">
            <w:col w:w="7660" w:space="75"/>
            <w:col w:w="3345"/>
          </w:cols>
          <w:pgMar w:left="460" w:top="225" w:right="359" w:bottom="0" w:gutter="0" w:footer="0" w:header="0"/>
          <w:type w:val="continuous"/>
        </w:sectPr>
      </w:pPr>
    </w:p>
    <w:tbl>
      <w:tblPr>
        <w:tblLayout w:type="fixed"/>
        <w:tblInd w:w="0" w:type="dxa"/>
        <w:tblCellMar>
          <w:top w:w="0" w:type="dxa"/>
          <w:left w:w="0" w:type="dxa"/>
          <w:bottom w:w="0" w:type="dxa"/>
          <w:right w:w="0" w:type="dxa"/>
        </w:tblCellMar>
      </w:tblP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300" w:type="dxa"/>
            <w:vAlign w:val="bottom"/>
            <w:tcBorders>
              <w:top w:val="single" w:sz="8" w:color="9A9A9A"/>
            </w:tcBorders>
          </w:tcPr>
          <w:p>
            <w:pPr>
              <w:spacing w:after="0"/>
              <w:rPr>
                <w:sz w:val="12"/>
                <w:szCs w:val="12"/>
                <w:color w:val="auto"/>
              </w:rPr>
            </w:pPr>
          </w:p>
        </w:tc>
        <w:tc>
          <w:tcPr>
            <w:tcW w:w="420" w:type="dxa"/>
            <w:vAlign w:val="bottom"/>
            <w:tcBorders>
              <w:top w:val="single" w:sz="8" w:color="9A9A9A"/>
            </w:tcBorders>
          </w:tcPr>
          <w:p>
            <w:pPr>
              <w:spacing w:after="0"/>
              <w:rPr>
                <w:sz w:val="12"/>
                <w:szCs w:val="12"/>
                <w:color w:val="auto"/>
              </w:rPr>
            </w:pPr>
          </w:p>
        </w:tc>
        <w:tc>
          <w:tcPr>
            <w:tcW w:w="640" w:type="dxa"/>
            <w:vAlign w:val="bottom"/>
            <w:tcBorders>
              <w:top w:val="single" w:sz="8" w:color="9A9A9A"/>
            </w:tcBorders>
          </w:tcPr>
          <w:p>
            <w:pPr>
              <w:spacing w:after="0"/>
              <w:rPr>
                <w:sz w:val="12"/>
                <w:szCs w:val="12"/>
                <w:color w:val="auto"/>
              </w:rPr>
            </w:pPr>
          </w:p>
        </w:tc>
        <w:tc>
          <w:tcPr>
            <w:tcW w:w="560" w:type="dxa"/>
            <w:vAlign w:val="bottom"/>
            <w:tcBorders>
              <w:top w:val="single" w:sz="8" w:color="9A9A9A"/>
            </w:tcBorders>
          </w:tcPr>
          <w:p>
            <w:pPr>
              <w:spacing w:after="0"/>
              <w:rPr>
                <w:sz w:val="12"/>
                <w:szCs w:val="12"/>
                <w:color w:val="auto"/>
              </w:rPr>
            </w:pPr>
          </w:p>
        </w:tc>
        <w:tc>
          <w:tcPr>
            <w:tcW w:w="540" w:type="dxa"/>
            <w:vAlign w:val="bottom"/>
            <w:tcBorders>
              <w:top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960" w:type="dxa"/>
            <w:vAlign w:val="bottom"/>
            <w:gridSpan w:val="11"/>
          </w:tcPr>
          <w:p>
            <w:pPr>
              <w:ind w:left="140"/>
              <w:spacing w:after="0" w:line="147" w:lineRule="exact"/>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0"/>
          </w:tcPr>
          <w:p>
            <w:pPr>
              <w:spacing w:after="0" w:line="14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gridSpan w:val="2"/>
          </w:tcPr>
          <w:p>
            <w:pPr>
              <w:spacing w:after="0"/>
              <w:rPr>
                <w:sz w:val="20"/>
                <w:szCs w:val="20"/>
                <w:color w:val="auto"/>
              </w:rPr>
            </w:pPr>
            <w:r>
              <w:rPr>
                <w:rFonts w:ascii="Arial" w:cs="Arial" w:eastAsia="Arial" w:hAnsi="Arial"/>
                <w:sz w:val="13"/>
                <w:szCs w:val="13"/>
                <w:color w:val="auto"/>
              </w:rPr>
              <w:t>Line)</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7"/>
                <w:szCs w:val="17"/>
                <w:color w:val="0000FF"/>
              </w:rPr>
              <w:t>SAN</w:t>
            </w:r>
          </w:p>
        </w:tc>
        <w:tc>
          <w:tcPr>
            <w:tcW w:w="560" w:type="dxa"/>
            <w:vAlign w:val="bottom"/>
          </w:tcPr>
          <w:p>
            <w:pPr>
              <w:spacing w:after="0"/>
              <w:rPr>
                <w:sz w:val="20"/>
                <w:szCs w:val="20"/>
                <w:color w:val="auto"/>
              </w:rPr>
            </w:pP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CA</w:t>
            </w:r>
          </w:p>
        </w:tc>
        <w:tc>
          <w:tcPr>
            <w:tcW w:w="420" w:type="dxa"/>
            <w:vAlign w:val="bottom"/>
          </w:tcPr>
          <w:p>
            <w:pPr>
              <w:spacing w:after="0"/>
              <w:rPr>
                <w:sz w:val="20"/>
                <w:szCs w:val="20"/>
                <w:color w:val="auto"/>
              </w:rPr>
            </w:pPr>
          </w:p>
        </w:tc>
        <w:tc>
          <w:tcPr>
            <w:tcW w:w="1200" w:type="dxa"/>
            <w:vAlign w:val="bottom"/>
            <w:gridSpan w:val="2"/>
            <w:vMerge w:val="restart"/>
          </w:tcPr>
          <w:p>
            <w:pPr>
              <w:ind w:left="540"/>
              <w:spacing w:after="0"/>
              <w:rPr>
                <w:sz w:val="20"/>
                <w:szCs w:val="20"/>
                <w:color w:val="auto"/>
              </w:rPr>
            </w:pPr>
            <w:r>
              <w:rPr>
                <w:rFonts w:ascii="Arial" w:cs="Arial" w:eastAsia="Arial" w:hAnsi="Arial"/>
                <w:sz w:val="17"/>
                <w:szCs w:val="17"/>
                <w:color w:val="0000FF"/>
              </w:rPr>
              <w:t>94158</w:t>
            </w: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20" w:type="dxa"/>
            <w:vAlign w:val="bottom"/>
            <w:gridSpan w:val="9"/>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30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60" w:type="dxa"/>
            <w:vAlign w:val="bottom"/>
            <w:gridSpan w:val="8"/>
            <w:vMerge w:val="restart"/>
          </w:tcPr>
          <w:p>
            <w:pPr>
              <w:ind w:left="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3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tcPr>
          <w:p>
            <w:pPr>
              <w:spacing w:after="0"/>
              <w:rPr>
                <w:sz w:val="8"/>
                <w:szCs w:val="8"/>
                <w:color w:val="auto"/>
              </w:rPr>
            </w:pPr>
          </w:p>
        </w:tc>
        <w:tc>
          <w:tcPr>
            <w:tcW w:w="4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42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5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color w:val="auto"/>
              </w:rPr>
              <w:t>Person</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7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200" w:type="dxa"/>
            <w:vAlign w:val="bottom"/>
            <w:gridSpan w:val="2"/>
          </w:tcPr>
          <w:p>
            <w:pPr>
              <w:ind w:left="540"/>
              <w:spacing w:after="0"/>
              <w:rPr>
                <w:sz w:val="20"/>
                <w:szCs w:val="20"/>
                <w:color w:val="auto"/>
              </w:rPr>
            </w:pPr>
            <w:r>
              <w:rPr>
                <w:rFonts w:ascii="Arial" w:cs="Arial" w:eastAsia="Arial" w:hAnsi="Arial"/>
                <w:sz w:val="13"/>
                <w:szCs w:val="13"/>
                <w:color w:val="auto"/>
              </w:rPr>
              <w:t>(Zip)</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500" w:type="dxa"/>
            <w:vAlign w:val="bottom"/>
            <w:tcBorders>
              <w:bottom w:val="single" w:sz="8" w:color="2C2C2C"/>
            </w:tcBorders>
            <w:gridSpan w:val="11"/>
          </w:tcPr>
          <w:p>
            <w:pPr>
              <w:spacing w:after="0"/>
              <w:rPr>
                <w:sz w:val="11"/>
                <w:szCs w:val="11"/>
                <w:color w:val="auto"/>
              </w:rPr>
            </w:pPr>
          </w:p>
        </w:tc>
        <w:tc>
          <w:tcPr>
            <w:tcW w:w="1280" w:type="dxa"/>
            <w:vAlign w:val="bottom"/>
            <w:tcBorders>
              <w:bottom w:val="single" w:sz="8" w:color="2C2C2C"/>
            </w:tcBorders>
            <w:gridSpan w:val="3"/>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42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9"/>
          </w:tcPr>
          <w:p>
            <w:pPr>
              <w:ind w:lef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44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00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0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200" w:type="dxa"/>
            <w:vAlign w:val="bottom"/>
            <w:gridSpan w:val="2"/>
          </w:tcPr>
          <w:p>
            <w:pPr>
              <w:ind w:left="1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4"/>
          </w:tcPr>
          <w:p>
            <w:pPr>
              <w:ind w:left="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ind w:left="20"/>
              <w:spacing w:after="0"/>
              <w:rPr>
                <w:sz w:val="20"/>
                <w:szCs w:val="20"/>
                <w:color w:val="auto"/>
              </w:rPr>
            </w:pPr>
            <w:r>
              <w:rPr>
                <w:rFonts w:ascii="Arial" w:cs="Arial" w:eastAsia="Arial" w:hAnsi="Arial"/>
                <w:sz w:val="12"/>
                <w:szCs w:val="12"/>
                <w:b w:val="1"/>
                <w:bCs w:val="1"/>
                <w:color w:val="auto"/>
                <w:w w:val="99"/>
              </w:rPr>
              <w:t>3.</w:t>
            </w: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6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1940" w:type="dxa"/>
            <w:vAlign w:val="bottom"/>
            <w:gridSpan w:val="6"/>
          </w:tcPr>
          <w:p>
            <w:pPr>
              <w:ind w:left="20"/>
              <w:spacing w:after="0"/>
              <w:rPr>
                <w:sz w:val="20"/>
                <w:szCs w:val="20"/>
                <w:color w:val="auto"/>
              </w:rPr>
            </w:pPr>
            <w:r>
              <w:rPr>
                <w:rFonts w:ascii="Arial" w:cs="Arial" w:eastAsia="Arial" w:hAnsi="Arial"/>
                <w:sz w:val="12"/>
                <w:szCs w:val="12"/>
                <w:b w:val="1"/>
                <w:bCs w:val="1"/>
                <w:color w:val="auto"/>
              </w:rPr>
              <w:t>7. Nature of Indirect 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ind w:left="160"/>
              <w:spacing w:after="0" w:line="131"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1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9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11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Ownership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8)</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9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Indirect (I)</w:t>
            </w: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w:t>
            </w: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V</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04/03/2020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ind w:left="20"/>
              <w:spacing w:after="0"/>
              <w:rPr>
                <w:sz w:val="20"/>
                <w:szCs w:val="20"/>
                <w:color w:val="auto"/>
              </w:rPr>
            </w:pPr>
            <w:r>
              <w:rPr>
                <w:rFonts w:ascii="Arial" w:cs="Arial" w:eastAsia="Arial" w:hAnsi="Arial"/>
                <w:sz w:val="17"/>
                <w:szCs w:val="17"/>
                <w:color w:val="0000FF"/>
              </w:rPr>
              <w:t>14,587</w:t>
            </w:r>
            <w:r>
              <w:rPr>
                <w:rFonts w:ascii="Arial" w:cs="Arial" w:eastAsia="Arial" w:hAnsi="Arial"/>
                <w:sz w:val="22"/>
                <w:szCs w:val="22"/>
                <w:color w:val="008000"/>
                <w:vertAlign w:val="superscript"/>
              </w:rPr>
              <w:t>(1)</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12.41</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91"/>
              </w:rPr>
              <w:t>17,470,648</w:t>
            </w:r>
          </w:p>
        </w:tc>
        <w:tc>
          <w:tcPr>
            <w:tcW w:w="3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0" w:type="dxa"/>
            <w:vAlign w:val="bottom"/>
            <w:gridSpan w:val="2"/>
          </w:tcPr>
          <w:p>
            <w:pPr>
              <w:jc w:val="right"/>
              <w:ind w:right="95"/>
              <w:spacing w:after="0"/>
              <w:rPr>
                <w:sz w:val="20"/>
                <w:szCs w:val="20"/>
                <w:color w:val="auto"/>
              </w:rPr>
            </w:pPr>
            <w:r>
              <w:rPr>
                <w:rFonts w:ascii="Arial" w:cs="Arial" w:eastAsia="Arial" w:hAnsi="Arial"/>
                <w:sz w:val="17"/>
                <w:szCs w:val="17"/>
                <w:color w:val="0000FF"/>
              </w:rPr>
              <w:t>04/07/2020</w:t>
            </w: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0"/>
                <w:szCs w:val="20"/>
                <w:color w:val="auto"/>
              </w:rPr>
            </w:pPr>
            <w:r>
              <w:rPr>
                <w:rFonts w:ascii="Arial" w:cs="Arial" w:eastAsia="Arial" w:hAnsi="Arial"/>
                <w:sz w:val="13"/>
                <w:szCs w:val="13"/>
                <w:color w:val="0000FF"/>
              </w:rPr>
              <w:t>P</w:t>
            </w:r>
          </w:p>
        </w:tc>
        <w:tc>
          <w:tcPr>
            <w:tcW w:w="360" w:type="dxa"/>
            <w:vAlign w:val="bottom"/>
          </w:tcPr>
          <w:p>
            <w:pPr>
              <w:spacing w:after="0"/>
              <w:rPr>
                <w:sz w:val="24"/>
                <w:szCs w:val="24"/>
                <w:color w:val="auto"/>
              </w:rPr>
            </w:pPr>
          </w:p>
        </w:tc>
        <w:tc>
          <w:tcPr>
            <w:tcW w:w="860" w:type="dxa"/>
            <w:vAlign w:val="bottom"/>
            <w:gridSpan w:val="2"/>
          </w:tcPr>
          <w:p>
            <w:pPr>
              <w:spacing w:after="0"/>
              <w:rPr>
                <w:sz w:val="20"/>
                <w:szCs w:val="20"/>
                <w:color w:val="auto"/>
              </w:rPr>
            </w:pPr>
            <w:r>
              <w:rPr>
                <w:rFonts w:ascii="Arial" w:cs="Arial" w:eastAsia="Arial" w:hAnsi="Arial"/>
                <w:sz w:val="17"/>
                <w:szCs w:val="17"/>
                <w:color w:val="0000FF"/>
                <w:w w:val="95"/>
              </w:rPr>
              <w:t>123,728</w:t>
            </w:r>
            <w:r>
              <w:rPr>
                <w:rFonts w:ascii="Arial" w:cs="Arial" w:eastAsia="Arial" w:hAnsi="Arial"/>
                <w:sz w:val="22"/>
                <w:szCs w:val="22"/>
                <w:color w:val="008000"/>
                <w:w w:val="95"/>
                <w:vertAlign w:val="superscript"/>
              </w:rPr>
              <w:t>(10)</w:t>
            </w:r>
          </w:p>
        </w:tc>
        <w:tc>
          <w:tcPr>
            <w:tcW w:w="420" w:type="dxa"/>
            <w:vAlign w:val="bottom"/>
          </w:tcPr>
          <w:p>
            <w:pPr>
              <w:ind w:left="1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ind w:lef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14.38</w:t>
            </w: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6"/>
              </w:rPr>
              <w:t>17,594,376</w:t>
            </w:r>
            <w:r>
              <w:rPr>
                <w:rFonts w:ascii="Arial" w:cs="Arial" w:eastAsia="Arial" w:hAnsi="Arial"/>
                <w:sz w:val="22"/>
                <w:szCs w:val="22"/>
                <w:color w:val="008000"/>
                <w:w w:val="86"/>
                <w:vertAlign w:val="superscript"/>
              </w:rPr>
              <w:t>(11)</w:t>
            </w:r>
          </w:p>
        </w:tc>
        <w:tc>
          <w:tcPr>
            <w:tcW w:w="340" w:type="dxa"/>
            <w:vAlign w:val="bottom"/>
          </w:tcPr>
          <w:p>
            <w:pPr>
              <w:spacing w:after="0"/>
              <w:rPr>
                <w:sz w:val="24"/>
                <w:szCs w:val="24"/>
                <w:color w:val="auto"/>
              </w:rPr>
            </w:pPr>
          </w:p>
        </w:tc>
        <w:tc>
          <w:tcPr>
            <w:tcW w:w="580" w:type="dxa"/>
            <w:vAlign w:val="bottom"/>
          </w:tcPr>
          <w:p>
            <w:pPr>
              <w:ind w:left="80"/>
              <w:spacing w:after="0"/>
              <w:rPr>
                <w:sz w:val="20"/>
                <w:szCs w:val="20"/>
                <w:color w:val="auto"/>
              </w:rPr>
            </w:pPr>
            <w:r>
              <w:rPr>
                <w:rFonts w:ascii="Arial" w:cs="Arial" w:eastAsia="Arial" w:hAnsi="Arial"/>
                <w:sz w:val="17"/>
                <w:szCs w:val="17"/>
                <w:color w:val="0000FF"/>
              </w:rPr>
              <w:t>I</w:t>
            </w:r>
          </w:p>
        </w:tc>
        <w:tc>
          <w:tcPr>
            <w:tcW w:w="1940" w:type="dxa"/>
            <w:vAlign w:val="bottom"/>
            <w:gridSpan w:val="6"/>
          </w:tcPr>
          <w:p>
            <w:pPr>
              <w:ind w:left="20"/>
              <w:spacing w:after="0" w:line="280" w:lineRule="exact"/>
              <w:rPr>
                <w:sz w:val="20"/>
                <w:szCs w:val="20"/>
                <w:color w:val="auto"/>
              </w:rPr>
            </w:pPr>
            <w:r>
              <w:rPr>
                <w:rFonts w:ascii="Arial" w:cs="Arial" w:eastAsia="Arial" w:hAnsi="Arial"/>
                <w:sz w:val="32"/>
                <w:szCs w:val="32"/>
                <w:color w:val="0000FF"/>
                <w:w w:val="92"/>
                <w:vertAlign w:val="subscript"/>
              </w:rPr>
              <w:t>See Footnotes</w:t>
            </w:r>
            <w:r>
              <w:rPr>
                <w:rFonts w:ascii="Arial" w:cs="Arial" w:eastAsia="Arial" w:hAnsi="Arial"/>
                <w:sz w:val="11"/>
                <w:szCs w:val="11"/>
                <w:color w:val="008000"/>
                <w:w w:val="92"/>
              </w:rPr>
              <w:t>(2)(3)(4)(5)(6)</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Pr>
          <w:p>
            <w:pPr>
              <w:ind w:left="20"/>
              <w:spacing w:after="0"/>
              <w:rPr>
                <w:sz w:val="20"/>
                <w:szCs w:val="20"/>
                <w:color w:val="auto"/>
              </w:rPr>
            </w:pPr>
            <w:r>
              <w:rPr>
                <w:rFonts w:ascii="Arial" w:cs="Arial" w:eastAsia="Arial" w:hAnsi="Arial"/>
                <w:sz w:val="11"/>
                <w:szCs w:val="11"/>
                <w:color w:val="008000"/>
                <w:w w:val="99"/>
              </w:rPr>
              <w:t>(7)(8)(9)</w:t>
            </w: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gridSpan w:val="3"/>
          </w:tcPr>
          <w:p>
            <w:pPr>
              <w:jc w:val="center"/>
              <w:spacing w:after="0"/>
              <w:rPr>
                <w:sz w:val="20"/>
                <w:szCs w:val="20"/>
                <w:color w:val="auto"/>
              </w:rPr>
            </w:pPr>
            <w:r>
              <w:rPr>
                <w:rFonts w:ascii="Arial" w:cs="Arial" w:eastAsia="Arial" w:hAnsi="Arial"/>
                <w:sz w:val="17"/>
                <w:szCs w:val="17"/>
                <w:color w:val="0000FF"/>
                <w:w w:val="88"/>
              </w:rPr>
              <w:t>20,000</w:t>
            </w:r>
          </w:p>
        </w:tc>
        <w:tc>
          <w:tcPr>
            <w:tcW w:w="34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7"/>
                <w:szCs w:val="17"/>
                <w:color w:val="0000FF"/>
              </w:rPr>
              <w:t>D</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1760" w:type="dxa"/>
            <w:vAlign w:val="bottom"/>
            <w:tcBorders>
              <w:bottom w:val="single" w:sz="8" w:color="2C2C2C"/>
            </w:tcBorders>
            <w:gridSpan w:val="4"/>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11"/>
          </w:tcPr>
          <w:p>
            <w:pPr>
              <w:spacing w:after="0"/>
              <w:rPr>
                <w:sz w:val="8"/>
                <w:szCs w:val="8"/>
                <w:color w:val="auto"/>
              </w:rPr>
            </w:pPr>
          </w:p>
        </w:tc>
        <w:tc>
          <w:tcPr>
            <w:tcW w:w="1280" w:type="dxa"/>
            <w:vAlign w:val="bottom"/>
            <w:tcBorders>
              <w:bottom w:val="single" w:sz="8" w:color="2C2C2C"/>
            </w:tcBorders>
            <w:gridSpan w:val="3"/>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7120" w:type="dxa"/>
            <w:vAlign w:val="bottom"/>
            <w:tcBorders>
              <w:top w:val="single" w:sz="8" w:color="2C2C2C"/>
            </w:tcBorders>
            <w:gridSpan w:val="19"/>
          </w:tcPr>
          <w:p>
            <w:pPr>
              <w:ind w:left="4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560" w:type="dxa"/>
            <w:vAlign w:val="bottom"/>
            <w:gridSpan w:val="16"/>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14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4"/>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Acquired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Owned</w:t>
            </w:r>
          </w:p>
        </w:tc>
        <w:tc>
          <w:tcPr>
            <w:tcW w:w="440" w:type="dxa"/>
            <w:vAlign w:val="bottom"/>
          </w:tcPr>
          <w:p>
            <w:pPr>
              <w:spacing w:after="0"/>
              <w:rPr>
                <w:sz w:val="11"/>
                <w:szCs w:val="11"/>
                <w:color w:val="auto"/>
              </w:rPr>
            </w:pP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(Instr. 4)</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gridSpan w:val="2"/>
          </w:tcPr>
          <w:p>
            <w:pPr>
              <w:ind w:left="14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56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60" w:type="dxa"/>
            <w:vAlign w:val="bottom"/>
          </w:tcPr>
          <w:p>
            <w:pPr>
              <w:spacing w:after="0"/>
              <w:rPr>
                <w:sz w:val="4"/>
                <w:szCs w:val="4"/>
                <w:color w:val="auto"/>
              </w:rPr>
            </w:pPr>
          </w:p>
        </w:tc>
        <w:tc>
          <w:tcPr>
            <w:tcW w:w="34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gridSpan w:val="3"/>
          </w:tcPr>
          <w:p>
            <w:pPr>
              <w:ind w:left="24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220" w:type="dxa"/>
            <w:vAlign w:val="bottom"/>
          </w:tcPr>
          <w:p>
            <w:pPr>
              <w:spacing w:after="0"/>
              <w:rPr>
                <w:sz w:val="11"/>
                <w:szCs w:val="11"/>
                <w:color w:val="auto"/>
              </w:rPr>
            </w:pP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40" w:type="dxa"/>
            <w:vAlign w:val="bottom"/>
          </w:tcPr>
          <w:p>
            <w:pPr>
              <w:spacing w:after="0"/>
              <w:rPr>
                <w:sz w:val="13"/>
                <w:szCs w:val="13"/>
                <w:color w:val="auto"/>
              </w:rPr>
            </w:pPr>
          </w:p>
        </w:tc>
        <w:tc>
          <w:tcPr>
            <w:tcW w:w="320" w:type="dxa"/>
            <w:vAlign w:val="bottom"/>
          </w:tcPr>
          <w:p>
            <w:pPr>
              <w:ind w:left="140"/>
              <w:spacing w:after="0"/>
              <w:rPr>
                <w:sz w:val="20"/>
                <w:szCs w:val="20"/>
                <w:color w:val="auto"/>
              </w:rPr>
            </w:pPr>
            <w:r>
              <w:rPr>
                <w:rFonts w:ascii="Arial" w:cs="Arial" w:eastAsia="Arial" w:hAnsi="Arial"/>
                <w:sz w:val="12"/>
                <w:szCs w:val="12"/>
                <w:b w:val="1"/>
                <w:bCs w:val="1"/>
                <w:color w:val="auto"/>
                <w:w w:val="95"/>
              </w:rPr>
              <w:t>(A)</w:t>
            </w:r>
          </w:p>
        </w:tc>
        <w:tc>
          <w:tcPr>
            <w:tcW w:w="360" w:type="dxa"/>
            <w:vAlign w:val="bottom"/>
          </w:tcPr>
          <w:p>
            <w:pPr>
              <w:ind w:left="180"/>
              <w:spacing w:after="0"/>
              <w:rPr>
                <w:sz w:val="20"/>
                <w:szCs w:val="20"/>
                <w:color w:val="auto"/>
              </w:rPr>
            </w:pPr>
            <w:r>
              <w:rPr>
                <w:rFonts w:ascii="Arial" w:cs="Arial" w:eastAsia="Arial" w:hAnsi="Arial"/>
                <w:sz w:val="12"/>
                <w:szCs w:val="12"/>
                <w:b w:val="1"/>
                <w:bCs w:val="1"/>
                <w:color w:val="auto"/>
                <w:w w:val="95"/>
              </w:rPr>
              <w:t>(D)</w:t>
            </w:r>
          </w:p>
        </w:tc>
        <w:tc>
          <w:tcPr>
            <w:tcW w:w="60" w:type="dxa"/>
            <w:vAlign w:val="bottom"/>
          </w:tcPr>
          <w:p>
            <w:pPr>
              <w:spacing w:after="0"/>
              <w:rPr>
                <w:sz w:val="13"/>
                <w:szCs w:val="13"/>
                <w:color w:val="auto"/>
              </w:rPr>
            </w:pP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w w:val="99"/>
              </w:rPr>
              <w:t>Date</w:t>
            </w:r>
          </w:p>
        </w:tc>
        <w:tc>
          <w:tcPr>
            <w:tcW w:w="38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  Shares</w:t>
            </w: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-3584575</wp:posOffset>
            </wp:positionV>
            <wp:extent cx="7031355" cy="36302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3630295"/>
                    </a:xfrm>
                    <a:prstGeom prst="rect">
                      <a:avLst/>
                    </a:prstGeom>
                    <a:noFill/>
                  </pic:spPr>
                </pic:pic>
              </a:graphicData>
            </a:graphic>
          </wp:anchor>
        </w:drawing>
      </w:r>
    </w:p>
    <w:p>
      <w:pPr>
        <w:spacing w:after="0" w:line="7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6,851 shares held directly by The Column Group III, LP ("TCG III LP") and 7,736 shares held directly by The Column Group III-A, LP ("TCG III-A LP").</w:t>
      </w:r>
    </w:p>
    <w:p>
      <w:pPr>
        <w:spacing w:after="0" w:line="50" w:lineRule="exact"/>
        <w:rPr>
          <w:rFonts w:ascii="Arial" w:cs="Arial" w:eastAsia="Arial" w:hAnsi="Arial"/>
          <w:sz w:val="13"/>
          <w:szCs w:val="13"/>
          <w:color w:val="008000"/>
        </w:rPr>
      </w:pPr>
    </w:p>
    <w:p>
      <w:pPr>
        <w:ind w:left="40" w:right="2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LP ("TCG LP"), and indirectly held by The Column Group GP, LP ("TCG GP"), the general partner of TCG LP.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II, LP ("TCG II LP"), and indirectly held by The Column Group II GP, LP ("TCG II GP"), the general partner of TCG II LP. The managing partners of TCG II GP are David Goeddel and Peter Svennilson. The managing partners of TCG 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62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securities are directly held by TCG GP. The managing partners of TCG GP are David Goeddel and Peter Svennilson. The managing partners of TCG GP may be deemed to have voting and investment power with respect to such shares. Each individual managing partner disclaims beneficial ownership of these shares, except to the extent of his pecuniary interest in such shares.</w:t>
      </w:r>
    </w:p>
    <w:p>
      <w:pPr>
        <w:jc w:val="both"/>
        <w:ind w:left="40" w:right="16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The Column Group Management, LP ("TCGM LP"). The managing partners of TCGM LP are David Goeddel and Peter Svennilson. The managing partners of TCGM LP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4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LP ("Ponoi LP"), and indirectly held by Ponoi Management, LLC ("Ponoi LLC"), the general partner of Ponoi LP. The managing partners of Ponoi LLC are David Goeddel, Peter Svennilson and Tim Kutzkey. The managing partners of Ponoi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4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Ponoi Capital II, LP ("Ponoi II LP"), and indirectly held by Ponoi II Management, LLC ("Ponoi II LLC"), the general partner of Ponoi II LP. The managing partners of Ponoi II LLC are David Goeddel, Peter Svennilson and Tim Kutzkey. The managing partners of Ponoi II LLC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18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 LP, and indirectly held by The Column Group III GP, LP ("TCG III GP"), the general partner of TCG III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40" w:right="32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securities are directly held by TCG III-A LP, and indirectly held by TCG III GP, the general partner of TCG III-A LP. The managing partners of TCG III GP are David Goeddel, Peter Svennilson and Tim Kutzkey. The managing partners of TCG III GP may be deemed to have voting and investment power with respect to such shares. Each individual managing partner disclaims beneficial ownership of these shares, except to the extent of his pecuniary interest in such shares.</w:t>
      </w:r>
    </w:p>
    <w:p>
      <w:pPr>
        <w:spacing w:after="0" w:line="25" w:lineRule="exact"/>
        <w:rPr>
          <w:rFonts w:ascii="Arial" w:cs="Arial" w:eastAsia="Arial" w:hAnsi="Arial"/>
          <w:sz w:val="13"/>
          <w:szCs w:val="13"/>
          <w:color w:val="008000"/>
        </w:rPr>
      </w:pPr>
    </w:p>
    <w:p>
      <w:pPr>
        <w:ind w:left="240" w:hanging="193"/>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58,107 shares held directly by TCG III LP and 65,621 shares held directly by TCG III-A LP.</w:t>
      </w:r>
    </w:p>
    <w:p>
      <w:pPr>
        <w:spacing w:after="0" w:line="50" w:lineRule="exact"/>
        <w:rPr>
          <w:rFonts w:ascii="Arial" w:cs="Arial" w:eastAsia="Arial" w:hAnsi="Arial"/>
          <w:sz w:val="13"/>
          <w:szCs w:val="13"/>
          <w:color w:val="008000"/>
        </w:rPr>
      </w:pPr>
    </w:p>
    <w:p>
      <w:pPr>
        <w:ind w:left="40" w:right="180" w:firstLine="7"/>
        <w:spacing w:after="0" w:line="245" w:lineRule="auto"/>
        <w:tabs>
          <w:tab w:leader="none" w:pos="23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11,103,333 shares of Common Stock held directly by TCG LP, 2,265,758 shares of Common Stock held directly by TCG II LP, 100,000 shares of Common Stock held directly by TCG GP, 100,000 shares of Common Stock held directly by TCGM LP, 1,298,908 shares of Common Stock held directly by Ponoi LP, 1,298,908 shares of Common Stock held directly by Ponoi II LP, 670,389 shares of Common Stock held directly by TCG III LP and 757,080 shares of Common Stock held directly by TCG III-A LP. The Reporting Person disclaims beneficial ownership of the securities except to the extent of his pecuniary interest therein.</w:t>
      </w:r>
    </w:p>
    <w:p>
      <w:pPr>
        <w:spacing w:after="0" w:line="1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Jennifer J. Carlson,</w:t>
            </w:r>
          </w:p>
        </w:tc>
        <w:tc>
          <w:tcPr>
            <w:tcW w:w="320" w:type="dxa"/>
            <w:vAlign w:val="bottom"/>
          </w:tcPr>
          <w:p>
            <w:pPr>
              <w:spacing w:after="0"/>
              <w:rPr>
                <w:sz w:val="16"/>
                <w:szCs w:val="16"/>
                <w:color w:val="auto"/>
              </w:rPr>
            </w:pPr>
          </w:p>
        </w:tc>
        <w:tc>
          <w:tcPr>
            <w:tcW w:w="1120" w:type="dxa"/>
            <w:vAlign w:val="bottom"/>
            <w:gridSpan w:val="2"/>
            <w:vMerge w:val="restart"/>
          </w:tcPr>
          <w:p>
            <w:pPr>
              <w:jc w:val="right"/>
              <w:spacing w:after="0"/>
              <w:rPr>
                <w:sz w:val="20"/>
                <w:szCs w:val="20"/>
                <w:color w:val="auto"/>
              </w:rPr>
            </w:pPr>
            <w:r>
              <w:rPr>
                <w:rFonts w:ascii="Arial" w:cs="Arial" w:eastAsia="Arial" w:hAnsi="Arial"/>
                <w:sz w:val="17"/>
                <w:szCs w:val="17"/>
                <w:color w:val="0000FF"/>
              </w:rPr>
              <w:t>04/07/2020</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Arial" w:cs="Arial" w:eastAsia="Arial" w:hAnsi="Arial"/>
                <w:sz w:val="17"/>
                <w:szCs w:val="17"/>
                <w:color w:val="0000FF"/>
                <w:w w:val="95"/>
              </w:rPr>
              <w:t>Attorney-in-Fact</w:t>
            </w:r>
          </w:p>
        </w:tc>
        <w:tc>
          <w:tcPr>
            <w:tcW w:w="700" w:type="dxa"/>
            <w:vAlign w:val="bottom"/>
            <w:gridSpan w:val="2"/>
            <w:vMerge w:val="restart"/>
          </w:tcPr>
          <w:p>
            <w:pPr>
              <w:spacing w:after="0"/>
              <w:rPr>
                <w:sz w:val="7"/>
                <w:szCs w:val="7"/>
                <w:color w:val="auto"/>
              </w:rPr>
            </w:pPr>
          </w:p>
        </w:tc>
        <w:tc>
          <w:tcPr>
            <w:tcW w:w="11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5" w:right="359" w:bottom="0" w:gutter="0" w:footer="0" w:header="0"/>
          <w:type w:val="continuous"/>
        </w:sectPr>
      </w:pPr>
    </w:p>
    <w:bookmarkStart w:id="1" w:name="page2"/>
    <w:bookmarkEnd w:id="1"/>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40"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6074" TargetMode="External"/><Relationship Id="rId14" Type="http://schemas.openxmlformats.org/officeDocument/2006/relationships/hyperlink" Target="http://www.sec.gov/cgi-bin/browse-edgar?action=getcompany&amp;CIK=00014263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2020-04-07T18:29:09Z</dcterms:created>
  <dcterms:modified xsi:type="dcterms:W3CDTF">2020-04-07T18:29:09Z</dcterms:modified>
</cp:coreProperties>
</file>