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62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6262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960" w:type="dxa"/>
            <w:vAlign w:val="bottom"/>
            <w:gridSpan w:val="2"/>
            <w:vMerge w:val="restart"/>
          </w:tcPr>
          <w:p>
            <w:pPr>
              <w:spacing w:after="0"/>
              <w:rPr>
                <w:rFonts w:ascii="Arial" w:cs="Arial" w:eastAsia="Arial" w:hAnsi="Arial"/>
                <w:sz w:val="22"/>
                <w:szCs w:val="22"/>
                <w:color w:val="0000EE"/>
                <w:w w:val="96"/>
              </w:rPr>
            </w:pPr>
            <w:hyperlink r:id="rId12">
              <w:r>
                <w:rPr>
                  <w:rFonts w:ascii="Arial" w:cs="Arial" w:eastAsia="Arial" w:hAnsi="Arial"/>
                  <w:sz w:val="22"/>
                  <w:szCs w:val="22"/>
                  <w:color w:val="0000EE"/>
                  <w:w w:val="96"/>
                </w:rPr>
                <w:t>GOEDDEL DAVID V</w:t>
              </w:r>
            </w:hyperlink>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960" w:type="dxa"/>
            <w:vAlign w:val="bottom"/>
            <w:tcBorders>
              <w:bottom w:val="single" w:sz="8" w:color="0000EE"/>
            </w:tcBorders>
            <w:gridSpan w:val="2"/>
            <w:vMerge w:val="continue"/>
          </w:tcPr>
          <w:p>
            <w:pPr>
              <w:spacing w:after="0"/>
              <w:rPr>
                <w:sz w:val="5"/>
                <w:szCs w:val="5"/>
                <w:color w:val="auto"/>
              </w:rPr>
            </w:pPr>
          </w:p>
        </w:tc>
        <w:tc>
          <w:tcPr>
            <w:tcW w:w="18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bottom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8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920" w:type="dxa"/>
            <w:vAlign w:val="bottom"/>
          </w:tcPr>
          <w:p>
            <w:pPr>
              <w:ind w:left="240"/>
              <w:spacing w:after="0"/>
              <w:rPr>
                <w:sz w:val="20"/>
                <w:szCs w:val="20"/>
                <w:color w:val="auto"/>
              </w:rPr>
            </w:pPr>
            <w:r>
              <w:rPr>
                <w:rFonts w:ascii="Arial" w:cs="Arial" w:eastAsia="Arial" w:hAnsi="Arial"/>
                <w:sz w:val="14"/>
                <w:szCs w:val="14"/>
                <w:color w:val="auto"/>
              </w:rPr>
              <w:t>(First)</w:t>
            </w:r>
          </w:p>
        </w:tc>
        <w:tc>
          <w:tcPr>
            <w:tcW w:w="1840" w:type="dxa"/>
            <w:vAlign w:val="bottom"/>
          </w:tcPr>
          <w:p>
            <w:pPr>
              <w:ind w:left="5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0000FF"/>
              </w:rPr>
              <w:t>1700 OWENS STREET</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0000FF"/>
              </w:rPr>
              <w:t>SUITE 500</w:t>
            </w:r>
          </w:p>
        </w:tc>
        <w:tc>
          <w:tcPr>
            <w:tcW w:w="9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10/17/2019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500" w:type="dxa"/>
            <w:vAlign w:val="bottom"/>
            <w:tcBorders>
              <w:top w:val="single" w:sz="8" w:color="9A9A9A"/>
            </w:tcBorders>
          </w:tcPr>
          <w:p>
            <w:pPr>
              <w:spacing w:after="0"/>
              <w:rPr>
                <w:sz w:val="12"/>
                <w:szCs w:val="12"/>
                <w:color w:val="auto"/>
              </w:rPr>
            </w:pPr>
          </w:p>
        </w:tc>
        <w:tc>
          <w:tcPr>
            <w:tcW w:w="520" w:type="dxa"/>
            <w:vAlign w:val="bottom"/>
            <w:tcBorders>
              <w:top w:val="single" w:sz="8" w:color="9A9A9A"/>
            </w:tcBorders>
          </w:tcPr>
          <w:p>
            <w:pPr>
              <w:spacing w:after="0"/>
              <w:rPr>
                <w:sz w:val="12"/>
                <w:szCs w:val="12"/>
                <w:color w:val="auto"/>
              </w:rPr>
            </w:pPr>
          </w:p>
        </w:tc>
        <w:tc>
          <w:tcPr>
            <w:tcW w:w="880" w:type="dxa"/>
            <w:vAlign w:val="bottom"/>
            <w:tcBorders>
              <w:top w:val="single" w:sz="8" w:color="9A9A9A"/>
            </w:tcBorders>
          </w:tcPr>
          <w:p>
            <w:pPr>
              <w:spacing w:after="0"/>
              <w:rPr>
                <w:sz w:val="12"/>
                <w:szCs w:val="12"/>
                <w:color w:val="auto"/>
              </w:rPr>
            </w:pPr>
          </w:p>
        </w:tc>
        <w:tc>
          <w:tcPr>
            <w:tcW w:w="32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3580" w:type="dxa"/>
            <w:vAlign w:val="bottom"/>
            <w:gridSpan w:val="7"/>
          </w:tcPr>
          <w:p>
            <w:pPr>
              <w:ind w:left="160"/>
              <w:spacing w:after="0" w:line="149"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9"/>
          </w:tcPr>
          <w:p>
            <w:pPr>
              <w:ind w:left="56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ind w:left="560"/>
              <w:spacing w:after="0"/>
              <w:rPr>
                <w:sz w:val="20"/>
                <w:szCs w:val="20"/>
                <w:color w:val="auto"/>
              </w:rPr>
            </w:pPr>
            <w:r>
              <w:rPr>
                <w:rFonts w:ascii="Arial" w:cs="Arial" w:eastAsia="Arial" w:hAnsi="Arial"/>
                <w:sz w:val="14"/>
                <w:szCs w:val="14"/>
                <w:color w:val="auto"/>
              </w:rPr>
              <w:t>Line)</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7"/>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7"/>
            <w:vMerge w:val="restart"/>
          </w:tcPr>
          <w:p>
            <w:pPr>
              <w:ind w:left="4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3"/>
          </w:tcPr>
          <w:p>
            <w:pPr>
              <w:ind w:left="42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5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3580" w:type="dxa"/>
            <w:vAlign w:val="bottom"/>
            <w:tcBorders>
              <w:bottom w:val="single" w:sz="8" w:color="2C2C2C"/>
            </w:tcBorders>
            <w:gridSpan w:val="7"/>
          </w:tcPr>
          <w:p>
            <w:pPr>
              <w:spacing w:after="0"/>
              <w:rPr>
                <w:sz w:val="11"/>
                <w:szCs w:val="11"/>
                <w:color w:val="auto"/>
              </w:rPr>
            </w:pPr>
          </w:p>
        </w:tc>
        <w:tc>
          <w:tcPr>
            <w:tcW w:w="720" w:type="dxa"/>
            <w:vAlign w:val="bottom"/>
            <w:tcBorders>
              <w:bottom w:val="single" w:sz="8" w:color="2C2C2C"/>
            </w:tcBorders>
            <w:gridSpan w:val="2"/>
          </w:tcPr>
          <w:p>
            <w:pPr>
              <w:spacing w:after="0"/>
              <w:rPr>
                <w:sz w:val="11"/>
                <w:szCs w:val="11"/>
                <w:color w:val="auto"/>
              </w:rPr>
            </w:pPr>
          </w:p>
        </w:tc>
        <w:tc>
          <w:tcPr>
            <w:tcW w:w="140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6"/>
          </w:tcPr>
          <w:p>
            <w:pPr>
              <w:jc w:val="center"/>
              <w:ind w:right="21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120" w:type="dxa"/>
            <w:vAlign w:val="bottom"/>
            <w:tcBorders>
              <w:bottom w:val="single" w:sz="8" w:color="2C2C2C"/>
            </w:tcBorders>
            <w:gridSpan w:val="5"/>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40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5. Amount of</w:t>
            </w:r>
          </w:p>
        </w:tc>
        <w:tc>
          <w:tcPr>
            <w:tcW w:w="220" w:type="dxa"/>
            <w:vAlign w:val="bottom"/>
          </w:tcPr>
          <w:p>
            <w:pPr>
              <w:spacing w:after="0"/>
              <w:rPr>
                <w:sz w:val="20"/>
                <w:szCs w:val="20"/>
                <w:color w:val="auto"/>
              </w:rPr>
            </w:pPr>
            <w:r>
              <w:rPr>
                <w:rFonts w:ascii="Arial" w:cs="Arial" w:eastAsia="Arial" w:hAnsi="Arial"/>
                <w:sz w:val="12"/>
                <w:szCs w:val="12"/>
                <w:b w:val="1"/>
                <w:bCs w:val="1"/>
                <w:color w:val="auto"/>
              </w:rPr>
              <w:t>6.</w:t>
            </w:r>
          </w:p>
        </w:tc>
        <w:tc>
          <w:tcPr>
            <w:tcW w:w="640" w:type="dxa"/>
            <w:vAlign w:val="bottom"/>
          </w:tcPr>
          <w:p>
            <w:pPr>
              <w:spacing w:after="0"/>
              <w:rPr>
                <w:sz w:val="15"/>
                <w:szCs w:val="15"/>
                <w:color w:val="auto"/>
              </w:rPr>
            </w:pP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1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gridSpan w:val="2"/>
          </w:tcPr>
          <w:p>
            <w:pPr>
              <w:jc w:val="center"/>
              <w:ind w:left="142"/>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3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5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Form: Direct</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Indirect (I)</w:t>
            </w: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w:t>
            </w:r>
          </w:p>
        </w:tc>
        <w:tc>
          <w:tcPr>
            <w:tcW w:w="3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V</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Price</w:t>
            </w:r>
          </w:p>
        </w:tc>
        <w:tc>
          <w:tcPr>
            <w:tcW w:w="12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gridSpan w:val="2"/>
          </w:tcPr>
          <w:p>
            <w:pPr>
              <w:jc w:val="center"/>
              <w:ind w:left="162"/>
              <w:spacing w:after="0"/>
              <w:rPr>
                <w:sz w:val="20"/>
                <w:szCs w:val="20"/>
                <w:color w:val="auto"/>
              </w:rPr>
            </w:pPr>
            <w:r>
              <w:rPr>
                <w:rFonts w:ascii="Arial" w:cs="Arial" w:eastAsia="Arial" w:hAnsi="Arial"/>
                <w:sz w:val="18"/>
                <w:szCs w:val="18"/>
                <w:color w:val="0000FF"/>
                <w:w w:val="88"/>
              </w:rPr>
              <w:t>10/17/2019</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ind w:left="180"/>
              <w:spacing w:after="0"/>
              <w:rPr>
                <w:sz w:val="20"/>
                <w:szCs w:val="20"/>
                <w:color w:val="auto"/>
              </w:rPr>
            </w:pPr>
            <w:r>
              <w:rPr>
                <w:rFonts w:ascii="Arial" w:cs="Arial" w:eastAsia="Arial" w:hAnsi="Arial"/>
                <w:sz w:val="14"/>
                <w:szCs w:val="14"/>
                <w:color w:val="0000FF"/>
              </w:rPr>
              <w:t>P</w:t>
            </w:r>
          </w:p>
        </w:tc>
        <w:tc>
          <w:tcPr>
            <w:tcW w:w="3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0000FF"/>
                <w:w w:val="82"/>
              </w:rPr>
              <w:t>6,818</w:t>
            </w:r>
            <w:r>
              <w:rPr>
                <w:rFonts w:ascii="Arial" w:cs="Arial" w:eastAsia="Arial" w:hAnsi="Arial"/>
                <w:sz w:val="22"/>
                <w:szCs w:val="22"/>
                <w:color w:val="008000"/>
                <w:w w:val="82"/>
                <w:vertAlign w:val="superscript"/>
              </w:rPr>
              <w:t>(1)</w:t>
            </w:r>
          </w:p>
        </w:tc>
        <w:tc>
          <w:tcPr>
            <w:tcW w:w="440" w:type="dxa"/>
            <w:vAlign w:val="bottom"/>
          </w:tcPr>
          <w:p>
            <w:pPr>
              <w:ind w:left="180"/>
              <w:spacing w:after="0"/>
              <w:rPr>
                <w:sz w:val="20"/>
                <w:szCs w:val="20"/>
                <w:color w:val="auto"/>
              </w:rPr>
            </w:pPr>
            <w:r>
              <w:rPr>
                <w:rFonts w:ascii="Arial" w:cs="Arial" w:eastAsia="Arial" w:hAnsi="Arial"/>
                <w:sz w:val="18"/>
                <w:szCs w:val="18"/>
                <w:color w:val="0000FF"/>
              </w:rPr>
              <w:t>A</w:t>
            </w:r>
          </w:p>
        </w:tc>
        <w:tc>
          <w:tcPr>
            <w:tcW w:w="700" w:type="dxa"/>
            <w:vAlign w:val="bottom"/>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10.62</w:t>
            </w:r>
          </w:p>
        </w:tc>
        <w:tc>
          <w:tcPr>
            <w:tcW w:w="60" w:type="dxa"/>
            <w:vAlign w:val="bottom"/>
          </w:tcPr>
          <w:p>
            <w:pPr>
              <w:spacing w:after="0"/>
              <w:rPr>
                <w:sz w:val="24"/>
                <w:szCs w:val="24"/>
                <w:color w:val="auto"/>
              </w:rPr>
            </w:pPr>
          </w:p>
        </w:tc>
        <w:tc>
          <w:tcPr>
            <w:tcW w:w="1200" w:type="dxa"/>
            <w:vAlign w:val="bottom"/>
            <w:gridSpan w:val="3"/>
          </w:tcPr>
          <w:p>
            <w:pPr>
              <w:jc w:val="center"/>
              <w:ind w:right="73"/>
              <w:spacing w:after="0"/>
              <w:rPr>
                <w:sz w:val="20"/>
                <w:szCs w:val="20"/>
                <w:color w:val="auto"/>
              </w:rPr>
            </w:pPr>
            <w:r>
              <w:rPr>
                <w:rFonts w:ascii="Arial" w:cs="Arial" w:eastAsia="Arial" w:hAnsi="Arial"/>
                <w:sz w:val="18"/>
                <w:szCs w:val="18"/>
                <w:color w:val="0000FF"/>
                <w:w w:val="86"/>
              </w:rPr>
              <w:t>16,519,897</w:t>
            </w:r>
          </w:p>
        </w:tc>
        <w:tc>
          <w:tcPr>
            <w:tcW w:w="22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Arial" w:cs="Arial" w:eastAsia="Arial" w:hAnsi="Arial"/>
                <w:sz w:val="18"/>
                <w:szCs w:val="18"/>
                <w:color w:val="0000FF"/>
              </w:rPr>
              <w:t>I</w:t>
            </w:r>
          </w:p>
        </w:tc>
        <w:tc>
          <w:tcPr>
            <w:tcW w:w="1860" w:type="dxa"/>
            <w:vAlign w:val="bottom"/>
            <w:gridSpan w:val="4"/>
          </w:tcPr>
          <w:p>
            <w:pPr>
              <w:ind w:left="20"/>
              <w:spacing w:after="0" w:line="283" w:lineRule="exact"/>
              <w:rPr>
                <w:sz w:val="20"/>
                <w:szCs w:val="20"/>
                <w:color w:val="auto"/>
              </w:rPr>
            </w:pPr>
            <w:r>
              <w:rPr>
                <w:rFonts w:ascii="Arial" w:cs="Arial" w:eastAsia="Arial" w:hAnsi="Arial"/>
                <w:sz w:val="32"/>
                <w:szCs w:val="32"/>
                <w:color w:val="0000FF"/>
                <w:w w:val="88"/>
                <w:vertAlign w:val="subscript"/>
              </w:rPr>
              <w:t>See Footnotes</w:t>
            </w:r>
            <w:r>
              <w:rPr>
                <w:rFonts w:ascii="Arial" w:cs="Arial" w:eastAsia="Arial" w:hAnsi="Arial"/>
                <w:sz w:val="11"/>
                <w:szCs w:val="11"/>
                <w:color w:val="008000"/>
                <w:w w:val="88"/>
              </w:rPr>
              <w:t>(2)(3)(4)(5)(6)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color w:val="008000"/>
              </w:rPr>
              <w:t>(7)(8)(9)</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gridSpan w:val="2"/>
          </w:tcPr>
          <w:p>
            <w:pPr>
              <w:jc w:val="center"/>
              <w:ind w:left="162"/>
              <w:spacing w:after="0"/>
              <w:rPr>
                <w:sz w:val="20"/>
                <w:szCs w:val="20"/>
                <w:color w:val="auto"/>
              </w:rPr>
            </w:pPr>
            <w:r>
              <w:rPr>
                <w:rFonts w:ascii="Arial" w:cs="Arial" w:eastAsia="Arial" w:hAnsi="Arial"/>
                <w:sz w:val="18"/>
                <w:szCs w:val="18"/>
                <w:color w:val="0000FF"/>
                <w:w w:val="88"/>
              </w:rPr>
              <w:t>10/18/2019</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ind w:left="180"/>
              <w:spacing w:after="0"/>
              <w:rPr>
                <w:sz w:val="20"/>
                <w:szCs w:val="20"/>
                <w:color w:val="auto"/>
              </w:rPr>
            </w:pPr>
            <w:r>
              <w:rPr>
                <w:rFonts w:ascii="Arial" w:cs="Arial" w:eastAsia="Arial" w:hAnsi="Arial"/>
                <w:sz w:val="14"/>
                <w:szCs w:val="14"/>
                <w:color w:val="0000FF"/>
              </w:rPr>
              <w:t>P</w:t>
            </w:r>
          </w:p>
        </w:tc>
        <w:tc>
          <w:tcPr>
            <w:tcW w:w="3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0000FF"/>
                <w:w w:val="83"/>
              </w:rPr>
              <w:t>34,721</w:t>
            </w:r>
            <w:r>
              <w:rPr>
                <w:rFonts w:ascii="Arial" w:cs="Arial" w:eastAsia="Arial" w:hAnsi="Arial"/>
                <w:sz w:val="22"/>
                <w:szCs w:val="22"/>
                <w:color w:val="008000"/>
                <w:w w:val="83"/>
                <w:vertAlign w:val="superscript"/>
              </w:rPr>
              <w:t>(10)</w:t>
            </w:r>
          </w:p>
        </w:tc>
        <w:tc>
          <w:tcPr>
            <w:tcW w:w="440" w:type="dxa"/>
            <w:vAlign w:val="bottom"/>
          </w:tcPr>
          <w:p>
            <w:pPr>
              <w:ind w:left="180"/>
              <w:spacing w:after="0"/>
              <w:rPr>
                <w:sz w:val="20"/>
                <w:szCs w:val="20"/>
                <w:color w:val="auto"/>
              </w:rPr>
            </w:pPr>
            <w:r>
              <w:rPr>
                <w:rFonts w:ascii="Arial" w:cs="Arial" w:eastAsia="Arial" w:hAnsi="Arial"/>
                <w:sz w:val="18"/>
                <w:szCs w:val="18"/>
                <w:color w:val="0000FF"/>
              </w:rPr>
              <w:t>A</w:t>
            </w:r>
          </w:p>
        </w:tc>
        <w:tc>
          <w:tcPr>
            <w:tcW w:w="700" w:type="dxa"/>
            <w:vAlign w:val="bottom"/>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11.29</w:t>
            </w:r>
          </w:p>
        </w:tc>
        <w:tc>
          <w:tcPr>
            <w:tcW w:w="60" w:type="dxa"/>
            <w:vAlign w:val="bottom"/>
          </w:tcPr>
          <w:p>
            <w:pPr>
              <w:spacing w:after="0"/>
              <w:rPr>
                <w:sz w:val="24"/>
                <w:szCs w:val="24"/>
                <w:color w:val="auto"/>
              </w:rPr>
            </w:pPr>
          </w:p>
        </w:tc>
        <w:tc>
          <w:tcPr>
            <w:tcW w:w="1200" w:type="dxa"/>
            <w:vAlign w:val="bottom"/>
            <w:gridSpan w:val="3"/>
          </w:tcPr>
          <w:p>
            <w:pPr>
              <w:jc w:val="center"/>
              <w:ind w:right="73"/>
              <w:spacing w:after="0"/>
              <w:rPr>
                <w:sz w:val="20"/>
                <w:szCs w:val="20"/>
                <w:color w:val="auto"/>
              </w:rPr>
            </w:pPr>
            <w:r>
              <w:rPr>
                <w:rFonts w:ascii="Arial" w:cs="Arial" w:eastAsia="Arial" w:hAnsi="Arial"/>
                <w:sz w:val="18"/>
                <w:szCs w:val="18"/>
                <w:color w:val="0000FF"/>
                <w:w w:val="86"/>
              </w:rPr>
              <w:t>16,554,618</w:t>
            </w:r>
          </w:p>
        </w:tc>
        <w:tc>
          <w:tcPr>
            <w:tcW w:w="22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Arial" w:cs="Arial" w:eastAsia="Arial" w:hAnsi="Arial"/>
                <w:sz w:val="18"/>
                <w:szCs w:val="18"/>
                <w:color w:val="0000FF"/>
              </w:rPr>
              <w:t>I</w:t>
            </w:r>
          </w:p>
        </w:tc>
        <w:tc>
          <w:tcPr>
            <w:tcW w:w="1860" w:type="dxa"/>
            <w:vAlign w:val="bottom"/>
            <w:gridSpan w:val="4"/>
          </w:tcPr>
          <w:p>
            <w:pPr>
              <w:ind w:left="20"/>
              <w:spacing w:after="0" w:line="283" w:lineRule="exact"/>
              <w:rPr>
                <w:sz w:val="20"/>
                <w:szCs w:val="20"/>
                <w:color w:val="auto"/>
              </w:rPr>
            </w:pPr>
            <w:r>
              <w:rPr>
                <w:rFonts w:ascii="Arial" w:cs="Arial" w:eastAsia="Arial" w:hAnsi="Arial"/>
                <w:sz w:val="32"/>
                <w:szCs w:val="32"/>
                <w:color w:val="0000FF"/>
                <w:w w:val="88"/>
                <w:vertAlign w:val="subscript"/>
              </w:rPr>
              <w:t>See Footnotes</w:t>
            </w:r>
            <w:r>
              <w:rPr>
                <w:rFonts w:ascii="Arial" w:cs="Arial" w:eastAsia="Arial" w:hAnsi="Arial"/>
                <w:sz w:val="11"/>
                <w:szCs w:val="11"/>
                <w:color w:val="008000"/>
                <w:w w:val="88"/>
              </w:rPr>
              <w:t>(2)(3)(4)(5)(6)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color w:val="008000"/>
              </w:rPr>
              <w:t>(7)(8)(9)</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gridSpan w:val="2"/>
          </w:tcPr>
          <w:p>
            <w:pPr>
              <w:jc w:val="center"/>
              <w:ind w:left="162"/>
              <w:spacing w:after="0"/>
              <w:rPr>
                <w:sz w:val="20"/>
                <w:szCs w:val="20"/>
                <w:color w:val="auto"/>
              </w:rPr>
            </w:pPr>
            <w:r>
              <w:rPr>
                <w:rFonts w:ascii="Arial" w:cs="Arial" w:eastAsia="Arial" w:hAnsi="Arial"/>
                <w:sz w:val="18"/>
                <w:szCs w:val="18"/>
                <w:color w:val="0000FF"/>
                <w:w w:val="88"/>
              </w:rPr>
              <w:t>10/21/2019</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ind w:left="180"/>
              <w:spacing w:after="0"/>
              <w:rPr>
                <w:sz w:val="20"/>
                <w:szCs w:val="20"/>
                <w:color w:val="auto"/>
              </w:rPr>
            </w:pPr>
            <w:r>
              <w:rPr>
                <w:rFonts w:ascii="Arial" w:cs="Arial" w:eastAsia="Arial" w:hAnsi="Arial"/>
                <w:sz w:val="14"/>
                <w:szCs w:val="14"/>
                <w:color w:val="0000FF"/>
              </w:rPr>
              <w:t>P</w:t>
            </w:r>
          </w:p>
        </w:tc>
        <w:tc>
          <w:tcPr>
            <w:tcW w:w="3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0000FF"/>
                <w:w w:val="81"/>
              </w:rPr>
              <w:t>43,400</w:t>
            </w:r>
            <w:r>
              <w:rPr>
                <w:rFonts w:ascii="Arial" w:cs="Arial" w:eastAsia="Arial" w:hAnsi="Arial"/>
                <w:sz w:val="22"/>
                <w:szCs w:val="22"/>
                <w:color w:val="008000"/>
                <w:w w:val="81"/>
                <w:vertAlign w:val="superscript"/>
              </w:rPr>
              <w:t>(11)</w:t>
            </w:r>
          </w:p>
        </w:tc>
        <w:tc>
          <w:tcPr>
            <w:tcW w:w="440" w:type="dxa"/>
            <w:vAlign w:val="bottom"/>
          </w:tcPr>
          <w:p>
            <w:pPr>
              <w:ind w:left="180"/>
              <w:spacing w:after="0"/>
              <w:rPr>
                <w:sz w:val="20"/>
                <w:szCs w:val="20"/>
                <w:color w:val="auto"/>
              </w:rPr>
            </w:pPr>
            <w:r>
              <w:rPr>
                <w:rFonts w:ascii="Arial" w:cs="Arial" w:eastAsia="Arial" w:hAnsi="Arial"/>
                <w:sz w:val="18"/>
                <w:szCs w:val="18"/>
                <w:color w:val="0000FF"/>
              </w:rPr>
              <w:t>A</w:t>
            </w:r>
          </w:p>
        </w:tc>
        <w:tc>
          <w:tcPr>
            <w:tcW w:w="700" w:type="dxa"/>
            <w:vAlign w:val="bottom"/>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11.94</w:t>
            </w:r>
          </w:p>
        </w:tc>
        <w:tc>
          <w:tcPr>
            <w:tcW w:w="60" w:type="dxa"/>
            <w:vAlign w:val="bottom"/>
          </w:tcPr>
          <w:p>
            <w:pPr>
              <w:spacing w:after="0"/>
              <w:rPr>
                <w:sz w:val="24"/>
                <w:szCs w:val="24"/>
                <w:color w:val="auto"/>
              </w:rPr>
            </w:pPr>
          </w:p>
        </w:tc>
        <w:tc>
          <w:tcPr>
            <w:tcW w:w="1200" w:type="dxa"/>
            <w:vAlign w:val="bottom"/>
            <w:gridSpan w:val="3"/>
          </w:tcPr>
          <w:p>
            <w:pPr>
              <w:jc w:val="center"/>
              <w:ind w:right="73"/>
              <w:spacing w:after="0"/>
              <w:rPr>
                <w:sz w:val="20"/>
                <w:szCs w:val="20"/>
                <w:color w:val="auto"/>
              </w:rPr>
            </w:pPr>
            <w:r>
              <w:rPr>
                <w:rFonts w:ascii="Arial" w:cs="Arial" w:eastAsia="Arial" w:hAnsi="Arial"/>
                <w:sz w:val="18"/>
                <w:szCs w:val="18"/>
                <w:color w:val="0000FF"/>
                <w:w w:val="84"/>
              </w:rPr>
              <w:t>16,598,018</w:t>
            </w:r>
            <w:r>
              <w:rPr>
                <w:rFonts w:ascii="Arial" w:cs="Arial" w:eastAsia="Arial" w:hAnsi="Arial"/>
                <w:sz w:val="22"/>
                <w:szCs w:val="22"/>
                <w:color w:val="008000"/>
                <w:w w:val="84"/>
                <w:vertAlign w:val="superscript"/>
              </w:rPr>
              <w:t>(12)</w:t>
            </w:r>
          </w:p>
        </w:tc>
        <w:tc>
          <w:tcPr>
            <w:tcW w:w="22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Arial" w:cs="Arial" w:eastAsia="Arial" w:hAnsi="Arial"/>
                <w:sz w:val="18"/>
                <w:szCs w:val="18"/>
                <w:color w:val="0000FF"/>
              </w:rPr>
              <w:t>I</w:t>
            </w:r>
          </w:p>
        </w:tc>
        <w:tc>
          <w:tcPr>
            <w:tcW w:w="1860" w:type="dxa"/>
            <w:vAlign w:val="bottom"/>
            <w:gridSpan w:val="4"/>
          </w:tcPr>
          <w:p>
            <w:pPr>
              <w:ind w:left="20"/>
              <w:spacing w:after="0" w:line="283" w:lineRule="exact"/>
              <w:rPr>
                <w:sz w:val="20"/>
                <w:szCs w:val="20"/>
                <w:color w:val="auto"/>
              </w:rPr>
            </w:pPr>
            <w:r>
              <w:rPr>
                <w:rFonts w:ascii="Arial" w:cs="Arial" w:eastAsia="Arial" w:hAnsi="Arial"/>
                <w:sz w:val="32"/>
                <w:szCs w:val="32"/>
                <w:color w:val="0000FF"/>
                <w:w w:val="88"/>
                <w:vertAlign w:val="subscript"/>
              </w:rPr>
              <w:t>See Footnotes</w:t>
            </w:r>
            <w:r>
              <w:rPr>
                <w:rFonts w:ascii="Arial" w:cs="Arial" w:eastAsia="Arial" w:hAnsi="Arial"/>
                <w:sz w:val="11"/>
                <w:szCs w:val="11"/>
                <w:color w:val="008000"/>
                <w:w w:val="88"/>
              </w:rPr>
              <w:t>(2)(3)(4)(5)(6)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color w:val="008000"/>
              </w:rPr>
              <w:t>(7)(8)(9)</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gridSpan w:val="3"/>
          </w:tcPr>
          <w:p>
            <w:pPr>
              <w:spacing w:after="0"/>
              <w:rPr>
                <w:sz w:val="8"/>
                <w:szCs w:val="8"/>
                <w:color w:val="auto"/>
              </w:rPr>
            </w:pPr>
          </w:p>
        </w:tc>
        <w:tc>
          <w:tcPr>
            <w:tcW w:w="358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5"/>
          </w:tcPr>
          <w:p>
            <w:pPr>
              <w:jc w:val="center"/>
              <w:ind w:left="30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540" w:type="dxa"/>
            <w:vAlign w:val="bottom"/>
            <w:gridSpan w:val="12"/>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70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88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2740" w:type="dxa"/>
            <w:vAlign w:val="bottom"/>
            <w:gridSpan w:val="6"/>
          </w:tcPr>
          <w:p>
            <w:pPr>
              <w:ind w:left="100"/>
              <w:spacing w:after="0"/>
              <w:rPr>
                <w:sz w:val="20"/>
                <w:szCs w:val="20"/>
                <w:color w:val="auto"/>
              </w:rPr>
            </w:pPr>
            <w:r>
              <w:rPr>
                <w:rFonts w:ascii="Arial" w:cs="Arial" w:eastAsia="Arial" w:hAnsi="Arial"/>
                <w:sz w:val="12"/>
                <w:szCs w:val="12"/>
                <w:b w:val="1"/>
                <w:bCs w:val="1"/>
                <w:color w:val="auto"/>
              </w:rPr>
              <w:t>6. Date Exercisable and   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52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2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80" w:type="dxa"/>
            <w:vAlign w:val="bottom"/>
          </w:tcPr>
          <w:p>
            <w:pPr>
              <w:jc w:val="center"/>
              <w:ind w:right="231"/>
              <w:spacing w:after="0" w:line="135" w:lineRule="exact"/>
              <w:rPr>
                <w:sz w:val="20"/>
                <w:szCs w:val="20"/>
                <w:color w:val="auto"/>
              </w:rPr>
            </w:pPr>
            <w:r>
              <w:rPr>
                <w:rFonts w:ascii="Arial" w:cs="Arial" w:eastAsia="Arial" w:hAnsi="Arial"/>
                <w:sz w:val="12"/>
                <w:szCs w:val="12"/>
                <w:b w:val="1"/>
                <w:bCs w:val="1"/>
                <w:color w:val="auto"/>
                <w:w w:val="95"/>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Underlying</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7"/>
              </w:rPr>
              <w:t>(Instr. 5)</w:t>
            </w:r>
          </w:p>
        </w:tc>
        <w:tc>
          <w:tcPr>
            <w:tcW w:w="2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gridSpan w:val="4"/>
          </w:tcPr>
          <w:p>
            <w:pPr>
              <w:ind w:left="380"/>
              <w:spacing w:after="0" w:line="135" w:lineRule="exact"/>
              <w:rPr>
                <w:sz w:val="20"/>
                <w:szCs w:val="20"/>
                <w:color w:val="auto"/>
              </w:rPr>
            </w:pPr>
            <w:r>
              <w:rPr>
                <w:rFonts w:ascii="Arial" w:cs="Arial" w:eastAsia="Arial" w:hAnsi="Arial"/>
                <w:sz w:val="12"/>
                <w:szCs w:val="12"/>
                <w:b w:val="1"/>
                <w:bCs w:val="1"/>
                <w:color w:val="auto"/>
              </w:rPr>
              <w:t>Security (Instr. 3</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3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3,202 shares held directly by The Column Group III, LP ("TCG III LP") and 3,616 shares held directly by The Column Group III-A, LP ("TCG III-A LP").</w:t>
      </w:r>
    </w:p>
    <w:p>
      <w:pPr>
        <w:spacing w:after="0" w:line="41"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5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 LP, and indirectly held by The Column Group III GP, LP ("TCG III GP"), the general partner of TCG III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III-A LP, and indirectly held by The Column Group III GP, LP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60" w:hanging="211"/>
        <w:spacing w:after="0"/>
        <w:tabs>
          <w:tab w:leader="none" w:pos="2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16,306 shares held directly by The Column Group III, LP ("TCG III LP") and 18,415 shares held directly by The Column Group III-A, LP ("TCG III-A LP").</w:t>
      </w:r>
    </w:p>
    <w:p>
      <w:pPr>
        <w:spacing w:after="0" w:line="41" w:lineRule="exact"/>
        <w:rPr>
          <w:rFonts w:ascii="Arial" w:cs="Arial" w:eastAsia="Arial" w:hAnsi="Arial"/>
          <w:sz w:val="14"/>
          <w:szCs w:val="14"/>
          <w:color w:val="008000"/>
        </w:rPr>
      </w:pPr>
    </w:p>
    <w:p>
      <w:pPr>
        <w:ind w:left="240" w:hanging="191"/>
        <w:spacing w:after="0"/>
        <w:tabs>
          <w:tab w:leader="none" w:pos="2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20,382 shares held directly by The Column Group III, LP ("TCG III LP") and 23,018 shares held directly by The Column Group III-A, LP ("TCG III-A LP").</w:t>
      </w:r>
    </w:p>
    <w:p>
      <w:pPr>
        <w:spacing w:after="0" w:line="64" w:lineRule="exact"/>
        <w:rPr>
          <w:rFonts w:ascii="Arial" w:cs="Arial" w:eastAsia="Arial" w:hAnsi="Arial"/>
          <w:sz w:val="12"/>
          <w:szCs w:val="12"/>
          <w:color w:val="008000"/>
        </w:rPr>
      </w:pPr>
    </w:p>
    <w:p>
      <w:pPr>
        <w:ind w:left="40" w:right="80" w:firstLine="9"/>
        <w:spacing w:after="0" w:line="273" w:lineRule="auto"/>
        <w:tabs>
          <w:tab w:leader="none" w:pos="2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1,298,908 shares of Common Stock held directly by Ponoi LP, 1,298,908 shares of Common Stock held directly by Ponoi II LP, 113,234 shares of Common Stock held directly by TCG III LP, 127,877 shares of Common Stock held directly by TCG III-A LP and 190,000 shares held in trust for which David V. Goeddel and Alena Z. Goeddel serve as co-trustees. The Reporting Person disclaims beneficial ownership of the securities except to the extent of his pecuniary interest therein.</w:t>
      </w:r>
    </w:p>
    <w:p>
      <w:pPr>
        <w:sectPr>
          <w:pgSz w:w="11900" w:h="16838" w:orient="portrait"/>
          <w:cols w:equalWidth="0" w:num="1">
            <w:col w:w="11420"/>
          </w:cols>
          <w:pgMar w:left="240" w:top="226" w:right="239" w:bottom="0" w:gutter="0" w:footer="0" w:header="0"/>
          <w:type w:val="continuous"/>
        </w:sectPr>
      </w:pPr>
    </w:p>
    <w:p>
      <w:pPr>
        <w:spacing w:after="0" w:line="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10/21/2019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2019-12-24T04:52:15Z</dcterms:created>
  <dcterms:modified xsi:type="dcterms:W3CDTF">2019-12-24T04:52:15Z</dcterms:modified>
</cp:coreProperties>
</file>