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80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tcBorders>
              <w:top w:val="single" w:sz="8" w:color="2C2C2C"/>
              <w:bottom w:val="single" w:sz="8" w:color="2C2C2C"/>
            </w:tcBorders>
            <w:gridSpan w:val="6"/>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gridSpan w:val="10"/>
            <w:vMerge w:val="continue"/>
          </w:tcPr>
          <w:p>
            <w:pPr>
              <w:spacing w:after="0" w:line="20" w:lineRule="exact"/>
              <w:rPr>
                <w:sz w:val="1"/>
                <w:szCs w:val="1"/>
                <w:color w:val="auto"/>
              </w:rPr>
            </w:pPr>
          </w:p>
        </w:tc>
        <w:tc>
          <w:tcPr>
            <w:tcW w:w="360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0" w:type="dxa"/>
            <w:vAlign w:val="bottom"/>
            <w:gridSpan w:val="10"/>
            <w:vMerge w:val="continue"/>
          </w:tcPr>
          <w:p>
            <w:pPr>
              <w:spacing w:after="0"/>
              <w:rPr>
                <w:sz w:val="12"/>
                <w:szCs w:val="12"/>
                <w:color w:val="auto"/>
              </w:rPr>
            </w:pPr>
          </w:p>
        </w:tc>
        <w:tc>
          <w:tcPr>
            <w:tcW w:w="360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gridSpan w:val="2"/>
            <w:vMerge w:val="restart"/>
          </w:tcPr>
          <w:p>
            <w:pPr>
              <w:ind w:left="26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8"/>
          </w:tcPr>
          <w:p>
            <w:pPr>
              <w:jc w:val="center"/>
              <w:ind w:right="4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05/07/2019</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10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57,000</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14.1</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1,932,000</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(3)(4)</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13,569,091</w:t>
            </w:r>
            <w:r>
              <w:rPr>
                <w:rFonts w:ascii="Arial" w:cs="Arial" w:eastAsia="Arial" w:hAnsi="Arial"/>
                <w:sz w:val="22"/>
                <w:szCs w:val="22"/>
                <w:color w:val="008000"/>
                <w:w w:val="85"/>
                <w:vertAlign w:val="superscript"/>
              </w:rPr>
              <w:t>(5)</w:t>
            </w:r>
          </w:p>
        </w:tc>
        <w:tc>
          <w:tcPr>
            <w:tcW w:w="920" w:type="dxa"/>
            <w:vAlign w:val="bottom"/>
            <w:tcBorders>
              <w:bottom w:val="single" w:sz="8" w:color="2C2C2C"/>
            </w:tcBorders>
          </w:tcPr>
          <w:p>
            <w:pPr>
              <w:ind w:left="1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(6)(7)(8)(9)</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15,000</w:t>
            </w:r>
          </w:p>
        </w:tc>
        <w:tc>
          <w:tcPr>
            <w:tcW w:w="920" w:type="dxa"/>
            <w:vAlign w:val="bottom"/>
            <w:tcBorders>
              <w:bottom w:val="single" w:sz="8" w:color="2C2C2C"/>
            </w:tcBorders>
          </w:tcPr>
          <w:p>
            <w:pPr>
              <w:ind w:left="26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(10)</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6"/>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80" w:type="dxa"/>
            <w:vAlign w:val="bottom"/>
            <w:gridSpan w:val="14"/>
          </w:tcPr>
          <w:p>
            <w:pPr>
              <w:jc w:val="center"/>
              <w:ind w:left="26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2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COLUMN GROUP GP,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w w:val="91"/>
              </w:rPr>
            </w:pPr>
            <w:hyperlink r:id="rId17">
              <w:r>
                <w:rPr>
                  <w:rFonts w:ascii="Arial" w:cs="Arial" w:eastAsia="Arial" w:hAnsi="Arial"/>
                  <w:sz w:val="22"/>
                  <w:szCs w:val="22"/>
                  <w:color w:val="0000EE"/>
                  <w:w w:val="91"/>
                </w:rPr>
                <w:t>Column Group Management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Column Group II GP,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PONOI CAPITAL,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Ponoi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Ponoi Capital II,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199"/>
          </w:cols>
          <w:pgMar w:left="260" w:top="118" w:right="1440" w:bottom="0" w:gutter="0" w:footer="0" w:header="0"/>
        </w:sectPr>
      </w:pPr>
    </w:p>
    <w:p>
      <w:pPr>
        <w:spacing w:after="0" w:line="12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0199"/>
          </w:cols>
          <w:pgMar w:left="260" w:top="118"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460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2924175" cy="346011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3">
        <w:r>
          <w:rPr>
            <w:rFonts w:ascii="Arial" w:cs="Arial" w:eastAsia="Arial" w:hAnsi="Arial"/>
            <w:sz w:val="22"/>
            <w:szCs w:val="22"/>
            <w:u w:val="single" w:color="auto"/>
            <w:color w:val="0000EE"/>
          </w:rPr>
          <w:t>Ponoi II Management, LLC</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w w:val="95"/>
              </w:rPr>
              <w:t>1700 OWENS STREET, SUITE 500</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2"/>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00" w:type="dxa"/>
            <w:vAlign w:val="bottom"/>
            <w:gridSpan w:val="2"/>
          </w:tcPr>
          <w:p>
            <w:pPr>
              <w:spacing w:after="0" w:line="224" w:lineRule="exact"/>
              <w:rPr>
                <w:rFonts w:ascii="Arial" w:cs="Arial" w:eastAsia="Arial" w:hAnsi="Arial"/>
                <w:sz w:val="22"/>
                <w:szCs w:val="22"/>
                <w:color w:val="0000EE"/>
              </w:rPr>
            </w:pPr>
            <w:hyperlink r:id="rId24">
              <w:r>
                <w:rPr>
                  <w:rFonts w:ascii="Arial" w:cs="Arial" w:eastAsia="Arial" w:hAnsi="Arial"/>
                  <w:sz w:val="22"/>
                  <w:szCs w:val="22"/>
                  <w:color w:val="0000EE"/>
                </w:rPr>
                <w:t>Kutzkey Tim</w:t>
              </w:r>
            </w:hyperlink>
          </w:p>
        </w:tc>
        <w:tc>
          <w:tcPr>
            <w:tcW w:w="1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1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28,500 shares of Common Stock held directly by Ponoi Capital, LP ("Ponoi LP") and 28,500 shares of Common Stock held directly by Ponoi Capital II, LP ("Ponoi II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966,000 shares of Common Stock held directly by Ponoi LP and 966,000 shares of Common Stock held directly by Ponoi II LP.</w:t>
      </w:r>
    </w:p>
    <w:p>
      <w:pPr>
        <w:spacing w:after="0" w:line="41" w:lineRule="exact"/>
        <w:rPr>
          <w:rFonts w:ascii="Arial" w:cs="Arial" w:eastAsia="Arial" w:hAnsi="Arial"/>
          <w:sz w:val="14"/>
          <w:szCs w:val="14"/>
          <w:color w:val="008000"/>
        </w:rPr>
      </w:pPr>
    </w:p>
    <w:p>
      <w:pPr>
        <w:ind w:left="20" w:right="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3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and 100,000 shares of Common Stock held directly by The Column Group Management, LP ("TCGM LP").</w:t>
      </w: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4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solely by Tim Kutzkey.</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05/09/2019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1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2" Type="http://schemas.openxmlformats.org/officeDocument/2006/relationships/image" Target="media/image6.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00420" TargetMode="External"/><Relationship Id="rId15" Type="http://schemas.openxmlformats.org/officeDocument/2006/relationships/hyperlink" Target="http://www.sec.gov/cgi-bin/browse-edgar?action=getcompany&amp;CIK=0001614627" TargetMode="External"/><Relationship Id="rId17" Type="http://schemas.openxmlformats.org/officeDocument/2006/relationships/hyperlink" Target="http://www.sec.gov/cgi-bin/browse-edgar?action=getcompany&amp;CIK=0001645340" TargetMode="External"/><Relationship Id="rId18" Type="http://schemas.openxmlformats.org/officeDocument/2006/relationships/hyperlink" Target="http://www.sec.gov/cgi-bin/browse-edgar?action=getcompany&amp;CIK=0001645333" TargetMode="External"/><Relationship Id="rId19" Type="http://schemas.openxmlformats.org/officeDocument/2006/relationships/hyperlink" Target="http://www.sec.gov/cgi-bin/browse-edgar?action=getcompany&amp;CIK=0001707230" TargetMode="External"/><Relationship Id="rId20" Type="http://schemas.openxmlformats.org/officeDocument/2006/relationships/hyperlink" Target="http://www.sec.gov/cgi-bin/browse-edgar?action=getcompany&amp;CIK=0001720702" TargetMode="External"/><Relationship Id="rId21" Type="http://schemas.openxmlformats.org/officeDocument/2006/relationships/hyperlink" Target="http://www.sec.gov/cgi-bin/browse-edgar?action=getcompany&amp;CIK=0001732601" TargetMode="External"/><Relationship Id="rId23" Type="http://schemas.openxmlformats.org/officeDocument/2006/relationships/hyperlink" Target="http://www.sec.gov/cgi-bin/browse-edgar?action=getcompany&amp;CIK=0001746488" TargetMode="External"/><Relationship Id="rId24" Type="http://schemas.openxmlformats.org/officeDocument/2006/relationships/hyperlink" Target="http://www.sec.gov/cgi-bin/browse-edgar?action=getcompany&amp;CIK=00016141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2019-12-24T06:46:29Z</dcterms:created>
  <dcterms:modified xsi:type="dcterms:W3CDTF">2019-12-24T06:46:29Z</dcterms:modified>
</cp:coreProperties>
</file>