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NGM BIOPHARMACEUTICALS,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62921N 105</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Peter Svennilson</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The Column Group, 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1700 Owens Street, Suite 500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San Francisco, CA 94158</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865-2050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March 23,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3" w:lineRule="exact"/>
        <w:rPr>
          <w:sz w:val="24"/>
          <w:szCs w:val="24"/>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1"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11,103,333(1)</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11,103,333(1)</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11,103,333(1)</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16.4%</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59"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Column Group, LP (“TCG LP”) has sole voting and dispositive control over 11,103,333 shares of common stock, par value $0.001 per share (“Common Stock”), of NGM Biopharmaceuticals, Inc. (the “Issuer”), except that The Column Group GP, LP (“TCG GP”), the general partner of TCG LP, and Peter Svennilson (“Svennilson”) and David V. Goeddel (“Goeddel”), the managing partners of TCG GP,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The Column Group GP,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1"/>
              </w:rPr>
              <w:t>AF, WC</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100,000(2)</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8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11,103,333(3)</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100,000(2)</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11,103,333(3)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11,203,333(2)(3)</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16.5%</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560" w:hanging="424"/>
        <w:spacing w:after="0" w:line="258"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TCG GP has sole voting and dispositive control over 100,000 shares of Common Stock, except that Svennilson and Goeddel, the managing partners of TCG GP, may be deemed to share dispositive and voting power over such stock.</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TCG GP is the general partner of TCG LP and shares voting and dispositive power over the shares of Common Stock held by TCG LP.</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2,265,758(4)</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2,265,758(4)</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2,265,758(4)</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20"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Column Group II, LP (“TCG II LP”) has sole voting and dispositive control over 2,265,758 shares of Common Stock, except that The Column Group II GP, LP (“TCG II GP”), the general partner of TCG II LP, and Svennilson and Goeddel, the managing partners of TCG II GP,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 GP,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2,265,758(5)</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2,265,758(5)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2,265,758(5)</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TCG II GP is the general partner of TCG II LP and shares voting and dispositive power over the shares of Common Stock held by TCG II LP.</w:t>
      </w:r>
    </w:p>
    <w:p>
      <w:pPr>
        <w:sectPr>
          <w:pgSz w:w="11900" w:h="16838" w:orient="portrait"/>
          <w:cols w:equalWidth="0" w:num="1">
            <w:col w:w="11024"/>
          </w:cols>
          <w:pgMar w:left="436" w:top="274" w:right="43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Management,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100,000(6)</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100,000(6)</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100,000(6)</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60" w:hanging="424"/>
        <w:spacing w:after="0" w:line="342"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Column Group Management, LP (“TCGM LP”) has sole voting and dispositive control over 100,000 shares of Common Stock, except that Svennilson and Goeddel, the managing partners of TCGM LP,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Capital,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1,298,908(7)</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1,298,908(7)</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1,298,908(7)</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Ponoi Capital, LP (“Ponoi LP”) has sole voting and dispositive control over 1,298,908 shares of Common Stock, except that Ponoi Management, LLC (“Ponoi LLC”), the general partner of Ponoi LP, and Goeddel, Svennilson and Tim Kutzkey (“Kutzkey”), the managing partners of Ponoi LLC,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Management, LLC</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1,298,908(8)</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1,298,908(8)</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1,298,908(8)</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Ponoi LLC is the general partner of Ponoi LP and shares voting and dispositive power over the shares of Common Stock held by Ponoi LP.</w:t>
      </w:r>
    </w:p>
    <w:p>
      <w:pPr>
        <w:sectPr>
          <w:pgSz w:w="11900" w:h="16838" w:orient="portrait"/>
          <w:cols w:equalWidth="0" w:num="1">
            <w:col w:w="11024"/>
          </w:cols>
          <w:pgMar w:left="436" w:top="274"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Capital II,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1,298,908(9)</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1,298,908(9)</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8"/>
              </w:rPr>
              <w:t>1,298,908(9)</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4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Ponoi Capital II, LP (“Ponoi II LP”) has sole voting and dispositive control over 1,298,908 shares of Common Stock, except that Ponoi II Management, LLC (“Ponoi II LLC”), the general partner of Ponoi II LP, and Goeddel, Svennilson and Kutzkey, the managing partners of Ponoi LLC,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Ponoi II Management, LLC</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1,298,908(10)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1,298,908(10)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1,298,908(10)</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(10)  Ponoi II LLC is the general partner of Ponoi II LP and shares voting and dispositive power over the shares of Common Stock held by Ponoi II LP.</w:t>
      </w:r>
    </w:p>
    <w:p>
      <w:pPr>
        <w:sectPr>
          <w:pgSz w:w="11900" w:h="16838" w:orient="portrait"/>
          <w:cols w:equalWidth="0" w:num="1">
            <w:col w:w="11020"/>
          </w:cols>
          <w:pgMar w:left="440" w:top="274"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III,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598,457(11)</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598,457(11)</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598,457(11)</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Column Group III, LP (“TCG III LP”) has sole voting and dispositive control over 598,457 shares of Common Stock, except that The Column Group III GP, LP (“TCG III GP”), the general partner of TCG III LP, and Goeddel, Svennilson and Kutzkey, the managing partners of TCG III GP,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III-A,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675,847(12)</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675,847(12)</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675,847(12)</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right="180" w:hanging="424"/>
        <w:spacing w:after="0" w:line="26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Column Group III-A, LP (“TCG III-A LP”) has sole voting and dispositive control over 675,847 shares of Common Stock, except that TCG III GP, the general partner of TCG III LP, and Goeddel, Svennilson and Kutzkey, the managing partners of TCG III GP, may be deemed to share dispositive and voting power over such stock.</w:t>
      </w:r>
    </w:p>
    <w:p>
      <w:pPr>
        <w:sectPr>
          <w:pgSz w:w="11900" w:h="16838" w:orient="portrait"/>
          <w:cols w:equalWidth="0" w:num="1">
            <w:col w:w="11024"/>
          </w:cols>
          <w:pgMar w:left="436" w:top="274"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The Column Group III GP, LP</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WC</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Delaware</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1,274,304(13)</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1,274,304(13)</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1,274,304(13)</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30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TCG III GP is the general partner of TCG III LP and TCG III-A LP and shares voting and dispositive power over the shares of Common Stock held by TCG III LP and TCG III-A LP.</w:t>
      </w:r>
    </w:p>
    <w:p>
      <w:pPr>
        <w:sectPr>
          <w:pgSz w:w="11900" w:h="16838" w:orient="portrait"/>
          <w:cols w:equalWidth="0" w:num="1">
            <w:col w:w="11024"/>
          </w:cols>
          <w:pgMar w:left="436" w:top="274"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Peter Svennilson</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AF, PF</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Sweden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44,000(14)</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8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17,441,211(15)</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3"/>
                <w:szCs w:val="13"/>
                <w:color w:val="auto"/>
              </w:rPr>
            </w:pPr>
          </w:p>
        </w:tc>
        <w:tc>
          <w:tcPr>
            <w:tcW w:w="34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44,000(14)</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87"/>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17,441,211(15)</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17,485,211(14)(15)</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25.8%</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w:t>
            </w: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700" w:hanging="424"/>
        <w:spacing w:after="0" w:line="291"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24,000 shares of Common Stock underlying options received by Svennilson, as a director of the Issuer, exercisable in four equal quarterly installments such that the options will be fully vested on the one-year anniversary of the date of grant of May 15, 2019.</w:t>
      </w:r>
    </w:p>
    <w:p>
      <w:pPr>
        <w:ind w:left="424" w:right="20" w:hanging="424"/>
        <w:spacing w:after="0" w:line="255"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Svennilson is a managing partner of TCG GP, TCG II GP, TCGM LP, Ponoi LLC, Ponoi II LLC and TCG III GP and may be deemed to share voting and dispositive control over the shares of Common Stock held by TCG LP, TCG GP, TCG II LP, TCGM LP, Ponoi LP, Ponoi II LP, TCG III LP and TCG III-A LP.</w:t>
      </w:r>
    </w:p>
    <w:p>
      <w:pPr>
        <w:sectPr>
          <w:pgSz w:w="11900" w:h="16838" w:orient="portrait"/>
          <w:cols w:equalWidth="0" w:num="1">
            <w:col w:w="11024"/>
          </w:cols>
          <w:pgMar w:left="436" w:top="274" w:right="43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David V. Goeddel</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AF, PF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U.S.A.</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24,000(16)</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17,631,211(17)</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24,000(16)</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17,631,211(17)</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17,655,211(16)(17)</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3"/>
              </w:rPr>
              <w:t>26.0%</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0" w:hanging="424"/>
        <w:spacing w:after="0" w:line="274"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24,000 shares of Common Stock underlying options received by Goeddel, as a director of the Issuer, exercisable in four equal quarterly installments such that the options will be fully vested on the one-year anniversary of the date of grant of May 15, 2019.</w:t>
      </w:r>
    </w:p>
    <w:p>
      <w:pPr>
        <w:ind w:left="424" w:right="60" w:hanging="424"/>
        <w:spacing w:after="0" w:line="273"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Goeddel is a managing partner of TCG GP, TCG II GP, TCGM LP, Ponoi LLC, Ponoi II LLC and TCG III GP and may be deemed to share voting and dispositive control over the shares of Common Stock held by TCG LP, TCG GP, TCG II LP, TCGM LP, Ponoi LP, Ponoi II LP, TCG III LP and TCG III-A LP. Goeddel serves as co-trustee of the David V. Goeddel and Alena Z. Goeddel 2004 Trust (the “Goeddel Trust”) and shares voting and dispositive control over 190,000 shares of Common Stock held directly by the Goeddel Trust.</w:t>
      </w:r>
    </w:p>
    <w:p>
      <w:pPr>
        <w:sectPr>
          <w:pgSz w:w="11900" w:h="16838" w:orient="portrait"/>
          <w:cols w:equalWidth="0" w:num="1">
            <w:col w:w="11024"/>
          </w:cols>
          <w:pgMar w:left="436" w:top="274" w:right="43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62921N 105</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top w:val="single" w:sz="8" w:color="auto"/>
              <w:right w:val="single" w:sz="8" w:color="auto"/>
            </w:tcBorders>
          </w:tcPr>
          <w:p>
            <w:pPr>
              <w:spacing w:after="0"/>
              <w:rPr>
                <w:sz w:val="21"/>
                <w:szCs w:val="21"/>
                <w:color w:val="auto"/>
              </w:rPr>
            </w:pPr>
          </w:p>
        </w:tc>
        <w:tc>
          <w:tcPr>
            <w:tcW w:w="106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Tim Kutzkey</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4"/>
          </w:tcPr>
          <w:p>
            <w:pPr>
              <w:ind w:left="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w w:val="81"/>
              </w:rPr>
              <w:t>(b)</w:t>
            </w:r>
          </w:p>
        </w:tc>
        <w:tc>
          <w:tcPr>
            <w:tcW w:w="9500" w:type="dxa"/>
            <w:vAlign w:val="bottom"/>
            <w:tcBorders>
              <w:right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5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5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5"/>
              </w:rPr>
              <w:t>AF, PF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U.S.A.</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Number of</w:t>
            </w:r>
          </w:p>
        </w:tc>
        <w:tc>
          <w:tcPr>
            <w:tcW w:w="4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gridSpan w:val="3"/>
            <w:vMerge w:val="continue"/>
          </w:tcPr>
          <w:p>
            <w:pPr>
              <w:spacing w:after="0"/>
              <w:rPr>
                <w:sz w:val="11"/>
                <w:szCs w:val="11"/>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1"/>
                <w:szCs w:val="11"/>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0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4"/>
              </w:rPr>
              <w:t>Beneficially</w:t>
            </w:r>
          </w:p>
        </w:tc>
        <w:tc>
          <w:tcPr>
            <w:tcW w:w="4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40" w:type="dxa"/>
            <w:vAlign w:val="bottom"/>
            <w:tcBorders>
              <w:left w:val="single" w:sz="8" w:color="auto"/>
              <w:right w:val="single" w:sz="8" w:color="auto"/>
            </w:tcBorders>
            <w:gridSpan w:val="3"/>
            <w:vMerge w:val="continue"/>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1"/>
              </w:rPr>
              <w:t>Owned by</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3,872,120(18)</w:t>
            </w:r>
          </w:p>
        </w:tc>
        <w:tc>
          <w:tcPr>
            <w:tcW w:w="0" w:type="dxa"/>
            <w:vAlign w:val="bottom"/>
          </w:tcPr>
          <w:p>
            <w:pPr>
              <w:spacing w:after="0"/>
              <w:rPr>
                <w:sz w:val="1"/>
                <w:szCs w:val="1"/>
                <w:color w:val="auto"/>
              </w:rPr>
            </w:pPr>
          </w:p>
        </w:tc>
      </w:tr>
      <w:tr>
        <w:trPr>
          <w:trHeight w:val="116"/>
        </w:trPr>
        <w:tc>
          <w:tcPr>
            <w:tcW w:w="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7"/>
              </w:rPr>
              <w:t>Each</w:t>
            </w:r>
          </w:p>
        </w:tc>
        <w:tc>
          <w:tcPr>
            <w:tcW w:w="4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640" w:type="dxa"/>
            <w:vAlign w:val="bottom"/>
            <w:tcBorders>
              <w:right w:val="single" w:sz="8" w:color="auto"/>
            </w:tcBorders>
            <w:gridSpan w:val="2"/>
            <w:vMerge w:val="continue"/>
          </w:tcPr>
          <w:p>
            <w:pPr>
              <w:spacing w:after="0"/>
              <w:rPr>
                <w:sz w:val="6"/>
                <w:szCs w:val="6"/>
                <w:color w:val="auto"/>
              </w:rPr>
            </w:pPr>
          </w:p>
        </w:tc>
        <w:tc>
          <w:tcPr>
            <w:tcW w:w="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0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2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040" w:type="dxa"/>
            <w:vAlign w:val="bottom"/>
            <w:tcBorders>
              <w:left w:val="single" w:sz="8" w:color="auto"/>
              <w:right w:val="single" w:sz="8" w:color="auto"/>
            </w:tcBorders>
            <w:gridSpan w:val="3"/>
            <w:vMerge w:val="continue"/>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5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7"/>
              </w:rPr>
              <w:t>Person</w:t>
            </w:r>
          </w:p>
        </w:tc>
        <w:tc>
          <w:tcPr>
            <w:tcW w:w="4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76"/>
        </w:trPr>
        <w:tc>
          <w:tcPr>
            <w:tcW w:w="400" w:type="dxa"/>
            <w:vAlign w:val="bottom"/>
            <w:tcBorders>
              <w:left w:val="single" w:sz="8" w:color="auto"/>
            </w:tcBorders>
          </w:tcPr>
          <w:p>
            <w:pPr>
              <w:spacing w:after="0"/>
              <w:rPr>
                <w:sz w:val="15"/>
                <w:szCs w:val="15"/>
                <w:color w:val="auto"/>
              </w:rPr>
            </w:pPr>
          </w:p>
        </w:tc>
        <w:tc>
          <w:tcPr>
            <w:tcW w:w="6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4"/>
              </w:rPr>
              <w:t>With</w:t>
            </w:r>
          </w:p>
        </w:tc>
        <w:tc>
          <w:tcPr>
            <w:tcW w:w="4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5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95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3,872,120(18)</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89"/>
              </w:rPr>
              <w:t>3,887,120(18)</w:t>
            </w: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60" w:hanging="424"/>
        <w:spacing w:after="0" w:line="277" w:lineRule="auto"/>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Kutzkey is a managing partner of Ponoi LLC, Ponoi II LLC and TCG III GP and may be deemed to share voting and dispositive control over the shares of Common Stock held by Ponoi LP, Ponoi II LP, TCG III LP and TCG III-A LP.</w:t>
      </w:r>
    </w:p>
    <w:p>
      <w:pPr>
        <w:sectPr>
          <w:pgSz w:w="11900" w:h="16838" w:orient="portrait"/>
          <w:cols w:equalWidth="0" w:num="1">
            <w:col w:w="11024"/>
          </w:cols>
          <w:pgMar w:left="436" w:top="274" w:right="439" w:bottom="1440" w:gutter="0" w:footer="0" w:header="0"/>
        </w:sectPr>
      </w:pPr>
    </w:p>
    <w:bookmarkStart w:id="16" w:name="page17"/>
    <w:bookmarkEnd w:id="1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This Amendment No. 3 supplements and amends the Schedule 13D relating to shares of common stock, par value $0.001 per share (the “Common Stock”), of NGM Biopharmaceuticals, Inc., a Delaware corporation (the “Issuer”), that was filed with the Securities and Exchange Commission (the “SEC”) on April 12, 2019 as it has been amended by Amendment No. 1 and Amendment No. 2 that were filed with the SEC on May 17, 2019 and October 18, 2019, respectively (collectively,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Items 2(a), (b) and (c) of the Amended Statement are hereby amended and restated in their entirety as follows:</w:t>
      </w:r>
    </w:p>
    <w:p>
      <w:pPr>
        <w:spacing w:after="0" w:line="117" w:lineRule="exact"/>
        <w:rPr>
          <w:sz w:val="20"/>
          <w:szCs w:val="20"/>
          <w:color w:val="auto"/>
        </w:rPr>
      </w:pPr>
    </w:p>
    <w:p>
      <w:pPr>
        <w:ind w:left="4" w:hanging="4"/>
        <w:spacing w:after="0" w:line="269" w:lineRule="auto"/>
        <w:tabs>
          <w:tab w:leader="none" w:pos="24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Schedule 13D is being filed by (i) The Column Group, LP, a Delaware limited partnership (“TCG LP”), (ii) The Column Group GP, LP, a Delaware limited partnership (“TCG GP”), (iii) The Column Group II, LP, a Delaware limited partnership (“TCG II LP”), (iv) The Column Group II GP, LP, a Delaware limited partnership (“TCG II GP”), (v) The Column Group Management LP, a Delaware limited partnership (“TCGM LP”), (vi) Ponoi Capital, LP, a Delaware limited partnership (“Ponoi LP”), (vii) Ponoi Management, LLC, a Delaware limited liability company (“Ponoi LLC”),</w:t>
      </w:r>
    </w:p>
    <w:p>
      <w:pPr>
        <w:spacing w:after="0" w:line="1" w:lineRule="exact"/>
        <w:rPr>
          <w:rFonts w:ascii="Arial" w:cs="Arial" w:eastAsia="Arial" w:hAnsi="Arial"/>
          <w:sz w:val="17"/>
          <w:szCs w:val="17"/>
          <w:color w:val="auto"/>
        </w:rPr>
      </w:pPr>
    </w:p>
    <w:p>
      <w:pPr>
        <w:ind w:left="4" w:right="60"/>
        <w:spacing w:after="0" w:line="265" w:lineRule="auto"/>
        <w:rPr>
          <w:rFonts w:ascii="Arial" w:cs="Arial" w:eastAsia="Arial" w:hAnsi="Arial"/>
          <w:sz w:val="17"/>
          <w:szCs w:val="17"/>
          <w:color w:val="auto"/>
        </w:rPr>
      </w:pPr>
      <w:r>
        <w:rPr>
          <w:rFonts w:ascii="Arial" w:cs="Arial" w:eastAsia="Arial" w:hAnsi="Arial"/>
          <w:sz w:val="17"/>
          <w:szCs w:val="17"/>
          <w:color w:val="auto"/>
        </w:rPr>
        <w:t>(viii) Ponoi Capital II, LP, a Delaware limited partnership (“Ponoi II LP”), (ix) Ponoi II Management, LLC, a Delaware limited liability company (“Ponoi II LLC”), (x) The Column Group III, LP (“TCG III LP”), (xi) The Column Group III-A, LP (“TCG III-A LP”), (xii) The Column Group III GP, LP (“TCG III GP”), and (xiii) Peter Svennilson, David V. Goeddel and Tim Kutzkey (collectively referred to as the “Managing Partners”).</w:t>
      </w:r>
    </w:p>
    <w:p>
      <w:pPr>
        <w:ind w:left="4" w:right="40"/>
        <w:spacing w:after="0" w:line="253" w:lineRule="auto"/>
        <w:rPr>
          <w:rFonts w:ascii="Arial" w:cs="Arial" w:eastAsia="Arial" w:hAnsi="Arial"/>
          <w:sz w:val="17"/>
          <w:szCs w:val="17"/>
          <w:color w:val="auto"/>
        </w:rPr>
      </w:pPr>
      <w:r>
        <w:rPr>
          <w:rFonts w:ascii="Arial" w:cs="Arial" w:eastAsia="Arial" w:hAnsi="Arial"/>
          <w:sz w:val="18"/>
          <w:szCs w:val="18"/>
          <w:color w:val="auto"/>
        </w:rPr>
        <w:t>Mr. Svennilson and Mr. Goeddel are the Managing Partners of TCG GP, TCG II GP and TCGM LP. Mr. Svennilson, Mr. Goeddel and Mr. Kutzkey are the Managing Partners of Ponoi LLC, Ponoi II LLC and TCG III GP. Each of the Managing Partners, TCG LP, TCG GP, TCG II LP, TCG II GP, TCGM LP, Ponoi LP, Ponoi LLC, Ponoi II LP, Ponoi II LLC, TCG III LP, TCG III-A LP and TCG III GP are sometimes hereinafter referred to individually as a “Reporting Person,” and, collectively, as the “Reporting Persons.”</w:t>
      </w:r>
    </w:p>
    <w:p>
      <w:pPr>
        <w:spacing w:after="0" w:line="84" w:lineRule="exact"/>
        <w:rPr>
          <w:rFonts w:ascii="Arial" w:cs="Arial" w:eastAsia="Arial" w:hAnsi="Arial"/>
          <w:sz w:val="17"/>
          <w:szCs w:val="17"/>
          <w:color w:val="auto"/>
        </w:rPr>
      </w:pPr>
    </w:p>
    <w:p>
      <w:pPr>
        <w:ind w:left="4" w:right="140" w:hanging="4"/>
        <w:spacing w:after="0" w:line="263"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executive offices of TCG LP, TCG GP, TCG II LP, TCG II GP, TCGM LP, Ponoi LP, Ponoi LLC, Ponoi II LP, Ponoi II LLC, TCG III LP, TCG III-A LP and TCG III GP and the business address of each of the Managing Partners, is 1700 Owens Street, Suite 500, San Francisco, California 94158.</w:t>
      </w:r>
    </w:p>
    <w:p>
      <w:pPr>
        <w:spacing w:after="0" w:line="75" w:lineRule="exact"/>
        <w:rPr>
          <w:rFonts w:ascii="Arial" w:cs="Arial" w:eastAsia="Arial" w:hAnsi="Arial"/>
          <w:sz w:val="18"/>
          <w:szCs w:val="18"/>
          <w:color w:val="auto"/>
        </w:rPr>
      </w:pPr>
    </w:p>
    <w:p>
      <w:pPr>
        <w:ind w:left="4" w:right="60" w:hanging="4"/>
        <w:spacing w:after="0" w:line="254"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business of each of TCG LP, TCG II LP, Ponoi LP, Ponoi II LP, TCG III LP and TCG III-A LP is making venture capital investments. TCGM LP’s principal business is managing entities that make venture capital investments. TCG GP’s principal business is acting as general partner of TCG LP. TCG II GP’s principal business is acting as general partner of TCG II LP. Ponoi LLC’s principal business is acting as general partner of Ponoi LP. Ponoi II LLC’s principal business is acting as general partner of Ponoi II LP. TCG III GP’s principal business is acting as general partner of TCG III LP and TCG III-A LP. Each of Mr. Svennilson’s and Mr. Goeddel’s principal business is acting as a managing partner of TCG GP, TCG II GP, TCGM LP, Ponoi LLC, Ponoi II LLC and TCG III GP. Mr. Kutzkey’s principal business is acting as a managing partner of Ponoi LLC, Ponoi II LLC and TCG III GP.</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3 of the Amended Statement is hereby amended by adding the following as the last paragraph thereof:</w:t>
      </w:r>
    </w:p>
    <w:p>
      <w:pPr>
        <w:spacing w:after="0" w:line="225"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Between October 18, 2019 and April 1, 2020, TCG III LP purchased 521,911 shares of Common Stock for an aggregate purchase price of $6,726,690 and TCG III-A LP purchased 589,403 shares of Common Stock for an aggregate purchase price of $7,596,558. TCG III LP and TCG III-A LP received the funds used to purchase each entity’s respective shares of Common Stock noted above from capital contributions made to each entity by their respective partners for investment purposes.</w:t>
      </w:r>
    </w:p>
    <w:p>
      <w:pPr>
        <w:sectPr>
          <w:pgSz w:w="11900" w:h="16838" w:orient="portrait"/>
          <w:cols w:equalWidth="0" w:num="1">
            <w:col w:w="11004"/>
          </w:cols>
          <w:pgMar w:left="436" w:top="270" w:right="45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Items 5(a), (b) and (c) of the Amended Statement are hereby amended and restated in their entirety as follows:</w:t>
      </w:r>
    </w:p>
    <w:p>
      <w:pPr>
        <w:spacing w:after="0" w:line="117" w:lineRule="exact"/>
        <w:rPr>
          <w:sz w:val="20"/>
          <w:szCs w:val="20"/>
          <w:color w:val="auto"/>
        </w:rPr>
      </w:pPr>
    </w:p>
    <w:p>
      <w:pPr>
        <w:ind w:left="4" w:right="20" w:hanging="4"/>
        <w:spacing w:after="0" w:line="282" w:lineRule="auto"/>
        <w:tabs>
          <w:tab w:leader="none" w:pos="2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the date hereof, TCG LP directly holds 11,103,333 shares of Common Stock, representing 16.4% of the Issuer’s outstanding Common Stock. TCG GP beneficially owns an aggregate of 11,203,333 shares of Common Stock, representing 16.5% of the Issuer’s outstanding Common Stock, which consists of 100,000 shares of Common Stock that TCG GP directly holds and 11,103,333 shares of Common Stock that TCG GP beneficially owns as general partner of TCG LP. TCG II LP directly holds 2,265,758 shares of Common Stock, representing 3.3% of the Issuer’s outstanding Common Stock. As the general partner of TCG II LP, TCG II GP beneficially owns an aggregate of 2,265,758 shares of Common Stock, representing 3.3% of the Issuer’s outstanding Common Stock. TCGM LP directly holds 100,000 shares of Common Stock, representing 0.2% of the Issuer’s outstanding Common Stock. Ponoi LP directly holds 1,298,908 shares of Common Stock, representing 1.9% of the Issuer’s outstanding Common Stock. As the general partner of Ponoi LP, Ponoi LLC beneficially owns an aggregate of 1,298,908 shares of Common Stock, representing 1.9% of the Issuer’s outstanding Common Stock. Ponoi II LP directly holds 1,298,908 shares of Common Stock, representing 1.9% of the Issuer’s outstanding Common Stock. As the general partner of Ponoi II LP, Ponoi II LLC beneficially owns an aggregate of 1,298,908 shares of Common Stock, representing 1.9% of the Issuer’s outstanding Common Stock. TCG III LP directly holds 598,457 shares of Common Stock, representing 0.9% of the Issuer’s outstanding Common Stock. TCG III-A LP directly holds 675,847 shares of Common Stock, representing 1.0% of the Issuer’s outstanding Common Stock. As the general partner of TCG III LP and TCG III-A LP, TCG III GP beneficially owns an aggregate of 1,274,304 shares of Common Stock, representing 1.9% of the Issuer’s outstanding Common Stock. Mr. Svennilson beneficially owns 17,485,211 shares of Common Stock, representing 25.8% of the Issuer’s outstanding Common Stock, which consists of 20,000 shares of Common Stock that Mr. Svennilson directly holds, 24,000 shares of Common Stock underlying options that Mr. Svennilson directly holds, and 17,441,211 shares of Common Stock that Mr. Svennilson beneficially owns as a Managing Partner of TCG GP, TCG II GP, TCGM LP, Ponoi LLC, Ponoi II LLC and TCG III GP. Mr. Goeddel beneficially owns 17,655,211 shares of Common Stock, representing 26.0% of the Issuer’s outstanding Common Stock, which consists of 24,000 shares of Common Stock underlying options that</w:t>
      </w:r>
    </w:p>
    <w:p>
      <w:pPr>
        <w:spacing w:after="0" w:line="11"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Mr. Goeddel directly holds, 190,000 shares of Common Stock held by the Goeddel Trust and 17,441,211 shares of Common Stock that Mr. Goeddel beneficially owns as a Managing Partner of TCG GP, TCG II GP, TCGM LP, Ponoi LLC, Ponoi II LLC and TCG III GP. Mr. Kutzkey beneficially owns 3,887,120 shares of Common Stock, representing 5.7% of the Issuer’s outstanding Common Stock, which consists of 15,000 shares of Common Stock that Mr. Kutzkey directly holds and 3,872,120 shares of Common Stock that Mr. Kutzkey beneficially owns as a Managing Partner of Ponoi LLC, Ponoi II LLC and TCG III GP.</w:t>
      </w:r>
    </w:p>
    <w:p>
      <w:pPr>
        <w:spacing w:after="0" w:line="191"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The percentages set forth in this Item 5 and in the cover page for each Reporting Person other than Mr. Svennilson and Mr. Goeddel are based on the 67,752,589 outstanding shares of Common Stock as of March 12, 2020, as disclosed in the Issuer’s Annual Report on Form 10-K filed with the SEC on March 17, 2020 (the “Shares Outstanding”), and, for Mr. Svennilson and Mr. Goeddel, are based on the Shares Outstanding plus 24,000 shares not outstanding but which are subject to options held by each such Reporting Persons.</w:t>
      </w:r>
    </w:p>
    <w:p>
      <w:pPr>
        <w:spacing w:after="0" w:line="63" w:lineRule="exact"/>
        <w:rPr>
          <w:sz w:val="20"/>
          <w:szCs w:val="20"/>
          <w:color w:val="auto"/>
        </w:rPr>
      </w:pPr>
    </w:p>
    <w:p>
      <w:pPr>
        <w:ind w:left="4" w:hanging="4"/>
        <w:spacing w:after="0" w:line="268" w:lineRule="auto"/>
        <w:tabs>
          <w:tab w:leader="none" w:pos="2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TCG LP has sole voting and dispositive control over 11,103,333 shares of Common Stock, TCG GP has sole voting and dispositive control over 100,000 shares of Common Stock, TCG II LP has sole voting and dispositive control over 2,265,758 shares of Common Stock, TCGM LP has sole voting and dispositive control over 100,000 shares of Common Stock, Ponoi LP has sole voting and dispositive control over 1,298,908 shares of Common Stock, Ponoi II LP has sole voting and dispositive control over 1,298,908 shares of Common Stock, TCG III LP has sole voting and dispositive control over 598,457 shares of Common Stock, TCG III-A LP has sole voting and dispositive control over 675,847 shares of Common Stock, Mr. Svennilson has sole voting and dispositive control over 20,000 shares of Common Stock, and Mr. Kutzkey has sole voting and dispositive control over 15,000 shares of Common Stock. None of the other Reporting Persons own any securities of the Issuer directly. Mr. Goeddel serves as co-trustee of the Goeddel Trust and shares voting and dispositive control over 190,000 shares of Common Stock held directly by the Goeddel Trust. TCG GP, as general partner of TCG LP, shares the power to direct the voting and disposition of the 11,103,333 shares owned by TCG LP and may be deemed to beneficially own the shares owned by TCG LP. TCG II GP, as general partner of TCG II LP, shares the power to direct the voting and disposition of the 2,265,758 shares owned by TCG II LP and may be deemed to beneficially own the shares owned by TCG II LP. Ponoi LLC, as general partner of Ponoi LP, shares the power to direct the voting and disposition of the 1,298,908 shares owned by Ponoi LP and may be deemed to beneficially own the shares owned by Ponoi LP.</w:t>
      </w:r>
    </w:p>
    <w:p>
      <w:pPr>
        <w:sectPr>
          <w:pgSz w:w="11900" w:h="16838" w:orient="portrait"/>
          <w:cols w:equalWidth="0" w:num="1">
            <w:col w:w="11024"/>
          </w:cols>
          <w:pgMar w:left="436" w:top="270" w:right="439" w:bottom="1440" w:gutter="0" w:footer="0" w:header="0"/>
        </w:sectPr>
      </w:pPr>
    </w:p>
    <w:bookmarkStart w:id="18" w:name="page19"/>
    <w:bookmarkEnd w:id="18"/>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Ponoi II LLC, as general partner of Ponoi II LP, shares the power to direct the voting and disposition of the 1,298,908 shares owned by Ponoi II LP and may be deemed to beneficially own the shares owned by Ponoi II LP. TCG III GP, as general partner of TCG III LP and TCG III-A LP, shares the power to direct the voting and disposition of the 598,457 shares of Common Stock owned by TCG III LP and the 675,847 shares of Common Stock owned by TCG III-A LP and may be deemed to beneficially own the shares owned by such entities. By virtue of their positions as managing partners of TCG GP, TCG II GP and TCGM LP, each of Mr. Svennilson and Mr. Goeddel may be deemed to share the power to direct the voting and disposition of the 11,103,333 shares owned by TCG LP, the 100,000 shares owned by TCG GP, the 2,265,758 shares owned by TCG II LP and the 100,000 shares owned by TCGM LP and may be deemed to beneficially own the shares owned by such entities. By virtue of their positions as managing partners of Ponoi LLC, Ponoi II LLC and TCG III GP, each Managing Partner may be deemed to share the power to direct the voting and disposition of the 1,298,908 shares owned by Ponoi LP, the 1,298,908 shares owned by Ponoi II LP, the 598,457 shares owned by TCG III LP and the 675,847 shares owned by TCG III-A LP and may be deemed to beneficially own the shares owned by such entities.</w:t>
      </w:r>
    </w:p>
    <w:p>
      <w:pPr>
        <w:spacing w:after="0" w:line="77" w:lineRule="exact"/>
        <w:rPr>
          <w:sz w:val="20"/>
          <w:szCs w:val="20"/>
          <w:color w:val="auto"/>
        </w:rPr>
      </w:pPr>
    </w:p>
    <w:p>
      <w:pPr>
        <w:ind w:left="4" w:right="340" w:hanging="4"/>
        <w:spacing w:after="0" w:line="277"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set forth herein, none of the Reporting Persons has effected any transactions in shares of the Issuer’s Common Stock during the last 60 days.</w:t>
      </w:r>
    </w:p>
    <w:p>
      <w:pPr>
        <w:sectPr>
          <w:pgSz w:w="11900" w:h="16838" w:orient="portrait"/>
          <w:cols w:equalWidth="0" w:num="1">
            <w:col w:w="11004"/>
          </w:cols>
          <w:pgMar w:left="436" w:top="274" w:right="459" w:bottom="1440" w:gutter="0" w:footer="0" w:header="0"/>
        </w:sectPr>
      </w:pPr>
    </w:p>
    <w:bookmarkStart w:id="19" w:name="page20"/>
    <w:bookmarkEnd w:id="19"/>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2020</w:t>
      </w:r>
    </w:p>
    <w:p>
      <w:pPr>
        <w:sectPr>
          <w:pgSz w:w="11900" w:h="16838" w:orient="portrait"/>
          <w:cols w:equalWidth="0" w:num="1">
            <w:col w:w="10460"/>
          </w:cols>
          <w:pgMar w:left="440" w:top="270" w:right="99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GP,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0003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II GP, LP</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0003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Ponoi Management, LLC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000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Ponoi II Management, LLC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0003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MANAGEMENT,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000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III GP, LP</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30003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2" w:lineRule="exact"/>
        <w:rPr>
          <w:sz w:val="20"/>
          <w:szCs w:val="20"/>
          <w:color w:val="auto"/>
        </w:rPr>
      </w:pPr>
    </w:p>
    <w:p>
      <w:pPr>
        <w:ind w:left="460" w:right="460" w:hanging="459"/>
        <w:spacing w:after="0" w:line="277" w:lineRule="auto"/>
        <w:tabs>
          <w:tab w:leader="none" w:pos="440" w:val="left"/>
        </w:tabs>
        <w:rPr>
          <w:sz w:val="20"/>
          <w:szCs w:val="20"/>
          <w:color w:val="auto"/>
        </w:rPr>
      </w:pPr>
      <w:r>
        <w:rPr>
          <w:rFonts w:ascii="Arial" w:cs="Arial" w:eastAsia="Arial" w:hAnsi="Arial"/>
          <w:sz w:val="18"/>
          <w:szCs w:val="18"/>
          <w:color w:val="auto"/>
        </w:rPr>
        <w:t>By:</w:t>
        <w:tab/>
        <w:t>/s/ Jennifer J. Carlson, Attorney-in-Fact on behalf of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-19050</wp:posOffset>
            </wp:positionV>
            <wp:extent cx="30003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77" w:lineRule="exact"/>
        <w:rPr>
          <w:sz w:val="20"/>
          <w:szCs w:val="20"/>
          <w:color w:val="auto"/>
        </w:rPr>
      </w:pPr>
    </w:p>
    <w:p>
      <w:pPr>
        <w:ind w:left="460" w:right="200" w:hanging="459"/>
        <w:spacing w:after="0" w:line="277" w:lineRule="auto"/>
        <w:tabs>
          <w:tab w:leader="none" w:pos="440" w:val="left"/>
        </w:tabs>
        <w:rPr>
          <w:sz w:val="20"/>
          <w:szCs w:val="20"/>
          <w:color w:val="auto"/>
        </w:rPr>
      </w:pPr>
      <w:r>
        <w:rPr>
          <w:rFonts w:ascii="Arial" w:cs="Arial" w:eastAsia="Arial" w:hAnsi="Arial"/>
          <w:sz w:val="18"/>
          <w:szCs w:val="18"/>
          <w:color w:val="auto"/>
        </w:rPr>
        <w:t>By:</w:t>
        <w:tab/>
        <w:t>/s/ Jennifer J. Carlson, Attorney-in-Fact on behalf of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-19050</wp:posOffset>
            </wp:positionV>
            <wp:extent cx="30003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GP,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00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003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003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II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00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III-A,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0003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52" w:lineRule="exact"/>
        <w:rPr>
          <w:sz w:val="20"/>
          <w:szCs w:val="20"/>
          <w:color w:val="auto"/>
        </w:rPr>
      </w:pPr>
    </w:p>
    <w:p>
      <w:pPr>
        <w:ind w:left="460" w:right="60" w:hanging="459"/>
        <w:spacing w:after="0" w:line="277" w:lineRule="auto"/>
        <w:tabs>
          <w:tab w:leader="none" w:pos="440" w:val="left"/>
        </w:tabs>
        <w:rPr>
          <w:sz w:val="20"/>
          <w:szCs w:val="20"/>
          <w:color w:val="auto"/>
        </w:rPr>
      </w:pPr>
      <w:r>
        <w:rPr>
          <w:rFonts w:ascii="Arial" w:cs="Arial" w:eastAsia="Arial" w:hAnsi="Arial"/>
          <w:sz w:val="18"/>
          <w:szCs w:val="18"/>
          <w:color w:val="auto"/>
        </w:rPr>
        <w:t>By:</w:t>
        <w:tab/>
        <w:t>/s/ Jennifer J. Carlson, Attorney-in-Fact on behalf of Tim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-19050</wp:posOffset>
            </wp:positionV>
            <wp:extent cx="3000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ectPr>
          <w:pgSz w:w="11900" w:h="16838" w:orient="portrait"/>
          <w:cols w:equalWidth="0" w:num="2">
            <w:col w:w="5100" w:space="720"/>
            <w:col w:w="4640"/>
          </w:cols>
          <w:pgMar w:left="440" w:top="270" w:right="999" w:bottom="1440" w:gutter="0" w:footer="0" w:header="0"/>
          <w:type w:val="continuous"/>
        </w:sectPr>
      </w:pPr>
    </w:p>
    <w:bookmarkStart w:id="20" w:name="page21"/>
    <w:bookmarkEnd w:id="20"/>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right="680"/>
        <w:spacing w:after="0" w:line="514" w:lineRule="auto"/>
        <w:rPr>
          <w:sz w:val="20"/>
          <w:szCs w:val="20"/>
          <w:color w:val="auto"/>
        </w:rPr>
      </w:pPr>
      <w:r>
        <w:rPr>
          <w:rFonts w:ascii="Arial" w:cs="Arial" w:eastAsia="Arial" w:hAnsi="Arial"/>
          <w:sz w:val="18"/>
          <w:szCs w:val="18"/>
          <w:color w:val="auto"/>
        </w:rPr>
        <w:t>We, the undersigned, hereby express our agreement that the attached Amendment No. 3 to Schedule 13D is filed on behalf of each of us. Dated: April 1, 2020</w:t>
      </w:r>
    </w:p>
    <w:p>
      <w:pPr>
        <w:sectPr>
          <w:pgSz w:w="11900" w:h="16838" w:orient="portrait"/>
          <w:cols w:equalWidth="0" w:num="1">
            <w:col w:w="10500"/>
          </w:cols>
          <w:pgMar w:left="440" w:top="270" w:right="959" w:bottom="1440" w:gutter="0" w:footer="0" w:header="0"/>
        </w:sect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The Column Group GP, LP</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3077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The Column Group II GP, LP</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30772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Ponoi Management, LLC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30772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Ponoi II Management, LLC</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30772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MANAGEMENT,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3077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LP</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The Column Group III GP, LP</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30772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32" w:lineRule="exact"/>
        <w:rPr>
          <w:sz w:val="20"/>
          <w:szCs w:val="20"/>
          <w:color w:val="auto"/>
        </w:rPr>
      </w:pPr>
    </w:p>
    <w:p>
      <w:pPr>
        <w:ind w:left="440" w:right="600" w:hanging="439"/>
        <w:spacing w:after="0" w:line="277" w:lineRule="auto"/>
        <w:tabs>
          <w:tab w:leader="none" w:pos="420" w:val="left"/>
        </w:tabs>
        <w:rPr>
          <w:sz w:val="20"/>
          <w:szCs w:val="20"/>
          <w:color w:val="auto"/>
        </w:rPr>
      </w:pPr>
      <w:r>
        <w:rPr>
          <w:rFonts w:ascii="Arial" w:cs="Arial" w:eastAsia="Arial" w:hAnsi="Arial"/>
          <w:sz w:val="18"/>
          <w:szCs w:val="18"/>
          <w:color w:val="auto"/>
        </w:rPr>
        <w:t>By:</w:t>
        <w:tab/>
        <w:t>/s/ Jennifer J. Carlson, Attorney-in-Fact on behalf of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30772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77" w:lineRule="exact"/>
        <w:rPr>
          <w:sz w:val="20"/>
          <w:szCs w:val="20"/>
          <w:color w:val="auto"/>
        </w:rPr>
      </w:pPr>
    </w:p>
    <w:p>
      <w:pPr>
        <w:ind w:left="440" w:right="320" w:hanging="439"/>
        <w:spacing w:after="0" w:line="277" w:lineRule="auto"/>
        <w:tabs>
          <w:tab w:leader="none" w:pos="420" w:val="left"/>
        </w:tabs>
        <w:rPr>
          <w:sz w:val="20"/>
          <w:szCs w:val="20"/>
          <w:color w:val="auto"/>
        </w:rPr>
      </w:pPr>
      <w:r>
        <w:rPr>
          <w:rFonts w:ascii="Arial" w:cs="Arial" w:eastAsia="Arial" w:hAnsi="Arial"/>
          <w:sz w:val="18"/>
          <w:szCs w:val="18"/>
          <w:color w:val="auto"/>
        </w:rPr>
        <w:t>By:</w:t>
        <w:tab/>
        <w:t>/s/ Jennifer J. Carlson, Attorney-in-Fact on behalf of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30772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COLUMN GROUP GP,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9317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9317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9317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II MANAGEMENT,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931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 GP,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III-A,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14605</wp:posOffset>
            </wp:positionV>
            <wp:extent cx="29317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J. Carlson, Attorney-in-Fact</w:t>
      </w:r>
    </w:p>
    <w:p>
      <w:pPr>
        <w:spacing w:after="0" w:line="252" w:lineRule="exact"/>
        <w:rPr>
          <w:sz w:val="20"/>
          <w:szCs w:val="20"/>
          <w:color w:val="auto"/>
        </w:rPr>
      </w:pPr>
    </w:p>
    <w:p>
      <w:pPr>
        <w:ind w:left="460" w:hanging="459"/>
        <w:spacing w:after="0" w:line="277" w:lineRule="auto"/>
        <w:tabs>
          <w:tab w:leader="none" w:pos="440" w:val="left"/>
        </w:tabs>
        <w:rPr>
          <w:sz w:val="20"/>
          <w:szCs w:val="20"/>
          <w:color w:val="auto"/>
        </w:rPr>
      </w:pPr>
      <w:r>
        <w:rPr>
          <w:rFonts w:ascii="Arial" w:cs="Arial" w:eastAsia="Arial" w:hAnsi="Arial"/>
          <w:sz w:val="18"/>
          <w:szCs w:val="18"/>
          <w:color w:val="auto"/>
        </w:rPr>
        <w:t>By:</w:t>
        <w:tab/>
        <w:t>/s/ Jennifer J. Carlson, Attorney-in-Fact on behalf of Tim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-19050</wp:posOffset>
            </wp:positionV>
            <wp:extent cx="29317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sectPr>
      <w:pgSz w:w="11900" w:h="16838" w:orient="portrait"/>
      <w:cols w:equalWidth="0" w:num="2">
        <w:col w:w="5220" w:space="720"/>
        <w:col w:w="4560"/>
      </w:cols>
      <w:pgMar w:left="440" w:top="270" w:right="9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2"/>
    </w:lvl>
  </w:abstractNum>
  <w:abstractNum w:abstractNumId="11">
    <w:nsid w:val="41A7C4C9"/>
    <w:multiLevelType w:val="hybridMultilevel"/>
    <w:lvl w:ilvl="0">
      <w:lvlJc w:val="left"/>
      <w:lvlText w:val="(%1)"/>
      <w:numFmt w:val="decimal"/>
      <w:start w:val="13"/>
    </w:lvl>
  </w:abstractNum>
  <w:abstractNum w:abstractNumId="12">
    <w:nsid w:val="6B68079A"/>
    <w:multiLevelType w:val="hybridMultilevel"/>
    <w:lvl w:ilvl="0">
      <w:lvlJc w:val="left"/>
      <w:lvlText w:val="(%1)"/>
      <w:numFmt w:val="decimal"/>
      <w:start w:val="14"/>
    </w:lvl>
  </w:abstractNum>
  <w:abstractNum w:abstractNumId="13">
    <w:nsid w:val="4E6AFB66"/>
    <w:multiLevelType w:val="hybridMultilevel"/>
    <w:lvl w:ilvl="0">
      <w:lvlJc w:val="left"/>
      <w:lvlText w:val="(%1)"/>
      <w:numFmt w:val="decimal"/>
      <w:start w:val="16"/>
    </w:lvl>
  </w:abstractNum>
  <w:abstractNum w:abstractNumId="14">
    <w:nsid w:val="25E45D32"/>
    <w:multiLevelType w:val="hybridMultilevel"/>
    <w:lvl w:ilvl="0">
      <w:lvlJc w:val="left"/>
      <w:lvlText w:val="(%1)"/>
      <w:numFmt w:val="decimal"/>
      <w:start w:val="18"/>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abstractNum>
  <w:abstractNum w:abstractNumId="18">
    <w:nsid w:val="7C83E45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2020-04-02T05:09:08Z</dcterms:created>
  <dcterms:modified xsi:type="dcterms:W3CDTF">2020-04-02T05:09:08Z</dcterms:modified>
</cp:coreProperties>
</file>