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001-38853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26-1679911</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333 Oyster Point Boulevard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(650) 243-5555</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3.01 Notice of Delisting or Failure to Satisfy a Continued Listing Rule or Standard; Transfer of Listing.</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December 1, 2023, NGM Biopharmaceuticals, Inc., a Delaware corporation (the “Company”), received a letter from the Listing Qualifications Staff (the “Nasdaq Staff”) of The Nasdaq Stock Market LLC (“Nasdaq”) notifying the Company that for the last 30 consecutive business days, the bid price of the Company’s common stock had closed below $1.00 per share, the minimum closing bid price required by the continued listing requirements of Nasdaq Listing Rule 5450(a)(1).</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notification received has no immediate effect on the listing of the Company’s common stock on The Nasdaq Global Select Market. In accordance with Nasdaq Listing Rule 5810(c)(3)(A), the Company has 180 calendar days, or until May 29, 2024 (the “Compliance Date”), to regain compliance with the minimum bid price requirement. To regain compliance, the closing bid price of the Company’s common stock must be at least $1.00 per share for a minimum of ten consecutive business days before the Compliance Date.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the Company’s common stock does not achieve compliance by the Compliance Date, the Company may be eligible for an additional 180-day period to regain compliance. To qualify for an additional compliance period, the Company would need to transfer the listing of the common stock to The Nasdaq Capital Market and meet the continued listing requirement for market value of publicly held shares and all other initial listing standards for The Nasdaq Capital Market, with the exception of the bid price requirement, and provide written notice to Nasdaq of its intention to cure the deficiency during the second compliance period by effecting a reverse stock split, if necessary.</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its common stock between now and the Compliance Date and will evaluate available options to resolve the deficiency and regain compliance with the minimum bid price rule.</w:t>
      </w:r>
    </w:p>
    <w:p>
      <w:pPr>
        <w:sectPr>
          <w:pgSz w:w="11900" w:h="16838" w:orient="portrait"/>
          <w:cols w:equalWidth="0" w:num="1">
            <w:col w:w="10920"/>
          </w:cols>
          <w:pgMar w:left="440" w:top="293" w:right="5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229" w:lineRule="exact"/>
        <w:rPr>
          <w:sz w:val="20"/>
          <w:szCs w:val="20"/>
          <w:color w:val="auto"/>
        </w:rPr>
      </w:pPr>
    </w:p>
    <w:p>
      <w:pPr>
        <w:spacing w:after="0"/>
        <w:tabs>
          <w:tab w:leader="none" w:pos="5260" w:val="left"/>
          <w:tab w:leader="none" w:pos="5820" w:val="left"/>
        </w:tabs>
        <w:rPr>
          <w:sz w:val="20"/>
          <w:szCs w:val="20"/>
          <w:color w:val="auto"/>
        </w:rPr>
      </w:pPr>
      <w:r>
        <w:rPr>
          <w:rFonts w:ascii="Times New Roman" w:cs="Times New Roman" w:eastAsia="Times New Roman" w:hAnsi="Times New Roman"/>
          <w:sz w:val="18"/>
          <w:szCs w:val="18"/>
          <w:color w:val="auto"/>
        </w:rPr>
        <w:t>Date: December 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Valerie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Valerie Pierce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Senior Vice President, General Counsel and Chief Compliance Officer</w:t>
      </w:r>
    </w:p>
    <w:sectPr>
      <w:pgSz w:w="11900" w:h="16838" w:orient="portrait"/>
      <w:cols w:equalWidth="0" w:num="1">
        <w:col w:w="10920"/>
      </w:cols>
      <w:pgMar w:left="440" w:top="29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2023-12-04T16:28:27Z</dcterms:created>
  <dcterms:modified xsi:type="dcterms:W3CDTF">2023-12-04T16:28:27Z</dcterms:modified>
</cp:coreProperties>
</file>