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___)</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NGM Biopharmaceuticals,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3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par value $0.001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62921N105</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October 18, 2022</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2"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20"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15"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8"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0"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62921N105</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LLC</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6,435,518</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6,435,518</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6,435,518</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8.0%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OO, IA</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62921N105</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Oleg Nodelman</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United States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6,435,518</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6,435,518</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6,435,518</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8.0%</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62921N105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160" w:type="dxa"/>
            <w:vAlign w:val="bottom"/>
            <w:vMerge w:val="continue"/>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6,064,995</w:t>
            </w:r>
          </w:p>
        </w:tc>
        <w:tc>
          <w:tcPr>
            <w:tcW w:w="0" w:type="dxa"/>
            <w:vAlign w:val="bottom"/>
          </w:tcPr>
          <w:p>
            <w:pPr>
              <w:spacing w:after="0"/>
              <w:rPr>
                <w:sz w:val="1"/>
                <w:szCs w:val="1"/>
                <w:color w:val="auto"/>
              </w:rPr>
            </w:pPr>
          </w:p>
        </w:tc>
      </w:tr>
      <w:tr>
        <w:trPr>
          <w:trHeight w:val="14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Borders>
              <w:bottom w:val="single" w:sz="8" w:color="auto"/>
            </w:tcBorders>
            <w:vMerge w:val="continue"/>
          </w:tcPr>
          <w:p>
            <w:pPr>
              <w:spacing w:after="0"/>
              <w:rPr>
                <w:sz w:val="12"/>
                <w:szCs w:val="12"/>
                <w:color w:val="auto"/>
              </w:rPr>
            </w:pPr>
          </w:p>
        </w:tc>
        <w:tc>
          <w:tcPr>
            <w:tcW w:w="8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2160" w:type="dxa"/>
            <w:vAlign w:val="bottom"/>
            <w:vMerge w:val="continue"/>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179" w:lineRule="exact"/>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vMerge w:val="continue"/>
          </w:tcPr>
          <w:p>
            <w:pPr>
              <w:spacing w:after="0"/>
              <w:rPr>
                <w:sz w:val="17"/>
                <w:szCs w:val="17"/>
                <w:color w:val="auto"/>
              </w:rPr>
            </w:pPr>
          </w:p>
        </w:tc>
        <w:tc>
          <w:tcPr>
            <w:tcW w:w="8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6,064,995</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6,064,995</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7.5%</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62921N105</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1.</w:t>
      </w:r>
    </w:p>
    <w:p>
      <w:pPr>
        <w:spacing w:after="0" w:line="220"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NGM Biopharmaceuticals,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333 Oyster Point Boulevard, South San Francisco, CA 94080</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w:t>
      </w: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2.</w:t>
      </w:r>
    </w:p>
    <w:p>
      <w:pPr>
        <w:spacing w:after="0" w:line="194"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right="52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Fund Qualified, L.P. (“Qualified Fund”); EcoR1 Capital, LLC (“EcoR1”) and Oleg Nodelman (“Nodelman”) (collectively, the “Filers”).</w:t>
      </w:r>
    </w:p>
    <w:p>
      <w:pPr>
        <w:spacing w:after="0" w:line="165" w:lineRule="exact"/>
        <w:rPr>
          <w:rFonts w:ascii="Times New Roman" w:cs="Times New Roman" w:eastAsia="Times New Roman" w:hAnsi="Times New Roman"/>
          <w:sz w:val="20"/>
          <w:szCs w:val="20"/>
          <w:color w:val="auto"/>
        </w:rPr>
      </w:pPr>
    </w:p>
    <w:p>
      <w:pPr>
        <w:ind w:left="130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Qualified Fund is filing this statement jointly with the other Filers, but not as a member of a group and it expressly disclaims membership in a group. In addition, filing this Schedule 13G on behalf of Qualified Fund should not be construed as an admission that it is, and it disclaims that it is, a beneficial owner, as defined in Rule 13d-3 under the Act, of any of the Stock covered by this Schedule 13G.</w:t>
      </w:r>
    </w:p>
    <w:p>
      <w:pPr>
        <w:spacing w:after="0" w:line="189" w:lineRule="exact"/>
        <w:rPr>
          <w:rFonts w:ascii="Times New Roman" w:cs="Times New Roman" w:eastAsia="Times New Roman" w:hAnsi="Times New Roman"/>
          <w:sz w:val="20"/>
          <w:szCs w:val="20"/>
          <w:color w:val="auto"/>
        </w:rPr>
      </w:pPr>
    </w:p>
    <w:p>
      <w:pPr>
        <w:ind w:left="1300" w:right="18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Filer also disclaims beneficial ownership of the Stock except to the extent of that person’s pecuniary interest therein.</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357 Tehama Street #3, San Francisco, CA 94103</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shares of </w:t>
      </w:r>
      <w:r>
        <w:rPr>
          <w:rFonts w:ascii="Times New Roman" w:cs="Times New Roman" w:eastAsia="Times New Roman" w:hAnsi="Times New Roman"/>
          <w:sz w:val="20"/>
          <w:szCs w:val="20"/>
          <w:b w:val="1"/>
          <w:bCs w:val="1"/>
          <w:color w:val="auto"/>
        </w:rPr>
        <w:t>Common Stock, par value $0.001 per share</w:t>
      </w:r>
      <w:r>
        <w:rPr>
          <w:rFonts w:ascii="Times New Roman" w:cs="Times New Roman" w:eastAsia="Times New Roman" w:hAnsi="Times New Roman"/>
          <w:sz w:val="20"/>
          <w:szCs w:val="20"/>
          <w:color w:val="auto"/>
        </w:rPr>
        <w:t xml:space="preserve"> (the “Stock”).</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62921N105</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229"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62921N105</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20" w:lineRule="exact"/>
        <w:rPr>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An investment adviser in accordance with section 240.13d-1(b)(1)(ii)(E) as to EcoR1.</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section 240.13d-1(b)(1)(ii)(F).</w:t>
      </w:r>
    </w:p>
    <w:p>
      <w:pPr>
        <w:spacing w:after="0" w:line="215" w:lineRule="exact"/>
        <w:rPr>
          <w:rFonts w:ascii="Times New Roman" w:cs="Times New Roman" w:eastAsia="Times New Roman" w:hAnsi="Times New Roman"/>
          <w:sz w:val="20"/>
          <w:szCs w:val="20"/>
          <w:color w:val="auto"/>
        </w:rPr>
      </w:pPr>
    </w:p>
    <w:p>
      <w:pPr>
        <w:ind w:left="1300" w:right="2420" w:hanging="644"/>
        <w:spacing w:after="0" w:line="269" w:lineRule="auto"/>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 parent holding company or control person in accordance with 240.13d-1(b)(1)(ii)(G) as to Mr. Nodelman.</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15" w:lineRule="exact"/>
        <w:rPr>
          <w:rFonts w:ascii="Times New Roman" w:cs="Times New Roman" w:eastAsia="Times New Roman" w:hAnsi="Times New Roman"/>
          <w:sz w:val="20"/>
          <w:szCs w:val="20"/>
          <w:color w:val="auto"/>
        </w:rPr>
      </w:pPr>
    </w:p>
    <w:p>
      <w:pPr>
        <w:ind w:left="1960" w:right="440" w:hanging="1304"/>
        <w:spacing w:after="0" w:line="269" w:lineRule="auto"/>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section 240.13d-1(b)(1)(ii)(J).</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16"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The percentages reported in this Schedule 13G are based on 80,365,889 shares of the Issuer’s Common Stock outstanding as of August 1, 2022, as reported in the Form 10-Q filed by the Issuer on August 4, 2022.</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ind w:left="1300" w:right="18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2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EcoR1 is the general partner and investment adviser of investment funds, including Qualified Fund. Mr. Nodelman is the control person of EcoR1.</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EcoR1 and Mr. Nodelman:</w:t>
      </w:r>
    </w:p>
    <w:p>
      <w:pPr>
        <w:spacing w:after="0" w:line="233" w:lineRule="exact"/>
        <w:rPr>
          <w:sz w:val="20"/>
          <w:szCs w:val="20"/>
          <w:color w:val="auto"/>
        </w:rPr>
      </w:pPr>
    </w:p>
    <w:p>
      <w:pPr>
        <w:ind w:left="660" w:right="460"/>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Qualified Fund:</w:t>
      </w:r>
    </w:p>
    <w:p>
      <w:pPr>
        <w:spacing w:after="0" w:line="233" w:lineRule="exact"/>
        <w:rPr>
          <w:sz w:val="20"/>
          <w:szCs w:val="20"/>
          <w:color w:val="auto"/>
        </w:rPr>
      </w:pPr>
    </w:p>
    <w:p>
      <w:pPr>
        <w:ind w:left="660" w:right="540"/>
        <w:spacing w:after="0" w:line="295" w:lineRule="auto"/>
        <w:rPr>
          <w:sz w:val="20"/>
          <w:szCs w:val="20"/>
          <w:color w:val="auto"/>
        </w:rPr>
      </w:pPr>
      <w:r>
        <w:rPr>
          <w:rFonts w:ascii="Times New Roman" w:cs="Times New Roman" w:eastAsia="Times New Roman" w:hAnsi="Times New Roman"/>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w:t>
      </w:r>
    </w:p>
    <w:p>
      <w:pPr>
        <w:sectPr>
          <w:pgSz w:w="11900" w:h="16838" w:orient="portrait"/>
          <w:cols w:equalWidth="0" w:num="1">
            <w:col w:w="11040"/>
          </w:cols>
          <w:pgMar w:left="320" w:top="229" w:right="539" w:bottom="0" w:gutter="0" w:footer="0" w:header="0"/>
        </w:sectPr>
      </w:pPr>
    </w:p>
    <w:bookmarkStart w:id="6" w:name="page7"/>
    <w:bookmarkEnd w:id="6"/>
    <w:p>
      <w:pPr>
        <w:ind w:left="660" w:right="980"/>
        <w:spacing w:after="0" w:line="268" w:lineRule="auto"/>
        <w:rPr>
          <w:sz w:val="20"/>
          <w:szCs w:val="20"/>
          <w:color w:val="auto"/>
        </w:rPr>
      </w:pPr>
      <w:r>
        <w:rPr>
          <w:rFonts w:ascii="Times New Roman" w:cs="Times New Roman" w:eastAsia="Times New Roman" w:hAnsi="Times New Roman"/>
          <w:sz w:val="20"/>
          <w:szCs w:val="20"/>
          <w:color w:val="auto"/>
        </w:rPr>
        <w:t>were not acquired and are not held in connection with or as a participant in any transaction having that purpose or effect, other than activities solely in connection with a nomination under § 240.14a-11.</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28, 2022</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4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By:/s/ </w:t>
            </w:r>
            <w:r>
              <w:rPr>
                <w:rFonts w:ascii="Times New Roman" w:cs="Times New Roman" w:eastAsia="Times New Roman" w:hAnsi="Times New Roman"/>
                <w:sz w:val="20"/>
                <w:szCs w:val="20"/>
                <w:i w:val="1"/>
                <w:iCs w:val="1"/>
                <w:color w:val="auto"/>
              </w:rPr>
              <w:t>Olen Nodelman</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/s/ Oleg Nodelman</w:t>
            </w:r>
          </w:p>
        </w:tc>
      </w:tr>
      <w:tr>
        <w:trPr>
          <w:trHeight w:val="20"/>
        </w:trPr>
        <w:tc>
          <w:tcPr>
            <w:tcW w:w="3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6"/>
        </w:trPr>
        <w:tc>
          <w:tcPr>
            <w:tcW w:w="300" w:type="dxa"/>
            <w:vAlign w:val="bottom"/>
          </w:tcPr>
          <w:p>
            <w:pPr>
              <w:spacing w:after="0"/>
              <w:rPr>
                <w:sz w:val="22"/>
                <w:szCs w:val="22"/>
                <w:color w:val="auto"/>
              </w:rPr>
            </w:pPr>
          </w:p>
        </w:tc>
        <w:tc>
          <w:tcPr>
            <w:tcW w:w="37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Oleg Nodelman, Manager</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Oleg Nodelman</w:t>
            </w:r>
          </w:p>
        </w:tc>
      </w:tr>
    </w:tbl>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EcoR1 Capital, LLC, General Partner</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Oleg Nodelman, Manager</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20" w:top="118"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62921N105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28, 2022</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4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By:/s/ </w:t>
            </w:r>
            <w:r>
              <w:rPr>
                <w:rFonts w:ascii="Times New Roman" w:cs="Times New Roman" w:eastAsia="Times New Roman" w:hAnsi="Times New Roman"/>
                <w:sz w:val="20"/>
                <w:szCs w:val="20"/>
                <w:i w:val="1"/>
                <w:iCs w:val="1"/>
                <w:color w:val="auto"/>
              </w:rPr>
              <w:t>Oleg Nodelman</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Oleg Nodelman</w:t>
            </w:r>
          </w:p>
        </w:tc>
      </w:tr>
      <w:tr>
        <w:trPr>
          <w:trHeight w:val="20"/>
        </w:trPr>
        <w:tc>
          <w:tcPr>
            <w:tcW w:w="3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6"/>
        </w:trPr>
        <w:tc>
          <w:tcPr>
            <w:tcW w:w="300" w:type="dxa"/>
            <w:vAlign w:val="bottom"/>
          </w:tcPr>
          <w:p>
            <w:pPr>
              <w:spacing w:after="0"/>
              <w:rPr>
                <w:sz w:val="22"/>
                <w:szCs w:val="22"/>
                <w:color w:val="auto"/>
              </w:rPr>
            </w:pPr>
          </w:p>
        </w:tc>
        <w:tc>
          <w:tcPr>
            <w:tcW w:w="37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Oleg Nodelman, Manager</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Oleg Nodelman</w:t>
            </w:r>
          </w:p>
        </w:tc>
      </w:tr>
    </w:tbl>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EcoR1 Capital, LLC, General Partner</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Oleg Nodelman,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08689\007\9356385.v3</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2022-10-28T17:45:29Z</dcterms:created>
  <dcterms:modified xsi:type="dcterms:W3CDTF">2022-10-28T17:45:29Z</dcterms:modified>
</cp:coreProperties>
</file>