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Arial" w:cs="Arial" w:eastAsia="Arial" w:hAnsi="Arial"/>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05/26/2022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820" w:type="dxa"/>
            <w:vAlign w:val="bottom"/>
            <w:tcBorders>
              <w:top w:val="single" w:sz="8" w:color="9A9A9A"/>
            </w:tcBorders>
          </w:tcPr>
          <w:p>
            <w:pPr>
              <w:spacing w:after="0"/>
              <w:rPr>
                <w:sz w:val="12"/>
                <w:szCs w:val="12"/>
                <w:color w:val="auto"/>
              </w:rPr>
            </w:pPr>
          </w:p>
        </w:tc>
        <w:tc>
          <w:tcPr>
            <w:tcW w:w="13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gridSpan w:val="8"/>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12"/>
          </w:tcPr>
          <w:p>
            <w:pPr>
              <w:ind w:left="8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11"/>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4100" w:type="dxa"/>
            <w:vAlign w:val="bottom"/>
            <w:tcBorders>
              <w:bottom w:val="single" w:sz="8" w:color="2C2C2C"/>
            </w:tcBorders>
            <w:gridSpan w:val="10"/>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7"/>
          </w:tcPr>
          <w:p>
            <w:pPr>
              <w:jc w:val="center"/>
              <w:ind w:right="2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0000FF"/>
              </w:rPr>
              <w:t>05/26/2022</w:t>
            </w: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19,534</w:t>
            </w:r>
          </w:p>
        </w:tc>
        <w:tc>
          <w:tcPr>
            <w:tcW w:w="360" w:type="dxa"/>
            <w:vAlign w:val="bottom"/>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13.4935</w:t>
            </w:r>
            <w:r>
              <w:rPr>
                <w:rFonts w:ascii="Arial" w:cs="Arial" w:eastAsia="Arial" w:hAnsi="Arial"/>
                <w:sz w:val="22"/>
                <w:szCs w:val="22"/>
                <w:color w:val="008000"/>
                <w:w w:val="94"/>
                <w:vertAlign w:val="superscript"/>
              </w:rPr>
              <w:t>(1)</w:t>
            </w:r>
          </w:p>
        </w:tc>
        <w:tc>
          <w:tcPr>
            <w:tcW w:w="4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2"/>
              </w:rPr>
              <w:t>1,514,071</w:t>
            </w:r>
          </w:p>
        </w:tc>
        <w:tc>
          <w:tcPr>
            <w:tcW w:w="320" w:type="dxa"/>
            <w:vAlign w:val="bottom"/>
          </w:tcPr>
          <w:p>
            <w:pPr>
              <w:spacing w:after="0"/>
              <w:rPr>
                <w:sz w:val="22"/>
                <w:szCs w:val="22"/>
                <w:color w:val="auto"/>
              </w:rPr>
            </w:pPr>
          </w:p>
        </w:tc>
        <w:tc>
          <w:tcPr>
            <w:tcW w:w="500" w:type="dxa"/>
            <w:vAlign w:val="bottom"/>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05/26/2022</w:t>
            </w: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667</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13.4935</w:t>
            </w:r>
            <w:r>
              <w:rPr>
                <w:rFonts w:ascii="Arial" w:cs="Arial" w:eastAsia="Arial" w:hAnsi="Arial"/>
                <w:sz w:val="22"/>
                <w:szCs w:val="22"/>
                <w:color w:val="008000"/>
                <w:w w:val="94"/>
                <w:vertAlign w:val="superscript"/>
              </w:rPr>
              <w:t>(1)</w:t>
            </w: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88"/>
              </w:rPr>
              <w:t>51,671</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05/27/2022</w:t>
            </w: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2,621</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13.4513</w:t>
            </w:r>
            <w:r>
              <w:rPr>
                <w:rFonts w:ascii="Arial" w:cs="Arial" w:eastAsia="Arial" w:hAnsi="Arial"/>
                <w:sz w:val="22"/>
                <w:szCs w:val="22"/>
                <w:color w:val="008000"/>
                <w:w w:val="94"/>
                <w:vertAlign w:val="superscript"/>
              </w:rPr>
              <w:t>(4)</w:t>
            </w: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1,516,692</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05/27/2022</w:t>
            </w: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4"/>
              </w:rPr>
              <w:t>89</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13.4513</w:t>
            </w:r>
            <w:r>
              <w:rPr>
                <w:rFonts w:ascii="Arial" w:cs="Arial" w:eastAsia="Arial" w:hAnsi="Arial"/>
                <w:sz w:val="22"/>
                <w:szCs w:val="22"/>
                <w:color w:val="008000"/>
                <w:w w:val="94"/>
                <w:vertAlign w:val="superscript"/>
              </w:rPr>
              <w:t>(4)</w:t>
            </w: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88"/>
              </w:rPr>
              <w:t>51,760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1"/>
              </w:rPr>
              <w:t>11,103,333</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858,035</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968,990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2,265,758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100,000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100,000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88"/>
              </w:rPr>
              <w:t>80,000</w:t>
            </w:r>
          </w:p>
        </w:tc>
        <w:tc>
          <w:tcPr>
            <w:tcW w:w="32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jc w:val="center"/>
              <w:ind w:right="301"/>
              <w:spacing w:after="0"/>
              <w:rPr>
                <w:sz w:val="20"/>
                <w:szCs w:val="20"/>
                <w:color w:val="auto"/>
              </w:rPr>
            </w:pPr>
            <w:r>
              <w:rPr>
                <w:rFonts w:ascii="Arial" w:cs="Arial" w:eastAsia="Arial" w:hAnsi="Arial"/>
                <w:sz w:val="17"/>
                <w:szCs w:val="17"/>
                <w:color w:val="0000FF"/>
                <w:w w:val="97"/>
              </w:rPr>
              <w:t>D</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1"/>
              </w:rPr>
              <w:t>110,000</w:t>
            </w:r>
          </w:p>
        </w:tc>
        <w:tc>
          <w:tcPr>
            <w:tcW w:w="320" w:type="dxa"/>
            <w:vAlign w:val="bottom"/>
          </w:tcPr>
          <w:p>
            <w:pPr>
              <w:spacing w:after="0"/>
              <w:rPr>
                <w:sz w:val="22"/>
                <w:szCs w:val="22"/>
                <w:color w:val="auto"/>
              </w:rPr>
            </w:pPr>
          </w:p>
        </w:tc>
        <w:tc>
          <w:tcPr>
            <w:tcW w:w="500" w:type="dxa"/>
            <w:vAlign w:val="bottom"/>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0" w:type="dxa"/>
            <w:vAlign w:val="bottom"/>
            <w:gridSpan w:val="9"/>
          </w:tcPr>
          <w:p>
            <w:pPr>
              <w:ind w:left="8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80"/>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144"/>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80" w:type="dxa"/>
            <w:vAlign w:val="bottom"/>
            <w:gridSpan w:val="6"/>
          </w:tcPr>
          <w:p>
            <w:pPr>
              <w:ind w:left="50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11. Nature</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Indirect</w:t>
            </w:r>
          </w:p>
        </w:tc>
      </w:tr>
      <w:tr>
        <w:trPr>
          <w:trHeight w:val="144"/>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4"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3"/>
          </w:tcPr>
          <w:p>
            <w:pPr>
              <w:ind w:left="40"/>
              <w:spacing w:after="0" w:line="67" w:lineRule="exact"/>
              <w:rPr>
                <w:sz w:val="20"/>
                <w:szCs w:val="20"/>
                <w:color w:val="auto"/>
              </w:rPr>
            </w:pPr>
            <w:r>
              <w:rPr>
                <w:rFonts w:ascii="Arial" w:cs="Arial" w:eastAsia="Arial" w:hAnsi="Arial"/>
                <w:sz w:val="7"/>
                <w:szCs w:val="7"/>
                <w:color w:val="008000"/>
              </w:rPr>
              <w:t>1. The price reported in Column 4 is a weighted average price. These shares were purchased in multiple transactions at prices ranging from $13.42 to $13.50, inclusive. The Reporting Person undertakes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Derivative</w:t>
            </w:r>
          </w:p>
        </w:tc>
        <w:tc>
          <w:tcPr>
            <w:tcW w:w="64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3"/>
          </w:tcPr>
          <w:p>
            <w:pPr>
              <w:ind w:left="40"/>
              <w:spacing w:after="0" w:line="80" w:lineRule="exact"/>
              <w:rPr>
                <w:sz w:val="20"/>
                <w:szCs w:val="20"/>
                <w:color w:val="auto"/>
              </w:rPr>
            </w:pPr>
            <w:r>
              <w:rPr>
                <w:rFonts w:ascii="Arial" w:cs="Arial" w:eastAsia="Arial" w:hAnsi="Arial"/>
                <w:sz w:val="9"/>
                <w:szCs w:val="9"/>
                <w:color w:val="008000"/>
              </w:rPr>
              <w:t>provide to the Issuer, any security holder of the Issuer or the staff of the Securities Exchange Commission, upon request, full information regarding the number of securities purchased at each separate</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Security (Instr.</w:t>
            </w:r>
          </w:p>
        </w:tc>
        <w:tc>
          <w:tcPr>
            <w:tcW w:w="64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144"/>
        </w:trPr>
        <w:tc>
          <w:tcPr>
            <w:tcW w:w="3780" w:type="dxa"/>
            <w:vAlign w:val="bottom"/>
            <w:gridSpan w:val="4"/>
          </w:tcPr>
          <w:p>
            <w:pPr>
              <w:ind w:left="40"/>
              <w:spacing w:after="0" w:line="144" w:lineRule="exact"/>
              <w:rPr>
                <w:sz w:val="20"/>
                <w:szCs w:val="20"/>
                <w:color w:val="auto"/>
              </w:rPr>
            </w:pPr>
            <w:r>
              <w:rPr>
                <w:rFonts w:ascii="Arial" w:cs="Arial" w:eastAsia="Arial" w:hAnsi="Arial"/>
                <w:sz w:val="13"/>
                <w:szCs w:val="13"/>
                <w:color w:val="008000"/>
                <w:w w:val="99"/>
              </w:rPr>
              <w:t>price within the ranges set forth in this footnote (1) to this Form 4.</w:t>
            </w: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3"/>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1080" w:type="dxa"/>
            <w:vAlign w:val="bottom"/>
            <w:gridSpan w:val="13"/>
          </w:tcPr>
          <w:p>
            <w:pPr>
              <w:ind w:left="40"/>
              <w:spacing w:after="0" w:line="27" w:lineRule="exact"/>
              <w:rPr>
                <w:sz w:val="20"/>
                <w:szCs w:val="20"/>
                <w:color w:val="auto"/>
              </w:rPr>
            </w:pPr>
            <w:r>
              <w:rPr>
                <w:rFonts w:ascii="Arial" w:cs="Arial" w:eastAsia="Arial" w:hAnsi="Arial"/>
                <w:sz w:val="3"/>
                <w:szCs w:val="3"/>
                <w:color w:val="008000"/>
              </w:rPr>
              <w:t>2. The securities are directly held by The Column Group IV, LP ("TCG IV LP"). The Column Group IV GP, LP ("TCG IV GP LP") is the general partner of TCG IV LP and may be deemed to have voting</w:t>
            </w:r>
          </w:p>
        </w:tc>
      </w:tr>
      <w:tr>
        <w:trPr>
          <w:trHeight w:val="28"/>
        </w:trPr>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(Instr. 3, 4</w:t>
            </w: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r>
    </w:tbl>
    <w:p>
      <w:pPr>
        <w:ind w:left="4680" w:right="320" w:hanging="4636"/>
        <w:spacing w:after="0"/>
        <w:rPr>
          <w:sz w:val="20"/>
          <w:szCs w:val="20"/>
          <w:color w:val="auto"/>
        </w:rPr>
      </w:pPr>
      <w:r>
        <w:rPr>
          <w:rFonts w:ascii="Arial" w:cs="Arial" w:eastAsia="Arial" w:hAnsi="Arial"/>
          <w:sz w:val="11"/>
          <w:szCs w:val="11"/>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67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267585"/>
                    </a:xfrm>
                    <a:prstGeom prst="rect">
                      <a:avLst/>
                    </a:prstGeom>
                    <a:noFill/>
                  </pic:spPr>
                </pic:pic>
              </a:graphicData>
            </a:graphic>
          </wp:anchor>
        </w:drawing>
        <w:t xml:space="preserve">and investment power with respect to these securities. TCG IV GP LLC ("TCG IV LLC") is the general partner of TCG IV GP LP and the ultimate general partner of TCG IV LP and may be deemed to </w:t>
      </w:r>
      <w:r>
        <w:rPr>
          <w:rFonts w:ascii="Arial" w:cs="Arial" w:eastAsia="Arial" w:hAnsi="Arial"/>
          <w:sz w:val="9"/>
          <w:szCs w:val="9"/>
          <w:b w:val="1"/>
          <w:bCs w:val="1"/>
          <w:color w:val="000000"/>
        </w:rPr>
        <w:t>and 5)</w:t>
      </w:r>
    </w:p>
    <w:p>
      <w:pPr>
        <w:spacing w:after="0" w:line="20" w:lineRule="exact"/>
        <w:rPr>
          <w:sz w:val="20"/>
          <w:szCs w:val="20"/>
          <w:color w:val="auto"/>
        </w:rPr>
      </w:pPr>
    </w:p>
    <w:p>
      <w:pPr>
        <w:ind w:left="40" w:right="320"/>
        <w:spacing w:after="0" w:line="272" w:lineRule="auto"/>
        <w:rPr>
          <w:sz w:val="20"/>
          <w:szCs w:val="20"/>
          <w:color w:val="auto"/>
        </w:rPr>
      </w:pPr>
      <w:r>
        <w:rPr>
          <w:rFonts w:ascii="Arial" w:cs="Arial" w:eastAsia="Arial" w:hAnsi="Arial"/>
          <w:sz w:val="12"/>
          <w:szCs w:val="12"/>
          <w:color w:val="008000"/>
        </w:rPr>
        <w:t>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3. The securities are directly held by The Column Group IV-A, LP ("TCG IV-A LP"). TCG IV GP LP is the general partner of TCG IV-A LP and may be deemed to have voting and investment power</w:t>
      </w:r>
    </w:p>
    <w:tbl>
      <w:tblPr>
        <w:tblLayout w:type="fixed"/>
        <w:tblInd w:w="40" w:type="dxa"/>
        <w:tblCellMar>
          <w:top w:w="0" w:type="dxa"/>
          <w:left w:w="0" w:type="dxa"/>
          <w:bottom w:w="0" w:type="dxa"/>
          <w:right w:w="0" w:type="dxa"/>
        </w:tblCellMar>
      </w:tblPr>
      <w:tr>
        <w:trPr>
          <w:trHeight w:val="137"/>
        </w:trPr>
        <w:tc>
          <w:tcPr>
            <w:tcW w:w="10720" w:type="dxa"/>
            <w:vAlign w:val="bottom"/>
            <w:gridSpan w:val="4"/>
          </w:tcPr>
          <w:p>
            <w:pPr>
              <w:spacing w:after="0" w:line="138" w:lineRule="exact"/>
              <w:rPr>
                <w:sz w:val="20"/>
                <w:szCs w:val="20"/>
                <w:color w:val="auto"/>
              </w:rPr>
            </w:pPr>
            <w:r>
              <w:rPr>
                <w:rFonts w:ascii="Arial" w:cs="Arial" w:eastAsia="Arial" w:hAnsi="Arial"/>
                <w:sz w:val="13"/>
                <w:szCs w:val="13"/>
                <w:color w:val="008000"/>
                <w:w w:val="94"/>
              </w:rPr>
              <w:t>with respect to these securities. TCG IV LLC is the general partner of TCG IV GP LP and the ultimate general partner of TCG IV-A LP and may be deemed to have voting and investment power with</w:t>
            </w:r>
          </w:p>
        </w:tc>
        <w:tc>
          <w:tcPr>
            <w:tcW w:w="0" w:type="dxa"/>
            <w:vAlign w:val="bottom"/>
          </w:tcPr>
          <w:p>
            <w:pPr>
              <w:spacing w:after="0"/>
              <w:rPr>
                <w:sz w:val="1"/>
                <w:szCs w:val="1"/>
                <w:color w:val="auto"/>
              </w:rPr>
            </w:pPr>
          </w:p>
        </w:tc>
      </w:tr>
      <w:tr>
        <w:trPr>
          <w:trHeight w:val="53"/>
        </w:trPr>
        <w:tc>
          <w:tcPr>
            <w:tcW w:w="4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80" w:type="dxa"/>
            <w:vAlign w:val="bottom"/>
          </w:tcPr>
          <w:p>
            <w:pPr>
              <w:ind w:left="460"/>
              <w:spacing w:after="0" w:line="54" w:lineRule="exact"/>
              <w:rPr>
                <w:sz w:val="20"/>
                <w:szCs w:val="20"/>
                <w:color w:val="auto"/>
              </w:rPr>
            </w:pPr>
            <w:r>
              <w:rPr>
                <w:rFonts w:ascii="Arial" w:cs="Arial" w:eastAsia="Arial" w:hAnsi="Arial"/>
                <w:sz w:val="6"/>
                <w:szCs w:val="6"/>
                <w:b w:val="1"/>
                <w:bCs w:val="1"/>
                <w:color w:val="auto"/>
              </w:rPr>
              <w:t>Amount</w:t>
            </w:r>
          </w:p>
        </w:tc>
        <w:tc>
          <w:tcPr>
            <w:tcW w:w="0" w:type="dxa"/>
            <w:vAlign w:val="bottom"/>
          </w:tcPr>
          <w:p>
            <w:pPr>
              <w:spacing w:after="0"/>
              <w:rPr>
                <w:sz w:val="1"/>
                <w:szCs w:val="1"/>
                <w:color w:val="auto"/>
              </w:rPr>
            </w:pPr>
          </w:p>
        </w:tc>
      </w:tr>
      <w:tr>
        <w:trPr>
          <w:trHeight w:val="93"/>
        </w:trPr>
        <w:tc>
          <w:tcPr>
            <w:tcW w:w="10720" w:type="dxa"/>
            <w:vAlign w:val="bottom"/>
            <w:gridSpan w:val="4"/>
          </w:tcPr>
          <w:p>
            <w:pPr>
              <w:spacing w:after="0" w:line="93" w:lineRule="exact"/>
              <w:rPr>
                <w:sz w:val="20"/>
                <w:szCs w:val="20"/>
                <w:color w:val="auto"/>
              </w:rPr>
            </w:pPr>
            <w:r>
              <w:rPr>
                <w:rFonts w:ascii="Arial" w:cs="Arial" w:eastAsia="Arial" w:hAnsi="Arial"/>
                <w:sz w:val="10"/>
                <w:szCs w:val="10"/>
                <w:color w:val="008000"/>
              </w:rPr>
              <w:t>respect to these securities. The managing members of TCG IV LLC are the TCG IV Managing Members. The TCG IV Managing Members may be deemed to share voting and investment power with</w:t>
            </w:r>
          </w:p>
        </w:tc>
        <w:tc>
          <w:tcPr>
            <w:tcW w:w="0" w:type="dxa"/>
            <w:vAlign w:val="bottom"/>
          </w:tcPr>
          <w:p>
            <w:pPr>
              <w:spacing w:after="0"/>
              <w:rPr>
                <w:sz w:val="1"/>
                <w:szCs w:val="1"/>
                <w:color w:val="auto"/>
              </w:rPr>
            </w:pPr>
          </w:p>
        </w:tc>
      </w:tr>
      <w:tr>
        <w:trPr>
          <w:trHeight w:val="40"/>
        </w:trPr>
        <w:tc>
          <w:tcPr>
            <w:tcW w:w="44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80" w:type="dxa"/>
            <w:vAlign w:val="bottom"/>
          </w:tcPr>
          <w:p>
            <w:pPr>
              <w:ind w:left="460"/>
              <w:spacing w:after="0" w:line="40" w:lineRule="exact"/>
              <w:rPr>
                <w:sz w:val="20"/>
                <w:szCs w:val="20"/>
                <w:color w:val="auto"/>
              </w:rPr>
            </w:pPr>
            <w:r>
              <w:rPr>
                <w:rFonts w:ascii="Arial" w:cs="Arial" w:eastAsia="Arial" w:hAnsi="Arial"/>
                <w:sz w:val="4"/>
                <w:szCs w:val="4"/>
                <w:b w:val="1"/>
                <w:bCs w:val="1"/>
                <w:color w:val="auto"/>
              </w:rPr>
              <w:t>or</w:t>
            </w:r>
          </w:p>
        </w:tc>
        <w:tc>
          <w:tcPr>
            <w:tcW w:w="0" w:type="dxa"/>
            <w:vAlign w:val="bottom"/>
          </w:tcPr>
          <w:p>
            <w:pPr>
              <w:spacing w:after="0" w:line="20" w:lineRule="exact"/>
              <w:rPr>
                <w:sz w:val="1"/>
                <w:szCs w:val="1"/>
                <w:color w:val="auto"/>
              </w:rPr>
            </w:pPr>
          </w:p>
        </w:tc>
      </w:tr>
      <w:tr>
        <w:trPr>
          <w:trHeight w:val="107"/>
        </w:trPr>
        <w:tc>
          <w:tcPr>
            <w:tcW w:w="10720" w:type="dxa"/>
            <w:vAlign w:val="bottom"/>
            <w:gridSpan w:val="4"/>
          </w:tcPr>
          <w:p>
            <w:pPr>
              <w:spacing w:after="0" w:line="107" w:lineRule="exact"/>
              <w:rPr>
                <w:sz w:val="20"/>
                <w:szCs w:val="20"/>
                <w:color w:val="auto"/>
              </w:rPr>
            </w:pPr>
            <w:r>
              <w:rPr>
                <w:rFonts w:ascii="Arial" w:cs="Arial" w:eastAsia="Arial" w:hAnsi="Arial"/>
                <w:sz w:val="12"/>
                <w:szCs w:val="12"/>
                <w:color w:val="008000"/>
              </w:rPr>
              <w:t>respect to such securities. TCG IV GP LP, TCG IV LLC and each of the TCG IV Managing Members disclaim beneficial ownership of these securities, except to the extent of their respective pecuniary</w:t>
            </w:r>
          </w:p>
        </w:tc>
        <w:tc>
          <w:tcPr>
            <w:tcW w:w="0" w:type="dxa"/>
            <w:vAlign w:val="bottom"/>
          </w:tcPr>
          <w:p>
            <w:pPr>
              <w:spacing w:after="0"/>
              <w:rPr>
                <w:sz w:val="1"/>
                <w:szCs w:val="1"/>
                <w:color w:val="auto"/>
              </w:rPr>
            </w:pPr>
          </w:p>
        </w:tc>
      </w:tr>
      <w:tr>
        <w:trPr>
          <w:trHeight w:val="37"/>
        </w:trPr>
        <w:tc>
          <w:tcPr>
            <w:tcW w:w="4480" w:type="dxa"/>
            <w:vAlign w:val="bottom"/>
            <w:vMerge w:val="restart"/>
          </w:tcPr>
          <w:p>
            <w:pPr>
              <w:spacing w:after="0"/>
              <w:rPr>
                <w:sz w:val="20"/>
                <w:szCs w:val="20"/>
                <w:color w:val="auto"/>
              </w:rPr>
            </w:pPr>
            <w:r>
              <w:rPr>
                <w:rFonts w:ascii="Arial" w:cs="Arial" w:eastAsia="Arial" w:hAnsi="Arial"/>
                <w:sz w:val="13"/>
                <w:szCs w:val="13"/>
                <w:color w:val="008000"/>
              </w:rPr>
              <w:t>interest in such securities.</w:t>
            </w: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80" w:type="dxa"/>
            <w:vAlign w:val="bottom"/>
          </w:tcPr>
          <w:p>
            <w:pPr>
              <w:ind w:left="460"/>
              <w:spacing w:after="0" w:line="38" w:lineRule="exact"/>
              <w:rPr>
                <w:sz w:val="20"/>
                <w:szCs w:val="20"/>
                <w:color w:val="auto"/>
              </w:rPr>
            </w:pPr>
            <w:r>
              <w:rPr>
                <w:rFonts w:ascii="Arial" w:cs="Arial" w:eastAsia="Arial" w:hAnsi="Arial"/>
                <w:sz w:val="4"/>
                <w:szCs w:val="4"/>
                <w:b w:val="1"/>
                <w:bCs w:val="1"/>
                <w:color w:val="auto"/>
              </w:rPr>
              <w:t>Number</w:t>
            </w:r>
          </w:p>
        </w:tc>
        <w:tc>
          <w:tcPr>
            <w:tcW w:w="0" w:type="dxa"/>
            <w:vAlign w:val="bottom"/>
          </w:tcPr>
          <w:p>
            <w:pPr>
              <w:spacing w:after="0" w:line="20" w:lineRule="exact"/>
              <w:rPr>
                <w:sz w:val="1"/>
                <w:szCs w:val="1"/>
                <w:color w:val="auto"/>
              </w:rPr>
            </w:pPr>
          </w:p>
        </w:tc>
      </w:tr>
      <w:tr>
        <w:trPr>
          <w:trHeight w:val="133"/>
        </w:trPr>
        <w:tc>
          <w:tcPr>
            <w:tcW w:w="4480" w:type="dxa"/>
            <w:vAlign w:val="bottom"/>
            <w:vMerge w:val="continue"/>
          </w:tcPr>
          <w:p>
            <w:pPr>
              <w:spacing w:after="0"/>
              <w:rPr>
                <w:sz w:val="11"/>
                <w:szCs w:val="11"/>
                <w:color w:val="auto"/>
              </w:rPr>
            </w:pPr>
          </w:p>
        </w:tc>
        <w:tc>
          <w:tcPr>
            <w:tcW w:w="1620" w:type="dxa"/>
            <w:vAlign w:val="bottom"/>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57"/>
        </w:trPr>
        <w:tc>
          <w:tcPr>
            <w:tcW w:w="4480" w:type="dxa"/>
            <w:vAlign w:val="bottom"/>
          </w:tcPr>
          <w:p>
            <w:pPr>
              <w:ind w:left="3800"/>
              <w:spacing w:after="0" w:line="57" w:lineRule="exact"/>
              <w:rPr>
                <w:sz w:val="20"/>
                <w:szCs w:val="20"/>
                <w:color w:val="auto"/>
              </w:rPr>
            </w:pPr>
            <w:r>
              <w:rPr>
                <w:rFonts w:ascii="Arial" w:cs="Arial" w:eastAsia="Arial" w:hAnsi="Arial"/>
                <w:sz w:val="6"/>
                <w:szCs w:val="6"/>
                <w:b w:val="1"/>
                <w:bCs w:val="1"/>
                <w:color w:val="auto"/>
              </w:rPr>
              <w:t>Code  V</w:t>
            </w:r>
          </w:p>
        </w:tc>
        <w:tc>
          <w:tcPr>
            <w:tcW w:w="1620" w:type="dxa"/>
            <w:vAlign w:val="bottom"/>
          </w:tcPr>
          <w:p>
            <w:pPr>
              <w:ind w:left="160"/>
              <w:spacing w:after="0" w:line="57" w:lineRule="exact"/>
              <w:rPr>
                <w:sz w:val="20"/>
                <w:szCs w:val="20"/>
                <w:color w:val="auto"/>
              </w:rPr>
            </w:pPr>
            <w:r>
              <w:rPr>
                <w:rFonts w:ascii="Arial" w:cs="Arial" w:eastAsia="Arial" w:hAnsi="Arial"/>
                <w:sz w:val="6"/>
                <w:szCs w:val="6"/>
                <w:b w:val="1"/>
                <w:bCs w:val="1"/>
                <w:color w:val="auto"/>
              </w:rPr>
              <w:t>(A)   (D)   Exercisable</w:t>
            </w:r>
          </w:p>
        </w:tc>
        <w:tc>
          <w:tcPr>
            <w:tcW w:w="740" w:type="dxa"/>
            <w:vAlign w:val="bottom"/>
          </w:tcPr>
          <w:p>
            <w:pPr>
              <w:ind w:left="80"/>
              <w:spacing w:after="0" w:line="57" w:lineRule="exact"/>
              <w:rPr>
                <w:sz w:val="20"/>
                <w:szCs w:val="20"/>
                <w:color w:val="auto"/>
              </w:rPr>
            </w:pPr>
            <w:r>
              <w:rPr>
                <w:rFonts w:ascii="Arial" w:cs="Arial" w:eastAsia="Arial" w:hAnsi="Arial"/>
                <w:sz w:val="6"/>
                <w:szCs w:val="6"/>
                <w:b w:val="1"/>
                <w:bCs w:val="1"/>
                <w:color w:val="auto"/>
              </w:rPr>
              <w:t>Date</w:t>
            </w:r>
          </w:p>
        </w:tc>
        <w:tc>
          <w:tcPr>
            <w:tcW w:w="388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Title  Shares</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2"/>
          <w:szCs w:val="12"/>
          <w:color w:val="008000"/>
        </w:rPr>
        <w:t>4. The price reported in Column 4 is a weighted average price. These shares were purchased in multiple transactions at prices ranging from $13.35 to $13.50, inclusive. The Reporting Person undertakes to</w:t>
      </w:r>
    </w:p>
    <w:p>
      <w:pPr>
        <w:spacing w:after="0" w:line="9" w:lineRule="exact"/>
        <w:rPr>
          <w:sz w:val="20"/>
          <w:szCs w:val="20"/>
          <w:color w:val="auto"/>
        </w:rPr>
      </w:pPr>
    </w:p>
    <w:p>
      <w:pPr>
        <w:ind w:left="40" w:right="420"/>
        <w:spacing w:after="0" w:line="250" w:lineRule="auto"/>
        <w:rPr>
          <w:sz w:val="20"/>
          <w:szCs w:val="20"/>
          <w:color w:val="auto"/>
        </w:rPr>
      </w:pPr>
      <w:r>
        <w:rPr>
          <w:rFonts w:ascii="Arial" w:cs="Arial" w:eastAsia="Arial" w:hAnsi="Arial"/>
          <w:sz w:val="13"/>
          <w:szCs w:val="13"/>
          <w:color w:val="008000"/>
        </w:rPr>
        <w:t>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5" w:lineRule="exact"/>
        <w:rPr>
          <w:sz w:val="20"/>
          <w:szCs w:val="20"/>
          <w:color w:val="auto"/>
        </w:rPr>
      </w:pPr>
    </w:p>
    <w:p>
      <w:pPr>
        <w:ind w:left="40" w:right="240"/>
        <w:spacing w:after="0" w:line="245" w:lineRule="auto"/>
        <w:rPr>
          <w:sz w:val="20"/>
          <w:szCs w:val="20"/>
          <w:color w:val="auto"/>
        </w:rPr>
      </w:pPr>
      <w:r>
        <w:rPr>
          <w:rFonts w:ascii="Arial" w:cs="Arial" w:eastAsia="Arial" w:hAnsi="Arial"/>
          <w:sz w:val="13"/>
          <w:szCs w:val="13"/>
          <w:color w:val="008000"/>
        </w:rPr>
        <w:t>5. The securities are directly held by The Column Group, LP ("TCG LP").The Column Group GP, LP ("TCG GP") is the general partner of TCG LP and may be deemed to have voting and investment power with respect to these securities. The managing partners of TCG GP are the Reporting Person,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sz w:val="20"/>
          <w:szCs w:val="20"/>
          <w:color w:val="auto"/>
        </w:rPr>
      </w:pPr>
    </w:p>
    <w:p>
      <w:pPr>
        <w:ind w:left="40" w:right="140"/>
        <w:spacing w:after="0" w:line="245" w:lineRule="auto"/>
        <w:rPr>
          <w:sz w:val="20"/>
          <w:szCs w:val="20"/>
          <w:color w:val="auto"/>
        </w:rPr>
      </w:pPr>
      <w:r>
        <w:rPr>
          <w:rFonts w:ascii="Arial" w:cs="Arial" w:eastAsia="Arial" w:hAnsi="Arial"/>
          <w:sz w:val="13"/>
          <w:szCs w:val="13"/>
          <w:color w:val="008000"/>
        </w:rPr>
        <w:t>6. The securities are directly held by The Column Group III, LP ("TCG III LP"). The Column Group III GP, LP ("TCG III GP") is the general partner of TCG III LP and may be deemed to have voting and investment power with respect to these securities. The managing partners of TCG III GP are the Reporting Person,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sz w:val="20"/>
          <w:szCs w:val="20"/>
          <w:color w:val="auto"/>
        </w:rPr>
      </w:pPr>
    </w:p>
    <w:p>
      <w:pPr>
        <w:ind w:left="40" w:right="320"/>
        <w:spacing w:after="0" w:line="245" w:lineRule="auto"/>
        <w:rPr>
          <w:sz w:val="20"/>
          <w:szCs w:val="20"/>
          <w:color w:val="auto"/>
        </w:rPr>
      </w:pPr>
      <w:r>
        <w:rPr>
          <w:rFonts w:ascii="Arial" w:cs="Arial" w:eastAsia="Arial" w:hAnsi="Arial"/>
          <w:sz w:val="13"/>
          <w:szCs w:val="13"/>
          <w:color w:val="008000"/>
        </w:rPr>
        <w:t>7. 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sz w:val="20"/>
          <w:szCs w:val="20"/>
          <w:color w:val="auto"/>
        </w:rPr>
      </w:pPr>
    </w:p>
    <w:p>
      <w:pPr>
        <w:ind w:left="40" w:right="240"/>
        <w:spacing w:after="0" w:line="281" w:lineRule="auto"/>
        <w:rPr>
          <w:sz w:val="20"/>
          <w:szCs w:val="20"/>
          <w:color w:val="auto"/>
        </w:rPr>
      </w:pPr>
      <w:r>
        <w:rPr>
          <w:rFonts w:ascii="Arial" w:cs="Arial" w:eastAsia="Arial" w:hAnsi="Arial"/>
          <w:sz w:val="12"/>
          <w:szCs w:val="12"/>
          <w:color w:val="008000"/>
        </w:rPr>
        <w:t>8. 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8" w:lineRule="exact"/>
        <w:rPr>
          <w:sz w:val="20"/>
          <w:szCs w:val="20"/>
          <w:color w:val="auto"/>
        </w:rPr>
      </w:pPr>
    </w:p>
    <w:p>
      <w:pPr>
        <w:jc w:val="both"/>
        <w:ind w:left="40" w:right="160"/>
        <w:spacing w:after="0" w:line="281" w:lineRule="auto"/>
        <w:rPr>
          <w:sz w:val="20"/>
          <w:szCs w:val="20"/>
          <w:color w:val="auto"/>
        </w:rPr>
      </w:pPr>
      <w:r>
        <w:rPr>
          <w:rFonts w:ascii="Arial" w:cs="Arial" w:eastAsia="Arial" w:hAnsi="Arial"/>
          <w:sz w:val="12"/>
          <w:szCs w:val="12"/>
          <w:color w:val="008000"/>
        </w:rPr>
        <w:t>9. The securities are directly held by Ponoi Capital, LP ("Ponoi LP"). Ponoi Management, LLC ("Ponoi LLC") is the general partner of Ponoi LP and may be deemed to have voting and investment power with respect to these securities. The managing partners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8" w:lineRule="exact"/>
        <w:rPr>
          <w:sz w:val="20"/>
          <w:szCs w:val="20"/>
          <w:color w:val="auto"/>
        </w:rPr>
      </w:pPr>
    </w:p>
    <w:p>
      <w:pPr>
        <w:ind w:left="40" w:right="340"/>
        <w:spacing w:after="0" w:line="245" w:lineRule="auto"/>
        <w:rPr>
          <w:sz w:val="20"/>
          <w:szCs w:val="20"/>
          <w:color w:val="auto"/>
        </w:rPr>
      </w:pPr>
      <w:r>
        <w:rPr>
          <w:rFonts w:ascii="Arial" w:cs="Arial" w:eastAsia="Arial" w:hAnsi="Arial"/>
          <w:sz w:val="13"/>
          <w:szCs w:val="13"/>
          <w:color w:val="008000"/>
        </w:rPr>
        <w:t>10. The securities are directly held by Ponoi Capital II, LP ("Ponoi II LP"). Ponoi II Management, LLC ("Ponoi II LLC") is the general partner of Ponoi II LP and may be deemed to have voting and investment power with respect to these securities. The managing partners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sz w:val="20"/>
          <w:szCs w:val="20"/>
          <w:color w:val="auto"/>
        </w:rPr>
      </w:pPr>
    </w:p>
    <w:p>
      <w:pPr>
        <w:ind w:left="40" w:right="340"/>
        <w:spacing w:after="0" w:line="301" w:lineRule="auto"/>
        <w:rPr>
          <w:sz w:val="20"/>
          <w:szCs w:val="20"/>
          <w:color w:val="auto"/>
        </w:rPr>
      </w:pPr>
      <w:r>
        <w:rPr>
          <w:rFonts w:ascii="Arial" w:cs="Arial" w:eastAsia="Arial" w:hAnsi="Arial"/>
          <w:sz w:val="12"/>
          <w:szCs w:val="12"/>
          <w:color w:val="008000"/>
        </w:rPr>
        <w:t>11. 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40" w:right="220"/>
        <w:spacing w:after="0" w:line="250" w:lineRule="auto"/>
        <w:rPr>
          <w:sz w:val="20"/>
          <w:szCs w:val="20"/>
          <w:color w:val="auto"/>
        </w:rPr>
      </w:pPr>
      <w:r>
        <w:rPr>
          <w:rFonts w:ascii="Arial" w:cs="Arial" w:eastAsia="Arial" w:hAnsi="Arial"/>
          <w:sz w:val="13"/>
          <w:szCs w:val="13"/>
          <w:color w:val="008000"/>
        </w:rPr>
        <w:t>12. The securities are directly held by The Column Group Management LP ("TCGM LP"). The managing partners of TCGM LP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13. The securities are directly held by the David V. Goeddel and Alena Z. Goeddel 2004 Trust for which the Reporting Person and Alena Z. Goeddel serve as co-trustee.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05/31/2022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2022-05-31T16:01:52Z</dcterms:created>
  <dcterms:modified xsi:type="dcterms:W3CDTF">2022-05-31T16:01:52Z</dcterms:modified>
</cp:coreProperties>
</file>