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386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386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4"/>
            <w:vMerge w:val="restart"/>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6"/>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10/14/2019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34,900</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10.36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7"/>
              </w:rPr>
              <w:t>88,072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10/15/2019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33,200</w:t>
            </w:r>
            <w:r>
              <w:rPr>
                <w:rFonts w:ascii="Arial" w:cs="Arial" w:eastAsia="Arial" w:hAnsi="Arial"/>
                <w:sz w:val="22"/>
                <w:szCs w:val="22"/>
                <w:color w:val="008000"/>
                <w:w w:val="95"/>
                <w:vertAlign w:val="superscript"/>
              </w:rPr>
              <w:t>(4)</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10.31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121,272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10/16/2019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34,900</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10.26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156,172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(5)</w:t>
            </w:r>
          </w:p>
        </w:tc>
        <w:tc>
          <w:tcPr>
            <w:tcW w:w="110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(6)(7)(8)(9)(10)(11)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2"/>
                <w:vertAlign w:val="subscript"/>
              </w:rPr>
              <w:t>D</w:t>
            </w:r>
            <w:r>
              <w:rPr>
                <w:rFonts w:ascii="Arial" w:cs="Arial" w:eastAsia="Arial" w:hAnsi="Arial"/>
                <w:sz w:val="11"/>
                <w:szCs w:val="11"/>
                <w:color w:val="008000"/>
                <w:w w:val="82"/>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7"/>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3"/>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8">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-9273540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-9273540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-8613140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-8613140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6" w:orient="portrait"/>
          <w:cols w:equalWidth="0" w:num="1">
            <w:col w:w="10199"/>
          </w:cols>
          <w:pgMar w:left="260" w:top="140" w:right="1440" w:bottom="0" w:gutter="0" w:footer="0" w:header="0"/>
        </w:sect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6">
              <w:r>
                <w:rPr>
                  <w:rFonts w:ascii="Arial" w:cs="Arial" w:eastAsia="Arial" w:hAnsi="Arial"/>
                  <w:sz w:val="22"/>
                  <w:szCs w:val="22"/>
                  <w:color w:val="0000EE"/>
                </w:rPr>
                <w:t>Kutzkey Tim</w:t>
              </w:r>
            </w:hyperlink>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Column Group II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-4064000</wp:posOffset>
            </wp:positionV>
            <wp:extent cx="2924175" cy="4146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16,390 shares of Common Stock held directly by The Column Group III, LP ("TCG III LP") and 18,510 shares of Common Stock held directly by The Column Group III-A, LP ("TCG III-A LP").</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15,592 shares of Common Stock held directly by The Column Group III, LP ("TCG III LP") and 17,608 shares of Common Stock held directly by The Column Group III-A, LP ("TCG III-A LP").</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1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45340" TargetMode="External"/><Relationship Id="rId19" Type="http://schemas.openxmlformats.org/officeDocument/2006/relationships/hyperlink" Target="http://www.sec.gov/cgi-bin/browse-edgar?action=getcompany&amp;CIK=0001707230" TargetMode="External"/><Relationship Id="rId20" Type="http://schemas.openxmlformats.org/officeDocument/2006/relationships/hyperlink" Target="http://www.sec.gov/cgi-bin/browse-edgar?action=getcompany&amp;CIK=0001720702"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56" Type="http://schemas.openxmlformats.org/officeDocument/2006/relationships/hyperlink" Target="http://www.sec.gov/cgi-bin/browse-edgar?action=getcompany&amp;CIK=0001614186" TargetMode="External"/><Relationship Id="rId5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2019-12-24T04:51:53Z</dcterms:created>
  <dcterms:modified xsi:type="dcterms:W3CDTF">2019-12-24T04:51:53Z</dcterms:modified>
</cp:coreProperties>
</file>