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GOEDDEL DAVID V</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NGM BIOPHARMACEUTICALS INC </w:t>
              </w:r>
            </w:hyperlink>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3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01/30/2023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40" w:type="dxa"/>
            <w:vAlign w:val="bottom"/>
            <w:gridSpan w:val="3"/>
            <w:vMerge w:val="continue"/>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5" w:lineRule="exact"/>
        <w:rPr>
          <w:sz w:val="20"/>
          <w:szCs w:val="20"/>
          <w:color w:val="auto"/>
        </w:rPr>
      </w:pPr>
    </w:p>
    <w:p>
      <w:pPr>
        <w:sectPr>
          <w:pgSz w:w="11900" w:h="16838" w:orient="portrait"/>
          <w:cols w:equalWidth="0" w:num="2">
            <w:col w:w="7660" w:space="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920" w:type="dxa"/>
            <w:vAlign w:val="bottom"/>
            <w:gridSpan w:val="8"/>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2"/>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920" w:type="dxa"/>
            <w:vAlign w:val="bottom"/>
            <w:gridSpan w:val="8"/>
            <w:vMerge w:val="continue"/>
          </w:tcPr>
          <w:p>
            <w:pPr>
              <w:spacing w:after="0"/>
              <w:rPr>
                <w:sz w:val="8"/>
                <w:szCs w:val="8"/>
                <w:color w:val="auto"/>
              </w:rPr>
            </w:pPr>
          </w:p>
        </w:tc>
        <w:tc>
          <w:tcPr>
            <w:tcW w:w="334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gridSpan w:val="4"/>
          </w:tcPr>
          <w:p>
            <w:pPr>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9"/>
                <w:szCs w:val="19"/>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1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40" w:type="dxa"/>
            <w:vAlign w:val="bottom"/>
            <w:gridSpan w:val="9"/>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14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880" w:type="dxa"/>
            <w:vAlign w:val="bottom"/>
            <w:tcBorders>
              <w:bottom w:val="single" w:sz="8" w:color="2C2C2C"/>
            </w:tcBorders>
            <w:gridSpan w:val="7"/>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3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180" w:type="dxa"/>
            <w:vAlign w:val="bottom"/>
            <w:tcBorders>
              <w:top w:val="single" w:sz="8" w:color="2C2C2C"/>
            </w:tcBorders>
            <w:gridSpan w:val="2"/>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01/30/2023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Pr>
          <w:p>
            <w:pPr>
              <w:spacing w:after="0"/>
              <w:rPr>
                <w:sz w:val="21"/>
                <w:szCs w:val="21"/>
                <w:color w:val="auto"/>
              </w:rPr>
            </w:pPr>
          </w:p>
        </w:tc>
        <w:tc>
          <w:tcPr>
            <w:tcW w:w="78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7,542</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4.9996</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750,501</w:t>
            </w:r>
          </w:p>
        </w:tc>
        <w:tc>
          <w:tcPr>
            <w:tcW w:w="340" w:type="dxa"/>
            <w:vAlign w:val="bottom"/>
          </w:tcPr>
          <w:p>
            <w:pPr>
              <w:spacing w:after="0"/>
              <w:rPr>
                <w:sz w:val="21"/>
                <w:szCs w:val="21"/>
                <w:color w:val="auto"/>
              </w:rPr>
            </w:pPr>
          </w:p>
        </w:tc>
        <w:tc>
          <w:tcPr>
            <w:tcW w:w="580" w:type="dxa"/>
            <w:vAlign w:val="bottom"/>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vMerge w:val="restart"/>
          </w:tcPr>
          <w:p>
            <w:pPr>
              <w:ind w:left="480"/>
              <w:spacing w:after="0"/>
              <w:rPr>
                <w:sz w:val="20"/>
                <w:szCs w:val="20"/>
                <w:color w:val="auto"/>
              </w:rPr>
            </w:pPr>
            <w:r>
              <w:rPr>
                <w:rFonts w:ascii="Times New Roman" w:cs="Times New Roman" w:eastAsia="Times New Roman" w:hAnsi="Times New Roman"/>
                <w:sz w:val="17"/>
                <w:szCs w:val="17"/>
                <w:color w:val="0000FF"/>
              </w:rPr>
              <w:t>01/31/2023</w:t>
            </w: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176,730</w:t>
            </w:r>
          </w:p>
        </w:tc>
        <w:tc>
          <w:tcPr>
            <w:tcW w:w="36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top w:val="single" w:sz="8" w:color="2C2C2C"/>
            </w:tcBorders>
            <w:gridSpan w:val="2"/>
            <w:vMerge w:val="restart"/>
          </w:tcPr>
          <w:p>
            <w:pPr>
              <w:ind w:left="20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4.9986</w:t>
            </w:r>
            <w:r>
              <w:rPr>
                <w:rFonts w:ascii="Times New Roman" w:cs="Times New Roman" w:eastAsia="Times New Roman" w:hAnsi="Times New Roman"/>
                <w:sz w:val="22"/>
                <w:szCs w:val="22"/>
                <w:color w:val="008000"/>
                <w:w w:val="98"/>
                <w:vertAlign w:val="superscript"/>
              </w:rPr>
              <w:t>(4)</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927,231</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130,000</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jc w:val="center"/>
              <w:ind w:right="361"/>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190,000</w:t>
            </w:r>
          </w:p>
        </w:tc>
        <w:tc>
          <w:tcPr>
            <w:tcW w:w="340" w:type="dxa"/>
            <w:vAlign w:val="bottom"/>
          </w:tcPr>
          <w:p>
            <w:pPr>
              <w:spacing w:after="0"/>
              <w:rPr>
                <w:sz w:val="21"/>
                <w:szCs w:val="21"/>
                <w:color w:val="auto"/>
              </w:rPr>
            </w:pPr>
          </w:p>
        </w:tc>
        <w:tc>
          <w:tcPr>
            <w:tcW w:w="580" w:type="dxa"/>
            <w:vAlign w:val="bottom"/>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2,650,177</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90,442</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11,103,333</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858,035</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968,990</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2,265,758</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1,298,908</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1,298,908</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100,000</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100,000</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1"/>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6"/>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2208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2208530"/>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80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line="122" w:lineRule="exact"/>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4Code.  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70"/>
              </w:rPr>
              <w:t>6Exercisable.DateExercisableDate and</w:t>
            </w:r>
          </w:p>
        </w:tc>
        <w:tc>
          <w:tcPr>
            <w:tcW w:w="1020" w:type="dxa"/>
            <w:vAlign w:val="bottom"/>
          </w:tcPr>
          <w:p>
            <w:pPr>
              <w:ind w:left="10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11. Nature</w:t>
            </w: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w:t>
            </w:r>
          </w:p>
        </w:tc>
        <w:tc>
          <w:tcPr>
            <w:tcW w:w="15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Indirect</w:t>
            </w:r>
          </w:p>
        </w:tc>
      </w:tr>
      <w:tr>
        <w:trPr>
          <w:trHeight w:val="145"/>
        </w:trPr>
        <w:tc>
          <w:tcPr>
            <w:tcW w:w="800" w:type="dxa"/>
            <w:vAlign w:val="bottom"/>
          </w:tcPr>
          <w:p>
            <w:pPr>
              <w:ind w:left="40"/>
              <w:spacing w:after="0"/>
              <w:rPr>
                <w:sz w:val="20"/>
                <w:szCs w:val="20"/>
                <w:color w:val="auto"/>
              </w:rPr>
            </w:pPr>
            <w:r>
              <w:rPr>
                <w:rFonts w:ascii="Arial" w:cs="Arial" w:eastAsia="Arial" w:hAnsi="Arial"/>
                <w:sz w:val="11"/>
                <w:szCs w:val="11"/>
                <w:b w:val="1"/>
                <w:bCs w:val="1"/>
                <w:color w:val="auto"/>
                <w:w w:val="75"/>
              </w:rPr>
              <w:t>Explanation</w:t>
            </w:r>
            <w:r>
              <w:rPr>
                <w:rFonts w:ascii="Arial" w:cs="Arial" w:eastAsia="Arial" w:hAnsi="Arial"/>
                <w:sz w:val="9"/>
                <w:szCs w:val="9"/>
                <w:b w:val="1"/>
                <w:bCs w:val="1"/>
                <w:color w:val="auto"/>
                <w:w w:val="75"/>
              </w:rPr>
              <w:t>Security</w:t>
            </w:r>
          </w:p>
        </w:tc>
        <w:tc>
          <w:tcPr>
            <w:tcW w:w="1860" w:type="dxa"/>
            <w:vAlign w:val="bottom"/>
            <w:gridSpan w:val="2"/>
          </w:tcPr>
          <w:p>
            <w:pPr>
              <w:spacing w:after="0" w:line="146" w:lineRule="exact"/>
              <w:rPr>
                <w:sz w:val="20"/>
                <w:szCs w:val="20"/>
                <w:color w:val="auto"/>
              </w:rPr>
            </w:pPr>
            <w:r>
              <w:rPr>
                <w:rFonts w:ascii="Arial" w:cs="Arial" w:eastAsia="Arial" w:hAnsi="Arial"/>
                <w:sz w:val="12"/>
                <w:szCs w:val="12"/>
                <w:b w:val="1"/>
                <w:bCs w:val="1"/>
                <w:color w:val="auto"/>
                <w:w w:val="76"/>
              </w:rPr>
              <w:t>or</w:t>
            </w:r>
            <w:r>
              <w:rPr>
                <w:rFonts w:ascii="Arial" w:cs="Arial" w:eastAsia="Arial" w:hAnsi="Arial"/>
                <w:sz w:val="13"/>
                <w:szCs w:val="13"/>
                <w:b w:val="1"/>
                <w:bCs w:val="1"/>
                <w:color w:val="auto"/>
                <w:w w:val="76"/>
              </w:rPr>
              <w:t>of</w:t>
            </w:r>
            <w:r>
              <w:rPr>
                <w:rFonts w:ascii="Arial" w:cs="Arial" w:eastAsia="Arial" w:hAnsi="Arial"/>
                <w:sz w:val="12"/>
                <w:szCs w:val="12"/>
                <w:b w:val="1"/>
                <w:bCs w:val="1"/>
                <w:color w:val="auto"/>
                <w:w w:val="76"/>
              </w:rPr>
              <w:t>Ex</w:t>
            </w:r>
            <w:r>
              <w:rPr>
                <w:rFonts w:ascii="Arial" w:cs="Arial" w:eastAsia="Arial" w:hAnsi="Arial"/>
                <w:sz w:val="13"/>
                <w:szCs w:val="13"/>
                <w:b w:val="1"/>
                <w:bCs w:val="1"/>
                <w:color w:val="auto"/>
                <w:w w:val="76"/>
              </w:rPr>
              <w:t>Responses:</w:t>
            </w:r>
            <w:r>
              <w:rPr>
                <w:rFonts w:ascii="Arial" w:cs="Arial" w:eastAsia="Arial" w:hAnsi="Arial"/>
                <w:sz w:val="12"/>
                <w:szCs w:val="12"/>
                <w:b w:val="1"/>
                <w:bCs w:val="1"/>
                <w:color w:val="auto"/>
                <w:w w:val="76"/>
              </w:rPr>
              <w:t>rcise(Month/Day/Year)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Derivative</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Beneficial</w:t>
            </w:r>
          </w:p>
        </w:tc>
      </w:tr>
      <w:tr>
        <w:trPr>
          <w:trHeight w:val="121"/>
        </w:trPr>
        <w:tc>
          <w:tcPr>
            <w:tcW w:w="80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21"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0"/>
                <w:szCs w:val="10"/>
                <w:color w:val="auto"/>
              </w:rPr>
            </w:pPr>
          </w:p>
        </w:tc>
        <w:tc>
          <w:tcPr>
            <w:tcW w:w="11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1500" w:type="dxa"/>
            <w:vAlign w:val="bottom"/>
          </w:tcPr>
          <w:p>
            <w:pPr>
              <w:spacing w:after="0"/>
              <w:rPr>
                <w:sz w:val="10"/>
                <w:szCs w:val="10"/>
                <w:color w:val="auto"/>
              </w:rPr>
            </w:pPr>
          </w:p>
        </w:tc>
        <w:tc>
          <w:tcPr>
            <w:tcW w:w="1020" w:type="dxa"/>
            <w:vAlign w:val="bottom"/>
          </w:tcPr>
          <w:p>
            <w:pPr>
              <w:ind w:left="100"/>
              <w:spacing w:after="0" w:line="121"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Ownership</w:t>
            </w:r>
          </w:p>
        </w:tc>
      </w:tr>
      <w:tr>
        <w:trPr>
          <w:trHeight w:val="67"/>
        </w:trPr>
        <w:tc>
          <w:tcPr>
            <w:tcW w:w="11080" w:type="dxa"/>
            <w:vAlign w:val="bottom"/>
            <w:gridSpan w:val="12"/>
          </w:tcPr>
          <w:p>
            <w:pPr>
              <w:ind w:left="40"/>
              <w:spacing w:after="0" w:line="67" w:lineRule="exact"/>
              <w:rPr>
                <w:sz w:val="20"/>
                <w:szCs w:val="20"/>
                <w:color w:val="auto"/>
              </w:rPr>
            </w:pPr>
            <w:r>
              <w:rPr>
                <w:rFonts w:ascii="Times New Roman" w:cs="Times New Roman" w:eastAsia="Times New Roman" w:hAnsi="Times New Roman"/>
                <w:sz w:val="7"/>
                <w:szCs w:val="7"/>
                <w:color w:val="008000"/>
              </w:rPr>
              <w:t>1. The price reported in Column 4 is a weighted average price. These shares were acquired in multiple transactions at prices ranging from $4.99 to $5.00, inclusive. The Reporting Persons undertake to</w:t>
            </w:r>
          </w:p>
        </w:tc>
      </w:tr>
      <w:tr>
        <w:trPr>
          <w:trHeight w:val="67"/>
        </w:trPr>
        <w:tc>
          <w:tcPr>
            <w:tcW w:w="800" w:type="dxa"/>
            <w:vAlign w:val="bottom"/>
          </w:tcPr>
          <w:p>
            <w:pPr>
              <w:spacing w:after="0"/>
              <w:rPr>
                <w:sz w:val="5"/>
                <w:szCs w:val="5"/>
                <w:color w:val="auto"/>
              </w:rPr>
            </w:pPr>
          </w:p>
        </w:tc>
        <w:tc>
          <w:tcPr>
            <w:tcW w:w="740" w:type="dxa"/>
            <w:vAlign w:val="bottom"/>
          </w:tcPr>
          <w:p>
            <w:pPr>
              <w:spacing w:after="0" w:line="67" w:lineRule="exact"/>
              <w:rPr>
                <w:sz w:val="20"/>
                <w:szCs w:val="20"/>
                <w:color w:val="auto"/>
              </w:rPr>
            </w:pPr>
            <w:r>
              <w:rPr>
                <w:rFonts w:ascii="Arial" w:cs="Arial" w:eastAsia="Arial" w:hAnsi="Arial"/>
                <w:sz w:val="7"/>
                <w:szCs w:val="7"/>
                <w:b w:val="1"/>
                <w:bCs w:val="1"/>
                <w:color w:val="auto"/>
              </w:rPr>
              <w:t>Derivative</w:t>
            </w: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Acquired</w:t>
            </w:r>
          </w:p>
        </w:tc>
        <w:tc>
          <w:tcPr>
            <w:tcW w:w="1500" w:type="dxa"/>
            <w:vAlign w:val="bottom"/>
          </w:tcPr>
          <w:p>
            <w:pPr>
              <w:spacing w:after="0"/>
              <w:rPr>
                <w:sz w:val="5"/>
                <w:szCs w:val="5"/>
                <w:color w:val="auto"/>
              </w:rPr>
            </w:pPr>
          </w:p>
        </w:tc>
        <w:tc>
          <w:tcPr>
            <w:tcW w:w="1020" w:type="dxa"/>
            <w:vAlign w:val="bottom"/>
          </w:tcPr>
          <w:p>
            <w:pPr>
              <w:ind w:left="100"/>
              <w:spacing w:after="0" w:line="67" w:lineRule="exact"/>
              <w:rPr>
                <w:sz w:val="20"/>
                <w:szCs w:val="20"/>
                <w:color w:val="auto"/>
              </w:rPr>
            </w:pPr>
            <w:r>
              <w:rPr>
                <w:rFonts w:ascii="Arial" w:cs="Arial" w:eastAsia="Arial" w:hAnsi="Arial"/>
                <w:sz w:val="7"/>
                <w:szCs w:val="7"/>
                <w:b w:val="1"/>
                <w:bCs w:val="1"/>
                <w:color w:val="auto"/>
              </w:rPr>
              <w:t>Derivative</w:t>
            </w:r>
          </w:p>
        </w:tc>
        <w:tc>
          <w:tcPr>
            <w:tcW w:w="720" w:type="dxa"/>
            <w:vAlign w:val="bottom"/>
          </w:tcPr>
          <w:p>
            <w:pPr>
              <w:spacing w:after="0"/>
              <w:rPr>
                <w:sz w:val="5"/>
                <w:szCs w:val="5"/>
                <w:color w:val="auto"/>
              </w:rPr>
            </w:pPr>
          </w:p>
        </w:tc>
        <w:tc>
          <w:tcPr>
            <w:tcW w:w="9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Owned</w:t>
            </w:r>
          </w:p>
        </w:tc>
        <w:tc>
          <w:tcPr>
            <w:tcW w:w="76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or Indirect</w:t>
            </w:r>
          </w:p>
        </w:tc>
        <w:tc>
          <w:tcPr>
            <w:tcW w:w="780" w:type="dxa"/>
            <w:vAlign w:val="bottom"/>
          </w:tcPr>
          <w:p>
            <w:pPr>
              <w:ind w:left="80"/>
              <w:spacing w:after="0" w:line="67" w:lineRule="exact"/>
              <w:rPr>
                <w:sz w:val="20"/>
                <w:szCs w:val="20"/>
                <w:color w:val="auto"/>
              </w:rPr>
            </w:pPr>
            <w:r>
              <w:rPr>
                <w:rFonts w:ascii="Arial" w:cs="Arial" w:eastAsia="Arial" w:hAnsi="Arial"/>
                <w:sz w:val="7"/>
                <w:szCs w:val="7"/>
                <w:b w:val="1"/>
                <w:bCs w:val="1"/>
                <w:color w:val="auto"/>
              </w:rPr>
              <w:t>(Instr. 4)</w:t>
            </w:r>
          </w:p>
        </w:tc>
      </w:tr>
      <w:tr>
        <w:trPr>
          <w:trHeight w:val="80"/>
        </w:trPr>
        <w:tc>
          <w:tcPr>
            <w:tcW w:w="11080" w:type="dxa"/>
            <w:vAlign w:val="bottom"/>
            <w:gridSpan w:val="12"/>
          </w:tcPr>
          <w:p>
            <w:pPr>
              <w:ind w:left="40"/>
              <w:spacing w:after="0" w:line="80" w:lineRule="exact"/>
              <w:rPr>
                <w:sz w:val="20"/>
                <w:szCs w:val="20"/>
                <w:color w:val="auto"/>
              </w:rPr>
            </w:pPr>
            <w:r>
              <w:rPr>
                <w:rFonts w:ascii="Times New Roman" w:cs="Times New Roman" w:eastAsia="Times New Roman" w:hAnsi="Times New Roman"/>
                <w:sz w:val="9"/>
                <w:szCs w:val="9"/>
                <w:color w:val="008000"/>
              </w:rPr>
              <w:t>provide to the Issuer or the staff of the Securities and Exchange Commission, upon request, full information regarding the number of shares acquired at each separate price within the ranges set forth in</w:t>
            </w:r>
          </w:p>
        </w:tc>
      </w:tr>
      <w:tr>
        <w:trPr>
          <w:trHeight w:val="53"/>
        </w:trPr>
        <w:tc>
          <w:tcPr>
            <w:tcW w:w="800" w:type="dxa"/>
            <w:vAlign w:val="bottom"/>
          </w:tcPr>
          <w:p>
            <w:pPr>
              <w:spacing w:after="0"/>
              <w:rPr>
                <w:sz w:val="4"/>
                <w:szCs w:val="4"/>
                <w:color w:val="auto"/>
              </w:rPr>
            </w:pPr>
          </w:p>
        </w:tc>
        <w:tc>
          <w:tcPr>
            <w:tcW w:w="740" w:type="dxa"/>
            <w:vAlign w:val="bottom"/>
          </w:tcPr>
          <w:p>
            <w:pPr>
              <w:spacing w:after="0" w:line="54" w:lineRule="exact"/>
              <w:rPr>
                <w:sz w:val="20"/>
                <w:szCs w:val="20"/>
                <w:color w:val="auto"/>
              </w:rPr>
            </w:pPr>
            <w:r>
              <w:rPr>
                <w:rFonts w:ascii="Arial" w:cs="Arial" w:eastAsia="Arial" w:hAnsi="Arial"/>
                <w:sz w:val="6"/>
                <w:szCs w:val="6"/>
                <w:b w:val="1"/>
                <w:bCs w:val="1"/>
                <w:color w:val="auto"/>
              </w:rPr>
              <w:t>Security</w:t>
            </w: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(A) or</w:t>
            </w:r>
          </w:p>
        </w:tc>
        <w:tc>
          <w:tcPr>
            <w:tcW w:w="1500" w:type="dxa"/>
            <w:vAlign w:val="bottom"/>
          </w:tcPr>
          <w:p>
            <w:pPr>
              <w:spacing w:after="0"/>
              <w:rPr>
                <w:sz w:val="4"/>
                <w:szCs w:val="4"/>
                <w:color w:val="auto"/>
              </w:rPr>
            </w:pPr>
          </w:p>
        </w:tc>
        <w:tc>
          <w:tcPr>
            <w:tcW w:w="1020" w:type="dxa"/>
            <w:vAlign w:val="bottom"/>
          </w:tcPr>
          <w:p>
            <w:pPr>
              <w:ind w:left="100"/>
              <w:spacing w:after="0" w:line="54" w:lineRule="exact"/>
              <w:rPr>
                <w:sz w:val="20"/>
                <w:szCs w:val="20"/>
                <w:color w:val="auto"/>
              </w:rPr>
            </w:pPr>
            <w:r>
              <w:rPr>
                <w:rFonts w:ascii="Arial" w:cs="Arial" w:eastAsia="Arial" w:hAnsi="Arial"/>
                <w:sz w:val="6"/>
                <w:szCs w:val="6"/>
                <w:b w:val="1"/>
                <w:bCs w:val="1"/>
                <w:color w:val="auto"/>
              </w:rPr>
              <w:t>Security (Instr.</w:t>
            </w:r>
          </w:p>
        </w:tc>
        <w:tc>
          <w:tcPr>
            <w:tcW w:w="720" w:type="dxa"/>
            <w:vAlign w:val="bottom"/>
          </w:tcPr>
          <w:p>
            <w:pPr>
              <w:spacing w:after="0"/>
              <w:rPr>
                <w:sz w:val="4"/>
                <w:szCs w:val="4"/>
                <w:color w:val="auto"/>
              </w:rPr>
            </w:pPr>
          </w:p>
        </w:tc>
        <w:tc>
          <w:tcPr>
            <w:tcW w:w="9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Following</w:t>
            </w:r>
          </w:p>
        </w:tc>
        <w:tc>
          <w:tcPr>
            <w:tcW w:w="760" w:type="dxa"/>
            <w:vAlign w:val="bottom"/>
          </w:tcPr>
          <w:p>
            <w:pPr>
              <w:ind w:left="80"/>
              <w:spacing w:after="0" w:line="54" w:lineRule="exact"/>
              <w:rPr>
                <w:sz w:val="20"/>
                <w:szCs w:val="20"/>
                <w:color w:val="auto"/>
              </w:rPr>
            </w:pPr>
            <w:r>
              <w:rPr>
                <w:rFonts w:ascii="Arial" w:cs="Arial" w:eastAsia="Arial" w:hAnsi="Arial"/>
                <w:sz w:val="6"/>
                <w:szCs w:val="6"/>
                <w:b w:val="1"/>
                <w:bCs w:val="1"/>
                <w:color w:val="auto"/>
              </w:rPr>
              <w:t>(I) (Instr. 4)</w:t>
            </w:r>
          </w:p>
        </w:tc>
        <w:tc>
          <w:tcPr>
            <w:tcW w:w="780" w:type="dxa"/>
            <w:vAlign w:val="bottom"/>
          </w:tcPr>
          <w:p>
            <w:pPr>
              <w:spacing w:after="0"/>
              <w:rPr>
                <w:sz w:val="4"/>
                <w:szCs w:val="4"/>
                <w:color w:val="auto"/>
              </w:rPr>
            </w:pPr>
          </w:p>
        </w:tc>
      </w:tr>
      <w:tr>
        <w:trPr>
          <w:trHeight w:val="146"/>
        </w:trPr>
        <w:tc>
          <w:tcPr>
            <w:tcW w:w="266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3"/>
                <w:szCs w:val="13"/>
                <w:color w:val="008000"/>
              </w:rPr>
              <w:t>this footnote 1 to this Form 4.</w:t>
            </w: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Disposed</w:t>
            </w:r>
          </w:p>
        </w:tc>
        <w:tc>
          <w:tcPr>
            <w:tcW w:w="1500" w:type="dxa"/>
            <w:vAlign w:val="bottom"/>
          </w:tcPr>
          <w:p>
            <w:pPr>
              <w:spacing w:after="0"/>
              <w:rPr>
                <w:sz w:val="12"/>
                <w:szCs w:val="12"/>
                <w:color w:val="auto"/>
              </w:rPr>
            </w:pP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21"/>
        </w:trPr>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of (D)</w:t>
            </w:r>
          </w:p>
        </w:tc>
        <w:tc>
          <w:tcPr>
            <w:tcW w:w="15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27"/>
        </w:trPr>
        <w:tc>
          <w:tcPr>
            <w:tcW w:w="11080" w:type="dxa"/>
            <w:vAlign w:val="bottom"/>
            <w:gridSpan w:val="12"/>
          </w:tcPr>
          <w:p>
            <w:pPr>
              <w:ind w:left="40"/>
              <w:spacing w:after="0" w:line="27" w:lineRule="exact"/>
              <w:rPr>
                <w:sz w:val="20"/>
                <w:szCs w:val="20"/>
                <w:color w:val="auto"/>
              </w:rPr>
            </w:pPr>
            <w:r>
              <w:rPr>
                <w:rFonts w:ascii="Times New Roman" w:cs="Times New Roman" w:eastAsia="Times New Roman" w:hAnsi="Times New Roman"/>
                <w:sz w:val="3"/>
                <w:szCs w:val="3"/>
                <w:color w:val="008000"/>
              </w:rPr>
              <w:t>2. The securities are directly held by The Column Group Opportunity III, LP ("TCG Opportunity III LP"). The Column Group Opportunity III GP, LP ("TCG Opportunity III GP LP") is the general</w:t>
            </w:r>
          </w:p>
        </w:tc>
      </w:tr>
      <w:tr>
        <w:trPr>
          <w:trHeight w:val="28"/>
        </w:trPr>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ind w:left="80"/>
              <w:spacing w:after="0"/>
              <w:rPr>
                <w:sz w:val="20"/>
                <w:szCs w:val="20"/>
                <w:color w:val="auto"/>
              </w:rPr>
            </w:pPr>
            <w:r>
              <w:rPr>
                <w:rFonts w:ascii="Arial" w:cs="Arial" w:eastAsia="Arial" w:hAnsi="Arial"/>
                <w:sz w:val="2"/>
                <w:szCs w:val="2"/>
                <w:b w:val="1"/>
                <w:bCs w:val="1"/>
                <w:color w:val="auto"/>
              </w:rPr>
              <w:t>(Instr. 3, 4</w:t>
            </w:r>
          </w:p>
        </w:tc>
        <w:tc>
          <w:tcPr>
            <w:tcW w:w="1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ind w:left="80"/>
              <w:spacing w:after="0"/>
              <w:rPr>
                <w:sz w:val="20"/>
                <w:szCs w:val="20"/>
                <w:color w:val="auto"/>
              </w:rPr>
            </w:pPr>
            <w:r>
              <w:rPr>
                <w:rFonts w:ascii="Arial" w:cs="Arial" w:eastAsia="Arial" w:hAnsi="Arial"/>
                <w:sz w:val="2"/>
                <w:szCs w:val="2"/>
                <w:b w:val="1"/>
                <w:bCs w:val="1"/>
                <w:color w:val="auto"/>
              </w:rPr>
              <w:t>(Instr. 4)</w:t>
            </w: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r>
    </w:tbl>
    <w:p>
      <w:pPr>
        <w:ind w:left="40"/>
        <w:spacing w:after="0" w:line="196" w:lineRule="auto"/>
        <w:rPr>
          <w:sz w:val="20"/>
          <w:szCs w:val="20"/>
          <w:color w:val="auto"/>
        </w:rPr>
      </w:pPr>
      <w:r>
        <w:rPr>
          <w:rFonts w:ascii="Times New Roman" w:cs="Times New Roman" w:eastAsia="Times New Roman" w:hAnsi="Times New Roman"/>
          <w:sz w:val="11"/>
          <w:szCs w:val="11"/>
          <w:color w:val="008000"/>
        </w:rPr>
        <w:t>partner of TCG Opportunity III LP and may be deemed to have voting, investment and dispositive power with respect to these securities. TCG Opportunity III GP, LLC ("TCG Opportunity III GP LLC")</w:t>
      </w:r>
    </w:p>
    <w:p>
      <w:pPr>
        <w:ind w:left="4680"/>
        <w:spacing w:after="0" w:line="180" w:lineRule="auto"/>
        <w:rPr>
          <w:sz w:val="20"/>
          <w:szCs w:val="20"/>
          <w:color w:val="auto"/>
        </w:rPr>
      </w:pPr>
      <w:r>
        <w:rPr>
          <w:rFonts w:ascii="Arial" w:cs="Arial" w:eastAsia="Arial" w:hAnsi="Arial"/>
          <w:sz w:val="5"/>
          <w:szCs w:val="5"/>
          <w:b w:val="1"/>
          <w:bCs w:val="1"/>
          <w:color w:val="auto"/>
        </w:rPr>
        <w:t>and 5)</w:t>
      </w:r>
    </w:p>
    <w:p>
      <w:pPr>
        <w:ind w:left="40" w:right="440"/>
        <w:spacing w:after="0" w:line="242" w:lineRule="auto"/>
        <w:rPr>
          <w:sz w:val="20"/>
          <w:szCs w:val="20"/>
          <w:color w:val="auto"/>
        </w:rPr>
      </w:pPr>
      <w:r>
        <w:rPr>
          <w:rFonts w:ascii="Times New Roman" w:cs="Times New Roman" w:eastAsia="Times New Roman" w:hAnsi="Times New Roman"/>
          <w:sz w:val="13"/>
          <w:szCs w:val="13"/>
          <w:color w:val="008000"/>
        </w:rPr>
        <w:t>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008000"/>
              </w:rPr>
              <w:t>3.</w:t>
            </w:r>
          </w:p>
        </w:tc>
        <w:tc>
          <w:tcPr>
            <w:tcW w:w="1076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008000"/>
              </w:rPr>
              <w:t>(Continued from Footnote 2) The TCG Managing Members may be deemed to share voting, investment and dispositive power with respect to such securities. TCG Opportunity III GP LP, TCG</w:t>
            </w:r>
          </w:p>
        </w:tc>
        <w:tc>
          <w:tcPr>
            <w:tcW w:w="0" w:type="dxa"/>
            <w:vAlign w:val="bottom"/>
          </w:tcPr>
          <w:p>
            <w:pPr>
              <w:spacing w:after="0"/>
              <w:rPr>
                <w:sz w:val="1"/>
                <w:szCs w:val="1"/>
                <w:color w:val="auto"/>
              </w:rPr>
            </w:pPr>
          </w:p>
        </w:tc>
      </w:tr>
      <w:tr>
        <w:trPr>
          <w:trHeight w:val="133"/>
        </w:trPr>
        <w:tc>
          <w:tcPr>
            <w:tcW w:w="10880" w:type="dxa"/>
            <w:vAlign w:val="bottom"/>
            <w:gridSpan w:val="6"/>
          </w:tcPr>
          <w:p>
            <w:pPr>
              <w:spacing w:after="0" w:line="133" w:lineRule="exact"/>
              <w:rPr>
                <w:sz w:val="20"/>
                <w:szCs w:val="20"/>
                <w:color w:val="auto"/>
              </w:rPr>
            </w:pPr>
            <w:r>
              <w:rPr>
                <w:rFonts w:ascii="Times New Roman" w:cs="Times New Roman" w:eastAsia="Times New Roman" w:hAnsi="Times New Roman"/>
                <w:sz w:val="13"/>
                <w:szCs w:val="13"/>
                <w:color w:val="008000"/>
              </w:rPr>
              <w:t>Opportunity III GP LLC and each of the TCG Managing Members disclaim beneficial ownership of these securities, except to the extent of their respective pecuniary interest in such securities.</w:t>
            </w:r>
          </w:p>
        </w:tc>
        <w:tc>
          <w:tcPr>
            <w:tcW w:w="0" w:type="dxa"/>
            <w:vAlign w:val="bottom"/>
          </w:tcPr>
          <w:p>
            <w:pPr>
              <w:spacing w:after="0"/>
              <w:rPr>
                <w:sz w:val="1"/>
                <w:szCs w:val="1"/>
                <w:color w:val="auto"/>
              </w:rPr>
            </w:pPr>
          </w:p>
        </w:tc>
      </w:tr>
      <w:tr>
        <w:trPr>
          <w:trHeight w:val="66"/>
        </w:trPr>
        <w:tc>
          <w:tcPr>
            <w:tcW w:w="1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40" w:type="dxa"/>
            <w:vAlign w:val="bottom"/>
          </w:tcPr>
          <w:p>
            <w:pPr>
              <w:ind w:left="460"/>
              <w:spacing w:after="0" w:line="66" w:lineRule="exact"/>
              <w:rPr>
                <w:sz w:val="20"/>
                <w:szCs w:val="20"/>
                <w:color w:val="auto"/>
              </w:rPr>
            </w:pPr>
            <w:r>
              <w:rPr>
                <w:rFonts w:ascii="Arial" w:cs="Arial" w:eastAsia="Arial" w:hAnsi="Arial"/>
                <w:sz w:val="7"/>
                <w:szCs w:val="7"/>
                <w:b w:val="1"/>
                <w:bCs w:val="1"/>
                <w:color w:val="auto"/>
              </w:rPr>
              <w:t>Amount</w:t>
            </w:r>
          </w:p>
        </w:tc>
        <w:tc>
          <w:tcPr>
            <w:tcW w:w="0" w:type="dxa"/>
            <w:vAlign w:val="bottom"/>
          </w:tcPr>
          <w:p>
            <w:pPr>
              <w:spacing w:after="0"/>
              <w:rPr>
                <w:sz w:val="1"/>
                <w:szCs w:val="1"/>
                <w:color w:val="auto"/>
              </w:rPr>
            </w:pPr>
          </w:p>
        </w:tc>
      </w:tr>
      <w:tr>
        <w:trPr>
          <w:trHeight w:val="134"/>
        </w:trPr>
        <w:tc>
          <w:tcPr>
            <w:tcW w:w="120" w:type="dxa"/>
            <w:vAlign w:val="bottom"/>
          </w:tcPr>
          <w:p>
            <w:pPr>
              <w:spacing w:after="0" w:line="134" w:lineRule="exact"/>
              <w:rPr>
                <w:sz w:val="20"/>
                <w:szCs w:val="20"/>
                <w:color w:val="auto"/>
              </w:rPr>
            </w:pPr>
            <w:r>
              <w:rPr>
                <w:rFonts w:ascii="Times New Roman" w:cs="Times New Roman" w:eastAsia="Times New Roman" w:hAnsi="Times New Roman"/>
                <w:sz w:val="13"/>
                <w:szCs w:val="13"/>
                <w:color w:val="008000"/>
              </w:rPr>
              <w:t>4.</w:t>
            </w:r>
          </w:p>
        </w:tc>
        <w:tc>
          <w:tcPr>
            <w:tcW w:w="10760" w:type="dxa"/>
            <w:vAlign w:val="bottom"/>
            <w:gridSpan w:val="5"/>
          </w:tcPr>
          <w:p>
            <w:pPr>
              <w:ind w:left="20"/>
              <w:spacing w:after="0" w:line="134" w:lineRule="exact"/>
              <w:rPr>
                <w:sz w:val="20"/>
                <w:szCs w:val="20"/>
                <w:color w:val="auto"/>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w:t>
            </w:r>
            <w:r>
              <w:rPr>
                <w:rFonts w:ascii="Arial" w:cs="Arial" w:eastAsia="Arial" w:hAnsi="Arial"/>
                <w:sz w:val="11"/>
                <w:szCs w:val="11"/>
                <w:b w:val="1"/>
                <w:bCs w:val="1"/>
                <w:color w:val="000000"/>
              </w:rPr>
              <w:t>or</w:t>
            </w:r>
            <w:r>
              <w:rPr>
                <w:rFonts w:ascii="Times New Roman" w:cs="Times New Roman" w:eastAsia="Times New Roman" w:hAnsi="Times New Roman"/>
                <w:sz w:val="13"/>
                <w:szCs w:val="13"/>
                <w:color w:val="008000"/>
              </w:rPr>
              <w:t>$4.995 to $5.00, inclusive. The Reporting Persons undertake to</w:t>
            </w:r>
          </w:p>
        </w:tc>
        <w:tc>
          <w:tcPr>
            <w:tcW w:w="0" w:type="dxa"/>
            <w:vAlign w:val="bottom"/>
          </w:tcPr>
          <w:p>
            <w:pPr>
              <w:spacing w:after="0"/>
              <w:rPr>
                <w:sz w:val="1"/>
                <w:szCs w:val="1"/>
                <w:color w:val="auto"/>
              </w:rPr>
            </w:pPr>
          </w:p>
        </w:tc>
      </w:tr>
      <w:tr>
        <w:trPr>
          <w:trHeight w:val="120"/>
        </w:trPr>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40" w:type="dxa"/>
            <w:vAlign w:val="bottom"/>
          </w:tcPr>
          <w:p>
            <w:pPr>
              <w:ind w:left="460"/>
              <w:spacing w:after="0" w:line="120" w:lineRule="exact"/>
              <w:rPr>
                <w:sz w:val="20"/>
                <w:szCs w:val="20"/>
                <w:color w:val="auto"/>
              </w:rPr>
            </w:pPr>
            <w:r>
              <w:rPr>
                <w:rFonts w:ascii="Arial" w:cs="Arial" w:eastAsia="Arial" w:hAnsi="Arial"/>
                <w:sz w:val="12"/>
                <w:szCs w:val="12"/>
                <w:b w:val="1"/>
                <w:bCs w:val="1"/>
                <w:color w:val="auto"/>
              </w:rPr>
              <w:t>Number</w:t>
            </w:r>
          </w:p>
        </w:tc>
        <w:tc>
          <w:tcPr>
            <w:tcW w:w="0" w:type="dxa"/>
            <w:vAlign w:val="bottom"/>
          </w:tcPr>
          <w:p>
            <w:pPr>
              <w:spacing w:after="0"/>
              <w:rPr>
                <w:sz w:val="1"/>
                <w:szCs w:val="1"/>
                <w:color w:val="auto"/>
              </w:rPr>
            </w:pPr>
          </w:p>
        </w:tc>
      </w:tr>
      <w:tr>
        <w:trPr>
          <w:trHeight w:val="27"/>
        </w:trPr>
        <w:tc>
          <w:tcPr>
            <w:tcW w:w="10880" w:type="dxa"/>
            <w:vAlign w:val="bottom"/>
            <w:gridSpan w:val="6"/>
          </w:tcPr>
          <w:p>
            <w:pPr>
              <w:spacing w:after="0" w:line="27" w:lineRule="exact"/>
              <w:rPr>
                <w:sz w:val="20"/>
                <w:szCs w:val="20"/>
                <w:color w:val="auto"/>
              </w:rPr>
            </w:pPr>
            <w:r>
              <w:rPr>
                <w:rFonts w:ascii="Times New Roman" w:cs="Times New Roman" w:eastAsia="Times New Roman" w:hAnsi="Times New Roman"/>
                <w:sz w:val="3"/>
                <w:szCs w:val="3"/>
                <w:color w:val="008000"/>
              </w:rPr>
              <w:t>provide to the Issuer or the staff of the Securities and Exchange Commission, upon request, full information regarding the number of shares acquired at each separate price within the ranges set forth in</w:t>
            </w:r>
          </w:p>
        </w:tc>
        <w:tc>
          <w:tcPr>
            <w:tcW w:w="0" w:type="dxa"/>
            <w:vAlign w:val="bottom"/>
          </w:tcPr>
          <w:p>
            <w:pPr>
              <w:spacing w:after="0" w:line="20" w:lineRule="exact"/>
              <w:rPr>
                <w:sz w:val="1"/>
                <w:szCs w:val="1"/>
                <w:color w:val="auto"/>
              </w:rPr>
            </w:pPr>
          </w:p>
        </w:tc>
      </w:tr>
      <w:tr>
        <w:trPr>
          <w:trHeight w:val="147"/>
        </w:trPr>
        <w:tc>
          <w:tcPr>
            <w:tcW w:w="270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008000"/>
              </w:rPr>
              <w:t>this footnote 4 to this Form 4.</w:t>
            </w:r>
          </w:p>
        </w:tc>
        <w:tc>
          <w:tcPr>
            <w:tcW w:w="1780" w:type="dxa"/>
            <w:vAlign w:val="bottom"/>
            <w:vMerge w:val="restart"/>
          </w:tcPr>
          <w:p>
            <w:pPr>
              <w:ind w:left="1100"/>
              <w:spacing w:after="0"/>
              <w:rPr>
                <w:sz w:val="20"/>
                <w:szCs w:val="20"/>
                <w:color w:val="auto"/>
              </w:rPr>
            </w:pPr>
            <w:r>
              <w:rPr>
                <w:rFonts w:ascii="Arial" w:cs="Arial" w:eastAsia="Arial" w:hAnsi="Arial"/>
                <w:sz w:val="12"/>
                <w:szCs w:val="12"/>
                <w:b w:val="1"/>
                <w:bCs w:val="1"/>
                <w:color w:val="auto"/>
              </w:rPr>
              <w:t>Code  V</w:t>
            </w:r>
          </w:p>
        </w:tc>
        <w:tc>
          <w:tcPr>
            <w:tcW w:w="1620" w:type="dxa"/>
            <w:vAlign w:val="bottom"/>
          </w:tcPr>
          <w:p>
            <w:pPr>
              <w:ind w:left="88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Expiration</w:t>
            </w:r>
          </w:p>
        </w:tc>
        <w:tc>
          <w:tcPr>
            <w:tcW w:w="4040" w:type="dxa"/>
            <w:vAlign w:val="bottom"/>
          </w:tcPr>
          <w:p>
            <w:pPr>
              <w:ind w:left="460"/>
              <w:spacing w:after="0"/>
              <w:rPr>
                <w:sz w:val="20"/>
                <w:szCs w:val="20"/>
                <w:color w:val="auto"/>
              </w:rPr>
            </w:pPr>
            <w:r>
              <w:rPr>
                <w:rFonts w:ascii="Arial" w:cs="Arial" w:eastAsia="Arial" w:hAnsi="Arial"/>
                <w:sz w:val="12"/>
                <w:szCs w:val="12"/>
                <w:b w:val="1"/>
                <w:bCs w:val="1"/>
                <w:color w:val="auto"/>
              </w:rPr>
              <w:t>of</w:t>
            </w:r>
          </w:p>
        </w:tc>
        <w:tc>
          <w:tcPr>
            <w:tcW w:w="0" w:type="dxa"/>
            <w:vAlign w:val="bottom"/>
          </w:tcPr>
          <w:p>
            <w:pPr>
              <w:spacing w:after="0"/>
              <w:rPr>
                <w:sz w:val="1"/>
                <w:szCs w:val="1"/>
                <w:color w:val="auto"/>
              </w:rPr>
            </w:pPr>
          </w:p>
        </w:tc>
      </w:tr>
      <w:tr>
        <w:trPr>
          <w:trHeight w:val="93"/>
        </w:trPr>
        <w:tc>
          <w:tcPr>
            <w:tcW w:w="120" w:type="dxa"/>
            <w:vAlign w:val="bottom"/>
            <w:vMerge w:val="restart"/>
          </w:tcPr>
          <w:p>
            <w:pPr>
              <w:spacing w:after="0"/>
              <w:rPr>
                <w:sz w:val="20"/>
                <w:szCs w:val="20"/>
                <w:color w:val="auto"/>
              </w:rPr>
            </w:pPr>
            <w:r>
              <w:rPr>
                <w:rFonts w:ascii="Times New Roman" w:cs="Times New Roman" w:eastAsia="Times New Roman" w:hAnsi="Times New Roman"/>
                <w:sz w:val="13"/>
                <w:szCs w:val="13"/>
                <w:color w:val="008000"/>
              </w:rPr>
              <w:t>5.</w:t>
            </w:r>
          </w:p>
        </w:tc>
        <w:tc>
          <w:tcPr>
            <w:tcW w:w="2580" w:type="dxa"/>
            <w:vAlign w:val="bottom"/>
          </w:tcPr>
          <w:p>
            <w:pPr>
              <w:spacing w:after="0"/>
              <w:rPr>
                <w:sz w:val="8"/>
                <w:szCs w:val="8"/>
                <w:color w:val="auto"/>
              </w:rPr>
            </w:pPr>
          </w:p>
        </w:tc>
        <w:tc>
          <w:tcPr>
            <w:tcW w:w="1780" w:type="dxa"/>
            <w:vAlign w:val="bottom"/>
            <w:vMerge w:val="continue"/>
          </w:tcPr>
          <w:p>
            <w:pPr>
              <w:spacing w:after="0"/>
              <w:rPr>
                <w:sz w:val="8"/>
                <w:szCs w:val="8"/>
                <w:color w:val="auto"/>
              </w:rPr>
            </w:pPr>
          </w:p>
        </w:tc>
        <w:tc>
          <w:tcPr>
            <w:tcW w:w="1620" w:type="dxa"/>
            <w:vAlign w:val="bottom"/>
          </w:tcPr>
          <w:p>
            <w:pPr>
              <w:ind w:left="160"/>
              <w:spacing w:after="0" w:line="93" w:lineRule="exact"/>
              <w:rPr>
                <w:sz w:val="20"/>
                <w:szCs w:val="20"/>
                <w:color w:val="auto"/>
              </w:rPr>
            </w:pPr>
            <w:r>
              <w:rPr>
                <w:rFonts w:ascii="Arial" w:cs="Arial" w:eastAsia="Arial" w:hAnsi="Arial"/>
                <w:sz w:val="10"/>
                <w:szCs w:val="10"/>
                <w:b w:val="1"/>
                <w:bCs w:val="1"/>
                <w:color w:val="auto"/>
              </w:rPr>
              <w:t>(A)   (D)   Exercisable</w:t>
            </w:r>
          </w:p>
        </w:tc>
        <w:tc>
          <w:tcPr>
            <w:tcW w:w="740" w:type="dxa"/>
            <w:vAlign w:val="bottom"/>
          </w:tcPr>
          <w:p>
            <w:pPr>
              <w:ind w:left="80"/>
              <w:spacing w:after="0" w:line="93" w:lineRule="exact"/>
              <w:rPr>
                <w:sz w:val="20"/>
                <w:szCs w:val="20"/>
                <w:color w:val="auto"/>
              </w:rPr>
            </w:pPr>
            <w:r>
              <w:rPr>
                <w:rFonts w:ascii="Arial" w:cs="Arial" w:eastAsia="Arial" w:hAnsi="Arial"/>
                <w:sz w:val="10"/>
                <w:szCs w:val="10"/>
                <w:b w:val="1"/>
                <w:bCs w:val="1"/>
                <w:color w:val="auto"/>
              </w:rPr>
              <w:t>Date</w:t>
            </w:r>
          </w:p>
        </w:tc>
        <w:tc>
          <w:tcPr>
            <w:tcW w:w="4040" w:type="dxa"/>
            <w:vAlign w:val="bottom"/>
          </w:tcPr>
          <w:p>
            <w:pPr>
              <w:ind w:left="60"/>
              <w:spacing w:after="0" w:line="93" w:lineRule="exact"/>
              <w:rPr>
                <w:sz w:val="20"/>
                <w:szCs w:val="20"/>
                <w:color w:val="auto"/>
              </w:rPr>
            </w:pPr>
            <w:r>
              <w:rPr>
                <w:rFonts w:ascii="Arial" w:cs="Arial" w:eastAsia="Arial" w:hAnsi="Arial"/>
                <w:sz w:val="10"/>
                <w:szCs w:val="10"/>
                <w:b w:val="1"/>
                <w:bCs w:val="1"/>
                <w:color w:val="auto"/>
              </w:rPr>
              <w:t>Title  Shares</w:t>
            </w:r>
          </w:p>
        </w:tc>
        <w:tc>
          <w:tcPr>
            <w:tcW w:w="0" w:type="dxa"/>
            <w:vAlign w:val="bottom"/>
          </w:tcPr>
          <w:p>
            <w:pPr>
              <w:spacing w:after="0"/>
              <w:rPr>
                <w:sz w:val="1"/>
                <w:szCs w:val="1"/>
                <w:color w:val="auto"/>
              </w:rPr>
            </w:pPr>
          </w:p>
        </w:tc>
      </w:tr>
      <w:tr>
        <w:trPr>
          <w:trHeight w:val="134"/>
        </w:trPr>
        <w:tc>
          <w:tcPr>
            <w:tcW w:w="120" w:type="dxa"/>
            <w:vAlign w:val="bottom"/>
            <w:vMerge w:val="continue"/>
          </w:tcPr>
          <w:p>
            <w:pPr>
              <w:spacing w:after="0"/>
              <w:rPr>
                <w:sz w:val="11"/>
                <w:szCs w:val="11"/>
                <w:color w:val="auto"/>
              </w:rPr>
            </w:pPr>
          </w:p>
        </w:tc>
        <w:tc>
          <w:tcPr>
            <w:tcW w:w="10760" w:type="dxa"/>
            <w:vAlign w:val="bottom"/>
            <w:gridSpan w:val="5"/>
          </w:tcPr>
          <w:p>
            <w:pPr>
              <w:ind w:left="20"/>
              <w:spacing w:after="0" w:line="134" w:lineRule="exact"/>
              <w:rPr>
                <w:sz w:val="20"/>
                <w:szCs w:val="20"/>
                <w:color w:val="auto"/>
              </w:rPr>
            </w:pPr>
            <w:r>
              <w:rPr>
                <w:rFonts w:ascii="Times New Roman" w:cs="Times New Roman" w:eastAsia="Times New Roman" w:hAnsi="Times New Roman"/>
                <w:sz w:val="13"/>
                <w:szCs w:val="13"/>
                <w:color w:val="008000"/>
              </w:rPr>
              <w:t>The securities are directly held by the David V. Goeddel and Alena Z. Goeddel 2004 Trust and the Alena Z. Goeddel Irrevocable Trust for which the Reporting Person and Alena Z. Goeddel serve as co-</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3"/>
          <w:szCs w:val="13"/>
          <w:color w:val="008000"/>
        </w:rPr>
        <w:t>trustee.</w:t>
      </w:r>
    </w:p>
    <w:p>
      <w:pPr>
        <w:spacing w:after="0" w:line="36" w:lineRule="exact"/>
        <w:rPr>
          <w:sz w:val="20"/>
          <w:szCs w:val="20"/>
          <w:color w:val="auto"/>
        </w:rPr>
      </w:pPr>
    </w:p>
    <w:p>
      <w:pPr>
        <w:ind w:left="40" w:right="300"/>
        <w:spacing w:after="0" w:line="244" w:lineRule="auto"/>
        <w:rPr>
          <w:sz w:val="20"/>
          <w:szCs w:val="20"/>
          <w:color w:val="auto"/>
        </w:rPr>
      </w:pPr>
      <w:r>
        <w:rPr>
          <w:rFonts w:ascii="Times New Roman" w:cs="Times New Roman" w:eastAsia="Times New Roman" w:hAnsi="Times New Roman"/>
          <w:sz w:val="13"/>
          <w:szCs w:val="13"/>
          <w:color w:val="008000"/>
        </w:rPr>
        <w:t>6. 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sz w:val="20"/>
          <w:szCs w:val="20"/>
          <w:color w:val="auto"/>
        </w:rPr>
      </w:pPr>
    </w:p>
    <w:p>
      <w:pPr>
        <w:ind w:left="40" w:right="260"/>
        <w:spacing w:after="0" w:line="244" w:lineRule="auto"/>
        <w:rPr>
          <w:sz w:val="20"/>
          <w:szCs w:val="20"/>
          <w:color w:val="auto"/>
        </w:rPr>
      </w:pPr>
      <w:r>
        <w:rPr>
          <w:rFonts w:ascii="Times New Roman" w:cs="Times New Roman" w:eastAsia="Times New Roman" w:hAnsi="Times New Roman"/>
          <w:sz w:val="13"/>
          <w:szCs w:val="13"/>
          <w:color w:val="008000"/>
        </w:rPr>
        <w:t>7. 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6" w:lineRule="exact"/>
        <w:rPr>
          <w:sz w:val="20"/>
          <w:szCs w:val="20"/>
          <w:color w:val="auto"/>
        </w:rPr>
      </w:pPr>
    </w:p>
    <w:p>
      <w:pPr>
        <w:jc w:val="both"/>
        <w:ind w:left="40" w:right="360"/>
        <w:spacing w:after="0" w:line="247" w:lineRule="auto"/>
        <w:rPr>
          <w:sz w:val="20"/>
          <w:szCs w:val="20"/>
          <w:color w:val="auto"/>
        </w:rPr>
      </w:pPr>
      <w:r>
        <w:rPr>
          <w:rFonts w:ascii="Times New Roman" w:cs="Times New Roman" w:eastAsia="Times New Roman" w:hAnsi="Times New Roman"/>
          <w:sz w:val="13"/>
          <w:szCs w:val="13"/>
          <w:color w:val="008000"/>
        </w:rPr>
        <w:t>8. The securities are directly held by The Column Group, LP ("TCG LP").The Column Group GP, LP ("TCG GP") is the general partner of TCG LP and may be deemed to have voting, investment and dispositive power with respect to these securities. The managing partners of TCG GP are the Reporting Person,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4" w:lineRule="exact"/>
        <w:rPr>
          <w:sz w:val="20"/>
          <w:szCs w:val="20"/>
          <w:color w:val="auto"/>
        </w:rPr>
      </w:pPr>
    </w:p>
    <w:p>
      <w:pPr>
        <w:ind w:left="40" w:right="260"/>
        <w:spacing w:after="0" w:line="247" w:lineRule="auto"/>
        <w:rPr>
          <w:sz w:val="20"/>
          <w:szCs w:val="20"/>
          <w:color w:val="auto"/>
        </w:rPr>
      </w:pPr>
      <w:r>
        <w:rPr>
          <w:rFonts w:ascii="Times New Roman" w:cs="Times New Roman" w:eastAsia="Times New Roman" w:hAnsi="Times New Roman"/>
          <w:sz w:val="13"/>
          <w:szCs w:val="13"/>
          <w:color w:val="008000"/>
        </w:rPr>
        <w:t>9. 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sz w:val="20"/>
          <w:szCs w:val="20"/>
          <w:color w:val="auto"/>
        </w:rPr>
      </w:pPr>
    </w:p>
    <w:p>
      <w:pPr>
        <w:jc w:val="both"/>
        <w:ind w:left="40" w:right="240"/>
        <w:spacing w:after="0" w:line="247" w:lineRule="auto"/>
        <w:rPr>
          <w:sz w:val="20"/>
          <w:szCs w:val="20"/>
          <w:color w:val="auto"/>
        </w:rPr>
      </w:pPr>
      <w:r>
        <w:rPr>
          <w:rFonts w:ascii="Times New Roman" w:cs="Times New Roman" w:eastAsia="Times New Roman" w:hAnsi="Times New Roman"/>
          <w:sz w:val="13"/>
          <w:szCs w:val="13"/>
          <w:color w:val="008000"/>
        </w:rPr>
        <w:t>10. 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4" w:lineRule="exact"/>
        <w:rPr>
          <w:sz w:val="20"/>
          <w:szCs w:val="20"/>
          <w:color w:val="auto"/>
        </w:rPr>
      </w:pPr>
    </w:p>
    <w:p>
      <w:pPr>
        <w:ind w:left="40" w:right="160"/>
        <w:spacing w:after="0" w:line="253" w:lineRule="auto"/>
        <w:rPr>
          <w:sz w:val="20"/>
          <w:szCs w:val="20"/>
          <w:color w:val="auto"/>
        </w:rPr>
      </w:pPr>
      <w:r>
        <w:rPr>
          <w:rFonts w:ascii="Times New Roman" w:cs="Times New Roman" w:eastAsia="Times New Roman" w:hAnsi="Times New Roman"/>
          <w:sz w:val="13"/>
          <w:szCs w:val="13"/>
          <w:color w:val="008000"/>
        </w:rPr>
        <w:t>11. 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20" w:lineRule="exact"/>
        <w:rPr>
          <w:sz w:val="20"/>
          <w:szCs w:val="20"/>
          <w:color w:val="auto"/>
        </w:rPr>
      </w:pPr>
    </w:p>
    <w:p>
      <w:pPr>
        <w:ind w:left="40" w:right="240"/>
        <w:spacing w:after="0" w:line="247" w:lineRule="auto"/>
        <w:rPr>
          <w:sz w:val="20"/>
          <w:szCs w:val="20"/>
          <w:color w:val="auto"/>
        </w:rPr>
      </w:pPr>
      <w:r>
        <w:rPr>
          <w:rFonts w:ascii="Times New Roman" w:cs="Times New Roman" w:eastAsia="Times New Roman" w:hAnsi="Times New Roman"/>
          <w:sz w:val="13"/>
          <w:szCs w:val="13"/>
          <w:color w:val="008000"/>
        </w:rPr>
        <w:t>12. 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4" w:lineRule="exact"/>
        <w:rPr>
          <w:sz w:val="20"/>
          <w:szCs w:val="20"/>
          <w:color w:val="auto"/>
        </w:rPr>
      </w:pPr>
    </w:p>
    <w:p>
      <w:pPr>
        <w:ind w:left="40" w:right="300"/>
        <w:spacing w:after="0" w:line="247" w:lineRule="auto"/>
        <w:rPr>
          <w:sz w:val="20"/>
          <w:szCs w:val="20"/>
          <w:color w:val="auto"/>
        </w:rPr>
      </w:pPr>
      <w:r>
        <w:rPr>
          <w:rFonts w:ascii="Times New Roman" w:cs="Times New Roman" w:eastAsia="Times New Roman" w:hAnsi="Times New Roman"/>
          <w:sz w:val="13"/>
          <w:szCs w:val="13"/>
          <w:color w:val="008000"/>
        </w:rPr>
        <w:t>13. 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4" w:lineRule="exact"/>
        <w:rPr>
          <w:sz w:val="20"/>
          <w:szCs w:val="20"/>
          <w:color w:val="auto"/>
        </w:rPr>
      </w:pPr>
    </w:p>
    <w:p>
      <w:pPr>
        <w:ind w:left="40" w:right="320"/>
        <w:spacing w:after="0" w:line="253" w:lineRule="auto"/>
        <w:rPr>
          <w:sz w:val="20"/>
          <w:szCs w:val="20"/>
          <w:color w:val="auto"/>
        </w:rPr>
      </w:pPr>
      <w:r>
        <w:rPr>
          <w:rFonts w:ascii="Times New Roman" w:cs="Times New Roman" w:eastAsia="Times New Roman" w:hAnsi="Times New Roman"/>
          <w:sz w:val="13"/>
          <w:szCs w:val="13"/>
          <w:color w:val="008000"/>
        </w:rPr>
        <w:t>14. 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0" w:lineRule="exact"/>
        <w:rPr>
          <w:sz w:val="20"/>
          <w:szCs w:val="20"/>
          <w:color w:val="auto"/>
        </w:rPr>
      </w:pPr>
    </w:p>
    <w:p>
      <w:pPr>
        <w:ind w:left="40" w:right="260"/>
        <w:spacing w:after="0" w:line="253" w:lineRule="auto"/>
        <w:rPr>
          <w:sz w:val="20"/>
          <w:szCs w:val="20"/>
          <w:color w:val="auto"/>
        </w:rPr>
      </w:pPr>
      <w:r>
        <w:rPr>
          <w:rFonts w:ascii="Times New Roman" w:cs="Times New Roman" w:eastAsia="Times New Roman" w:hAnsi="Times New Roman"/>
          <w:sz w:val="13"/>
          <w:szCs w:val="13"/>
          <w:color w:val="008000"/>
        </w:rPr>
        <w:t>15. 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02/01/2023</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7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2023-02-01T15:52:56Z</dcterms:created>
  <dcterms:modified xsi:type="dcterms:W3CDTF">2023-02-01T15:52:56Z</dcterms:modified>
</cp:coreProperties>
</file>