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40451718_sctoc.htm"/>
      <w:bookmarkStart w:id="1" w:name="kseh240451718_sctoc"/>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 Statement under Section 14(d)(1) or 13(e)(1)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NGM BIOPHARMACEUTICALS, INC.</w:t>
            </w:r>
          </w:p>
        </w:tc>
      </w:tr>
      <w:tr>
        <w:trPr/>
        <w:tc>
          <w:tcPr>
            <w:tcW w:w="102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Subject Company (Issuer))</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ATLAS NEON MERGER SUB, INC.</w:t>
              <w:br/>
            </w:r>
            <w:r>
              <w:rPr>
                <w:rFonts w:ascii="Times New Roman;Times;Serif" w:hAnsi="Times New Roman;Times;Serif"/>
                <w:b w:val="false"/>
                <w:i/>
                <w:caps w:val="false"/>
                <w:smallCaps w:val="false"/>
                <w:sz w:val="20"/>
              </w:rPr>
              <w:t>(Name of Filing Persons (Offeror))</w:t>
            </w:r>
          </w:p>
          <w:p>
            <w:pPr>
              <w:pStyle w:val="TableContents"/>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ATLAS NEON PARENT, INC.</w:t>
              <w:br/>
            </w:r>
            <w:r>
              <w:rPr>
                <w:rFonts w:ascii="Times New Roman;Times;Serif" w:hAnsi="Times New Roman;Times;Serif"/>
                <w:b w:val="false"/>
                <w:i/>
                <w:caps w:val="false"/>
                <w:smallCaps w:val="false"/>
                <w:sz w:val="20"/>
              </w:rPr>
              <w:t>(Name of Filing Persons (Parent of Offeror))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GP,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MANAGEMENT,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 GP,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III,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III GP,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III-A,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IV,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IV-A,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IV GP,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TCG IV GP, LLC</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OPPORTUNITY III,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OPPORTUNITY III GP,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TCG OPPORTUNITY III GP, LLC</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PONOI CAPITAL,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PONOI MANAGEMENT, LLC</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PONOI CAPITAL II, LP</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PONOI II MANAGEMENT, LLC</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V. GOEDDEL</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TIMOTHY KUTZKEY</w:t>
            </w:r>
          </w:p>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SVENNILSON</w:t>
            </w:r>
          </w:p>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Filing Persons (Affiliate of Offeror))</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$0.001 Per Share</w:t>
            </w:r>
          </w:p>
        </w:tc>
      </w:tr>
      <w:tr>
        <w:trPr/>
        <w:tc>
          <w:tcPr>
            <w:tcW w:w="102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(Title of Class of Securities)</w:t>
            </w:r>
          </w:p>
        </w:tc>
      </w:tr>
      <w:tr>
        <w:trPr/>
        <w:tc>
          <w:tcPr>
            <w:tcW w:w="1020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62921N105</w:t>
            </w:r>
          </w:p>
        </w:tc>
      </w:tr>
      <w:tr>
        <w:trPr/>
        <w:tc>
          <w:tcPr>
            <w:tcW w:w="102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(CUSIP Number of Class of Securities)</w:t>
            </w:r>
          </w:p>
        </w:tc>
      </w:tr>
      <w:tr>
        <w:trPr/>
        <w:tc>
          <w:tcPr>
            <w:tcW w:w="1020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20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Evangelista</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LP</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Letterman Drive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Suite DM-900</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Francisco, CA 94129</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 865-2050</w:t>
            </w:r>
          </w:p>
        </w:tc>
      </w:tr>
      <w:tr>
        <w:trPr/>
        <w:tc>
          <w:tcPr>
            <w:tcW w:w="102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address and telephone number of person authorized to receive notices and communications on behalf of filing persons)</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jc w:val="center"/>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4070"/>
      </w:tblGrid>
      <w:tr>
        <w:trPr/>
        <w:tc>
          <w:tcPr>
            <w:tcW w:w="407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Austin S. Pollet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Luke Jennings</w:t>
              <w:br/>
              <w:t>Paul, Weiss, Rifkind, Wharton &amp; Garrison LLP</w:t>
              <w:br/>
              <w:t>1285 Avenue of the Americas</w:t>
              <w:br/>
              <w:t>New York, New York 10019</w:t>
            </w:r>
          </w:p>
        </w:tc>
      </w:tr>
    </w:tbl>
    <w:p>
      <w:pPr>
        <w:pStyle w:val="TextBody"/>
        <w:bidi w:val="0"/>
        <w:jc w:val="left"/>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45"/>
        <w:gridCol w:w="990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box if the filing relates solely to preliminary communications made before the commencement of a tender offer.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230"/>
        <w:gridCol w:w="38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sz w:val="20"/>
              </w:rPr>
            </w:pPr>
            <w:r>
              <w:rPr>
                <w:sz w:val="20"/>
              </w:rPr>
              <w:t>third-party tender offer subject to Rule 14d-1</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sz w:val="20"/>
              </w:rPr>
            </w:pPr>
            <w:r>
              <w:rPr>
                <w:sz w:val="20"/>
              </w:rPr>
              <w:t>issuer tender offer subject to Rule 13e-4</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sz w:val="20"/>
              </w:rPr>
            </w:pPr>
            <w:r>
              <w:rPr>
                <w:sz w:val="20"/>
              </w:rPr>
              <w:t>going-private transaction subject to Rule 13e-3</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sz w:val="20"/>
              </w:rPr>
            </w:pPr>
            <w:r>
              <w:rPr>
                <w:sz w:val="20"/>
              </w:rPr>
              <w:t>amendment to Schedule 13D under Rule 13d-2</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30"/>
        <w:gridCol w:w="44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sz w:val="20"/>
              </w:rPr>
            </w:pPr>
            <w:r>
              <w:rPr>
                <w:sz w:val="20"/>
              </w:rPr>
              <w:t>Rule 13e-4(i) (Cross-Border Issuer Tender Offer)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sz w:val="20"/>
              </w:rPr>
            </w:pPr>
            <w:r>
              <w:rPr>
                <w:sz w:val="20"/>
              </w:rPr>
              <w:t>Rule 14d-1(d) (Cross-Border Third-Party Tender Offer)</w:t>
            </w:r>
          </w:p>
        </w:tc>
      </w:tr>
    </w:tbl>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Tender Offer Statement on Schedule TO relates solely to preliminary communications made before the commencement of a planned tender offer by Atlas Neon Merger Sub, Inc., a Delaware corporation (“Merger Sub”) and wholly-owned subsidiary of Atlas Neon Parent, Inc., a Delaware corporation (“Parent”), for all of the outstanding shares of common stock of NGM Biopharmaceuticals, Inc., a Delaware corporation (the “Company”), pursuant to the Agreement and Plan of Merger, dated as of February 25, 2024 (the “Merger Agreement”), by and among Parent, Merger Sub and the Company.</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acquisition of the Company, Parent will cause Merger Sub to commence a tender offer for the outstanding shares of common stock of the Company (the “Offer”). The Offer has not yet commenced. This filing is for informational purposes only, is not a recommendation and is neither an offer to purchase nor a solicitation of an offer to sell shares of common stock of the Company or any other securities. This filing is also not a substitute for the tender offer materials that Parent and Merger Sub will file with the United States Securities and Exchange Commission (the “SEC”) upon commencement of the tender offer. At the time the Offer is commenced, Parent and Merger Sub will file with the SEC a Tender Offer Statement on Schedule TO and a Transaction Statement on Schedule 13E-3 (“Schedule 13E-3”), and the Company will file with the SEC a solicitation/recommendation statement on Schedule 14D-9 (the “Solicitation/Recommendation Statement”) and a Schedule 13E-3. THE COMPANY’S STOCKHOLDERS ARE URGED TO READ THE TENDER OFFER STATEMENT (INCLUDING AN OFFER TO PURCHASE, A RELATED LETTER OF TRANSMITTAL AND CERTAIN OTHER TENDER OFFER DOCUMENTS), THE SOLICITATION / RECOMMENDATION STATEMENT AND THE SCHEDULES 13E-3 WHEN SUCH DOCUMENTS BECOME AVAILABLE, BECAUSE THEY WILL CONTAIN IMPORTANT INFORMATION THAT SHOULD BE READ CAREFULLY BEFORE ANY DECISION IS MADE WITH RESPECT TO THE TENDER OFFER. When filed, the Company’s stockholders and other investors can obtain the Tender Offer Statement, the Solicitation/Recommendation Statement, the Schedules 13E-3 and other filed documents for free at the SEC’s website at www.sec.gov. Copies of the documents filed with the SEC by the Company will be available free of charge on the Investors &amp; Media page of the Company’s website, </w:t>
      </w:r>
      <w:r>
        <w:rPr>
          <w:rFonts w:ascii="Times New Roman;Times;Serif" w:hAnsi="Times New Roman;Times;Serif"/>
          <w:b w:val="false"/>
          <w:i w:val="false"/>
          <w:caps w:val="false"/>
          <w:smallCaps w:val="false"/>
          <w:color w:val="0000FF"/>
          <w:sz w:val="20"/>
          <w:u w:val="single"/>
        </w:rPr>
        <w:t>www.ngmbio.com</w:t>
      </w:r>
      <w:r>
        <w:rPr>
          <w:rFonts w:ascii="Times New Roman;Times;Serif" w:hAnsi="Times New Roman;Times;Serif"/>
          <w:b w:val="false"/>
          <w:i w:val="false"/>
          <w:caps w:val="false"/>
          <w:smallCaps w:val="false"/>
          <w:sz w:val="20"/>
        </w:rPr>
        <w:t xml:space="preserve">, or by contacting the Company at </w:t>
      </w:r>
      <w:r>
        <w:rPr>
          <w:rFonts w:ascii="Times New Roman;Times;Serif" w:hAnsi="Times New Roman;Times;Serif"/>
          <w:b w:val="false"/>
          <w:i w:val="false"/>
          <w:caps w:val="false"/>
          <w:smallCaps w:val="false"/>
          <w:color w:val="0000FF"/>
          <w:sz w:val="20"/>
          <w:u w:val="single"/>
        </w:rPr>
        <w:t>ir@ngmbio.com</w:t>
      </w:r>
      <w:r>
        <w:rPr>
          <w:rFonts w:ascii="Times New Roman;Times;Serif" w:hAnsi="Times New Roman;Times;Serif"/>
          <w:b w:val="false"/>
          <w:i w:val="false"/>
          <w:caps w:val="false"/>
          <w:smallCaps w:val="false"/>
          <w:sz w:val="20"/>
        </w:rPr>
        <w:t>. In addition, the Company’s stockholders may obtain free copies of the tender offer materials by contacting the information agent for the Offer that will be named in the Tender Offer Statement</w:t>
      </w:r>
      <w:r>
        <w:rPr>
          <w:rFonts w:ascii="Times New Roman;Times;Serif" w:hAnsi="Times New Roman;Times;Serif"/>
          <w:b w:val="false"/>
          <w:i/>
          <w:caps w:val="false"/>
          <w:smallCaps w:val="false"/>
          <w:sz w:val="20"/>
          <w:shd w:fill="FFFFFF" w:val="clear"/>
        </w:rPr>
        <w:t>.</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Notice Regarding Forward-Looking Statements </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filing regarding matters that are not historical facts are “forward-looking statements” within the meaning of the Private Securities Litigation Reform Act of 1995. Words such as “believes,” “estimates,” “expects,” “focused,” “continuing to,” “seeking,” “will” and similar expressions (as well as other words or expressions referencing future events, conditions or circumstances) are intended to identify forward-looking statements. These statements include those related to: the ability of the Company and Parent to complete the transactions contemplated by the Merger Agreement, including the parties’ ability to satisfy the conditions to the consummation of the Offer contemplated thereby and the other conditions set forth in the Merger Agreement, statements about the expected timetable for completing the transactions, the Company’s and Parent’s beliefs and expectations and statements about the benefits sought to be achieved by Parent’s proposed acquisition of the Company, the potential effects of the acquisition on both the Company and Parent, the possibility of any termination of the Merger Agreement, estimates relating to the Company's past, current or future financial condition, and other statements that are not historical fact. Because such statements deal with future events and are based on current expectations, they are subject to various risks and uncertainties, and actual results, performance or achievements could differ materially from those described in or implied by the statements in this filing. These forward-looking statements are subject to risks and uncertainties, including, without limitation, risks and uncertainties associated with: the timing of the Offer and the Merger, uncertainties as to how many of the unaffiliated stockholders will tender their shares in the Offer, the risk that competing offers or acquisition proposals will be made, the possibility that various conditions to the consummation of the Offer and the Merger may not be satisfied or waived, the occurrence of any event, change or other circumstance that could give rise to the termination of the Merger Agreement, including in circumstances which would require the Company to pay a termination fee, the effects of disruption from the transactions contemplated by the Merger Agreement, and the risk that stockholder litigation in connection with the Offer or the Merger may result in significant costs of defense, indemnification and liability. Except as required by law, the filing persons assume no obligation to update these forward-looking statements, which speak only as of the date they are made.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12. Exhibits </w:t>
      </w:r>
    </w:p>
    <w:tbl>
      <w:tblPr>
        <w:tblW w:w="5965" w:type="dxa"/>
        <w:jc w:val="left"/>
        <w:tblInd w:w="0" w:type="dxa"/>
        <w:tblLayout w:type="fixed"/>
        <w:tblCellMar>
          <w:top w:w="0" w:type="dxa"/>
          <w:left w:w="0" w:type="dxa"/>
          <w:bottom w:w="28" w:type="dxa"/>
          <w:right w:w="0" w:type="dxa"/>
        </w:tblCellMar>
      </w:tblPr>
      <w:tblGrid>
        <w:gridCol w:w="1055"/>
        <w:gridCol w:w="60"/>
        <w:gridCol w:w="485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4910" w:type="dxa"/>
            <w:gridSpan w:val="2"/>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0" w:type="dxa"/>
            <w:tcBorders/>
            <w:tcMar>
              <w:bottom w:w="0" w:type="dxa"/>
            </w:tcMar>
            <w:vAlign w:val="center"/>
          </w:tcPr>
          <w:p>
            <w:pPr>
              <w:pStyle w:val="TableContents"/>
              <w:bidi w:val="0"/>
              <w:spacing w:before="0" w:after="283"/>
              <w:jc w:val="left"/>
              <w:rPr/>
            </w:pPr>
            <w:hyperlink w:anchor="eh240451718_ex9901.htm">
              <w:r>
                <w:rPr>
                  <w:rStyle w:val="InternetLink"/>
                  <w:rFonts w:ascii="Times New Roman;Times;Serif" w:hAnsi="Times New Roman;Times;Serif"/>
                  <w:b w:val="false"/>
                  <w:i w:val="false"/>
                  <w:caps w:val="false"/>
                  <w:smallCaps w:val="false"/>
                  <w:sz w:val="20"/>
                </w:rPr>
                <w:t>Press Release of the Company issued on February 26, 2024.</w:t>
              </w:r>
            </w:hyperlink>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160"/>
        <w:jc w:val="right"/>
        <w:rPr>
          <w:rFonts w:ascii="Times New Roman;Times;Serif" w:hAnsi="Times New Roman;Times;Serif"/>
          <w:b/>
          <w:i w:val="false"/>
          <w:caps w:val="false"/>
          <w:smallCaps w:val="false"/>
          <w:sz w:val="20"/>
        </w:rPr>
      </w:pPr>
      <w:bookmarkStart w:id="2" w:name="eh240451718_ex9901.htm"/>
      <w:bookmarkStart w:id="3" w:name="kseh240451718_ex990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16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NGM Bio Has Entered into a Definitive Agreement and Plan of Merger with Certain Affiliates of The Column Group, LP</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NGM Bio stockholders to receive $1.55 per share in cash, an 80% premium over the closing share price on the last trading day prior to disclosure of receipt from The Column Group of a non-binding expression of interest in purchasing shares in a going-private transaction.</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Based on a thorough exploration and review of strategic and financial alternatives, a Special Committee of independent and disinterested directors unanimously recommends the transaction.</w:t>
            </w:r>
          </w:p>
        </w:tc>
      </w:tr>
    </w:tbl>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 FRANCISCO, Feb. 26, 2024 </w:t>
      </w:r>
      <w:r>
        <w:rPr>
          <w:rFonts w:ascii="Times New Roman;Times;Serif" w:hAnsi="Times New Roman;Times;Serif"/>
          <w:b w:val="false"/>
          <w:i w:val="false"/>
          <w:caps w:val="false"/>
          <w:smallCaps w:val="false"/>
          <w:color w:val="70757A"/>
          <w:sz w:val="20"/>
          <w:shd w:fill="FFFFFF" w:val="clear"/>
        </w:rPr>
        <w:t>—</w:t>
      </w:r>
      <w:r>
        <w:rPr>
          <w:rFonts w:ascii="Times New Roman;Times;Serif" w:hAnsi="Times New Roman;Times;Serif"/>
          <w:b w:val="false"/>
          <w:i w:val="false"/>
          <w:caps w:val="false"/>
          <w:smallCaps w:val="false"/>
          <w:sz w:val="20"/>
        </w:rPr>
        <w:t xml:space="preserve">NGM Biopharmaceuticals, Inc. (“NGM Bio”) (Nasdaq: NGM), </w:t>
      </w:r>
      <w:r>
        <w:rPr>
          <w:rFonts w:ascii="Times New Roman;Times;Serif" w:hAnsi="Times New Roman;Times;Serif"/>
          <w:b w:val="false"/>
          <w:i w:val="false"/>
          <w:caps w:val="false"/>
          <w:smallCaps w:val="false"/>
          <w:color w:val="001610"/>
          <w:sz w:val="20"/>
        </w:rPr>
        <w:t>a biotechnology company focused on discovering and developing transformative therapeutics for patients, </w:t>
      </w:r>
      <w:r>
        <w:rPr>
          <w:rFonts w:ascii="Times New Roman;Times;Serif" w:hAnsi="Times New Roman;Times;Serif"/>
          <w:b w:val="false"/>
          <w:i w:val="false"/>
          <w:caps w:val="false"/>
          <w:smallCaps w:val="false"/>
          <w:sz w:val="20"/>
        </w:rPr>
        <w:t>today announced that it has entered into a definitive Agreement and Plan of Merger (the “Merger Agreement”) under which Atlas Neon Parent, Inc. (“Purchaser”) and Atlas Neon Merger Sub, Inc. (“Merger Sub”) will acquire NGM Bio through a cash tender offer to be commenced by Merger Sub for all outstanding shares of NGM Bio not held by affiliates of The Column Group, LP and certain other stockholders, as described below, at a price per share of $1.55 in cash. Purchaser and Merger Sub are affiliates of The Column Group, LP (together with certain of The Column Group, LP’s affiliates, the “TCG Stockholders”), NGM Bio’s longest and largest stockholder, holding approximately 26% of NGM Bio’s outstanding shares.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TCG Stockholders and certain other existing stockholders of NGM Bio (the “Rollover Stockholders”) have agreed to contribute their shares of NGM Bio stock to Purchaser as a part of the transaction rather than receive the cash price per share.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price per share corresponds to a total equity value of $135 million on a fully diluted basis and represents an 80% premium over the last trading day closing price (December 29, 2023) prior to NGM Bio’s Form 8-K confirming receipt from the TCG Stockholders of a non-binding expression of interest in exploring and evaluating a potential acquisition of all of the outstanding shares of common stock of NGM Bio not already owned by the TCG Stockholders in a going-private transaction. NGM Bio’s cash, cash equivalents and short-term marketable securities were $166.0 million as of September 30, 2023 and an estimated $144.2 million as of December 31, 2023.</w:t>
      </w:r>
    </w:p>
    <w:p>
      <w:pPr>
        <w:pStyle w:val="TextBody"/>
        <w:bidi w:val="0"/>
        <w:jc w:val="left"/>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thorough exploration and review of strategic and financial alternatives with the assistance of its legal and financial advisors, a Special Committee of the NGM Bio Board of Directors (the “Special Committee”), consisting solely of independent and disinterested members of the NGM Bio Board of Directors (the “Board”), determined that the acquisition by Purchaser is in the best interests of NGM Bio stockholders (excluding the TCG Stockholders, Purchaser, Merger Sub, the Rollover Stockholders, the members of the Board and the officers of NGM Bio subject to Section 16 of the Exchange Act, referred to as the “Unaffiliated Stockholders”), and unanimously recommended approval of the Merger Agreement to the Board. The Special Committee and NGM Bio management team explored a range of strategic options, including engaging with multiple potential third party acquirors, before negotiating and entering into the Merger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1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conducted a thorough review of our financial and strategic alternatives, including remaining a publicly held company, with particular focus on NGM Bio’s ongoing need for significant additional funding. Based on this review, we believe that this negotiated transaction for Purchaser to acquire NGM Bio is in the best interest of the Unaffiliated Stockholders,” said Suzanne Sawochka Hooper, an independent member of the Board and Chair of the Special Committee.</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recommendation of the Special Committee, with the assistance of its legal and financial advisors, the Board determined that the acquisition by Purchaser is in the best interests of the Unaffiliated Stockholders, and approved the Merger Agreement.</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the tender offer is subject to the satisfaction of certain customary conditions, including the tender of NGM Bio shares representing at least a majority of the total number of outstanding shares held by the Unaffiliated Stockholders. The tender offer is not subject to a financing contingency.</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following the closing of the tender offer, Merger Sub will merge with and into NGM Bio, and all remaining shares not tendered in the offer, other than dissenting shares, treasury shares and rollover shares held by the TCG Stockholders, Purchaser and any other subsidiary of Purchaser, or the Rollover Stockholders, will be converted into the right to receive a price per share of $1.55 in cash. The acquisition is expected to close in the second quarter of 2024. If completed, the transaction will result in NGM Bio becoming a privately held company and its shares will no longer be listed on Nasdaq.</w:t>
      </w:r>
    </w:p>
    <w:p>
      <w:pPr>
        <w:pStyle w:val="TextBody"/>
        <w:bidi w:val="0"/>
        <w:spacing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 is acting as exclusive financial advisor and Hogan Lovells US LLP is acting as legal counsel to the Special Committee. Paul, Weiss, Rifkind, Wharton &amp; Garrison LLP is acting as legal counsel to Purchaser.</w:t>
      </w:r>
    </w:p>
    <w:p>
      <w:pPr>
        <w:pStyle w:val="TextBody"/>
        <w:bidi w:val="0"/>
        <w:spacing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NGM Biopharmaceuticals, Inc.</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NGM Bio is focused on discovering and developing novel, life-changing medicines for people whose health and lives have been disrupted by disease. NGM Bio’s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All therapeutic candidates in the NGM Bio pipeline have been generated by its in-house discovery engine, always led by biology and motivated by unmet patient need. Visit us at www.ngmbio.com for more information.</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Notice Regarding Forward-Looking Statements</w:t>
      </w:r>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communication regarding matters that are not historical facts are “forward-looking statements” within the meaning of the Private Securities Litigation Reform Act of 1995. Words such as “believes,” “estimates,” “expects,” “focused,” “continuing to,” “seeking,” “will” and similar expressions (as well as other words or expressions referencing future events, conditions or circumstances) are intended to identify forward-looking statements. These statements include those related to: the ability of NGM Bio and Purchaser to complete the transactions contemplated by the Merger Agreement, including the parties’ ability to satisfy the conditions to the consummation of the tender offer contemplated thereby and the other conditions set forth in the Merger Agreement, statements about the expected timetable for completing the transactions, NGM Bio’s and Purchaser’s beliefs and expectations and statements about the benefits sought to be achieved by Purchaser’s proposed acquisition of NGM Bio, the potential effects of the acquisition on both NGM Bio and Purchaser, the possibility of any termination of the Merger Agreement, estimates relating to NGM Bio’s past, current or future financial condition and other 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communication. These forward-looking statements are subject to risks and uncertainties, including, without limitation, risks and uncertainties associated with: the timing of the tender offer and the subsequent merger; uncertainties as to how many of the Unaffiliated Stockholders will tender their shares in the tender offer; the risk that competing offers or acquisition proposals will be made; the possibility that various conditions to the consummation of the tender offer and the subsequent merger may not be satisfied or waived; the occurrence of any event, change or other circumstance that could give rise to the termination of the Merger Agreement, including in circumstances which would require NGM Bio to pay a termination fee; the effects of disruption from the transactions contemplated by the Merger Agreement; the risk that stockholder litigation in connection with the tender offer or the merger may result in significant costs of defense, indemnification and liability; and other risks and uncertainties affecting NGM Bio and its development programs, including those discussed in the section titled “Risk Factors” in NGM Bio’s Annual Report on Form 10-K for the year ended December 31, 2022 filed with the SEC on February 28, 2023, subsequent Quarterly Reports on Form 10-Q, Current Reports on Form 8-K and other filings and reports that NGM Bio makes from time to time with the SEC. Except as required by law, NGM Bio assumes no obligation to update these forward-looking statements, which speak only as of the date they are made, or to update the reasons if actual results differ materially from those anticipated in the forward-looking statements.</w:t>
      </w:r>
    </w:p>
    <w:p>
      <w:pPr>
        <w:pStyle w:val="TextBody"/>
        <w:bidi w:val="0"/>
        <w:spacing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for the outstanding shares of common stock of NGM Bio referenced in this communication has not yet commenced. This communication is for informational purposes only, is not a recommendation and is neither an offer to purchase nor a solicitation of an offer to sell shares of common stock of NGM Bio or any other securities. This communication is also not a substitute for the tender offer materials that Purchaser will file with the SEC upon commencement of the tender offer. At the time the tender offer is commenced, Purchaser will file with the SEC a Tender Offer Statement on Schedule TO and a Transaction Statement on Schedule 13E-3 (“Schedule 13E-3”), and NGM Bio will file with the SEC a Solicitation/Recommendation Statement on Schedule 14D-9 and a Schedule 13E-3.</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NGM BIO’S STOCKHOLDERS ARE URGED TO READ THE TENDER OFFER STATEMENT (INCLUDING AN OFFER TO PURCHASE, A RELATED LETTER OF TRANSMITTAL AND CERTAIN OTHER TENDER OFFER DOCUMENTS), THE SOLICITATION / RECOMMENDATION STATEMENT AND THE SCHEDULES 13E-3 WHEN SUCH DOCUMENTS BECOME AVAILABLE, BECAUSE THEY WILL CONTAIN IMPORTANT INFORMATION THAT SHOULD BE READ CAREFULLY BEFORE ANY DECISION IS MADE WITH RESPECT TO THE TENDER OFFER.</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filed, NGM Bio’s stockholders and other investors can obtain the Tender Offer Statement, the Solicitation/Recommendation Statement, the Schedules 13E-3 and other filed documents for free at the SEC’s website at www.sec.gov. Copies of the documents filed with the SEC by NGM Bio will be available free of charge on the Investors &amp; Media page of NGM Bio’s website, www.ngmbio.com, or by contacting NGM Bio at ir@ngmbio.com. In addition, NGM Bio’s stockholders may obtain free copies of the tender offer materials by contacting the information agent for the tender offer that will be named in the Tender Offer Statement.</w:t>
      </w:r>
    </w:p>
    <w:p>
      <w:pPr>
        <w:pStyle w:val="TextBody"/>
        <w:bidi w:val="0"/>
        <w:spacing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Other Information about NGM Biopharmaceuticals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NGM Bio intends to use the Investors &amp; Media page of its website (https://ir.ngmbio.com) as a means of disclosing material non-public information and for complying with its disclosure obligations under Regulation FD. Accordingly, investors should monitor NGM Bio’s Investors page on its website, in addition to following NGM Bio’s press releases, SEC filings, public conference calls, presentations and webcasts.</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please contact:</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NGM Biopharmaceuticals, Inc.</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spacing w:before="0" w:after="16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ir@ngmbio.com</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16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media@ngmbio.com</w:t>
      </w:r>
    </w:p>
    <w:p>
      <w:pPr>
        <w:pStyle w:val="TextBody"/>
        <w:bidi w:val="0"/>
        <w:spacing w:before="0" w:after="16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3114</Words>
  <Characters>17265</Characters>
  <CharactersWithSpaces>20349</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