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COLUMN GROUP L 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10"/>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60" w:type="dxa"/>
            <w:vAlign w:val="bottom"/>
            <w:gridSpan w:val="10"/>
            <w:vMerge w:val="continue"/>
          </w:tcPr>
          <w:p>
            <w:pPr>
              <w:spacing w:after="0"/>
              <w:rPr>
                <w:sz w:val="10"/>
                <w:szCs w:val="10"/>
                <w:color w:val="auto"/>
              </w:rPr>
            </w:pPr>
          </w:p>
        </w:tc>
        <w:tc>
          <w:tcPr>
            <w:tcW w:w="3660" w:type="dxa"/>
            <w:vAlign w:val="bottom"/>
            <w:gridSpan w:val="9"/>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FRANCISCO</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60" w:type="dxa"/>
            <w:vAlign w:val="bottom"/>
          </w:tcPr>
          <w:p>
            <w:pPr>
              <w:spacing w:after="0"/>
              <w:rPr>
                <w:sz w:val="15"/>
                <w:szCs w:val="15"/>
                <w:color w:val="auto"/>
              </w:rPr>
            </w:pPr>
          </w:p>
        </w:tc>
        <w:tc>
          <w:tcPr>
            <w:tcW w:w="1360" w:type="dxa"/>
            <w:vAlign w:val="bottom"/>
            <w:gridSpan w:val="6"/>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6"/>
          </w:tcPr>
          <w:p>
            <w:pPr>
              <w:ind w:left="24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09/01/2020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36,494</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17.64</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1,799,430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Times New Roman" w:cs="Times New Roman" w:eastAsia="Times New Roman" w:hAnsi="Times New Roman"/>
                <w:sz w:val="17"/>
                <w:szCs w:val="17"/>
                <w:color w:val="0000FF"/>
              </w:rPr>
              <w:t>09/02/2020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27,595</w:t>
            </w:r>
            <w:r>
              <w:rPr>
                <w:rFonts w:ascii="Times New Roman" w:cs="Times New Roman" w:eastAsia="Times New Roman" w:hAnsi="Times New Roman"/>
                <w:sz w:val="22"/>
                <w:szCs w:val="22"/>
                <w:color w:val="008000"/>
                <w:vertAlign w:val="superscript"/>
              </w:rPr>
              <w:t>(4)</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17.67</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1,827,025</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Times New Roman" w:cs="Times New Roman" w:eastAsia="Times New Roman" w:hAnsi="Times New Roman"/>
                <w:sz w:val="17"/>
                <w:szCs w:val="17"/>
                <w:color w:val="0000FF"/>
                <w:w w:val="96"/>
              </w:rPr>
              <w:t>16,166,907</w:t>
            </w:r>
            <w:r>
              <w:rPr>
                <w:rFonts w:ascii="Times New Roman" w:cs="Times New Roman" w:eastAsia="Times New Roman" w:hAnsi="Times New Roman"/>
                <w:sz w:val="22"/>
                <w:szCs w:val="22"/>
                <w:color w:val="008000"/>
                <w:w w:val="96"/>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44,000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Times New Roman" w:cs="Times New Roman" w:eastAsia="Times New Roman" w:hAnsi="Times New Roman"/>
                <w:sz w:val="34"/>
                <w:szCs w:val="34"/>
                <w:color w:val="0000FF"/>
                <w:w w:val="86"/>
                <w:vertAlign w:val="subscript"/>
              </w:rPr>
              <w:t>D</w:t>
            </w:r>
            <w:r>
              <w:rPr>
                <w:rFonts w:ascii="Times New Roman" w:cs="Times New Roman" w:eastAsia="Times New Roman" w:hAnsi="Times New Roman"/>
                <w:sz w:val="11"/>
                <w:szCs w:val="11"/>
                <w:color w:val="008000"/>
                <w:w w:val="86"/>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190,000</w:t>
            </w:r>
          </w:p>
        </w:tc>
        <w:tc>
          <w:tcPr>
            <w:tcW w:w="300" w:type="dxa"/>
            <w:vAlign w:val="bottom"/>
          </w:tcPr>
          <w:p>
            <w:pPr>
              <w:spacing w:after="0"/>
              <w:rPr>
                <w:sz w:val="21"/>
                <w:szCs w:val="21"/>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880" w:type="dxa"/>
            <w:vAlign w:val="bottom"/>
            <w:vMerge w:val="restart"/>
          </w:tcPr>
          <w:p>
            <w:pPr>
              <w:ind w:left="280"/>
              <w:spacing w:after="0"/>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5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vMerge w:val="continue"/>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COLUMN GROUP L P</w:t>
              </w:r>
            </w:hyperlink>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20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COLUMN GROUP III, LP</w:t>
              </w:r>
            </w:hyperlink>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-6727825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113665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20" w:type="dxa"/>
            <w:vAlign w:val="bottom"/>
            <w:gridSpan w:val="2"/>
          </w:tcPr>
          <w:p>
            <w:pPr>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COLUMN GROUP III-A, LP</w:t>
              </w:r>
            </w:hyperlink>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20" w:type="dxa"/>
            <w:vAlign w:val="bottom"/>
            <w:gridSpan w:val="2"/>
          </w:tcPr>
          <w:p>
            <w:pPr>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COLUMN GROUP III GP, LP</w:t>
              </w:r>
            </w:hyperlink>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20" w:type="dxa"/>
            <w:vAlign w:val="bottom"/>
            <w:gridSpan w:val="2"/>
          </w:tcPr>
          <w:p>
            <w:pPr>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Svennilson Peter</w:t>
              </w:r>
            </w:hyperlink>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 w:type="dxa"/>
            <w:vAlign w:val="bottom"/>
          </w:tcPr>
          <w:p>
            <w:pPr>
              <w:spacing w:after="0"/>
              <w:rPr>
                <w:sz w:val="24"/>
                <w:szCs w:val="24"/>
                <w:color w:val="auto"/>
              </w:rPr>
            </w:pPr>
          </w:p>
        </w:tc>
        <w:tc>
          <w:tcPr>
            <w:tcW w:w="2720" w:type="dxa"/>
            <w:vAlign w:val="bottom"/>
            <w:gridSpan w:val="2"/>
          </w:tcPr>
          <w:p>
            <w:pPr>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GOEDDEL DAVID V</w:t>
              </w:r>
            </w:hyperlink>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94158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-8259445</wp:posOffset>
            </wp:positionV>
            <wp:extent cx="2783840" cy="8326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783840" cy="8326120"/>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17,139 shares of Common Stock held directly by The Column Group III, LP ("TCG III LP") and 19,355 shares of Common Stock held directly by The Column Group III-A, LP ("TCG III-A LP").</w:t>
      </w:r>
    </w:p>
    <w:p>
      <w:pPr>
        <w:spacing w:after="0" w:line="7"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12,960 shares of Common Stock held directly by TCG III LP and 14,635 shares of Common Stock held directly by TCG III-A LP.</w:t>
      </w:r>
    </w:p>
    <w:p>
      <w:pPr>
        <w:spacing w:after="0" w:line="50"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2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20" w:right="2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David Goeddel and Peter Svennilson. The managing partners of TCG GP may be deemed to have voting and</w:t>
      </w:r>
    </w:p>
    <w:p>
      <w:pPr>
        <w:sectPr>
          <w:pgSz w:w="11900" w:h="16840" w:orient="portrait"/>
          <w:cols w:equalWidth="0" w:num="1">
            <w:col w:w="10900"/>
          </w:cols>
          <w:pgMar w:left="480" w:top="125" w:right="51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color w:val="008000"/>
        </w:rPr>
        <w:t>investment power with respect to such shares. Each individual managing partner disclaims beneficial ownership of these shares, except to the extent of his pecuniary interest in such shares.</w:t>
      </w:r>
    </w:p>
    <w:p>
      <w:pPr>
        <w:spacing w:after="0" w:line="50" w:lineRule="exact"/>
        <w:rPr>
          <w:sz w:val="20"/>
          <w:szCs w:val="20"/>
          <w:color w:val="auto"/>
        </w:rPr>
      </w:pPr>
    </w:p>
    <w:p>
      <w:pPr>
        <w:ind w:right="140"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right="140" w:firstLine="7"/>
        <w:spacing w:after="0" w:line="253"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solely by Tim Kutzkey.</w:t>
      </w:r>
    </w:p>
    <w:p>
      <w:pPr>
        <w:spacing w:after="0" w:line="50" w:lineRule="exact"/>
        <w:rPr>
          <w:rFonts w:ascii="Times New Roman" w:cs="Times New Roman" w:eastAsia="Times New Roman" w:hAnsi="Times New Roman"/>
          <w:sz w:val="13"/>
          <w:szCs w:val="13"/>
          <w:color w:val="008000"/>
        </w:rPr>
      </w:pPr>
    </w:p>
    <w:p>
      <w:pPr>
        <w:ind w:right="4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4"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David V. Goeddel and Alena Z. Goeddel 2004 Trust for which David V. Goeddel and Alena Z. Goeddel serve as co-trustee.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2.</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Jennifer J. Carlson,</w:t>
            </w:r>
          </w:p>
        </w:tc>
        <w:tc>
          <w:tcPr>
            <w:tcW w:w="5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09/03/2020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0965" TargetMode="External"/><Relationship Id="rId20" Type="http://schemas.openxmlformats.org/officeDocument/2006/relationships/hyperlink" Target="http://www.sec.gov/cgi-bin/browse-edgar?action=getcompany&amp;CIK=0001606074" TargetMode="External"/><Relationship Id="rId21" Type="http://schemas.openxmlformats.org/officeDocument/2006/relationships/hyperlink" Target="http://www.sec.gov/cgi-bin/browse-edgar?action=getcompany&amp;CIK=00011824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2020-09-03T16:33:39Z</dcterms:created>
  <dcterms:modified xsi:type="dcterms:W3CDTF">2020-09-03T16:33:39Z</dcterms:modified>
</cp:coreProperties>
</file>