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569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69785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SCHNELL DAVID</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280" w:type="dxa"/>
            <w:vAlign w:val="bottom"/>
            <w:gridSpan w:val="2"/>
          </w:tcPr>
          <w:p>
            <w:pPr>
              <w:ind w:left="20"/>
              <w:spacing w:after="0"/>
              <w:rPr>
                <w:sz w:val="20"/>
                <w:szCs w:val="20"/>
                <w:color w:val="auto"/>
              </w:rPr>
            </w:pPr>
            <w:r>
              <w:rPr>
                <w:rFonts w:ascii="Arial" w:cs="Arial" w:eastAsia="Arial" w:hAnsi="Arial"/>
                <w:sz w:val="17"/>
                <w:szCs w:val="17"/>
                <w:color w:val="0000FF"/>
              </w:rPr>
              <w:t>525 UNIVERSITY AVENUE</w:t>
            </w:r>
          </w:p>
        </w:tc>
        <w:tc>
          <w:tcPr>
            <w:tcW w:w="15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SUITE 1350</w:t>
            </w:r>
          </w:p>
        </w:tc>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PALO ALTO</w:t>
            </w:r>
          </w:p>
        </w:tc>
        <w:tc>
          <w:tcPr>
            <w:tcW w:w="1180" w:type="dxa"/>
            <w:vAlign w:val="bottom"/>
          </w:tcPr>
          <w:p>
            <w:pPr>
              <w:ind w:left="180"/>
              <w:spacing w:after="0"/>
              <w:rPr>
                <w:sz w:val="20"/>
                <w:szCs w:val="20"/>
                <w:color w:val="auto"/>
              </w:rPr>
            </w:pPr>
            <w:r>
              <w:rPr>
                <w:rFonts w:ascii="Arial" w:cs="Arial" w:eastAsia="Arial" w:hAnsi="Arial"/>
                <w:sz w:val="17"/>
                <w:szCs w:val="17"/>
                <w:color w:val="0000FF"/>
              </w:rPr>
              <w:t>CA</w:t>
            </w:r>
          </w:p>
        </w:tc>
        <w:tc>
          <w:tcPr>
            <w:tcW w:w="1520" w:type="dxa"/>
            <w:vAlign w:val="bottom"/>
          </w:tcPr>
          <w:p>
            <w:pPr>
              <w:ind w:left="280"/>
              <w:spacing w:after="0"/>
              <w:rPr>
                <w:sz w:val="20"/>
                <w:szCs w:val="20"/>
                <w:color w:val="auto"/>
              </w:rPr>
            </w:pPr>
            <w:r>
              <w:rPr>
                <w:rFonts w:ascii="Arial" w:cs="Arial" w:eastAsia="Arial" w:hAnsi="Arial"/>
                <w:sz w:val="17"/>
                <w:szCs w:val="17"/>
                <w:color w:val="0000FF"/>
              </w:rPr>
              <w:t>94301</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920" w:type="dxa"/>
            <w:vAlign w:val="bottom"/>
            <w:gridSpan w:val="2"/>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NGM BIOPHARMACEUTICALS INC </w:t>
              </w:r>
            </w:hyperlink>
            <w:r>
              <w:rPr>
                <w:rFonts w:ascii="Arial" w:cs="Arial" w:eastAsia="Arial" w:hAnsi="Arial"/>
                <w:sz w:val="15"/>
                <w:szCs w:val="15"/>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920" w:type="dxa"/>
            <w:vAlign w:val="bottom"/>
            <w:gridSpan w:val="2"/>
          </w:tcPr>
          <w:p>
            <w:pPr>
              <w:spacing w:after="0"/>
              <w:rPr>
                <w:sz w:val="3"/>
                <w:szCs w:val="3"/>
                <w:color w:val="auto"/>
              </w:rPr>
            </w:pPr>
          </w:p>
        </w:tc>
        <w:tc>
          <w:tcPr>
            <w:tcW w:w="500" w:type="dxa"/>
            <w:vAlign w:val="bottom"/>
            <w:vMerge w:val="restart"/>
          </w:tcPr>
          <w:p>
            <w:pPr>
              <w:ind w:left="260"/>
              <w:spacing w:after="0" w:line="52" w:lineRule="exact"/>
              <w:rPr>
                <w:sz w:val="20"/>
                <w:szCs w:val="20"/>
                <w:color w:val="auto"/>
              </w:rPr>
            </w:pPr>
            <w:r>
              <w:rPr>
                <w:rFonts w:ascii="Arial" w:cs="Arial" w:eastAsia="Arial" w:hAnsi="Arial"/>
                <w:sz w:val="6"/>
                <w:szCs w:val="6"/>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3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NGM </w:t>
              </w:r>
              <w:r>
                <w:rPr>
                  <w:rFonts w:ascii="Arial" w:cs="Arial" w:eastAsia="Arial" w:hAnsi="Arial"/>
                  <w:sz w:val="1"/>
                  <w:szCs w:val="1"/>
                  <w:color w:val="000000"/>
                </w:rPr>
                <w:t>]</w:t>
              </w:r>
            </w:hyperlink>
          </w:p>
        </w:tc>
        <w:tc>
          <w:tcPr>
            <w:tcW w:w="6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ind w:left="60"/>
              <w:spacing w:after="0"/>
              <w:rPr>
                <w:sz w:val="20"/>
                <w:szCs w:val="20"/>
                <w:color w:val="auto"/>
              </w:rPr>
            </w:pPr>
            <w:r>
              <w:rPr>
                <w:rFonts w:ascii="Arial" w:cs="Arial" w:eastAsia="Arial" w:hAnsi="Arial"/>
                <w:sz w:val="17"/>
                <w:szCs w:val="17"/>
                <w:color w:val="0000FF"/>
              </w:rPr>
              <w:t>04/08/2019</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344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4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458" w:lineRule="exact"/>
        <w:rPr>
          <w:sz w:val="20"/>
          <w:szCs w:val="20"/>
          <w:color w:val="auto"/>
        </w:rPr>
      </w:pPr>
    </w:p>
    <w:p>
      <w:pPr>
        <w:sectPr>
          <w:pgSz w:w="11900" w:h="16838" w:orient="portrait"/>
          <w:cols w:equalWidth="0" w:num="2">
            <w:col w:w="3900" w:space="100"/>
            <w:col w:w="752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800"/>
              <w:spacing w:after="0" w:line="125"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spacing w:after="0"/>
              <w:rPr>
                <w:sz w:val="10"/>
                <w:szCs w:val="10"/>
                <w:color w:val="auto"/>
              </w:rPr>
            </w:pPr>
          </w:p>
        </w:tc>
        <w:tc>
          <w:tcPr>
            <w:tcW w:w="10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5"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(D) or Indirect</w:t>
            </w:r>
          </w:p>
        </w:tc>
        <w:tc>
          <w:tcPr>
            <w:tcW w:w="11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1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gridSpan w:val="3"/>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jc w:val="center"/>
              <w:ind w:right="41"/>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Amount</w:t>
            </w:r>
          </w:p>
        </w:tc>
        <w:tc>
          <w:tcPr>
            <w:tcW w:w="160" w:type="dxa"/>
            <w:vAlign w:val="bottom"/>
          </w:tcPr>
          <w:p>
            <w:pPr>
              <w:spacing w:after="0"/>
              <w:rPr>
                <w:sz w:val="11"/>
                <w:szCs w:val="11"/>
                <w:color w:val="auto"/>
              </w:rPr>
            </w:pPr>
          </w:p>
        </w:tc>
        <w:tc>
          <w:tcPr>
            <w:tcW w:w="5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820" w:type="dxa"/>
            <w:vAlign w:val="bottom"/>
            <w:gridSpan w:val="2"/>
            <w:vMerge w:val="restart"/>
          </w:tcPr>
          <w:p>
            <w:pPr>
              <w:jc w:val="center"/>
              <w:ind w:left="635"/>
              <w:spacing w:after="0"/>
              <w:rPr>
                <w:sz w:val="20"/>
                <w:szCs w:val="20"/>
                <w:color w:val="auto"/>
              </w:rPr>
            </w:pPr>
            <w:r>
              <w:rPr>
                <w:rFonts w:ascii="Arial" w:cs="Arial" w:eastAsia="Arial" w:hAnsi="Arial"/>
                <w:sz w:val="17"/>
                <w:szCs w:val="17"/>
                <w:color w:val="0000FF"/>
                <w:w w:val="89"/>
              </w:rPr>
              <w:t>04/08/2019</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4,925,000</w:t>
            </w: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00" w:type="dxa"/>
            <w:vAlign w:val="bottom"/>
            <w:gridSpan w:val="3"/>
            <w:vMerge w:val="restart"/>
          </w:tcPr>
          <w:p>
            <w:pPr>
              <w:jc w:val="right"/>
              <w:ind w:right="623"/>
              <w:spacing w:after="0"/>
              <w:rPr>
                <w:sz w:val="20"/>
                <w:szCs w:val="20"/>
                <w:color w:val="auto"/>
              </w:rPr>
            </w:pPr>
            <w:r>
              <w:rPr>
                <w:rFonts w:ascii="Arial" w:cs="Arial" w:eastAsia="Arial" w:hAnsi="Arial"/>
                <w:sz w:val="17"/>
                <w:szCs w:val="17"/>
                <w:color w:val="0000FF"/>
              </w:rPr>
              <w:t>4,925,000</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ind w:left="80"/>
              <w:spacing w:after="0"/>
              <w:rPr>
                <w:sz w:val="20"/>
                <w:szCs w:val="20"/>
                <w:color w:val="auto"/>
              </w:rPr>
            </w:pPr>
            <w:r>
              <w:rPr>
                <w:rFonts w:ascii="Arial" w:cs="Arial" w:eastAsia="Arial" w:hAnsi="Arial"/>
                <w:sz w:val="17"/>
                <w:szCs w:val="17"/>
                <w:color w:val="0000FF"/>
                <w:w w:val="72"/>
              </w:rPr>
              <w:t>See</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7"/>
                <w:szCs w:val="17"/>
                <w:color w:val="0000FF"/>
                <w:w w:val="96"/>
              </w:rPr>
              <w:t>Footnotes</w:t>
            </w:r>
            <w:r>
              <w:rPr>
                <w:rFonts w:ascii="Arial" w:cs="Arial" w:eastAsia="Arial" w:hAnsi="Arial"/>
                <w:sz w:val="21"/>
                <w:szCs w:val="21"/>
                <w:color w:val="008000"/>
                <w:w w:val="96"/>
                <w:vertAlign w:val="superscript"/>
              </w:rPr>
              <w:t>(2)(3)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gridSpan w:val="11"/>
          </w:tcPr>
          <w:p>
            <w:pPr>
              <w:jc w:val="center"/>
              <w:ind w:right="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80" w:type="dxa"/>
            <w:vAlign w:val="bottom"/>
            <w:gridSpan w:val="9"/>
          </w:tcPr>
          <w:p>
            <w:pPr>
              <w:jc w:val="center"/>
              <w:ind w:left="6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40" w:type="dxa"/>
            <w:vAlign w:val="bottom"/>
          </w:tcPr>
          <w:p>
            <w:pPr>
              <w:jc w:val="center"/>
              <w:ind w:right="2"/>
              <w:spacing w:after="0" w:line="129"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jc w:val="center"/>
              <w:ind w:right="21"/>
              <w:spacing w:after="0"/>
              <w:rPr>
                <w:sz w:val="20"/>
                <w:szCs w:val="20"/>
                <w:color w:val="auto"/>
              </w:rPr>
            </w:pPr>
            <w:r>
              <w:rPr>
                <w:rFonts w:ascii="Arial" w:cs="Arial" w:eastAsia="Arial" w:hAnsi="Arial"/>
                <w:sz w:val="12"/>
                <w:szCs w:val="12"/>
                <w:b w:val="1"/>
                <w:bCs w:val="1"/>
                <w:color w:val="auto"/>
                <w:w w:val="95"/>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3,000,000</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99" w:lineRule="exact"/>
              <w:rPr>
                <w:sz w:val="20"/>
                <w:szCs w:val="20"/>
                <w:color w:val="auto"/>
              </w:rPr>
            </w:pPr>
            <w:r>
              <w:rPr>
                <w:rFonts w:ascii="Arial" w:cs="Arial" w:eastAsia="Arial" w:hAnsi="Arial"/>
                <w:sz w:val="11"/>
                <w:szCs w:val="11"/>
                <w:color w:val="0000FF"/>
              </w:rPr>
              <w:t>Preferred</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line="99" w:lineRule="exact"/>
              <w:rPr>
                <w:sz w:val="20"/>
                <w:szCs w:val="20"/>
                <w:color w:val="auto"/>
              </w:rPr>
            </w:pPr>
            <w:r>
              <w:rPr>
                <w:rFonts w:ascii="Arial" w:cs="Arial" w:eastAsia="Arial" w:hAnsi="Arial"/>
                <w:sz w:val="11"/>
                <w:szCs w:val="11"/>
                <w:color w:val="0000FF"/>
              </w:rPr>
              <w:t>04/08/2019</w:t>
            </w:r>
          </w:p>
        </w:tc>
        <w:tc>
          <w:tcPr>
            <w:tcW w:w="1080" w:type="dxa"/>
            <w:vAlign w:val="bottom"/>
          </w:tcPr>
          <w:p>
            <w:pPr>
              <w:spacing w:after="0"/>
              <w:rPr>
                <w:sz w:val="4"/>
                <w:szCs w:val="4"/>
                <w:color w:val="auto"/>
              </w:rPr>
            </w:pPr>
          </w:p>
        </w:tc>
        <w:tc>
          <w:tcPr>
            <w:tcW w:w="740" w:type="dxa"/>
            <w:vAlign w:val="bottom"/>
            <w:vMerge w:val="restart"/>
          </w:tcPr>
          <w:p>
            <w:pPr>
              <w:jc w:val="center"/>
              <w:ind w:right="284"/>
              <w:spacing w:after="0" w:line="99"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83"/>
              <w:spacing w:after="0" w:line="99" w:lineRule="exact"/>
              <w:rPr>
                <w:sz w:val="20"/>
                <w:szCs w:val="20"/>
                <w:color w:val="auto"/>
              </w:rPr>
            </w:pPr>
            <w:r>
              <w:rPr>
                <w:rFonts w:ascii="Arial" w:cs="Arial" w:eastAsia="Arial" w:hAnsi="Arial"/>
                <w:sz w:val="11"/>
                <w:szCs w:val="11"/>
                <w:color w:val="0000FF"/>
              </w:rPr>
              <w:t>3,000,000</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gridSpan w:val="2"/>
            <w:vMerge w:val="restart"/>
          </w:tcPr>
          <w:p>
            <w:pPr>
              <w:jc w:val="center"/>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vMerge w:val="restart"/>
          </w:tcPr>
          <w:p>
            <w:pPr>
              <w:ind w:left="380"/>
              <w:spacing w:after="0" w:line="99"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400"/>
              <w:spacing w:after="0" w:line="99"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gridSpan w:val="2"/>
          </w:tcPr>
          <w:p>
            <w:pPr>
              <w:ind w:left="20"/>
              <w:spacing w:after="0" w:line="52" w:lineRule="exact"/>
              <w:rPr>
                <w:sz w:val="20"/>
                <w:szCs w:val="20"/>
                <w:color w:val="auto"/>
              </w:rPr>
            </w:pPr>
            <w:r>
              <w:rPr>
                <w:rFonts w:ascii="Arial" w:cs="Arial" w:eastAsia="Arial" w:hAnsi="Arial"/>
                <w:sz w:val="3"/>
                <w:szCs w:val="3"/>
                <w:color w:val="0000FF"/>
              </w:rPr>
              <w:t>Footnotes</w:t>
            </w:r>
            <w:r>
              <w:rPr>
                <w:rFonts w:ascii="Arial" w:cs="Arial" w:eastAsia="Arial" w:hAnsi="Arial"/>
                <w:sz w:val="5"/>
                <w:szCs w:val="5"/>
                <w:color w:val="008000"/>
                <w:vertAlign w:val="superscript"/>
              </w:rPr>
              <w:t>(3)(4)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1,300,000</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99" w:lineRule="exact"/>
              <w:rPr>
                <w:sz w:val="20"/>
                <w:szCs w:val="20"/>
                <w:color w:val="auto"/>
              </w:rPr>
            </w:pPr>
            <w:r>
              <w:rPr>
                <w:rFonts w:ascii="Arial" w:cs="Arial" w:eastAsia="Arial" w:hAnsi="Arial"/>
                <w:sz w:val="11"/>
                <w:szCs w:val="11"/>
                <w:color w:val="0000FF"/>
              </w:rPr>
              <w:t>Preferred</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line="99" w:lineRule="exact"/>
              <w:rPr>
                <w:sz w:val="20"/>
                <w:szCs w:val="20"/>
                <w:color w:val="auto"/>
              </w:rPr>
            </w:pPr>
            <w:r>
              <w:rPr>
                <w:rFonts w:ascii="Arial" w:cs="Arial" w:eastAsia="Arial" w:hAnsi="Arial"/>
                <w:sz w:val="11"/>
                <w:szCs w:val="11"/>
                <w:color w:val="0000FF"/>
              </w:rPr>
              <w:t>04/08/2019</w:t>
            </w:r>
          </w:p>
        </w:tc>
        <w:tc>
          <w:tcPr>
            <w:tcW w:w="1080" w:type="dxa"/>
            <w:vAlign w:val="bottom"/>
          </w:tcPr>
          <w:p>
            <w:pPr>
              <w:spacing w:after="0"/>
              <w:rPr>
                <w:sz w:val="4"/>
                <w:szCs w:val="4"/>
                <w:color w:val="auto"/>
              </w:rPr>
            </w:pPr>
          </w:p>
        </w:tc>
        <w:tc>
          <w:tcPr>
            <w:tcW w:w="740" w:type="dxa"/>
            <w:vAlign w:val="bottom"/>
            <w:vMerge w:val="restart"/>
          </w:tcPr>
          <w:p>
            <w:pPr>
              <w:jc w:val="center"/>
              <w:ind w:right="284"/>
              <w:spacing w:after="0" w:line="99"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83"/>
              <w:spacing w:after="0" w:line="99" w:lineRule="exact"/>
              <w:rPr>
                <w:sz w:val="20"/>
                <w:szCs w:val="20"/>
                <w:color w:val="auto"/>
              </w:rPr>
            </w:pPr>
            <w:r>
              <w:rPr>
                <w:rFonts w:ascii="Arial" w:cs="Arial" w:eastAsia="Arial" w:hAnsi="Arial"/>
                <w:sz w:val="11"/>
                <w:szCs w:val="11"/>
                <w:color w:val="0000FF"/>
              </w:rPr>
              <w:t>1,300,000</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gridSpan w:val="2"/>
            <w:vMerge w:val="restart"/>
          </w:tcPr>
          <w:p>
            <w:pPr>
              <w:jc w:val="center"/>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vMerge w:val="restart"/>
          </w:tcPr>
          <w:p>
            <w:pPr>
              <w:ind w:left="380"/>
              <w:spacing w:after="0" w:line="99"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400"/>
              <w:spacing w:after="0" w:line="99"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gridSpan w:val="2"/>
          </w:tcPr>
          <w:p>
            <w:pPr>
              <w:ind w:left="20"/>
              <w:spacing w:after="0" w:line="52" w:lineRule="exact"/>
              <w:rPr>
                <w:sz w:val="20"/>
                <w:szCs w:val="20"/>
                <w:color w:val="auto"/>
              </w:rPr>
            </w:pPr>
            <w:r>
              <w:rPr>
                <w:rFonts w:ascii="Arial" w:cs="Arial" w:eastAsia="Arial" w:hAnsi="Arial"/>
                <w:sz w:val="3"/>
                <w:szCs w:val="3"/>
                <w:color w:val="0000FF"/>
              </w:rPr>
              <w:t>Footnotes</w:t>
            </w:r>
            <w:r>
              <w:rPr>
                <w:rFonts w:ascii="Arial" w:cs="Arial" w:eastAsia="Arial" w:hAnsi="Arial"/>
                <w:sz w:val="5"/>
                <w:szCs w:val="5"/>
                <w:color w:val="008000"/>
                <w:vertAlign w:val="superscript"/>
              </w:rPr>
              <w:t>(3)(5)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525,000</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99" w:lineRule="exact"/>
              <w:rPr>
                <w:sz w:val="20"/>
                <w:szCs w:val="20"/>
                <w:color w:val="auto"/>
              </w:rPr>
            </w:pPr>
            <w:r>
              <w:rPr>
                <w:rFonts w:ascii="Arial" w:cs="Arial" w:eastAsia="Arial" w:hAnsi="Arial"/>
                <w:sz w:val="11"/>
                <w:szCs w:val="11"/>
                <w:color w:val="0000FF"/>
              </w:rPr>
              <w:t>Preferred</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line="99" w:lineRule="exact"/>
              <w:rPr>
                <w:sz w:val="20"/>
                <w:szCs w:val="20"/>
                <w:color w:val="auto"/>
              </w:rPr>
            </w:pPr>
            <w:r>
              <w:rPr>
                <w:rFonts w:ascii="Arial" w:cs="Arial" w:eastAsia="Arial" w:hAnsi="Arial"/>
                <w:sz w:val="11"/>
                <w:szCs w:val="11"/>
                <w:color w:val="0000FF"/>
              </w:rPr>
              <w:t>04/08/2019</w:t>
            </w:r>
          </w:p>
        </w:tc>
        <w:tc>
          <w:tcPr>
            <w:tcW w:w="1080" w:type="dxa"/>
            <w:vAlign w:val="bottom"/>
          </w:tcPr>
          <w:p>
            <w:pPr>
              <w:spacing w:after="0"/>
              <w:rPr>
                <w:sz w:val="4"/>
                <w:szCs w:val="4"/>
                <w:color w:val="auto"/>
              </w:rPr>
            </w:pPr>
          </w:p>
        </w:tc>
        <w:tc>
          <w:tcPr>
            <w:tcW w:w="740" w:type="dxa"/>
            <w:vAlign w:val="bottom"/>
            <w:vMerge w:val="restart"/>
          </w:tcPr>
          <w:p>
            <w:pPr>
              <w:jc w:val="center"/>
              <w:ind w:right="284"/>
              <w:spacing w:after="0" w:line="99"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83"/>
              <w:spacing w:after="0" w:line="99" w:lineRule="exact"/>
              <w:rPr>
                <w:sz w:val="20"/>
                <w:szCs w:val="20"/>
                <w:color w:val="auto"/>
              </w:rPr>
            </w:pPr>
            <w:r>
              <w:rPr>
                <w:rFonts w:ascii="Arial" w:cs="Arial" w:eastAsia="Arial" w:hAnsi="Arial"/>
                <w:sz w:val="11"/>
                <w:szCs w:val="11"/>
                <w:color w:val="0000FF"/>
              </w:rPr>
              <w:t>525,000</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gridSpan w:val="2"/>
            <w:vMerge w:val="restart"/>
          </w:tcPr>
          <w:p>
            <w:pPr>
              <w:jc w:val="center"/>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vMerge w:val="restart"/>
          </w:tcPr>
          <w:p>
            <w:pPr>
              <w:ind w:left="380"/>
              <w:spacing w:after="0" w:line="99"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400"/>
              <w:spacing w:after="0" w:line="99"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gridSpan w:val="2"/>
          </w:tcPr>
          <w:p>
            <w:pPr>
              <w:ind w:left="20"/>
              <w:spacing w:after="0" w:line="52" w:lineRule="exact"/>
              <w:rPr>
                <w:sz w:val="20"/>
                <w:szCs w:val="20"/>
                <w:color w:val="auto"/>
              </w:rPr>
            </w:pPr>
            <w:r>
              <w:rPr>
                <w:rFonts w:ascii="Arial" w:cs="Arial" w:eastAsia="Arial" w:hAnsi="Arial"/>
                <w:sz w:val="3"/>
                <w:szCs w:val="3"/>
                <w:color w:val="0000FF"/>
              </w:rPr>
              <w:t>Footnotes</w:t>
            </w:r>
            <w:r>
              <w:rPr>
                <w:rFonts w:ascii="Arial" w:cs="Arial" w:eastAsia="Arial" w:hAnsi="Arial"/>
                <w:sz w:val="5"/>
                <w:szCs w:val="5"/>
                <w:color w:val="008000"/>
                <w:vertAlign w:val="superscript"/>
              </w:rPr>
              <w:t>(3)(6)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99" w:lineRule="exact"/>
              <w:rPr>
                <w:sz w:val="20"/>
                <w:szCs w:val="20"/>
                <w:color w:val="auto"/>
              </w:rPr>
            </w:pPr>
            <w:r>
              <w:rPr>
                <w:rFonts w:ascii="Arial" w:cs="Arial" w:eastAsia="Arial" w:hAnsi="Arial"/>
                <w:sz w:val="11"/>
                <w:szCs w:val="11"/>
                <w:color w:val="0000FF"/>
              </w:rPr>
              <w:t>Preferred</w:t>
            </w:r>
          </w:p>
        </w:tc>
        <w:tc>
          <w:tcPr>
            <w:tcW w:w="780" w:type="dxa"/>
            <w:vAlign w:val="bottom"/>
            <w:vMerge w:val="continue"/>
          </w:tcPr>
          <w:p>
            <w:pPr>
              <w:spacing w:after="0"/>
              <w:rPr>
                <w:sz w:val="4"/>
                <w:szCs w:val="4"/>
                <w:color w:val="auto"/>
              </w:rPr>
            </w:pPr>
          </w:p>
        </w:tc>
        <w:tc>
          <w:tcPr>
            <w:tcW w:w="1080" w:type="dxa"/>
            <w:vAlign w:val="bottom"/>
            <w:vMerge w:val="restart"/>
          </w:tcPr>
          <w:p>
            <w:pPr>
              <w:jc w:val="center"/>
              <w:spacing w:after="0" w:line="99" w:lineRule="exact"/>
              <w:rPr>
                <w:sz w:val="20"/>
                <w:szCs w:val="20"/>
                <w:color w:val="auto"/>
              </w:rPr>
            </w:pPr>
            <w:r>
              <w:rPr>
                <w:rFonts w:ascii="Arial" w:cs="Arial" w:eastAsia="Arial" w:hAnsi="Arial"/>
                <w:sz w:val="11"/>
                <w:szCs w:val="11"/>
                <w:color w:val="0000FF"/>
              </w:rPr>
              <w:t>04/08/2019</w:t>
            </w:r>
          </w:p>
        </w:tc>
        <w:tc>
          <w:tcPr>
            <w:tcW w:w="1080" w:type="dxa"/>
            <w:vAlign w:val="bottom"/>
          </w:tcPr>
          <w:p>
            <w:pPr>
              <w:spacing w:after="0"/>
              <w:rPr>
                <w:sz w:val="4"/>
                <w:szCs w:val="4"/>
                <w:color w:val="auto"/>
              </w:rPr>
            </w:pPr>
          </w:p>
        </w:tc>
        <w:tc>
          <w:tcPr>
            <w:tcW w:w="740" w:type="dxa"/>
            <w:vAlign w:val="bottom"/>
            <w:vMerge w:val="restart"/>
          </w:tcPr>
          <w:p>
            <w:pPr>
              <w:jc w:val="center"/>
              <w:ind w:right="284"/>
              <w:spacing w:after="0" w:line="99"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83"/>
              <w:spacing w:after="0" w:line="99" w:lineRule="exact"/>
              <w:rPr>
                <w:sz w:val="20"/>
                <w:szCs w:val="20"/>
                <w:color w:val="auto"/>
              </w:rPr>
            </w:pPr>
            <w:r>
              <w:rPr>
                <w:rFonts w:ascii="Arial" w:cs="Arial" w:eastAsia="Arial" w:hAnsi="Arial"/>
                <w:sz w:val="11"/>
                <w:szCs w:val="11"/>
                <w:color w:val="0000FF"/>
              </w:rPr>
              <w:t>100,000</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gridSpan w:val="2"/>
            <w:vMerge w:val="restart"/>
          </w:tcPr>
          <w:p>
            <w:pPr>
              <w:jc w:val="center"/>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820" w:type="dxa"/>
            <w:vAlign w:val="bottom"/>
            <w:vMerge w:val="restart"/>
          </w:tcPr>
          <w:p>
            <w:pPr>
              <w:ind w:left="380"/>
              <w:spacing w:after="0" w:line="99"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400"/>
              <w:spacing w:after="0" w:line="99" w:lineRule="exact"/>
              <w:rPr>
                <w:sz w:val="20"/>
                <w:szCs w:val="20"/>
                <w:color w:val="auto"/>
              </w:rPr>
            </w:pPr>
            <w:r>
              <w:rPr>
                <w:rFonts w:ascii="Arial" w:cs="Arial" w:eastAsia="Arial" w:hAnsi="Arial"/>
                <w:sz w:val="11"/>
                <w:szCs w:val="11"/>
                <w:color w:val="0000FF"/>
              </w:rPr>
              <w:t>I</w:t>
            </w:r>
          </w:p>
        </w:tc>
        <w:tc>
          <w:tcPr>
            <w:tcW w:w="3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gridSpan w:val="2"/>
          </w:tcPr>
          <w:p>
            <w:pPr>
              <w:ind w:left="20"/>
              <w:spacing w:after="0" w:line="52" w:lineRule="exact"/>
              <w:rPr>
                <w:sz w:val="20"/>
                <w:szCs w:val="20"/>
                <w:color w:val="auto"/>
              </w:rPr>
            </w:pPr>
            <w:r>
              <w:rPr>
                <w:rFonts w:ascii="Arial" w:cs="Arial" w:eastAsia="Arial" w:hAnsi="Arial"/>
                <w:sz w:val="3"/>
                <w:szCs w:val="3"/>
                <w:color w:val="0000FF"/>
              </w:rPr>
              <w:t>Footnotes</w:t>
            </w:r>
            <w:r>
              <w:rPr>
                <w:rFonts w:ascii="Arial" w:cs="Arial" w:eastAsia="Arial" w:hAnsi="Arial"/>
                <w:sz w:val="5"/>
                <w:szCs w:val="5"/>
                <w:color w:val="008000"/>
                <w:vertAlign w:val="superscript"/>
              </w:rPr>
              <w:t>(3)(7)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Stock</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0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Every two shares of Series A preferred stock, Series B preferred stock, Series C preferred stock and Series D preferred stock automatically converted into one share of common stock in connection with the closing of the issuer's initial public offering. These shares have no expiration date.</w:t>
      </w:r>
    </w:p>
    <w:p>
      <w:pPr>
        <w:spacing w:after="0" w:line="25"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4,925,000 shares beneficially owned by Prospect Ventures Partners III, L.P.</w:t>
      </w:r>
    </w:p>
    <w:p>
      <w:pPr>
        <w:spacing w:after="0" w:line="43" w:lineRule="exact"/>
        <w:rPr>
          <w:rFonts w:ascii="Arial" w:cs="Arial" w:eastAsia="Arial" w:hAnsi="Arial"/>
          <w:sz w:val="13"/>
          <w:szCs w:val="13"/>
          <w:color w:val="008000"/>
        </w:rPr>
      </w:pPr>
    </w:p>
    <w:p>
      <w:pPr>
        <w:ind w:left="40" w:right="26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a Director of the Issuer, shares voting and dispositive power with the managing members of Prospect Management Co. III, L.L.C., which is the general partner of Prospect Ventures Partners III, L.P., but disclaims beneficial ownership of such securities except to the extent of his pecuniary interest therein.</w:t>
      </w:r>
    </w:p>
    <w:p>
      <w:pPr>
        <w:spacing w:after="0" w:line="25"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3,000,000 shares beneficially owned by Prospect Ventures Partners III, L.P.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1,300,000 shares beneficially owned by Prospect Ventures Partners III, L.P.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525,000 shares beneficially owned by Prospect Ventures Partners III, L.P.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100,000 shares beneficially owned by Prospect Ventures Partners III, L.P.</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William J. Rieflin, Attorney-</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04/10/2017</w:t>
            </w:r>
          </w:p>
        </w:tc>
        <w:tc>
          <w:tcPr>
            <w:tcW w:w="0" w:type="dxa"/>
            <w:vAlign w:val="bottom"/>
          </w:tcPr>
          <w:p>
            <w:pPr>
              <w:spacing w:after="0"/>
              <w:rPr>
                <w:sz w:val="1"/>
                <w:szCs w:val="1"/>
                <w:color w:val="auto"/>
              </w:rPr>
            </w:pPr>
          </w:p>
        </w:tc>
      </w:tr>
      <w:tr>
        <w:trPr>
          <w:trHeight w:val="83"/>
        </w:trPr>
        <w:tc>
          <w:tcPr>
            <w:tcW w:w="22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060"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2019-12-24T04:30:20Z</dcterms:created>
  <dcterms:modified xsi:type="dcterms:W3CDTF">2019-12-24T04:30:20Z</dcterms:modified>
</cp:coreProperties>
</file>