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0001426332</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NGM BIOPHARMACEUTICALS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NGM BIOPHARMACEUTICALS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630 GATEWAY BOULEVARD</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SOUTH SAN FRANCISCO 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94080</w:t>
      </w:r>
      <w:r>
        <w:rPr>
          <w:sz w:val="20"/>
          <w:szCs w:val="20"/>
          <w:color w:val="auto"/>
        </w:rPr>
        <w:tab/>
      </w:r>
      <w:r>
        <w:rPr>
          <w:rFonts w:ascii="Arial" w:cs="Arial" w:eastAsia="Arial" w:hAnsi="Arial"/>
          <w:sz w:val="22"/>
          <w:szCs w:val="22"/>
          <w:color w:val="auto"/>
        </w:rPr>
        <w:t>650-243-5555</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60" w:type="dxa"/>
            <w:vAlign w:val="bottom"/>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60" w:type="dxa"/>
            <w:vAlign w:val="bottom"/>
          </w:tcPr>
          <w:p>
            <w:pPr>
              <w:jc w:val="center"/>
              <w:ind w:right="4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60" w:type="dxa"/>
            <w:vAlign w:val="bottom"/>
          </w:tcPr>
          <w:p>
            <w:pPr>
              <w:ind w:left="40"/>
              <w:spacing w:after="0"/>
              <w:rPr>
                <w:sz w:val="20"/>
                <w:szCs w:val="20"/>
                <w:color w:val="auto"/>
              </w:rPr>
            </w:pPr>
            <w:r>
              <w:rPr>
                <w:rFonts w:ascii="Arial" w:cs="Arial" w:eastAsia="Arial" w:hAnsi="Arial"/>
                <w:sz w:val="22"/>
                <w:szCs w:val="22"/>
                <w:color w:val="auto"/>
              </w:rPr>
              <w:t>Chen</w:t>
            </w:r>
          </w:p>
        </w:tc>
        <w:tc>
          <w:tcPr>
            <w:tcW w:w="1020" w:type="dxa"/>
            <w:vAlign w:val="bottom"/>
          </w:tcPr>
          <w:p>
            <w:pPr>
              <w:ind w:left="200"/>
              <w:spacing w:after="0"/>
              <w:rPr>
                <w:sz w:val="20"/>
                <w:szCs w:val="20"/>
                <w:color w:val="auto"/>
              </w:rPr>
            </w:pPr>
            <w:r>
              <w:rPr>
                <w:rFonts w:ascii="Arial" w:cs="Arial" w:eastAsia="Arial" w:hAnsi="Arial"/>
                <w:sz w:val="22"/>
                <w:szCs w:val="22"/>
                <w:color w:val="auto"/>
                <w:w w:val="94"/>
              </w:rPr>
              <w:t>Jin-Long</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60" w:type="dxa"/>
            <w:vAlign w:val="bottom"/>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60" w:type="dxa"/>
            <w:vAlign w:val="bottom"/>
          </w:tcPr>
          <w:p>
            <w:pPr>
              <w:jc w:val="center"/>
              <w:ind w:right="4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60" w:type="dxa"/>
            <w:vAlign w:val="bottom"/>
          </w:tcPr>
          <w:p>
            <w:pPr>
              <w:ind w:left="40"/>
              <w:spacing w:after="0"/>
              <w:rPr>
                <w:sz w:val="20"/>
                <w:szCs w:val="20"/>
                <w:color w:val="auto"/>
              </w:rPr>
            </w:pPr>
            <w:r>
              <w:rPr>
                <w:rFonts w:ascii="Arial" w:cs="Arial" w:eastAsia="Arial" w:hAnsi="Arial"/>
                <w:sz w:val="22"/>
                <w:szCs w:val="22"/>
                <w:color w:val="auto"/>
                <w:w w:val="96"/>
              </w:rPr>
              <w:t>c/o NGM Biopharmaceuticals, Inc.</w:t>
            </w:r>
          </w:p>
        </w:tc>
        <w:tc>
          <w:tcPr>
            <w:tcW w:w="3280" w:type="dxa"/>
            <w:vAlign w:val="bottom"/>
            <w:gridSpan w:val="2"/>
          </w:tcPr>
          <w:p>
            <w:pPr>
              <w:ind w:left="200"/>
              <w:spacing w:after="0"/>
              <w:rPr>
                <w:sz w:val="20"/>
                <w:szCs w:val="20"/>
                <w:color w:val="auto"/>
              </w:rPr>
            </w:pPr>
            <w:r>
              <w:rPr>
                <w:rFonts w:ascii="Arial" w:cs="Arial" w:eastAsia="Arial" w:hAnsi="Arial"/>
                <w:sz w:val="22"/>
                <w:szCs w:val="22"/>
                <w:color w:val="auto"/>
              </w:rPr>
              <w:t>630 Gateway Boulevard</w:t>
            </w:r>
          </w:p>
        </w:tc>
        <w:tc>
          <w:tcPr>
            <w:tcW w:w="4880" w:type="dxa"/>
            <w:vAlign w:val="bottom"/>
          </w:tcPr>
          <w:p>
            <w:pPr>
              <w:spacing w:after="0"/>
              <w:rPr>
                <w:sz w:val="24"/>
                <w:szCs w:val="24"/>
                <w:color w:val="auto"/>
              </w:rPr>
            </w:pPr>
          </w:p>
        </w:tc>
      </w:tr>
      <w:tr>
        <w:trPr>
          <w:trHeight w:val="297"/>
        </w:trPr>
        <w:tc>
          <w:tcPr>
            <w:tcW w:w="3260" w:type="dxa"/>
            <w:vAlign w:val="bottom"/>
          </w:tcPr>
          <w:p>
            <w:pPr>
              <w:jc w:val="center"/>
              <w:ind w:left="72"/>
              <w:spacing w:after="0"/>
              <w:rPr>
                <w:sz w:val="20"/>
                <w:szCs w:val="20"/>
                <w:color w:val="auto"/>
              </w:rPr>
            </w:pPr>
            <w:r>
              <w:rPr>
                <w:rFonts w:ascii="Arial" w:cs="Arial" w:eastAsia="Arial" w:hAnsi="Arial"/>
                <w:sz w:val="22"/>
                <w:szCs w:val="22"/>
                <w:b w:val="1"/>
                <w:bCs w:val="1"/>
                <w:color w:val="auto"/>
                <w:w w:val="96"/>
              </w:rPr>
              <w:t>City</w:t>
            </w:r>
          </w:p>
        </w:tc>
        <w:tc>
          <w:tcPr>
            <w:tcW w:w="32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60" w:type="dxa"/>
            <w:vAlign w:val="bottom"/>
          </w:tcPr>
          <w:p>
            <w:pPr>
              <w:ind w:left="40"/>
              <w:spacing w:after="0"/>
              <w:rPr>
                <w:sz w:val="20"/>
                <w:szCs w:val="20"/>
                <w:color w:val="auto"/>
              </w:rPr>
            </w:pPr>
            <w:r>
              <w:rPr>
                <w:rFonts w:ascii="Arial" w:cs="Arial" w:eastAsia="Arial" w:hAnsi="Arial"/>
                <w:sz w:val="22"/>
                <w:szCs w:val="22"/>
                <w:color w:val="auto"/>
              </w:rPr>
              <w:t>South San Francisco</w:t>
            </w:r>
          </w:p>
        </w:tc>
        <w:tc>
          <w:tcPr>
            <w:tcW w:w="328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r>
        <w:trPr>
          <w:trHeight w:val="324"/>
        </w:trPr>
        <w:tc>
          <w:tcPr>
            <w:tcW w:w="4280" w:type="dxa"/>
            <w:vAlign w:val="bottom"/>
            <w:gridSpan w:val="2"/>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226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6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60" w:type="dxa"/>
            <w:vAlign w:val="bottom"/>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60" w:type="dxa"/>
            <w:vAlign w:val="bottom"/>
          </w:tcPr>
          <w:p>
            <w:pPr>
              <w:jc w:val="center"/>
              <w:ind w:right="4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60" w:type="dxa"/>
            <w:vAlign w:val="bottom"/>
          </w:tcPr>
          <w:p>
            <w:pPr>
              <w:ind w:left="40"/>
              <w:spacing w:after="0"/>
              <w:rPr>
                <w:sz w:val="20"/>
                <w:szCs w:val="20"/>
                <w:color w:val="auto"/>
              </w:rPr>
            </w:pPr>
            <w:r>
              <w:rPr>
                <w:rFonts w:ascii="Arial" w:cs="Arial" w:eastAsia="Arial" w:hAnsi="Arial"/>
                <w:sz w:val="22"/>
                <w:szCs w:val="22"/>
                <w:color w:val="auto"/>
              </w:rPr>
              <w:t>Rieflin</w:t>
            </w:r>
          </w:p>
        </w:tc>
        <w:tc>
          <w:tcPr>
            <w:tcW w:w="1020" w:type="dxa"/>
            <w:vAlign w:val="bottom"/>
          </w:tcPr>
          <w:p>
            <w:pPr>
              <w:ind w:left="200"/>
              <w:spacing w:after="0"/>
              <w:rPr>
                <w:sz w:val="20"/>
                <w:szCs w:val="20"/>
                <w:color w:val="auto"/>
              </w:rPr>
            </w:pPr>
            <w:r>
              <w:rPr>
                <w:rFonts w:ascii="Arial" w:cs="Arial" w:eastAsia="Arial" w:hAnsi="Arial"/>
                <w:sz w:val="22"/>
                <w:szCs w:val="22"/>
                <w:color w:val="auto"/>
              </w:rPr>
              <w:t>William</w:t>
            </w:r>
          </w:p>
        </w:tc>
        <w:tc>
          <w:tcPr>
            <w:tcW w:w="22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3260" w:type="dxa"/>
            <w:vAlign w:val="bottom"/>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60" w:type="dxa"/>
            <w:vAlign w:val="bottom"/>
          </w:tcPr>
          <w:p>
            <w:pPr>
              <w:jc w:val="center"/>
              <w:ind w:right="4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60" w:type="dxa"/>
            <w:vAlign w:val="bottom"/>
          </w:tcPr>
          <w:p>
            <w:pPr>
              <w:ind w:left="40"/>
              <w:spacing w:after="0"/>
              <w:rPr>
                <w:sz w:val="20"/>
                <w:szCs w:val="20"/>
                <w:color w:val="auto"/>
              </w:rPr>
            </w:pPr>
            <w:r>
              <w:rPr>
                <w:rFonts w:ascii="Arial" w:cs="Arial" w:eastAsia="Arial" w:hAnsi="Arial"/>
                <w:sz w:val="22"/>
                <w:szCs w:val="22"/>
                <w:color w:val="auto"/>
                <w:w w:val="96"/>
              </w:rPr>
              <w:t>c/o NGM Biopharmaceuticals, Inc.</w:t>
            </w:r>
          </w:p>
        </w:tc>
        <w:tc>
          <w:tcPr>
            <w:tcW w:w="3280" w:type="dxa"/>
            <w:vAlign w:val="bottom"/>
            <w:gridSpan w:val="2"/>
          </w:tcPr>
          <w:p>
            <w:pPr>
              <w:ind w:left="200"/>
              <w:spacing w:after="0"/>
              <w:rPr>
                <w:sz w:val="20"/>
                <w:szCs w:val="20"/>
                <w:color w:val="auto"/>
              </w:rPr>
            </w:pPr>
            <w:r>
              <w:rPr>
                <w:rFonts w:ascii="Arial" w:cs="Arial" w:eastAsia="Arial" w:hAnsi="Arial"/>
                <w:sz w:val="22"/>
                <w:szCs w:val="22"/>
                <w:color w:val="auto"/>
              </w:rPr>
              <w:t>630 Gateway Boulevard</w:t>
            </w:r>
          </w:p>
        </w:tc>
        <w:tc>
          <w:tcPr>
            <w:tcW w:w="4880" w:type="dxa"/>
            <w:vAlign w:val="bottom"/>
          </w:tcPr>
          <w:p>
            <w:pPr>
              <w:spacing w:after="0"/>
              <w:rPr>
                <w:sz w:val="24"/>
                <w:szCs w:val="24"/>
                <w:color w:val="auto"/>
              </w:rPr>
            </w:pPr>
          </w:p>
        </w:tc>
      </w:tr>
      <w:tr>
        <w:trPr>
          <w:trHeight w:val="297"/>
        </w:trPr>
        <w:tc>
          <w:tcPr>
            <w:tcW w:w="3260" w:type="dxa"/>
            <w:vAlign w:val="bottom"/>
          </w:tcPr>
          <w:p>
            <w:pPr>
              <w:jc w:val="center"/>
              <w:ind w:left="72"/>
              <w:spacing w:after="0"/>
              <w:rPr>
                <w:sz w:val="20"/>
                <w:szCs w:val="20"/>
                <w:color w:val="auto"/>
              </w:rPr>
            </w:pPr>
            <w:r>
              <w:rPr>
                <w:rFonts w:ascii="Arial" w:cs="Arial" w:eastAsia="Arial" w:hAnsi="Arial"/>
                <w:sz w:val="22"/>
                <w:szCs w:val="22"/>
                <w:b w:val="1"/>
                <w:bCs w:val="1"/>
                <w:color w:val="auto"/>
                <w:w w:val="96"/>
              </w:rPr>
              <w:t>City</w:t>
            </w:r>
          </w:p>
        </w:tc>
        <w:tc>
          <w:tcPr>
            <w:tcW w:w="32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60" w:type="dxa"/>
            <w:vAlign w:val="bottom"/>
          </w:tcPr>
          <w:p>
            <w:pPr>
              <w:ind w:left="40"/>
              <w:spacing w:after="0"/>
              <w:rPr>
                <w:sz w:val="20"/>
                <w:szCs w:val="20"/>
                <w:color w:val="auto"/>
              </w:rPr>
            </w:pPr>
            <w:r>
              <w:rPr>
                <w:rFonts w:ascii="Arial" w:cs="Arial" w:eastAsia="Arial" w:hAnsi="Arial"/>
                <w:sz w:val="22"/>
                <w:szCs w:val="22"/>
                <w:color w:val="auto"/>
              </w:rPr>
              <w:t>South San Francisco</w:t>
            </w:r>
          </w:p>
        </w:tc>
        <w:tc>
          <w:tcPr>
            <w:tcW w:w="328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r>
        <w:trPr>
          <w:trHeight w:val="324"/>
        </w:trPr>
        <w:tc>
          <w:tcPr>
            <w:tcW w:w="4280" w:type="dxa"/>
            <w:vAlign w:val="bottom"/>
            <w:gridSpan w:val="2"/>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226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2520" w:type="dxa"/>
            <w:vAlign w:val="bottom"/>
          </w:tcPr>
          <w:p>
            <w:pPr>
              <w:jc w:val="center"/>
              <w:ind w:right="21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Goeddel</w:t>
            </w:r>
          </w:p>
        </w:tc>
        <w:tc>
          <w:tcPr>
            <w:tcW w:w="186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Arial" w:cs="Arial" w:eastAsia="Arial" w:hAnsi="Arial"/>
                <w:sz w:val="22"/>
                <w:szCs w:val="22"/>
                <w:color w:val="auto"/>
                <w:w w:val="99"/>
              </w:rPr>
              <w:t>David</w:t>
            </w:r>
          </w:p>
        </w:tc>
        <w:tc>
          <w:tcPr>
            <w:tcW w:w="252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V.</w:t>
            </w: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2520" w:type="dxa"/>
            <w:vAlign w:val="bottom"/>
          </w:tcPr>
          <w:p>
            <w:pPr>
              <w:jc w:val="center"/>
              <w:ind w:right="21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w w:val="96"/>
              </w:rPr>
              <w:t>c/o NGM Biopharmaceuticals, Inc.</w:t>
            </w: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630 Gateway Boulevard</w:t>
            </w:r>
          </w:p>
        </w:tc>
        <w:tc>
          <w:tcPr>
            <w:tcW w:w="486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6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780" w:type="dxa"/>
            <w:vAlign w:val="bottom"/>
          </w:tcPr>
          <w:p>
            <w:pPr>
              <w:spacing w:after="0"/>
              <w:rPr>
                <w:sz w:val="24"/>
                <w:szCs w:val="24"/>
                <w:color w:val="auto"/>
              </w:rPr>
            </w:pPr>
          </w:p>
        </w:tc>
        <w:tc>
          <w:tcPr>
            <w:tcW w:w="2520" w:type="dxa"/>
            <w:vAlign w:val="bottom"/>
          </w:tcPr>
          <w:p>
            <w:pPr>
              <w:jc w:val="center"/>
              <w:ind w:right="23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60" w:type="dxa"/>
            <w:vAlign w:val="bottom"/>
          </w:tcPr>
          <w:p>
            <w:pPr>
              <w:ind w:left="300"/>
              <w:spacing w:after="0"/>
              <w:rPr>
                <w:sz w:val="20"/>
                <w:szCs w:val="20"/>
                <w:color w:val="auto"/>
              </w:rPr>
            </w:pPr>
            <w:r>
              <w:rPr>
                <w:rFonts w:ascii="Arial" w:cs="Arial" w:eastAsia="Arial" w:hAnsi="Arial"/>
                <w:sz w:val="22"/>
                <w:szCs w:val="22"/>
                <w:color w:val="auto"/>
              </w:rPr>
              <w:t>94080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2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60" w:type="dxa"/>
            <w:vAlign w:val="bottom"/>
            <w:tcBorders>
              <w:bottom w:val="single" w:sz="8" w:color="9A9A9A"/>
            </w:tcBorders>
            <w:gridSpan w:val="2"/>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52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2520" w:type="dxa"/>
            <w:vAlign w:val="bottom"/>
          </w:tcPr>
          <w:p>
            <w:pPr>
              <w:jc w:val="center"/>
              <w:ind w:right="21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Leschly</w:t>
            </w:r>
          </w:p>
        </w:tc>
        <w:tc>
          <w:tcPr>
            <w:tcW w:w="186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Arial" w:cs="Arial" w:eastAsia="Arial" w:hAnsi="Arial"/>
                <w:sz w:val="22"/>
                <w:szCs w:val="22"/>
                <w:color w:val="auto"/>
              </w:rPr>
              <w:t>Mark</w:t>
            </w:r>
          </w:p>
        </w:tc>
        <w:tc>
          <w:tcPr>
            <w:tcW w:w="252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2520" w:type="dxa"/>
            <w:vAlign w:val="bottom"/>
          </w:tcPr>
          <w:p>
            <w:pPr>
              <w:jc w:val="center"/>
              <w:ind w:right="21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rPr>
              <w:t>c/o Rho Ventures</w:t>
            </w: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525 University Ave., Suite 1350</w:t>
            </w:r>
          </w:p>
        </w:tc>
        <w:tc>
          <w:tcPr>
            <w:tcW w:w="486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6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780" w:type="dxa"/>
            <w:vAlign w:val="bottom"/>
          </w:tcPr>
          <w:p>
            <w:pPr>
              <w:spacing w:after="0"/>
              <w:rPr>
                <w:sz w:val="24"/>
                <w:szCs w:val="24"/>
                <w:color w:val="auto"/>
              </w:rPr>
            </w:pPr>
          </w:p>
        </w:tc>
        <w:tc>
          <w:tcPr>
            <w:tcW w:w="2520" w:type="dxa"/>
            <w:vAlign w:val="bottom"/>
          </w:tcPr>
          <w:p>
            <w:pPr>
              <w:jc w:val="center"/>
              <w:ind w:right="23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860" w:type="dxa"/>
            <w:vAlign w:val="bottom"/>
          </w:tcPr>
          <w:p>
            <w:pPr>
              <w:spacing w:after="0"/>
              <w:rPr>
                <w:sz w:val="24"/>
                <w:szCs w:val="24"/>
                <w:color w:val="auto"/>
              </w:rPr>
            </w:pP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60" w:type="dxa"/>
            <w:vAlign w:val="bottom"/>
          </w:tcPr>
          <w:p>
            <w:pPr>
              <w:ind w:left="300"/>
              <w:spacing w:after="0"/>
              <w:rPr>
                <w:sz w:val="20"/>
                <w:szCs w:val="20"/>
                <w:color w:val="auto"/>
              </w:rPr>
            </w:pPr>
            <w:r>
              <w:rPr>
                <w:rFonts w:ascii="Arial" w:cs="Arial" w:eastAsia="Arial" w:hAnsi="Arial"/>
                <w:sz w:val="22"/>
                <w:szCs w:val="22"/>
                <w:color w:val="auto"/>
              </w:rPr>
              <w:t>94301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2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60" w:type="dxa"/>
            <w:vAlign w:val="bottom"/>
            <w:tcBorders>
              <w:bottom w:val="single" w:sz="8" w:color="9A9A9A"/>
            </w:tcBorders>
            <w:gridSpan w:val="2"/>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52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2520" w:type="dxa"/>
            <w:vAlign w:val="bottom"/>
          </w:tcPr>
          <w:p>
            <w:pPr>
              <w:jc w:val="center"/>
              <w:ind w:right="21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Levinson</w:t>
            </w:r>
          </w:p>
        </w:tc>
        <w:tc>
          <w:tcPr>
            <w:tcW w:w="186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Arial" w:cs="Arial" w:eastAsia="Arial" w:hAnsi="Arial"/>
                <w:sz w:val="22"/>
                <w:szCs w:val="22"/>
                <w:color w:val="auto"/>
                <w:w w:val="93"/>
              </w:rPr>
              <w:t>Arthur</w:t>
            </w:r>
          </w:p>
        </w:tc>
        <w:tc>
          <w:tcPr>
            <w:tcW w:w="252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2520" w:type="dxa"/>
            <w:vAlign w:val="bottom"/>
          </w:tcPr>
          <w:p>
            <w:pPr>
              <w:jc w:val="center"/>
              <w:ind w:right="21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w w:val="96"/>
              </w:rPr>
              <w:t>c/o NGM Biopharmaceuticals, Inc.</w:t>
            </w: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630 Gateway Boulevard</w:t>
            </w:r>
          </w:p>
        </w:tc>
        <w:tc>
          <w:tcPr>
            <w:tcW w:w="486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6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780" w:type="dxa"/>
            <w:vAlign w:val="bottom"/>
          </w:tcPr>
          <w:p>
            <w:pPr>
              <w:spacing w:after="0"/>
              <w:rPr>
                <w:sz w:val="24"/>
                <w:szCs w:val="24"/>
                <w:color w:val="auto"/>
              </w:rPr>
            </w:pPr>
          </w:p>
        </w:tc>
        <w:tc>
          <w:tcPr>
            <w:tcW w:w="2520" w:type="dxa"/>
            <w:vAlign w:val="bottom"/>
          </w:tcPr>
          <w:p>
            <w:pPr>
              <w:jc w:val="center"/>
              <w:ind w:right="23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60" w:type="dxa"/>
            <w:vAlign w:val="bottom"/>
          </w:tcPr>
          <w:p>
            <w:pPr>
              <w:ind w:left="300"/>
              <w:spacing w:after="0"/>
              <w:rPr>
                <w:sz w:val="20"/>
                <w:szCs w:val="20"/>
                <w:color w:val="auto"/>
              </w:rPr>
            </w:pPr>
            <w:r>
              <w:rPr>
                <w:rFonts w:ascii="Arial" w:cs="Arial" w:eastAsia="Arial" w:hAnsi="Arial"/>
                <w:sz w:val="22"/>
                <w:szCs w:val="22"/>
                <w:color w:val="auto"/>
              </w:rPr>
              <w:t>94080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2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60" w:type="dxa"/>
            <w:vAlign w:val="bottom"/>
            <w:tcBorders>
              <w:bottom w:val="single" w:sz="8" w:color="9A9A9A"/>
            </w:tcBorders>
            <w:gridSpan w:val="2"/>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52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2520" w:type="dxa"/>
            <w:vAlign w:val="bottom"/>
          </w:tcPr>
          <w:p>
            <w:pPr>
              <w:jc w:val="center"/>
              <w:ind w:right="21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Schnell</w:t>
            </w:r>
          </w:p>
        </w:tc>
        <w:tc>
          <w:tcPr>
            <w:tcW w:w="186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Arial" w:cs="Arial" w:eastAsia="Arial" w:hAnsi="Arial"/>
                <w:sz w:val="22"/>
                <w:szCs w:val="22"/>
                <w:color w:val="auto"/>
                <w:w w:val="99"/>
              </w:rPr>
              <w:t>David</w:t>
            </w:r>
          </w:p>
        </w:tc>
        <w:tc>
          <w:tcPr>
            <w:tcW w:w="252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2520" w:type="dxa"/>
            <w:vAlign w:val="bottom"/>
          </w:tcPr>
          <w:p>
            <w:pPr>
              <w:jc w:val="center"/>
              <w:ind w:right="21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rPr>
              <w:t>c/o Prospect Ventures, L.P.</w:t>
            </w: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435 Tasso St., Suite 200</w:t>
            </w:r>
          </w:p>
        </w:tc>
        <w:tc>
          <w:tcPr>
            <w:tcW w:w="486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6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780" w:type="dxa"/>
            <w:vAlign w:val="bottom"/>
          </w:tcPr>
          <w:p>
            <w:pPr>
              <w:spacing w:after="0"/>
              <w:rPr>
                <w:sz w:val="24"/>
                <w:szCs w:val="24"/>
                <w:color w:val="auto"/>
              </w:rPr>
            </w:pPr>
          </w:p>
        </w:tc>
        <w:tc>
          <w:tcPr>
            <w:tcW w:w="2520" w:type="dxa"/>
            <w:vAlign w:val="bottom"/>
          </w:tcPr>
          <w:p>
            <w:pPr>
              <w:jc w:val="center"/>
              <w:ind w:right="23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860" w:type="dxa"/>
            <w:vAlign w:val="bottom"/>
          </w:tcPr>
          <w:p>
            <w:pPr>
              <w:spacing w:after="0"/>
              <w:rPr>
                <w:sz w:val="24"/>
                <w:szCs w:val="24"/>
                <w:color w:val="auto"/>
              </w:rPr>
            </w:pP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60" w:type="dxa"/>
            <w:vAlign w:val="bottom"/>
          </w:tcPr>
          <w:p>
            <w:pPr>
              <w:ind w:left="300"/>
              <w:spacing w:after="0"/>
              <w:rPr>
                <w:sz w:val="20"/>
                <w:szCs w:val="20"/>
                <w:color w:val="auto"/>
              </w:rPr>
            </w:pPr>
            <w:r>
              <w:rPr>
                <w:rFonts w:ascii="Arial" w:cs="Arial" w:eastAsia="Arial" w:hAnsi="Arial"/>
                <w:sz w:val="22"/>
                <w:szCs w:val="22"/>
                <w:color w:val="auto"/>
              </w:rPr>
              <w:t>94301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2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60" w:type="dxa"/>
            <w:vAlign w:val="bottom"/>
            <w:tcBorders>
              <w:bottom w:val="single" w:sz="8" w:color="9A9A9A"/>
            </w:tcBorders>
            <w:gridSpan w:val="2"/>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52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2520" w:type="dxa"/>
            <w:vAlign w:val="bottom"/>
          </w:tcPr>
          <w:p>
            <w:pPr>
              <w:jc w:val="center"/>
              <w:ind w:right="21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Svennilson</w:t>
            </w:r>
          </w:p>
        </w:tc>
        <w:tc>
          <w:tcPr>
            <w:tcW w:w="186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Arial" w:cs="Arial" w:eastAsia="Arial" w:hAnsi="Arial"/>
                <w:sz w:val="22"/>
                <w:szCs w:val="22"/>
                <w:color w:val="auto"/>
              </w:rPr>
              <w:t>Peter</w:t>
            </w:r>
          </w:p>
        </w:tc>
        <w:tc>
          <w:tcPr>
            <w:tcW w:w="252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2520" w:type="dxa"/>
            <w:vAlign w:val="bottom"/>
          </w:tcPr>
          <w:p>
            <w:pPr>
              <w:jc w:val="center"/>
              <w:ind w:right="21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w w:val="96"/>
              </w:rPr>
              <w:t>c/o NGM Biopharmaceuticals, Inc.</w:t>
            </w: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630 Gateway Boulevard</w:t>
            </w:r>
          </w:p>
        </w:tc>
        <w:tc>
          <w:tcPr>
            <w:tcW w:w="486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6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780" w:type="dxa"/>
            <w:vAlign w:val="bottom"/>
          </w:tcPr>
          <w:p>
            <w:pPr>
              <w:spacing w:after="0"/>
              <w:rPr>
                <w:sz w:val="24"/>
                <w:szCs w:val="24"/>
                <w:color w:val="auto"/>
              </w:rPr>
            </w:pPr>
          </w:p>
        </w:tc>
        <w:tc>
          <w:tcPr>
            <w:tcW w:w="2520" w:type="dxa"/>
            <w:vAlign w:val="bottom"/>
          </w:tcPr>
          <w:p>
            <w:pPr>
              <w:jc w:val="center"/>
              <w:ind w:right="23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60" w:type="dxa"/>
            <w:vAlign w:val="bottom"/>
          </w:tcPr>
          <w:p>
            <w:pPr>
              <w:ind w:left="300"/>
              <w:spacing w:after="0"/>
              <w:rPr>
                <w:sz w:val="20"/>
                <w:szCs w:val="20"/>
                <w:color w:val="auto"/>
              </w:rPr>
            </w:pPr>
            <w:r>
              <w:rPr>
                <w:rFonts w:ascii="Arial" w:cs="Arial" w:eastAsia="Arial" w:hAnsi="Arial"/>
                <w:sz w:val="22"/>
                <w:szCs w:val="22"/>
                <w:color w:val="auto"/>
              </w:rPr>
              <w:t>94080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2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60" w:type="dxa"/>
            <w:vAlign w:val="bottom"/>
            <w:tcBorders>
              <w:bottom w:val="single" w:sz="8" w:color="9A9A9A"/>
            </w:tcBorders>
            <w:gridSpan w:val="2"/>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52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2520" w:type="dxa"/>
            <w:vAlign w:val="bottom"/>
          </w:tcPr>
          <w:p>
            <w:pPr>
              <w:jc w:val="center"/>
              <w:ind w:right="21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Tichenor, Jr.</w:t>
            </w:r>
          </w:p>
        </w:tc>
        <w:tc>
          <w:tcPr>
            <w:tcW w:w="1860" w:type="dxa"/>
            <w:vAlign w:val="bottom"/>
          </w:tcPr>
          <w:p>
            <w:pPr>
              <w:spacing w:after="0"/>
              <w:rPr>
                <w:sz w:val="24"/>
                <w:szCs w:val="24"/>
                <w:color w:val="auto"/>
              </w:rPr>
            </w:pP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McHenry</w:t>
            </w:r>
          </w:p>
        </w:tc>
        <w:tc>
          <w:tcPr>
            <w:tcW w:w="4860" w:type="dxa"/>
            <w:vAlign w:val="bottom"/>
          </w:tcPr>
          <w:p>
            <w:pPr>
              <w:ind w:left="300"/>
              <w:spacing w:after="0"/>
              <w:rPr>
                <w:sz w:val="20"/>
                <w:szCs w:val="20"/>
                <w:color w:val="auto"/>
              </w:rPr>
            </w:pPr>
            <w:r>
              <w:rPr>
                <w:rFonts w:ascii="Arial" w:cs="Arial" w:eastAsia="Arial" w:hAnsi="Arial"/>
                <w:sz w:val="22"/>
                <w:szCs w:val="22"/>
                <w:color w:val="auto"/>
              </w:rPr>
              <w:t>T.</w:t>
            </w: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2520" w:type="dxa"/>
            <w:vAlign w:val="bottom"/>
          </w:tcPr>
          <w:p>
            <w:pPr>
              <w:jc w:val="center"/>
              <w:ind w:right="21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rPr>
              <w:t>c/o Tichenor Ventures, LLC</w:t>
            </w: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100 Crescent Court, Suite 700</w:t>
            </w:r>
          </w:p>
        </w:tc>
        <w:tc>
          <w:tcPr>
            <w:tcW w:w="486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6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780" w:type="dxa"/>
            <w:vAlign w:val="bottom"/>
          </w:tcPr>
          <w:p>
            <w:pPr>
              <w:spacing w:after="0"/>
              <w:rPr>
                <w:sz w:val="24"/>
                <w:szCs w:val="24"/>
                <w:color w:val="auto"/>
              </w:rPr>
            </w:pPr>
          </w:p>
        </w:tc>
        <w:tc>
          <w:tcPr>
            <w:tcW w:w="2520" w:type="dxa"/>
            <w:vAlign w:val="bottom"/>
          </w:tcPr>
          <w:p>
            <w:pPr>
              <w:jc w:val="center"/>
              <w:ind w:right="23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Dallas</w:t>
            </w:r>
          </w:p>
        </w:tc>
        <w:tc>
          <w:tcPr>
            <w:tcW w:w="1860" w:type="dxa"/>
            <w:vAlign w:val="bottom"/>
          </w:tcPr>
          <w:p>
            <w:pPr>
              <w:spacing w:after="0"/>
              <w:rPr>
                <w:sz w:val="24"/>
                <w:szCs w:val="24"/>
                <w:color w:val="auto"/>
              </w:rPr>
            </w:pP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TEXAS</w:t>
            </w:r>
          </w:p>
        </w:tc>
        <w:tc>
          <w:tcPr>
            <w:tcW w:w="4860" w:type="dxa"/>
            <w:vAlign w:val="bottom"/>
          </w:tcPr>
          <w:p>
            <w:pPr>
              <w:ind w:left="300"/>
              <w:spacing w:after="0"/>
              <w:rPr>
                <w:sz w:val="20"/>
                <w:szCs w:val="20"/>
                <w:color w:val="auto"/>
              </w:rPr>
            </w:pPr>
            <w:r>
              <w:rPr>
                <w:rFonts w:ascii="Arial" w:cs="Arial" w:eastAsia="Arial" w:hAnsi="Arial"/>
                <w:sz w:val="22"/>
                <w:szCs w:val="22"/>
                <w:color w:val="auto"/>
              </w:rPr>
              <w:t>75201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p>
      <w:pPr>
        <w:spacing w:after="0" w:line="42"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80" w:orient="portrait"/>
          <w:cols w:equalWidth="0" w:num="1">
            <w:col w:w="10219"/>
          </w:cols>
          <w:pgMar w:left="240" w:top="111"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80" w:orient="portrait"/>
          <w:cols w:equalWidth="0" w:num="2">
            <w:col w:w="3600" w:space="340"/>
            <w:col w:w="6279"/>
          </w:cols>
          <w:pgMar w:left="240" w:top="111"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260" w:type="dxa"/>
        <w:tblCellMar>
          <w:top w:w="0" w:type="dxa"/>
          <w:left w:w="0" w:type="dxa"/>
          <w:bottom w:w="0" w:type="dxa"/>
          <w:right w:w="0" w:type="dxa"/>
        </w:tblCellMar>
      </w:tblPr>
      <w:tr>
        <w:trPr>
          <w:trHeight w:val="275"/>
        </w:trPr>
        <w:tc>
          <w:tcPr>
            <w:tcW w:w="3540" w:type="dxa"/>
            <w:vAlign w:val="bottom"/>
            <w:gridSpan w:val="2"/>
          </w:tcPr>
          <w:p>
            <w:pPr>
              <w:spacing w:after="0"/>
              <w:rPr>
                <w:sz w:val="20"/>
                <w:szCs w:val="20"/>
                <w:color w:val="auto"/>
              </w:rPr>
            </w:pPr>
            <w:r>
              <w:rPr>
                <w:rFonts w:ascii="Arial" w:cs="Arial" w:eastAsia="Arial" w:hAnsi="Arial"/>
                <w:sz w:val="22"/>
                <w:szCs w:val="22"/>
                <w:color w:val="auto"/>
              </w:rPr>
              <w:t>Rule 504(b)(1) (not (i), (ii) or (iii))</w:t>
            </w:r>
          </w:p>
        </w:tc>
        <w:tc>
          <w:tcPr>
            <w:tcW w:w="2600" w:type="dxa"/>
            <w:vAlign w:val="bottom"/>
          </w:tcPr>
          <w:p>
            <w:pPr>
              <w:ind w:left="820"/>
              <w:spacing w:after="0"/>
              <w:rPr>
                <w:sz w:val="20"/>
                <w:szCs w:val="20"/>
                <w:color w:val="auto"/>
              </w:rPr>
            </w:pPr>
            <w:r>
              <w:rPr>
                <w:rFonts w:ascii="Arial" w:cs="Arial" w:eastAsia="Arial" w:hAnsi="Arial"/>
                <w:sz w:val="22"/>
                <w:szCs w:val="22"/>
                <w:color w:val="auto"/>
              </w:rPr>
              <w:t>Rule 505</w:t>
            </w:r>
          </w:p>
        </w:tc>
        <w:tc>
          <w:tcPr>
            <w:tcW w:w="1900" w:type="dxa"/>
            <w:vAlign w:val="bottom"/>
          </w:tcPr>
          <w:p>
            <w:pPr>
              <w:spacing w:after="0"/>
              <w:rPr>
                <w:sz w:val="23"/>
                <w:szCs w:val="23"/>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w:t>
            </w:r>
          </w:p>
        </w:tc>
        <w:tc>
          <w:tcPr>
            <w:tcW w:w="2600" w:type="dxa"/>
            <w:vAlign w:val="bottom"/>
          </w:tcPr>
          <w:p>
            <w:pPr>
              <w:ind w:left="540"/>
              <w:spacing w:after="0"/>
              <w:rPr>
                <w:sz w:val="20"/>
                <w:szCs w:val="20"/>
                <w:color w:val="auto"/>
              </w:rPr>
            </w:pPr>
            <w:r>
              <w:rPr>
                <w:rFonts w:ascii="Arial" w:cs="Arial" w:eastAsia="Arial" w:hAnsi="Arial"/>
                <w:sz w:val="22"/>
                <w:szCs w:val="22"/>
                <w:color w:val="auto"/>
              </w:rPr>
              <w:t>X Rule 506</w:t>
            </w:r>
          </w:p>
        </w:tc>
        <w:tc>
          <w:tcPr>
            <w:tcW w:w="190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w:t>
            </w:r>
          </w:p>
        </w:tc>
        <w:tc>
          <w:tcPr>
            <w:tcW w:w="4500" w:type="dxa"/>
            <w:vAlign w:val="bottom"/>
            <w:gridSpan w:val="2"/>
          </w:tcPr>
          <w:p>
            <w:pPr>
              <w:ind w:left="820"/>
              <w:spacing w:after="0"/>
              <w:rPr>
                <w:sz w:val="20"/>
                <w:szCs w:val="20"/>
                <w:color w:val="auto"/>
              </w:rPr>
            </w:pPr>
            <w:r>
              <w:rPr>
                <w:rFonts w:ascii="Arial" w:cs="Arial" w:eastAsia="Arial" w:hAnsi="Arial"/>
                <w:sz w:val="22"/>
                <w:szCs w:val="22"/>
                <w:color w:val="auto"/>
              </w:rPr>
              <w:t>Securities Act Section 4(5)</w:t>
            </w: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(b)(1)(iii)</w:t>
            </w:r>
          </w:p>
        </w:tc>
        <w:tc>
          <w:tcPr>
            <w:tcW w:w="4500" w:type="dxa"/>
            <w:vAlign w:val="bottom"/>
            <w:gridSpan w:val="2"/>
          </w:tcPr>
          <w:p>
            <w:pPr>
              <w:ind w:left="82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3(c)(1)</w:t>
            </w:r>
          </w:p>
        </w:tc>
        <w:tc>
          <w:tcPr>
            <w:tcW w:w="1900" w:type="dxa"/>
            <w:vAlign w:val="bottom"/>
          </w:tcPr>
          <w:p>
            <w:pPr>
              <w:ind w:left="460"/>
              <w:spacing w:after="0"/>
              <w:rPr>
                <w:sz w:val="20"/>
                <w:szCs w:val="20"/>
                <w:color w:val="auto"/>
              </w:rPr>
            </w:pPr>
            <w:r>
              <w:rPr>
                <w:rFonts w:ascii="Arial" w:cs="Arial" w:eastAsia="Arial" w:hAnsi="Arial"/>
                <w:sz w:val="22"/>
                <w:szCs w:val="22"/>
                <w:color w:val="auto"/>
                <w:w w:val="98"/>
              </w:rPr>
              <w:t>Section 3(c)(9)</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3(c)(2)</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3(c)(10)</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3(c)(3)</w:t>
            </w:r>
          </w:p>
        </w:tc>
        <w:tc>
          <w:tcPr>
            <w:tcW w:w="1900" w:type="dxa"/>
            <w:vAlign w:val="bottom"/>
          </w:tcPr>
          <w:p>
            <w:pPr>
              <w:ind w:left="500"/>
              <w:spacing w:after="0"/>
              <w:rPr>
                <w:sz w:val="20"/>
                <w:szCs w:val="20"/>
                <w:color w:val="auto"/>
              </w:rPr>
            </w:pPr>
            <w:r>
              <w:rPr>
                <w:rFonts w:ascii="Arial" w:cs="Arial" w:eastAsia="Arial" w:hAnsi="Arial"/>
                <w:sz w:val="22"/>
                <w:szCs w:val="22"/>
                <w:color w:val="auto"/>
                <w:w w:val="88"/>
              </w:rPr>
              <w:t>Section 3(c)(11)</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3(c)(4)</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3(c)(12)</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3(c)(5)</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3(c)(13)</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3(c)(6)</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3(c)(14)</w:t>
            </w:r>
          </w:p>
        </w:tc>
      </w:tr>
    </w:tbl>
    <w:p>
      <w:pPr>
        <w:sectPr>
          <w:pgSz w:w="11900" w:h="16880" w:orient="portrait"/>
          <w:cols w:equalWidth="0" w:num="1">
            <w:col w:w="10219"/>
          </w:cols>
          <w:pgMar w:left="240" w:top="111" w:right="1440" w:bottom="0" w:gutter="0" w:footer="0" w:header="0"/>
          <w:type w:val="continuous"/>
        </w:sectPr>
      </w:pPr>
    </w:p>
    <w:bookmarkStart w:id="3" w:name="page4"/>
    <w:bookmarkEnd w:id="3"/>
    <w:p>
      <w:pPr>
        <w:ind w:left="4580"/>
        <w:spacing w:after="0"/>
        <w:rPr>
          <w:sz w:val="20"/>
          <w:szCs w:val="20"/>
          <w:color w:val="auto"/>
        </w:rPr>
      </w:pPr>
      <w:r>
        <w:rPr>
          <w:rFonts w:ascii="Arial" w:cs="Arial" w:eastAsia="Arial" w:hAnsi="Arial"/>
          <w:sz w:val="22"/>
          <w:szCs w:val="22"/>
          <w:color w:val="auto"/>
        </w:rPr>
        <w:t>Section 3(c)(7)</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right="5100" w:hanging="215"/>
        <w:spacing w:after="0" w:line="271" w:lineRule="auto"/>
        <w:rPr>
          <w:sz w:val="20"/>
          <w:szCs w:val="20"/>
          <w:color w:val="auto"/>
        </w:rPr>
      </w:pPr>
      <w:r>
        <w:rPr>
          <w:rFonts w:ascii="Arial" w:cs="Arial" w:eastAsia="Arial" w:hAnsi="Arial"/>
          <w:sz w:val="22"/>
          <w:szCs w:val="22"/>
          <w:color w:val="auto"/>
        </w:rPr>
        <w:t>X New Notice Date of First Sale 2013-04-09</w:t>
      </w:r>
      <w:r>
        <w:rPr>
          <w:sz w:val="20"/>
          <w:szCs w:val="20"/>
          <w:color w:val="auto"/>
        </w:rPr>
        <w:t xml:space="preserve"> </w:t>
      </w:r>
      <w:r>
        <w:rPr>
          <w:rFonts w:ascii="Arial" w:cs="Arial" w:eastAsia="Arial" w:hAnsi="Arial"/>
          <w:sz w:val="22"/>
          <w:szCs w:val="22"/>
          <w:color w:val="auto"/>
        </w:rPr>
        <w:t>First Sale Yet to Occur Amendment</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1380"/>
          </w:cols>
          <w:pgMar w:left="240" w:top="213" w:right="279" w:bottom="61" w:gutter="0" w:footer="0" w:header="0"/>
        </w:sectPr>
      </w:pPr>
    </w:p>
    <w:p>
      <w:pPr>
        <w:spacing w:after="0" w:line="247" w:lineRule="exact"/>
        <w:rPr>
          <w:sz w:val="20"/>
          <w:szCs w:val="20"/>
          <w:color w:val="auto"/>
        </w:rPr>
      </w:pPr>
    </w:p>
    <w:p>
      <w:pPr>
        <w:ind w:left="260" w:right="4740" w:hanging="211"/>
        <w:spacing w:after="0" w:line="326" w:lineRule="auto"/>
        <w:tabs>
          <w:tab w:leader="none" w:pos="260" w:val="left"/>
        </w:tabs>
        <w:numPr>
          <w:ilvl w:val="0"/>
          <w:numId w:val="2"/>
        </w:numPr>
        <w:rPr>
          <w:rFonts w:ascii="Arial" w:cs="Arial" w:eastAsia="Arial" w:hAnsi="Arial"/>
          <w:sz w:val="19"/>
          <w:szCs w:val="19"/>
          <w:color w:val="auto"/>
        </w:rPr>
      </w:pPr>
      <w:r>
        <w:rPr>
          <w:rFonts w:ascii="Arial" w:cs="Arial" w:eastAsia="Arial" w:hAnsi="Arial"/>
          <w:sz w:val="19"/>
          <w:szCs w:val="19"/>
          <w:color w:val="auto"/>
        </w:rPr>
        <w:t>Equity Debt</w:t>
      </w: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Pooled Investment Fund Interests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Tenant-in-Common Securities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Mineral Property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pacing w:after="0" w:line="166" w:lineRule="exact"/>
        <w:rPr>
          <w:sz w:val="20"/>
          <w:szCs w:val="20"/>
          <w:color w:val="auto"/>
        </w:rPr>
      </w:pPr>
    </w:p>
    <w:p>
      <w:pPr>
        <w:ind w:right="80"/>
        <w:spacing w:after="0" w:line="328" w:lineRule="auto"/>
        <w:rPr>
          <w:sz w:val="20"/>
          <w:szCs w:val="20"/>
          <w:color w:val="auto"/>
        </w:rPr>
      </w:pPr>
      <w:r>
        <w:rPr>
          <w:rFonts w:ascii="Arial" w:cs="Arial" w:eastAsia="Arial" w:hAnsi="Arial"/>
          <w:sz w:val="19"/>
          <w:szCs w:val="19"/>
          <w:color w:val="auto"/>
        </w:rPr>
        <w:t>Sale and issuance of Series C preferred stock and the underlying shares of common stock issuable upon conversion thereof.</w:t>
      </w:r>
    </w:p>
    <w:p>
      <w:pPr>
        <w:spacing w:after="0" w:line="146" w:lineRule="exact"/>
        <w:rPr>
          <w:sz w:val="20"/>
          <w:szCs w:val="20"/>
          <w:color w:val="auto"/>
        </w:rPr>
      </w:pPr>
    </w:p>
    <w:p>
      <w:pPr>
        <w:sectPr>
          <w:pgSz w:w="11900" w:h="16838" w:orient="portrait"/>
          <w:cols w:equalWidth="0" w:num="2">
            <w:col w:w="5580" w:space="160"/>
            <w:col w:w="5640"/>
          </w:cols>
          <w:pgMar w:left="240" w:top="213" w:right="279" w:bottom="61"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80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020" w:type="dxa"/>
            <w:vAlign w:val="bottom"/>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80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80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2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20" w:type="dxa"/>
            <w:vAlign w:val="bottom"/>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213" w:right="279" w:bottom="61"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jc w:val="right"/>
        <w:ind w:left="80" w:right="480"/>
        <w:spacing w:after="0" w:line="416" w:lineRule="auto"/>
        <w:rPr>
          <w:sz w:val="20"/>
          <w:szCs w:val="20"/>
          <w:color w:val="auto"/>
        </w:rPr>
      </w:pPr>
      <w:r>
        <w:rPr>
          <w:rFonts w:ascii="Arial" w:cs="Arial" w:eastAsia="Arial" w:hAnsi="Arial"/>
          <w:sz w:val="22"/>
          <w:szCs w:val="22"/>
          <w:color w:val="auto"/>
        </w:rPr>
        <w:t xml:space="preserve">(Associated) Broker or Dealer X None </w:t>
      </w:r>
      <w:r>
        <w:rPr>
          <w:rFonts w:ascii="Arial" w:cs="Arial" w:eastAsia="Arial" w:hAnsi="Arial"/>
          <w:sz w:val="22"/>
          <w:szCs w:val="22"/>
          <w:b w:val="1"/>
          <w:bCs w:val="1"/>
          <w:color w:val="auto"/>
        </w:rPr>
        <w:t>Street Address 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jc w:val="both"/>
        <w:ind w:left="80"/>
        <w:spacing w:after="0" w:line="247" w:lineRule="auto"/>
        <w:rPr>
          <w:sz w:val="20"/>
          <w:szCs w:val="20"/>
          <w:color w:val="auto"/>
        </w:rPr>
      </w:pPr>
      <w:r>
        <w:rPr>
          <w:rFonts w:ascii="Arial" w:cs="Arial" w:eastAsia="Arial" w:hAnsi="Arial"/>
          <w:sz w:val="22"/>
          <w:szCs w:val="22"/>
          <w:color w:val="auto"/>
        </w:rPr>
        <w:t>State(s) of Solicitation (select all that apply) Check â€œAll Statesâ€ or check individual States</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spacing w:after="0" w:line="251" w:lineRule="auto"/>
        <w:rPr>
          <w:sz w:val="20"/>
          <w:szCs w:val="20"/>
          <w:color w:val="auto"/>
        </w:rPr>
      </w:pPr>
      <w:r>
        <w:rPr>
          <w:rFonts w:ascii="Arial" w:cs="Arial" w:eastAsia="Arial" w:hAnsi="Arial"/>
          <w:sz w:val="22"/>
          <w:szCs w:val="22"/>
          <w:color w:val="auto"/>
        </w:rPr>
        <w:t>(Associated) Broker or Dealer CRD Number</w:t>
      </w:r>
    </w:p>
    <w:p>
      <w:pPr>
        <w:spacing w:after="0" w:line="46" w:lineRule="exact"/>
        <w:rPr>
          <w:sz w:val="20"/>
          <w:szCs w:val="20"/>
          <w:color w:val="auto"/>
        </w:rPr>
      </w:pPr>
    </w:p>
    <w:p>
      <w:pPr>
        <w:ind w:right="140" w:firstLine="1490"/>
        <w:spacing w:after="0" w:line="454" w:lineRule="auto"/>
        <w:rPr>
          <w:sz w:val="20"/>
          <w:szCs w:val="20"/>
          <w:color w:val="auto"/>
        </w:rPr>
      </w:pPr>
      <w:r>
        <w:rPr>
          <w:rFonts w:ascii="Arial" w:cs="Arial" w:eastAsia="Arial" w:hAnsi="Arial"/>
          <w:sz w:val="21"/>
          <w:szCs w:val="21"/>
          <w:b w:val="1"/>
          <w:bCs w:val="1"/>
          <w:color w:val="auto"/>
        </w:rPr>
        <w:t xml:space="preserve">Street Address 2 </w:t>
      </w:r>
      <w:r>
        <w:rPr>
          <w:rFonts w:ascii="Arial" w:cs="Arial" w:eastAsia="Arial" w:hAnsi="Arial"/>
          <w:sz w:val="21"/>
          <w:szCs w:val="21"/>
          <w:color w:val="auto"/>
        </w:rPr>
        <w:t>State/Province/Country</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559" w:lineRule="exact"/>
        <w:rPr>
          <w:sz w:val="20"/>
          <w:szCs w:val="20"/>
          <w:color w:val="auto"/>
        </w:rPr>
      </w:pPr>
    </w:p>
    <w:p>
      <w:pPr>
        <w:sectPr>
          <w:pgSz w:w="11900" w:h="16838" w:orient="portrait"/>
          <w:cols w:equalWidth="0" w:num="4">
            <w:col w:w="3960" w:space="580"/>
            <w:col w:w="520" w:space="400"/>
            <w:col w:w="3140" w:space="620"/>
            <w:col w:w="2160"/>
          </w:cols>
          <w:pgMar w:left="240" w:top="213" w:right="279" w:bottom="61"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320" w:type="dxa"/>
            <w:vAlign w:val="bottom"/>
          </w:tcPr>
          <w:p>
            <w:pPr>
              <w:jc w:val="right"/>
              <w:spacing w:after="0"/>
              <w:rPr>
                <w:sz w:val="20"/>
                <w:szCs w:val="20"/>
                <w:color w:val="auto"/>
              </w:rPr>
            </w:pPr>
            <w:r>
              <w:rPr>
                <w:rFonts w:ascii="Arial" w:cs="Arial" w:eastAsia="Arial" w:hAnsi="Arial"/>
                <w:sz w:val="22"/>
                <w:szCs w:val="22"/>
                <w:color w:val="auto"/>
              </w:rPr>
              <w:t>$50,000,001</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220" w:type="dxa"/>
            <w:vAlign w:val="bottom"/>
          </w:tcPr>
          <w:p>
            <w:pPr>
              <w:spacing w:after="0"/>
              <w:rPr>
                <w:sz w:val="20"/>
                <w:szCs w:val="20"/>
                <w:color w:val="auto"/>
              </w:rPr>
            </w:pPr>
            <w:r>
              <w:rPr>
                <w:rFonts w:ascii="Arial" w:cs="Arial" w:eastAsia="Arial" w:hAnsi="Arial"/>
                <w:sz w:val="22"/>
                <w:szCs w:val="22"/>
                <w:color w:val="auto"/>
              </w:rPr>
              <w:t>Total Amount Sold</w:t>
            </w:r>
          </w:p>
        </w:tc>
        <w:tc>
          <w:tcPr>
            <w:tcW w:w="1320" w:type="dxa"/>
            <w:vAlign w:val="bottom"/>
          </w:tcPr>
          <w:p>
            <w:pPr>
              <w:jc w:val="right"/>
              <w:spacing w:after="0"/>
              <w:rPr>
                <w:sz w:val="20"/>
                <w:szCs w:val="20"/>
                <w:color w:val="auto"/>
              </w:rPr>
            </w:pPr>
            <w:r>
              <w:rPr>
                <w:rFonts w:ascii="Arial" w:cs="Arial" w:eastAsia="Arial" w:hAnsi="Arial"/>
                <w:sz w:val="22"/>
                <w:szCs w:val="22"/>
                <w:color w:val="auto"/>
              </w:rPr>
              <w:t>$13,485,015</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3540" w:type="dxa"/>
            <w:vAlign w:val="bottom"/>
            <w:gridSpan w:val="2"/>
          </w:tcPr>
          <w:p>
            <w:pPr>
              <w:jc w:val="right"/>
              <w:spacing w:after="0"/>
              <w:rPr>
                <w:sz w:val="20"/>
                <w:szCs w:val="20"/>
                <w:color w:val="auto"/>
              </w:rPr>
            </w:pPr>
            <w:r>
              <w:rPr>
                <w:rFonts w:ascii="Arial" w:cs="Arial" w:eastAsia="Arial" w:hAnsi="Arial"/>
                <w:sz w:val="22"/>
                <w:szCs w:val="22"/>
                <w:color w:val="auto"/>
                <w:w w:val="88"/>
              </w:rPr>
              <w:t>Total Remaining to be Sold $36,514,986</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ectPr>
          <w:pgSz w:w="11900" w:h="16838" w:orient="portrait"/>
          <w:cols w:equalWidth="0" w:num="1">
            <w:col w:w="11380"/>
          </w:cols>
          <w:pgMar w:left="240" w:top="213" w:right="279" w:bottom="61" w:gutter="0" w:footer="0" w:header="0"/>
          <w:type w:val="continuous"/>
        </w:sectPr>
      </w:pPr>
    </w:p>
    <w:bookmarkStart w:id="4" w:name="page5"/>
    <w:bookmarkEnd w:id="4"/>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975" w:gutter="0" w:footer="0" w:header="0"/>
        </w:sect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975"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975"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4580" w:type="dxa"/>
            <w:vAlign w:val="bottom"/>
            <w:tcBorders>
              <w:top w:val="single" w:sz="8" w:color="2C2C2C"/>
              <w:bottom w:val="single" w:sz="8" w:color="808080"/>
            </w:tcBorders>
          </w:tcPr>
          <w:p>
            <w:pPr>
              <w:ind w:left="20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180" w:type="dxa"/>
            <w:vAlign w:val="bottom"/>
            <w:tcBorders>
              <w:top w:val="single" w:sz="8" w:color="2C2C2C"/>
              <w:bottom w:val="single" w:sz="8" w:color="808080"/>
            </w:tcBorders>
          </w:tcPr>
          <w:p>
            <w:pPr>
              <w:ind w:left="64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920" w:type="dxa"/>
            <w:vAlign w:val="bottom"/>
            <w:tcBorders>
              <w:top w:val="single" w:sz="8" w:color="2C2C2C"/>
              <w:bottom w:val="single" w:sz="8" w:color="808080"/>
            </w:tcBorders>
          </w:tcPr>
          <w:p>
            <w:pPr>
              <w:ind w:left="24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1120" w:type="dxa"/>
            <w:vAlign w:val="bottom"/>
            <w:tcBorders>
              <w:top w:val="single" w:sz="8" w:color="2C2C2C"/>
              <w:bottom w:val="single" w:sz="8" w:color="808080"/>
            </w:tcBorders>
          </w:tcPr>
          <w:p>
            <w:pPr>
              <w:ind w:left="34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40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NGM BIOPHARMACEUTICALS INC</w:t>
            </w:r>
          </w:p>
        </w:tc>
        <w:tc>
          <w:tcPr>
            <w:tcW w:w="20" w:type="dxa"/>
            <w:vAlign w:val="bottom"/>
          </w:tcPr>
          <w:p>
            <w:pPr>
              <w:spacing w:after="0"/>
              <w:rPr>
                <w:sz w:val="22"/>
                <w:szCs w:val="22"/>
                <w:color w:val="auto"/>
              </w:rPr>
            </w:pPr>
          </w:p>
        </w:tc>
        <w:tc>
          <w:tcPr>
            <w:tcW w:w="21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Barbara Kosacz</w:t>
            </w: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Barbara Kosacz</w:t>
            </w:r>
          </w:p>
        </w:tc>
        <w:tc>
          <w:tcPr>
            <w:tcW w:w="40" w:type="dxa"/>
            <w:vAlign w:val="bottom"/>
          </w:tcPr>
          <w:p>
            <w:pPr>
              <w:spacing w:after="0"/>
              <w:rPr>
                <w:sz w:val="22"/>
                <w:szCs w:val="22"/>
                <w:color w:val="auto"/>
              </w:rPr>
            </w:pPr>
          </w:p>
        </w:tc>
        <w:tc>
          <w:tcPr>
            <w:tcW w:w="11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Secretary</w:t>
            </w:r>
          </w:p>
        </w:tc>
        <w:tc>
          <w:tcPr>
            <w:tcW w:w="40" w:type="dxa"/>
            <w:vAlign w:val="bottom"/>
          </w:tcPr>
          <w:p>
            <w:pPr>
              <w:spacing w:after="0"/>
              <w:rPr>
                <w:sz w:val="22"/>
                <w:szCs w:val="22"/>
                <w:color w:val="auto"/>
              </w:rPr>
            </w:pPr>
          </w:p>
        </w:tc>
        <w:tc>
          <w:tcPr>
            <w:tcW w:w="1400" w:type="dxa"/>
            <w:vAlign w:val="bottom"/>
            <w:tcBorders>
              <w:top w:val="single" w:sz="8" w:color="2C2C2C"/>
              <w:bottom w:val="single" w:sz="8" w:color="808080"/>
            </w:tcBorders>
          </w:tcPr>
          <w:p>
            <w:pPr>
              <w:jc w:val="right"/>
              <w:ind w:right="252"/>
              <w:spacing w:after="0"/>
              <w:rPr>
                <w:sz w:val="20"/>
                <w:szCs w:val="20"/>
                <w:color w:val="auto"/>
              </w:rPr>
            </w:pPr>
            <w:r>
              <w:rPr>
                <w:rFonts w:ascii="Arial" w:cs="Arial" w:eastAsia="Arial" w:hAnsi="Arial"/>
                <w:sz w:val="22"/>
                <w:szCs w:val="22"/>
                <w:color w:val="auto"/>
                <w:w w:val="90"/>
              </w:rPr>
              <w:t>2013-05-02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45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9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12"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2019-12-07T18:27:04Z</dcterms:created>
  <dcterms:modified xsi:type="dcterms:W3CDTF">2019-12-07T18:27:04Z</dcterms:modified>
</cp:coreProperties>
</file>