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231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231630"/>
                    </a:xfrm>
                    <a:prstGeom prst="rect">
                      <a:avLst/>
                    </a:prstGeom>
                    <a:noFill/>
                  </pic:spPr>
                </pic:pic>
              </a:graphicData>
            </a:graphic>
          </wp:anchor>
        </w:drawing>
      </w:r>
    </w:p>
    <w:p>
      <w:pPr>
        <w:spacing w:after="0" w:line="38" w:lineRule="exact"/>
        <w:rPr>
          <w:sz w:val="24"/>
          <w:szCs w:val="24"/>
          <w:color w:val="auto"/>
        </w:rPr>
      </w:pPr>
    </w:p>
    <w:p>
      <w:pPr>
        <w:sectPr>
          <w:pgSz w:w="11900" w:h="16863"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GOEDDEL DAVID V</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NGM BIOPHARMACEUTICALS INC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tcBorders>
              <w:top w:val="single" w:sz="8" w:color="0000EE"/>
            </w:tcBorders>
            <w:vMerge w:val="restart"/>
          </w:tcPr>
          <w:p>
            <w:pPr>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3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20" w:type="dxa"/>
            <w:vAlign w:val="bottom"/>
            <w:tcBorders>
              <w:top w:val="single" w:sz="8" w:color="0000EE"/>
            </w:tcBorders>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3420" w:type="dxa"/>
            <w:vAlign w:val="bottom"/>
            <w:tcBorders>
              <w:bottom w:val="single" w:sz="8" w:color="2C2C2C"/>
            </w:tcBorders>
          </w:tcPr>
          <w:p>
            <w:pPr>
              <w:spacing w:after="0"/>
              <w:rPr>
                <w:sz w:val="23"/>
                <w:szCs w:val="23"/>
                <w:color w:val="auto"/>
              </w:rPr>
            </w:pPr>
          </w:p>
        </w:tc>
        <w:tc>
          <w:tcPr>
            <w:tcW w:w="3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234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340" w:type="dxa"/>
            <w:vAlign w:val="bottom"/>
            <w:gridSpan w:val="3"/>
            <w:vMerge w:val="restart"/>
          </w:tcPr>
          <w:p>
            <w:pPr>
              <w:spacing w:after="0"/>
              <w:rPr>
                <w:sz w:val="20"/>
                <w:szCs w:val="20"/>
                <w:color w:val="auto"/>
              </w:rPr>
            </w:pPr>
            <w:r>
              <w:rPr>
                <w:rFonts w:ascii="Arial" w:cs="Arial" w:eastAsia="Arial" w:hAnsi="Arial"/>
                <w:sz w:val="17"/>
                <w:szCs w:val="17"/>
                <w:color w:val="0000FF"/>
              </w:rPr>
              <w:t>BUILDING D, SUITE DM-900</w:t>
            </w:r>
          </w:p>
        </w:tc>
        <w:tc>
          <w:tcPr>
            <w:tcW w:w="130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7"/>
                <w:szCs w:val="17"/>
                <w:color w:val="0000FF"/>
              </w:rPr>
              <w:t>01/12/2023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2340" w:type="dxa"/>
            <w:vAlign w:val="bottom"/>
            <w:gridSpan w:val="3"/>
            <w:vMerge w:val="continue"/>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63" w:orient="portrait"/>
          <w:cols w:equalWidth="0" w:num="2">
            <w:col w:w="7660" w:space="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820" w:type="dxa"/>
            <w:vAlign w:val="bottom"/>
            <w:tcBorders>
              <w:top w:val="single" w:sz="8" w:color="9A9A9A"/>
            </w:tcBorders>
          </w:tcPr>
          <w:p>
            <w:pPr>
              <w:spacing w:after="0"/>
              <w:rPr>
                <w:sz w:val="12"/>
                <w:szCs w:val="12"/>
                <w:color w:val="auto"/>
              </w:rPr>
            </w:pPr>
          </w:p>
        </w:tc>
        <w:tc>
          <w:tcPr>
            <w:tcW w:w="134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9"/>
          </w:tcPr>
          <w:p>
            <w:pPr>
              <w:ind w:left="8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1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2840" w:type="dxa"/>
            <w:vAlign w:val="bottom"/>
            <w:tcBorders>
              <w:bottom w:val="single" w:sz="8" w:color="2C2C2C"/>
            </w:tcBorders>
            <w:gridSpan w:val="8"/>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46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20" w:type="dxa"/>
            <w:vAlign w:val="bottom"/>
            <w:gridSpan w:val="7"/>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7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4"/>
                <w:szCs w:val="14"/>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28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9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20" w:type="dxa"/>
            <w:vAlign w:val="bottom"/>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vMerge w:val="restart"/>
          </w:tcPr>
          <w:p>
            <w:pPr>
              <w:ind w:left="520"/>
              <w:spacing w:after="0"/>
              <w:rPr>
                <w:sz w:val="20"/>
                <w:szCs w:val="20"/>
                <w:color w:val="auto"/>
              </w:rPr>
            </w:pPr>
            <w:r>
              <w:rPr>
                <w:rFonts w:ascii="Arial" w:cs="Arial" w:eastAsia="Arial" w:hAnsi="Arial"/>
                <w:sz w:val="17"/>
                <w:szCs w:val="17"/>
                <w:color w:val="0000FF"/>
                <w:w w:val="93"/>
              </w:rPr>
              <w:t>01/12/2023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vMerge w:val="restart"/>
          </w:tcPr>
          <w:p>
            <w:pPr>
              <w:ind w:left="160"/>
              <w:spacing w:after="0"/>
              <w:rPr>
                <w:sz w:val="20"/>
                <w:szCs w:val="20"/>
                <w:color w:val="auto"/>
              </w:rPr>
            </w:pPr>
            <w:r>
              <w:rPr>
                <w:rFonts w:ascii="Arial" w:cs="Arial" w:eastAsia="Arial" w:hAnsi="Arial"/>
                <w:sz w:val="13"/>
                <w:szCs w:val="13"/>
                <w:color w:val="0000FF"/>
              </w:rPr>
              <w:t>P</w:t>
            </w:r>
          </w:p>
        </w:tc>
        <w:tc>
          <w:tcPr>
            <w:tcW w:w="420" w:type="dxa"/>
            <w:vAlign w:val="bottom"/>
          </w:tcPr>
          <w:p>
            <w:pPr>
              <w:spacing w:after="0"/>
              <w:rPr>
                <w:sz w:val="22"/>
                <w:szCs w:val="22"/>
                <w:color w:val="auto"/>
              </w:rPr>
            </w:pPr>
          </w:p>
        </w:tc>
        <w:tc>
          <w:tcPr>
            <w:tcW w:w="740" w:type="dxa"/>
            <w:vAlign w:val="bottom"/>
            <w:vMerge w:val="restart"/>
          </w:tcPr>
          <w:p>
            <w:pPr>
              <w:ind w:left="180"/>
              <w:spacing w:after="0"/>
              <w:rPr>
                <w:sz w:val="20"/>
                <w:szCs w:val="20"/>
                <w:color w:val="auto"/>
              </w:rPr>
            </w:pPr>
            <w:r>
              <w:rPr>
                <w:rFonts w:ascii="Arial" w:cs="Arial" w:eastAsia="Arial" w:hAnsi="Arial"/>
                <w:sz w:val="17"/>
                <w:szCs w:val="17"/>
                <w:color w:val="0000FF"/>
              </w:rPr>
              <w:t>5,378</w:t>
            </w:r>
          </w:p>
        </w:tc>
        <w:tc>
          <w:tcPr>
            <w:tcW w:w="3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4.9466</w:t>
            </w:r>
            <w:r>
              <w:rPr>
                <w:rFonts w:ascii="Arial" w:cs="Arial" w:eastAsia="Arial" w:hAnsi="Arial"/>
                <w:sz w:val="22"/>
                <w:szCs w:val="22"/>
                <w:color w:val="008000"/>
                <w:w w:val="90"/>
                <w:vertAlign w:val="superscript"/>
              </w:rPr>
              <w:t>(1)</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1"/>
              </w:rPr>
              <w:t>694,920</w:t>
            </w:r>
          </w:p>
        </w:tc>
        <w:tc>
          <w:tcPr>
            <w:tcW w:w="340" w:type="dxa"/>
            <w:vAlign w:val="bottom"/>
          </w:tcPr>
          <w:p>
            <w:pPr>
              <w:spacing w:after="0"/>
              <w:rPr>
                <w:sz w:val="22"/>
                <w:szCs w:val="22"/>
                <w:color w:val="auto"/>
              </w:rPr>
            </w:pPr>
          </w:p>
        </w:tc>
        <w:tc>
          <w:tcPr>
            <w:tcW w:w="580" w:type="dxa"/>
            <w:vAlign w:val="bottom"/>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gridSpan w:val="2"/>
          </w:tcPr>
          <w:p>
            <w:pPr>
              <w:jc w:val="center"/>
              <w:ind w:right="20"/>
              <w:spacing w:after="0"/>
              <w:rPr>
                <w:sz w:val="20"/>
                <w:szCs w:val="20"/>
                <w:color w:val="auto"/>
              </w:rPr>
            </w:pPr>
            <w:r>
              <w:rPr>
                <w:rFonts w:ascii="Arial" w:cs="Arial" w:eastAsia="Arial" w:hAnsi="Arial"/>
                <w:sz w:val="17"/>
                <w:szCs w:val="17"/>
                <w:color w:val="0000FF"/>
                <w:w w:val="91"/>
              </w:rPr>
              <w:t>130,000</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jc w:val="center"/>
              <w:ind w:right="362"/>
              <w:spacing w:after="0"/>
              <w:rPr>
                <w:sz w:val="20"/>
                <w:szCs w:val="20"/>
                <w:color w:val="auto"/>
              </w:rPr>
            </w:pPr>
            <w:r>
              <w:rPr>
                <w:rFonts w:ascii="Arial" w:cs="Arial" w:eastAsia="Arial" w:hAnsi="Arial"/>
                <w:sz w:val="17"/>
                <w:szCs w:val="17"/>
                <w:color w:val="0000FF"/>
              </w:rPr>
              <w:t>D</w:t>
            </w:r>
          </w:p>
        </w:tc>
        <w:tc>
          <w:tcPr>
            <w:tcW w:w="3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0000FF"/>
                <w:w w:val="91"/>
              </w:rPr>
              <w:t>190,000</w:t>
            </w:r>
          </w:p>
        </w:tc>
        <w:tc>
          <w:tcPr>
            <w:tcW w:w="340" w:type="dxa"/>
            <w:vAlign w:val="bottom"/>
          </w:tcPr>
          <w:p>
            <w:pPr>
              <w:spacing w:after="0"/>
              <w:rPr>
                <w:sz w:val="22"/>
                <w:szCs w:val="22"/>
                <w:color w:val="auto"/>
              </w:rPr>
            </w:pPr>
          </w:p>
        </w:tc>
        <w:tc>
          <w:tcPr>
            <w:tcW w:w="580" w:type="dxa"/>
            <w:vAlign w:val="bottom"/>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2,650,177</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2"/>
              </w:rPr>
              <w:t>90,442</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1"/>
              </w:rPr>
              <w:t>11,103,333</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858,035</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968,990</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2,265,758</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Arial" w:cs="Arial" w:eastAsia="Arial" w:hAnsi="Arial"/>
                <w:sz w:val="17"/>
                <w:szCs w:val="17"/>
                <w:color w:val="0000FF"/>
                <w:w w:val="92"/>
              </w:rPr>
              <w:t>1,298,908</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100,000</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Arial" w:cs="Arial" w:eastAsia="Arial" w:hAnsi="Arial"/>
                <w:sz w:val="17"/>
                <w:szCs w:val="17"/>
                <w:color w:val="0000FF"/>
                <w:w w:val="91"/>
              </w:rPr>
              <w:t>100,000</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vMerge w:val="restart"/>
          </w:tcPr>
          <w:p>
            <w:pPr>
              <w:jc w:val="center"/>
              <w:ind w:right="362"/>
              <w:spacing w:after="0"/>
              <w:rPr>
                <w:sz w:val="20"/>
                <w:szCs w:val="20"/>
                <w:color w:val="auto"/>
              </w:rPr>
            </w:pPr>
            <w:r>
              <w:rPr>
                <w:rFonts w:ascii="Arial" w:cs="Arial" w:eastAsia="Arial" w:hAnsi="Arial"/>
                <w:sz w:val="17"/>
                <w:szCs w:val="17"/>
                <w:color w:val="0000FF"/>
              </w:rPr>
              <w:t>I</w:t>
            </w:r>
          </w:p>
        </w:tc>
        <w:tc>
          <w:tcPr>
            <w:tcW w:w="320" w:type="dxa"/>
            <w:vAlign w:val="bottom"/>
            <w:tcBorders>
              <w:top w:val="single" w:sz="8" w:color="2C2C2C"/>
            </w:tcBorders>
          </w:tcPr>
          <w:p>
            <w:pPr>
              <w:spacing w:after="0"/>
              <w:rPr>
                <w:sz w:val="20"/>
                <w:szCs w:val="20"/>
                <w:color w:val="auto"/>
              </w:rPr>
            </w:pPr>
            <w:r>
              <w:rPr>
                <w:rFonts w:ascii="Arial" w:cs="Arial" w:eastAsia="Arial" w:hAnsi="Arial"/>
                <w:sz w:val="17"/>
                <w:szCs w:val="17"/>
                <w:color w:val="0000FF"/>
                <w:w w:val="99"/>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40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3" w:orient="portrait"/>
          <w:cols w:equalWidth="0" w:num="1">
            <w:col w:w="11080"/>
          </w:cols>
          <w:pgMar w:left="460" w:top="225" w:right="359" w:bottom="0" w:gutter="0" w:footer="0" w:header="0"/>
          <w:type w:val="continuous"/>
        </w:sectPr>
      </w:pPr>
    </w:p>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63" w:orient="portrait"/>
          <w:cols w:equalWidth="0" w:num="1">
            <w:col w:w="11080"/>
          </w:cols>
          <w:pgMar w:left="460" w:top="225" w:right="359" w:bottom="0" w:gutter="0" w:footer="0" w:header="0"/>
          <w:type w:val="continuous"/>
        </w:sectPr>
      </w:pPr>
    </w:p>
    <w:bookmarkStart w:id="1" w:name="page2"/>
    <w:bookmarkEnd w:id="1"/>
    <w:p>
      <w:pPr>
        <w:jc w:val="both"/>
        <w:ind w:right="200" w:firstLine="7"/>
        <w:spacing w:after="0" w:line="250"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acquired in multiple transactions at prices ranging from $4.77 to $5.00, inclusive. The Reporting Persons undertake to provide to the Issuer or the staff of the Securities and Exchange Commission, upon request, full information regarding the number of shares acquired at each separate price within the ranges set forth in this footnote 1 to this Form 4.</w:t>
      </w:r>
    </w:p>
    <w:p>
      <w:pPr>
        <w:spacing w:after="0" w:line="25" w:lineRule="exact"/>
        <w:rPr>
          <w:rFonts w:ascii="Arial" w:cs="Arial" w:eastAsia="Arial" w:hAnsi="Arial"/>
          <w:sz w:val="13"/>
          <w:szCs w:val="13"/>
          <w:color w:val="008000"/>
        </w:rPr>
      </w:pPr>
    </w:p>
    <w:p>
      <w:pPr>
        <w:ind w:right="80"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"TCG Managing Members").</w:t>
      </w:r>
    </w:p>
    <w:p>
      <w:pPr>
        <w:spacing w:after="0" w:line="29" w:lineRule="exact"/>
        <w:rPr>
          <w:rFonts w:ascii="Arial" w:cs="Arial" w:eastAsia="Arial" w:hAnsi="Arial"/>
          <w:sz w:val="13"/>
          <w:szCs w:val="13"/>
          <w:color w:val="008000"/>
        </w:rPr>
      </w:pPr>
    </w:p>
    <w:p>
      <w:pPr>
        <w:ind w:right="480" w:firstLine="7"/>
        <w:spacing w:after="0" w:line="301" w:lineRule="auto"/>
        <w:tabs>
          <w:tab w:leader="none" w:pos="13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2) The TCG Managing Members may be deemed to share voting, investment and dispositive power with respect to such securities. TCG Opportunity III GP LP, TCG Opportunity III GP LLC and each of the TCG Managing Members disclaim beneficial ownership of these securities, except to the extent of their respective pecuniary interest in such securities.</w:t>
      </w:r>
    </w:p>
    <w:p>
      <w:pPr>
        <w:ind w:left="140" w:hanging="133"/>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David V. Goeddel and Alena Z. Goeddel 2004 Trust for which the Reporting Person and Alena Z. Goeddel serve as co-trustee.</w:t>
      </w:r>
    </w:p>
    <w:p>
      <w:pPr>
        <w:spacing w:after="0" w:line="50" w:lineRule="exact"/>
        <w:rPr>
          <w:rFonts w:ascii="Arial" w:cs="Arial" w:eastAsia="Arial" w:hAnsi="Arial"/>
          <w:sz w:val="13"/>
          <w:szCs w:val="13"/>
          <w:color w:val="008000"/>
        </w:rPr>
      </w:pPr>
    </w:p>
    <w:p>
      <w:pPr>
        <w:ind w:right="140"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 LP ("TCG IV LP"). The Column Group IV GP, LP ("TCG IV GP LP") is the general partner of TCG IV LP and may be deemed to have voting, investment and dispositive power with respect to these securities. TCG IV GP LLC ("TCG IV LLC") is the general partner of TCG IV GP LP and the ultimate general partner of TCG IV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00" w:firstLine="7"/>
        <w:spacing w:after="0" w:line="243"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IV-A, LP ("TCG IV-A LP"). TCG IV GP LP is the general partner of TCG IV-A LP and may be deemed to have voting, investment and dispositive power with respect to these securities. TCG IV LLC is the general partner of TCG IV GP LP and the ultimate general partner of TCG IV-A LP and may be deemed to have voting, investment and dispositive power with respect to these securities. The managing members of TCG IV LLC are the TCG Managing Members. The TCG Managing Members may be deemed to share voting, investment and dispositive power with respect to such securities. TCG IV GP LP, TCG IV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jc w:val="both"/>
        <w:ind w:right="20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LP").The Column Group GP, LP ("TCG GP") is the general partner of TCG LP and may be deemed to have voting, investment and dispositive power with respect to these securities. The managing partners of TCG GP are the Reporting Person, a member of the Issuer's board of directors and Peter Svennilson (collectively, the "TCG Managing Partners"). The TCG Managing Partners may be deemed to share voting, investment and dispositive power with respect to such securities. TCG GP and each of the TCG Managing Partners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0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00" w:firstLine="7"/>
        <w:spacing w:after="0" w:line="245"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TCG Managing Members. The TCG Managing Members may be deemed to share voting, investment and dispositive power with respect to such securities. TCG III GP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firstLine="7"/>
        <w:spacing w:after="0" w:line="281" w:lineRule="auto"/>
        <w:tabs>
          <w:tab w:leader="none" w:pos="20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 LP ("TCG II LP"). TCG II GP is the general partner of TCG II LP and may be deemed to have voting, investment and dispositive power with respect to these securities. The managing partners of TCG II GP are the TCG Managing Partners. The TCG Managing Partners may be deemed to share voting, investment and dispositive power with respect to such securities. TCG II GP and each of the TCG Managing Partners disclaim beneficial ownership of these securities, except to the extent of their respective pecuniary interest in such securities.</w:t>
      </w:r>
    </w:p>
    <w:p>
      <w:pPr>
        <w:spacing w:after="0" w:line="8" w:lineRule="exact"/>
        <w:rPr>
          <w:rFonts w:ascii="Arial" w:cs="Arial" w:eastAsia="Arial" w:hAnsi="Arial"/>
          <w:sz w:val="12"/>
          <w:szCs w:val="12"/>
          <w:color w:val="008000"/>
        </w:rPr>
      </w:pPr>
    </w:p>
    <w:p>
      <w:pPr>
        <w:ind w:right="80" w:firstLine="7"/>
        <w:spacing w:after="0" w:line="245" w:lineRule="auto"/>
        <w:tabs>
          <w:tab w:leader="none" w:pos="19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Ponoi Management, LLC ("Ponoi LLC") is the general partner of Ponoi LP and may be deemed to have voting, investment and dispositive power with respect to these securities. The managing members of Ponoi LLC are the TCG Managing Members. The TCG Managing Members may be deemed to share voting, investment and dispositive power with respect to such securities. Ponoi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40" w:firstLine="7"/>
        <w:spacing w:after="0" w:line="245"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Ponoi II Management, LLC ("Ponoi II LLC") is the general partner of Ponoi II LP and may be deemed to have voting, investment and dispositive power with respect to these securities. The managing members of Ponoi II LLC are the TCG Managing Members. The TCG Managing Members may be deemed to share voting, investment and dispositive power with respect to such securities. Ponoi II LLC and each of the TCG Managing Members disclaim beneficial ownership of these securities, except to the extent of their respective pecuniary interest in such securities.</w:t>
      </w:r>
    </w:p>
    <w:p>
      <w:pPr>
        <w:spacing w:after="0" w:line="29" w:lineRule="exact"/>
        <w:rPr>
          <w:rFonts w:ascii="Arial" w:cs="Arial" w:eastAsia="Arial" w:hAnsi="Arial"/>
          <w:sz w:val="13"/>
          <w:szCs w:val="13"/>
          <w:color w:val="008000"/>
        </w:rPr>
      </w:pPr>
    </w:p>
    <w:p>
      <w:pPr>
        <w:ind w:right="16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GP. The managing members of TCG GP are the TCG Managing Partners. The TCG Managing Partners may be deemed to share voting, investment and dispositive power with respect to such securities. Each of the TCG Managing Partners disclaim beneficial ownership of these securities, except to the extent of their respective pecuniary interest in such securities.</w:t>
      </w:r>
    </w:p>
    <w:p>
      <w:pPr>
        <w:spacing w:after="0" w:line="25" w:lineRule="exact"/>
        <w:rPr>
          <w:rFonts w:ascii="Arial" w:cs="Arial" w:eastAsia="Arial" w:hAnsi="Arial"/>
          <w:sz w:val="13"/>
          <w:szCs w:val="13"/>
          <w:color w:val="008000"/>
        </w:rPr>
      </w:pPr>
    </w:p>
    <w:p>
      <w:pPr>
        <w:ind w:right="100" w:firstLine="7"/>
        <w:spacing w:after="0" w:line="250" w:lineRule="auto"/>
        <w:tabs>
          <w:tab w:leader="none" w:pos="20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Management LP ("TCGM LP"). The managing partners of TCGM LP are the TCG Managing Members. The TCG Managing Members may be deemed to share voting, investment and dispositive power with respect to such securities. Each of the TCG Managing Members disclaim beneficial ownership of these securities, except to the extent of their respective pecuniary interest in such securities.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James Evangelista,</w:t>
            </w:r>
          </w:p>
        </w:tc>
        <w:tc>
          <w:tcPr>
            <w:tcW w:w="5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01/17/2023</w:t>
            </w:r>
          </w:p>
        </w:tc>
        <w:tc>
          <w:tcPr>
            <w:tcW w:w="0" w:type="dxa"/>
            <w:vAlign w:val="bottom"/>
          </w:tcPr>
          <w:p>
            <w:pPr>
              <w:spacing w:after="0"/>
              <w:rPr>
                <w:sz w:val="1"/>
                <w:szCs w:val="1"/>
                <w:color w:val="auto"/>
              </w:rPr>
            </w:pPr>
          </w:p>
        </w:tc>
      </w:tr>
      <w:tr>
        <w:trPr>
          <w:trHeight w:val="87"/>
        </w:trPr>
        <w:tc>
          <w:tcPr>
            <w:tcW w:w="114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Attorney-in-fact</w:t>
            </w:r>
          </w:p>
        </w:tc>
        <w:tc>
          <w:tcPr>
            <w:tcW w:w="94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40" w:type="dxa"/>
            <w:vAlign w:val="bottom"/>
            <w:tcBorders>
              <w:bottom w:val="single" w:sz="8" w:color="auto"/>
            </w:tcBorders>
            <w:vMerge w:val="continue"/>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4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2023-01-17T15:35:10Z</dcterms:created>
  <dcterms:modified xsi:type="dcterms:W3CDTF">2023-01-17T15:35:10Z</dcterms:modified>
</cp:coreProperties>
</file>