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GOEDDEL DAVID 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DRIVE</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D, SUITE DM-900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NGM BIOPHARMACEUTICALS INC</w:t>
              </w:r>
            </w:hyperlink>
            <w:r>
              <w:rPr/>
              <w:t xml:space="preserve"> [ </w:t>
            </w:r>
            <w:r>
              <w:rPr>
                <w:rFonts w:ascii="Times;serif" w:hAnsi="Times;serif"/>
                <w:color w:val="0000FF"/>
                <w:sz w:val="24"/>
                <w:shd w:fill="FFFFFF" w:val="clear"/>
              </w:rPr>
              <w:t>NGM</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11/15/2023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3"/>
        <w:gridCol w:w="900"/>
        <w:gridCol w:w="772"/>
        <w:gridCol w:w="597"/>
        <w:gridCol w:w="336"/>
        <w:gridCol w:w="897"/>
        <w:gridCol w:w="420"/>
        <w:gridCol w:w="876"/>
        <w:gridCol w:w="1327"/>
        <w:gridCol w:w="955"/>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11/15/2023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0.7054</w:t>
            </w:r>
            <w:r>
              <w:rPr>
                <w:rFonts w:ascii="Times;serif" w:hAnsi="Times;serif"/>
                <w:color w:val="008000"/>
                <w:position w:val="7"/>
                <w:sz w:val="16"/>
                <w:sz w:val="20"/>
                <w:shd w:fill="FFFFFF" w:val="clear"/>
              </w:rPr>
              <w:t>(1)</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132,720</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11/15/2023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16,791</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0.7075</w:t>
            </w:r>
            <w:r>
              <w:rPr>
                <w:rFonts w:ascii="Times;serif" w:hAnsi="Times;serif"/>
                <w:color w:val="008000"/>
                <w:position w:val="7"/>
                <w:sz w:val="16"/>
                <w:sz w:val="20"/>
                <w:shd w:fill="FFFFFF" w:val="clear"/>
              </w:rPr>
              <w:t>(1)</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944,022</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11/16/2023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0.6211</w:t>
            </w:r>
            <w:r>
              <w:rPr>
                <w:rFonts w:ascii="Times;serif" w:hAnsi="Times;serif"/>
                <w:color w:val="008000"/>
                <w:position w:val="7"/>
                <w:sz w:val="16"/>
                <w:sz w:val="20"/>
                <w:shd w:fill="FFFFFF" w:val="clear"/>
              </w:rPr>
              <w:t>(4)</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134,180</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11/16/2023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5,840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0.6211</w:t>
            </w:r>
            <w:r>
              <w:rPr>
                <w:rFonts w:ascii="Times;serif" w:hAnsi="Times;serif"/>
                <w:color w:val="008000"/>
                <w:position w:val="7"/>
                <w:sz w:val="16"/>
                <w:sz w:val="20"/>
                <w:shd w:fill="FFFFFF" w:val="clear"/>
              </w:rPr>
              <w:t>(4)</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949,862</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190,000</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2,650,177</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90,442</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11,103,333</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858,035</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968,990</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(10)</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2,265,758</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(11)</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1,298,908</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(12)</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1,298,908</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(13)</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(14)</w:t>
            </w:r>
            <w:r>
              <w:rPr/>
              <w:t xml:space="preserve"> </w:t>
            </w:r>
          </w:p>
        </w:tc>
      </w:tr>
      <w:tr>
        <w:trPr/>
        <w:tc>
          <w:tcPr>
            <w:tcW w:w="20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acquired in multiple transactions at prices ranging from $0.681 to $0.7201,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acquired in multiple transactions at prices ranging from $0.6198 to $0.6221, inclusive. The Reporting Persons undertake to provide to the Issuer or the staff of the Securities and Exchange Commission, upon request, full information regarding the number of shares acquired at each separate price within the ranges set forth in this footnote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securities are directly held by the David V. Goeddel and Alena Z. Goeddel 2004 Trust and the Alena Z. Goeddel Irrevocable Trust for which the Reporting Person and Alena Z. Goeddel serve as co-trustee.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securities are directly held by The Column Group, LP ("TCG LP").The Column Group GP, LP ("TCG GP") is the general partner of TCG LP and may be deemed to have voting, investment and dispositive power with respect to these securities. The managing partners of TCG GP are the Reporting Person,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Evangelista,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82464" TargetMode="External"/><Relationship Id="rId4" Type="http://schemas.openxmlformats.org/officeDocument/2006/relationships/hyperlink" Target="http://www.sec.gov/cgi-bin/browse-edgar?action=getcompany&amp;CIK=000142633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2074</Words>
  <Characters>10700</Characters>
  <CharactersWithSpaces>12644</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