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2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282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756"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GOEDDEL DAVID V</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0000FF"/>
              </w:rPr>
              <w:t>C/O COLUMN GROUP LP</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1700 OWENS STREET, SUITE 500</w:t>
            </w: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06/24/2019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756"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6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6"/>
          </w:tcPr>
          <w:p>
            <w:pPr>
              <w:ind w:left="28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gridSpan w:val="2"/>
          </w:tcPr>
          <w:p>
            <w:pPr>
              <w:spacing w:after="0"/>
              <w:rPr>
                <w:sz w:val="11"/>
                <w:szCs w:val="11"/>
                <w:color w:val="auto"/>
              </w:rPr>
            </w:pPr>
          </w:p>
        </w:tc>
        <w:tc>
          <w:tcPr>
            <w:tcW w:w="290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Arial" w:cs="Arial" w:eastAsia="Arial" w:hAnsi="Arial"/>
                <w:sz w:val="18"/>
                <w:szCs w:val="18"/>
                <w:color w:val="0000FF"/>
              </w:rPr>
              <w:t>06/24/2019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Pr>
          <w:p>
            <w:pPr>
              <w:ind w:left="180"/>
              <w:spacing w:after="0"/>
              <w:rPr>
                <w:sz w:val="20"/>
                <w:szCs w:val="20"/>
                <w:color w:val="auto"/>
              </w:rPr>
            </w:pPr>
            <w:r>
              <w:rPr>
                <w:rFonts w:ascii="Arial" w:cs="Arial" w:eastAsia="Arial" w:hAnsi="Arial"/>
                <w:sz w:val="18"/>
                <w:szCs w:val="18"/>
                <w:color w:val="0000FF"/>
                <w:w w:val="82"/>
              </w:rPr>
              <w:t>12,240</w:t>
            </w:r>
            <w:r>
              <w:rPr>
                <w:rFonts w:ascii="Arial" w:cs="Arial" w:eastAsia="Arial" w:hAnsi="Arial"/>
                <w:sz w:val="22"/>
                <w:szCs w:val="22"/>
                <w:color w:val="008000"/>
                <w:w w:val="82"/>
                <w:vertAlign w:val="superscript"/>
              </w:rPr>
              <w:t>(1)</w:t>
            </w:r>
          </w:p>
        </w:tc>
        <w:tc>
          <w:tcPr>
            <w:tcW w:w="620" w:type="dxa"/>
            <w:vAlign w:val="bottom"/>
          </w:tcPr>
          <w:p>
            <w:pPr>
              <w:ind w:left="260"/>
              <w:spacing w:after="0"/>
              <w:rPr>
                <w:sz w:val="20"/>
                <w:szCs w:val="20"/>
                <w:color w:val="auto"/>
              </w:rPr>
            </w:pPr>
            <w:r>
              <w:rPr>
                <w:rFonts w:ascii="Arial" w:cs="Arial" w:eastAsia="Arial" w:hAnsi="Arial"/>
                <w:sz w:val="18"/>
                <w:szCs w:val="18"/>
                <w:color w:val="0000FF"/>
              </w:rPr>
              <w:t>A</w:t>
            </w:r>
          </w:p>
        </w:tc>
        <w:tc>
          <w:tcPr>
            <w:tcW w:w="74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13.7786</w:t>
            </w:r>
          </w:p>
        </w:tc>
        <w:tc>
          <w:tcPr>
            <w:tcW w:w="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0000FF"/>
                <w:w w:val="98"/>
              </w:rPr>
              <w:t>15,884,091</w:t>
            </w:r>
            <w:r>
              <w:rPr>
                <w:rFonts w:ascii="Arial" w:cs="Arial" w:eastAsia="Arial" w:hAnsi="Arial"/>
                <w:sz w:val="22"/>
                <w:szCs w:val="22"/>
                <w:color w:val="008000"/>
                <w:w w:val="98"/>
                <w:vertAlign w:val="superscript"/>
              </w:rPr>
              <w:t>(2)</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(3)(4)(5)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(6)(7)(8)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3"/>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gridSpan w:val="4"/>
          </w:tcPr>
          <w:p>
            <w:pPr>
              <w:ind w:left="60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4"/>
          </w:tcPr>
          <w:p>
            <w:pPr>
              <w:ind w:left="600"/>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Expiration</w:t>
            </w: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Title   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6,120 shares held directly by Ponoi Capital, LP ("Ponoi LP") and 6,120 shares held directly by Ponoi Capital II, LP ("Ponoi II LP").</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1,062,500 shares of Common Stock held directly by Ponoi LP, 1,062,500 shares of Common Stock held directly by Ponoi II LP and 190,000 shares held in trust for which David V. Goeddel and Alena Z. Goeddel serve as co-trustees. The Reporting Person disclaims beneficial ownership of the securities except to the extent of his pecuniary interest therein.</w:t>
      </w:r>
    </w:p>
    <w:p>
      <w:pPr>
        <w:spacing w:after="0" w:line="8" w:lineRule="exact"/>
        <w:rPr>
          <w:rFonts w:ascii="Arial" w:cs="Arial" w:eastAsia="Arial" w:hAnsi="Arial"/>
          <w:sz w:val="12"/>
          <w:szCs w:val="12"/>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tbl>
      <w:tblPr>
        <w:tblLayout w:type="fixed"/>
        <w:tblInd w:w="6860" w:type="dxa"/>
        <w:tblCellMar>
          <w:top w:w="0" w:type="dxa"/>
          <w:left w:w="0" w:type="dxa"/>
          <w:bottom w:w="0" w:type="dxa"/>
          <w:right w:w="0" w:type="dxa"/>
        </w:tblCellMar>
      </w:tblPr>
      <w:tr>
        <w:trPr>
          <w:trHeight w:val="199"/>
        </w:trPr>
        <w:tc>
          <w:tcPr>
            <w:tcW w:w="15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06/26/2019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2019-12-23T22:42:32Z</dcterms:created>
  <dcterms:modified xsi:type="dcterms:W3CDTF">2019-12-23T22:42:32Z</dcterms:modified>
</cp:coreProperties>
</file>