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8"/>
            <w:vMerge w:val="continue"/>
          </w:tcPr>
          <w:p>
            <w:pPr>
              <w:spacing w:after="0" w:line="20" w:lineRule="exact"/>
              <w:rPr>
                <w:sz w:val="1"/>
                <w:szCs w:val="1"/>
                <w:color w:val="auto"/>
              </w:rPr>
            </w:pPr>
          </w:p>
        </w:tc>
        <w:tc>
          <w:tcPr>
            <w:tcW w:w="322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22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8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01/30/2023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7,542</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4.9996</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750,501</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480"/>
              <w:spacing w:after="0"/>
              <w:rPr>
                <w:sz w:val="20"/>
                <w:szCs w:val="20"/>
                <w:color w:val="auto"/>
              </w:rPr>
            </w:pPr>
            <w:r>
              <w:rPr>
                <w:rFonts w:ascii="Times New Roman" w:cs="Times New Roman" w:eastAsia="Times New Roman" w:hAnsi="Times New Roman"/>
                <w:sz w:val="17"/>
                <w:szCs w:val="17"/>
                <w:color w:val="0000FF"/>
              </w:rPr>
              <w:t>01/31/2023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176,730</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4.9986</w:t>
            </w:r>
            <w:r>
              <w:rPr>
                <w:rFonts w:ascii="Times New Roman" w:cs="Times New Roman" w:eastAsia="Times New Roman" w:hAnsi="Times New Roman"/>
                <w:sz w:val="22"/>
                <w:szCs w:val="22"/>
                <w:color w:val="008000"/>
                <w:w w:val="98"/>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927,231</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ind w:left="4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0"/>
                <w:szCs w:val="10"/>
                <w:color w:val="auto"/>
              </w:rPr>
            </w:pPr>
          </w:p>
        </w:tc>
        <w:tc>
          <w:tcPr>
            <w:tcW w:w="1120" w:type="dxa"/>
            <w:vAlign w:val="bottom"/>
            <w:gridSpan w:val="3"/>
          </w:tcPr>
          <w:p>
            <w:pPr>
              <w:ind w:left="4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7"/>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3"/>
            <w:vMerge w:val="continue"/>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Svennilson Peter</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Ponoi Capital 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Ponoi II Management, LLC</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PONOI CAPITAL, LP</w:t>
        </w:r>
      </w:hyperlink>
    </w:p>
    <w:p>
      <w:pPr>
        <w:sectPr>
          <w:pgSz w:w="11900" w:h="16838" w:orient="portrait"/>
          <w:cols w:equalWidth="0" w:num="1">
            <w:col w:w="11080"/>
          </w:cols>
          <w:pgMar w:left="460" w:top="73" w:right="359" w:bottom="0" w:gutter="0" w:footer="0" w:header="0"/>
          <w:type w:val="continuous"/>
        </w:sectPr>
      </w:pPr>
    </w:p>
    <w:bookmarkStart w:id="2" w:name="page3"/>
    <w:bookmarkEnd w:id="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4"/>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4"/>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4"/>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1700 OWENS STREET, SUITE 500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Column Group II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$4.99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20" w:right="4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$4.995 to $5.00, inclusive. The Reporting Persons undertake to provide to the Issuer or the staff of the Securities and Exchange Commission, upon request, full information regarding the number of shares acquired at each separate price within the ranges set forth in this footnote 4 to this Form 4.</w:t>
      </w:r>
    </w:p>
    <w:p>
      <w:pPr>
        <w:sectPr>
          <w:pgSz w:w="11900" w:h="16910" w:orient="portrait"/>
          <w:cols w:equalWidth="0" w:num="1">
            <w:col w:w="10820"/>
          </w:cols>
          <w:pgMar w:left="480" w:top="300" w:right="599" w:bottom="0" w:gutter="0" w:footer="0" w:header="0"/>
        </w:sectPr>
      </w:pPr>
    </w:p>
    <w:bookmarkStart w:id="3" w:name="page4"/>
    <w:bookmarkEnd w:id="3"/>
    <w:p>
      <w:pPr>
        <w:ind w:right="14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0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2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80" w:firstLine="7"/>
        <w:spacing w:after="0" w:line="247"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1 of 3.</w:t>
      </w:r>
    </w:p>
    <w:p>
      <w:pPr>
        <w:sectPr>
          <w:pgSz w:w="11900" w:h="16838" w:orient="portrait"/>
          <w:cols w:equalWidth="0" w:num="1">
            <w:col w:w="10880"/>
          </w:cols>
          <w:pgMar w:left="500" w:top="153" w:right="519" w:bottom="70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2140"/>
          </w:cols>
          <w:pgMar w:left="500" w:top="153" w:right="519" w:bottom="70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53" w:right="519" w:bottom="7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06074" TargetMode="External"/><Relationship Id="rId17" Type="http://schemas.openxmlformats.org/officeDocument/2006/relationships/hyperlink" Target="http://www.sec.gov/cgi-bin/browse-edgar?action=getcompany&amp;CIK=0001614186" TargetMode="External"/><Relationship Id="rId18" Type="http://schemas.openxmlformats.org/officeDocument/2006/relationships/hyperlink" Target="http://www.sec.gov/cgi-bin/browse-edgar?action=getcompany&amp;CIK=0001732601" TargetMode="External"/><Relationship Id="rId19"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600420" TargetMode="External"/><Relationship Id="rId24" Type="http://schemas.openxmlformats.org/officeDocument/2006/relationships/hyperlink" Target="http://www.sec.gov/cgi-bin/browse-edgar?action=getcompany&amp;CIK=0001645340" TargetMode="External"/><Relationship Id="rId2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2023-02-01T17:11:42Z</dcterms:created>
  <dcterms:modified xsi:type="dcterms:W3CDTF">2023-02-01T17:11:42Z</dcterms:modified>
</cp:coreProperties>
</file>