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143"/>
        <w:gridCol w:w="1930"/>
        <w:gridCol w:w="6099"/>
        <w:gridCol w:w="2033"/>
      </w:tblGrid>
      <w:tr>
        <w:trPr/>
        <w:tc>
          <w:tcPr>
            <w:tcW w:w="2073"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6099"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33"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13"/>
            </w:tblGrid>
            <w:tr>
              <w:trPr/>
              <w:tc>
                <w:tcPr>
                  <w:tcW w:w="1913"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3"/>
                    <w:gridCol w:w="684"/>
                  </w:tblGrid>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57"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13"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28" w:type="dxa"/>
                <w:left w:w="28" w:type="dxa"/>
                <w:bottom w:w="28" w:type="dxa"/>
                <w:right w:w="28" w:type="dxa"/>
              </w:tblCellMar>
            </w:tblPr>
            <w:tblGrid>
              <w:gridCol w:w="1913"/>
            </w:tblGrid>
            <w:tr>
              <w:trPr/>
              <w:tc>
                <w:tcPr>
                  <w:tcW w:w="1913" w:type="dxa"/>
                  <w:tcBorders>
                    <w:top w:val="single" w:sz="6" w:space="0" w:color="808080"/>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pPr>
            <w:r>
              <w:rPr/>
            </w:r>
          </w:p>
        </w:tc>
      </w:tr>
      <w:tr>
        <w:trPr/>
        <w:tc>
          <w:tcPr>
            <w:tcW w:w="143"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099" w:type="dxa"/>
            <w:vMerge w:val="continue"/>
            <w:tcBorders/>
            <w:vAlign w:val="center"/>
          </w:tcPr>
          <w:p>
            <w:pPr>
              <w:pStyle w:val="Normal"/>
              <w:bidi w:val="0"/>
              <w:jc w:val="left"/>
              <w:rPr/>
            </w:pPr>
            <w:r>
              <w:rPr/>
            </w:r>
          </w:p>
        </w:tc>
        <w:tc>
          <w:tcPr>
            <w:tcW w:w="2033"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2">
                    <w:r>
                      <w:rPr>
                        <w:rStyle w:val="InternetLink"/>
                      </w:rPr>
                      <w:t>PERLMUTTER ROGER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NGM BIOPHARMACEUTICALS,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OYSTER POINT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NGM BIOPHARMACEUTICALS INC</w:t>
              </w:r>
            </w:hyperlink>
            <w:r>
              <w:rPr/>
              <w:t xml:space="preserve"> [ </w:t>
            </w:r>
            <w:r>
              <w:rPr>
                <w:rFonts w:ascii="Times;serif" w:hAnsi="Times;serif"/>
                <w:color w:val="0000FF"/>
                <w:sz w:val="24"/>
                <w:shd w:fill="FFFFFF" w:val="clear"/>
              </w:rPr>
              <w:t>NGM</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04/05/2024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3.69</w:t>
            </w: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78,407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05/09/2033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78,407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13.35</w:t>
            </w: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24,222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05/17/2032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17.24</w:t>
            </w: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46,238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06/07/2031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46,238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reports securities disposed of pursuant to the terms of the Agreement and Plan of Merger entered into by and among the Issuer, Atlas Neon Parent, Inc. ("Parent") and Atlas Neon Merger Sub, Inc., a wholly-owned subsidiary of Parent ("Purchaser"), dated as of February 24, 2024 (Merger Agreement), pursuant to which the Purchaser completed a tender offer for the shares of common stock of the Issuer and thereafter merged with and into the Issuer effective as of April 5, 2024 (the "Effective Time"). Pursuant to the terms of the Merger Agreement and Purchaser's offer to purchase, the shares of common stock were tendered to Purchaser in consideration for a per share price of $1.55 in cash, subject to applicable tax withholding and without interest (the "Offer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Merger Agreement, as of the Effective Time, the vesting of each outstanding unvested Stock Option that had a per share exercise price that was less than the Offer Price (an "In-the-Money Option") was accelerated, any applicable retention period for options that were repriced ended, and each outstanding In-the-Money Option (both vested and unvested) was canceled and the holder of such canceled Stock Option was entitled to receive an amount in cash, without interest and less any withholding of taxes, equal to the product of (i) the excess of the Offer Price over the applicable exercise price per share subject to such Stock Option multiplied by (ii) the total number of shares subject to such Stock Option. Each Stock Option that was not an In-the-Money Option (whether vested or unvested) was canceled as of the Effective Time for no consideration.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Valerie Pierce,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84228" TargetMode="External"/><Relationship Id="rId3" Type="http://schemas.openxmlformats.org/officeDocument/2006/relationships/hyperlink" Target="http://www.sec.gov/cgi-bin/browse-edgar?action=getcompany&amp;CIK=0001426332"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874</Words>
  <Characters>4683</Characters>
  <CharactersWithSpaces>5474</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