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62921N 10 5</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8, 2019</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t>SCHEDULE 13G</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CUSIP No. 62921N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1020" w:right="8260" w:hanging="620"/>
        <w:spacing w:after="0" w:line="308"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Merck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3" w:lineRule="exact"/>
        <w:rPr>
          <w:sz w:val="20"/>
          <w:szCs w:val="20"/>
          <w:color w:val="auto"/>
        </w:rPr>
      </w:pPr>
    </w:p>
    <w:p>
      <w:pPr>
        <w:ind w:left="1020" w:hanging="620"/>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28" w:lineRule="exact"/>
        <w:rPr>
          <w:rFonts w:ascii="Arial" w:cs="Arial" w:eastAsia="Arial" w:hAnsi="Arial"/>
          <w:sz w:val="17"/>
          <w:szCs w:val="17"/>
          <w:color w:val="auto"/>
        </w:rPr>
      </w:pPr>
    </w:p>
    <w:p>
      <w:pPr>
        <w:ind w:left="2180" w:hanging="1159"/>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80" w:hanging="1159"/>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48895</wp:posOffset>
            </wp:positionV>
            <wp:extent cx="587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-164465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62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48895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right="7700" w:hanging="62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40"/>
          </w:cols>
          <w:pgMar w:left="280" w:top="337" w:right="279" w:bottom="1440" w:gutter="0" w:footer="0" w:header="0"/>
        </w:sectPr>
      </w:pP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12,955,016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12,955,016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720"/>
            <w:col w:w="8620"/>
          </w:cols>
          <w:pgMar w:left="280" w:top="337" w:right="279" w:bottom="1440" w:gutter="0" w:footer="0" w:header="0"/>
          <w:type w:val="continuous"/>
        </w:sectPr>
      </w:pPr>
    </w:p>
    <w:p>
      <w:pPr>
        <w:spacing w:after="0" w:line="227" w:lineRule="exact"/>
        <w:rPr>
          <w:sz w:val="20"/>
          <w:szCs w:val="20"/>
          <w:color w:val="auto"/>
        </w:rPr>
      </w:pPr>
    </w:p>
    <w:p>
      <w:pPr>
        <w:ind w:left="1020" w:right="5520" w:hanging="620"/>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12,955,016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20" w:hanging="620"/>
        <w:spacing w:after="0"/>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20" w:hanging="620"/>
        <w:spacing w:after="0"/>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19.9%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20" w:hanging="620"/>
        <w:spacing w:after="0"/>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HC</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20" w:hanging="259"/>
        <w:spacing w:after="0" w:line="264" w:lineRule="auto"/>
        <w:rPr>
          <w:rFonts w:ascii="Arial" w:cs="Arial" w:eastAsia="Arial" w:hAnsi="Arial"/>
          <w:sz w:val="18"/>
          <w:szCs w:val="18"/>
          <w:color w:val="auto"/>
        </w:rPr>
      </w:pPr>
      <w:r>
        <w:rPr>
          <w:rFonts w:ascii="Arial" w:cs="Arial" w:eastAsia="Arial" w:hAnsi="Arial"/>
          <w:sz w:val="18"/>
          <w:szCs w:val="18"/>
          <w:color w:val="auto"/>
        </w:rPr>
        <w:t>* Based on 65,098,913 shares of the Issuer’s common stock outstanding immediately following the Issuer’s public offering, which includes the full exercise of the underwriters’ over-allotment option, as reported in the Issuer’s Prospectus filed pursuant to Rule 424(b)(4) with the Securities and Exchange Commission on April 4, 2019, which is part of the Issuer's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-715645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-1264285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-1813560</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-501015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37" w:right="279" w:bottom="1440" w:gutter="0" w:footer="0" w:header="0"/>
          <w:type w:val="continuous"/>
        </w:sectPr>
      </w:pPr>
    </w:p>
    <w:bookmarkStart w:id="2" w:name="page3"/>
    <w:bookmarkEnd w:id="2"/>
    <w:p>
      <w:pPr>
        <w:ind w:left="20"/>
        <w:spacing w:after="0"/>
        <w:rPr>
          <w:sz w:val="20"/>
          <w:szCs w:val="20"/>
          <w:color w:val="auto"/>
        </w:rPr>
      </w:pPr>
      <w:r>
        <w:rPr>
          <w:rFonts w:ascii="Arial" w:cs="Arial" w:eastAsia="Arial" w:hAnsi="Arial"/>
          <w:sz w:val="18"/>
          <w:szCs w:val="18"/>
          <w:color w:val="auto"/>
        </w:rPr>
        <w:t>CUSIP No. 62921N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20" w:right="8180" w:hanging="620"/>
        <w:spacing w:after="0" w:line="342"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Merck Sharp &amp; Dohme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20" w:hanging="620"/>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80" w:hanging="1159"/>
        <w:spacing w:after="0"/>
        <w:tabs>
          <w:tab w:leader="none" w:pos="2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80" w:hanging="1159"/>
        <w:spacing w:after="0"/>
        <w:tabs>
          <w:tab w:leader="none" w:pos="2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48895</wp:posOffset>
            </wp:positionV>
            <wp:extent cx="5874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-164465</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62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48895</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right="7700" w:hanging="620"/>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40"/>
          </w:cols>
          <w:pgMar w:left="280" w:top="395" w:right="279" w:bottom="1440" w:gutter="0" w:footer="0" w:header="0"/>
        </w:sectPr>
      </w:pP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12,955,016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12,955,016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720"/>
            <w:col w:w="8620"/>
          </w:cols>
          <w:pgMar w:left="280" w:top="395" w:right="279" w:bottom="1440" w:gutter="0" w:footer="0" w:header="0"/>
          <w:type w:val="continuous"/>
        </w:sectPr>
      </w:pPr>
    </w:p>
    <w:p>
      <w:pPr>
        <w:spacing w:after="0" w:line="227" w:lineRule="exact"/>
        <w:rPr>
          <w:sz w:val="20"/>
          <w:szCs w:val="20"/>
          <w:color w:val="auto"/>
        </w:rPr>
      </w:pPr>
    </w:p>
    <w:p>
      <w:pPr>
        <w:ind w:left="1020" w:right="5520" w:hanging="620"/>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12,955,016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20" w:hanging="620"/>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20" w:hanging="620"/>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19.9%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20" w:hanging="620"/>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20" w:hanging="259"/>
        <w:spacing w:after="0" w:line="264" w:lineRule="auto"/>
        <w:rPr>
          <w:rFonts w:ascii="Arial" w:cs="Arial" w:eastAsia="Arial" w:hAnsi="Arial"/>
          <w:sz w:val="18"/>
          <w:szCs w:val="18"/>
          <w:color w:val="auto"/>
        </w:rPr>
      </w:pPr>
      <w:r>
        <w:rPr>
          <w:rFonts w:ascii="Arial" w:cs="Arial" w:eastAsia="Arial" w:hAnsi="Arial"/>
          <w:sz w:val="18"/>
          <w:szCs w:val="18"/>
          <w:color w:val="auto"/>
        </w:rPr>
        <w:t>* Based on 65,098,913 shares of the Issuer’s common stock outstanding immediately following the Issuer’s public offering, which includes the full exercise of the underwriters’ over-allotment option, as reported in the Issuer’s Prospectus filed pursuant to Rule 424(b)(4) with the Securities and Exchange Commission on April 4, 2019, which is part of the Issuer's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-715645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-1264285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-1813560</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-501015</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95" w:right="2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NGM Biopharmaceuticals Inc.</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333 Oyster Point Boulevard, 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700" w:hanging="253"/>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Merck &amp; Co., Inc.</w:t>
      </w:r>
    </w:p>
    <w:p>
      <w:pPr>
        <w:spacing w:after="0" w:line="9" w:lineRule="exact"/>
        <w:rPr>
          <w:rFonts w:ascii="Arial" w:cs="Arial" w:eastAsia="Arial" w:hAnsi="Arial"/>
          <w:sz w:val="18"/>
          <w:szCs w:val="18"/>
          <w:color w:val="auto"/>
        </w:rPr>
      </w:pPr>
    </w:p>
    <w:p>
      <w:pPr>
        <w:ind w:left="1700" w:hanging="253"/>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Merck Sharp &amp; Dohme Corp.</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700" w:hanging="253"/>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Merck &amp; Co., Inc.: 2000 Galloping Hill Road, Kenilworth, NJ 07033</w:t>
      </w:r>
    </w:p>
    <w:p>
      <w:pPr>
        <w:spacing w:after="0" w:line="9" w:lineRule="exact"/>
        <w:rPr>
          <w:rFonts w:ascii="Arial" w:cs="Arial" w:eastAsia="Arial" w:hAnsi="Arial"/>
          <w:sz w:val="18"/>
          <w:szCs w:val="18"/>
          <w:color w:val="auto"/>
        </w:rPr>
      </w:pPr>
    </w:p>
    <w:p>
      <w:pPr>
        <w:ind w:left="1700" w:hanging="253"/>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Merck Sharp &amp; Dohme Corp.: One Merck Drive, Whitehouse Station, NJ 08889</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700" w:hanging="253"/>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Merck &amp; Co., Inc.: New Jersey</w:t>
      </w:r>
    </w:p>
    <w:p>
      <w:pPr>
        <w:spacing w:after="0" w:line="9" w:lineRule="exact"/>
        <w:rPr>
          <w:rFonts w:ascii="Arial" w:cs="Arial" w:eastAsia="Arial" w:hAnsi="Arial"/>
          <w:sz w:val="18"/>
          <w:szCs w:val="18"/>
          <w:color w:val="auto"/>
        </w:rPr>
      </w:pPr>
    </w:p>
    <w:p>
      <w:pPr>
        <w:ind w:left="1700" w:hanging="253"/>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Merck Sharp &amp; Dohme Corp.: New Jersey</w:t>
      </w:r>
    </w:p>
    <w:p>
      <w:pPr>
        <w:spacing w:after="0" w:line="116" w:lineRule="exact"/>
        <w:rPr>
          <w:rFonts w:ascii="Arial" w:cs="Arial" w:eastAsia="Arial" w:hAnsi="Arial"/>
          <w:sz w:val="18"/>
          <w:szCs w:val="18"/>
          <w:color w:val="auto"/>
        </w:rPr>
      </w:pPr>
    </w:p>
    <w:p>
      <w:pPr>
        <w:ind w:left="1440" w:right="7640" w:hanging="493"/>
        <w:spacing w:after="0" w:line="308" w:lineRule="auto"/>
        <w:tabs>
          <w:tab w:leader="none" w:pos="1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Title and Class of Securities: Common Stock</w:t>
      </w:r>
    </w:p>
    <w:p>
      <w:pPr>
        <w:spacing w:after="0" w:line="51" w:lineRule="exact"/>
        <w:rPr>
          <w:rFonts w:ascii="Arial" w:cs="Arial" w:eastAsia="Arial" w:hAnsi="Arial"/>
          <w:sz w:val="17"/>
          <w:szCs w:val="17"/>
          <w:color w:val="auto"/>
        </w:rPr>
      </w:pPr>
    </w:p>
    <w:p>
      <w:pPr>
        <w:ind w:left="1440" w:right="8720" w:hanging="493"/>
        <w:spacing w:after="0" w:line="277" w:lineRule="auto"/>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CUSIP No.: 62921N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-336550</wp:posOffset>
            </wp:positionV>
            <wp:extent cx="63290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-688340</wp:posOffset>
            </wp:positionV>
            <wp:extent cx="63290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-1176655</wp:posOffset>
            </wp:positionV>
            <wp:extent cx="63290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-1665605</wp:posOffset>
            </wp:positionV>
            <wp:extent cx="63290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6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Rule 240.13d-1(b)(1)(ii)(J);</w:t>
      </w:r>
    </w:p>
    <w:p>
      <w:pPr>
        <w:spacing w:after="0" w:line="16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Group, in accordance with Rule 240.13d-1(b)(1)(ii)(K). If filing as a non-U.S. institution in accordance with</w:t>
      </w:r>
    </w:p>
    <w:p>
      <w:pPr>
        <w:ind w:left="940"/>
        <w:spacing w:after="0" w:line="187" w:lineRule="auto"/>
        <w:tabs>
          <w:tab w:leader="none" w:pos="1420" w:val="left"/>
        </w:tabs>
        <w:rPr>
          <w:sz w:val="20"/>
          <w:szCs w:val="20"/>
          <w:color w:val="auto"/>
        </w:rPr>
      </w:pPr>
      <w:r>
        <w:rPr>
          <w:rFonts w:ascii="Arial" w:cs="Arial" w:eastAsia="Arial" w:hAnsi="Arial"/>
          <w:sz w:val="15"/>
          <w:szCs w:val="15"/>
          <w:color w:val="auto"/>
        </w:rPr>
        <w:t>(k)</w:t>
      </w:r>
      <w:r>
        <w:rPr>
          <w:sz w:val="20"/>
          <w:szCs w:val="20"/>
          <w:color w:val="auto"/>
        </w:rPr>
        <w:tab/>
      </w:r>
      <w:r>
        <w:rPr>
          <w:rFonts w:ascii="Arial" w:cs="Arial" w:eastAsia="Arial" w:hAnsi="Arial"/>
          <w:sz w:val="15"/>
          <w:szCs w:val="15"/>
          <w:color w:val="auto"/>
        </w:rPr>
        <w:t>o</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Rule 240.13d-1(b)(1)(ii)(J), please specify the type of institution:____________________________</w:t>
      </w: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391" w:right="399" w:bottom="1440" w:gutter="0" w:footer="0" w:header="0"/>
        </w:sectPr>
      </w:pPr>
    </w:p>
    <w:bookmarkStart w:id="4" w:name="page5"/>
    <w:bookmarkEnd w:id="4"/>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13" w:lineRule="auto"/>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 12,955,016</w:t>
      </w:r>
    </w:p>
    <w:p>
      <w:pPr>
        <w:ind w:left="1600" w:right="140"/>
        <w:spacing w:after="0" w:line="277" w:lineRule="auto"/>
        <w:rPr>
          <w:rFonts w:ascii="Arial" w:cs="Arial" w:eastAsia="Arial" w:hAnsi="Arial"/>
          <w:sz w:val="18"/>
          <w:szCs w:val="18"/>
          <w:color w:val="auto"/>
        </w:rPr>
      </w:pPr>
      <w:r>
        <w:rPr>
          <w:rFonts w:ascii="Arial" w:cs="Arial" w:eastAsia="Arial" w:hAnsi="Arial"/>
          <w:sz w:val="18"/>
          <w:szCs w:val="18"/>
          <w:color w:val="auto"/>
        </w:rPr>
        <w:t>The reported securities are owned directly by Merck Sharp &amp; Dohme Corp. (“MSD”), which is a wholly owned subsidiary of Merck &amp; Co., Inc. (“Merck”). MSD and Merck are indirect beneficial owners of the reported securities.</w:t>
      </w:r>
    </w:p>
    <w:p>
      <w:pPr>
        <w:spacing w:after="0" w:line="183" w:lineRule="exact"/>
        <w:rPr>
          <w:rFonts w:ascii="Arial" w:cs="Arial" w:eastAsia="Arial" w:hAnsi="Arial"/>
          <w:sz w:val="18"/>
          <w:szCs w:val="18"/>
          <w:color w:val="auto"/>
        </w:rPr>
      </w:pPr>
    </w:p>
    <w:p>
      <w:pPr>
        <w:ind w:left="1600" w:hanging="400"/>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19.9%</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00" w:hanging="453"/>
        <w:spacing w:after="0" w:line="340" w:lineRule="auto"/>
        <w:tabs>
          <w:tab w:leader="none" w:pos="2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20" w:hanging="478"/>
        <w:spacing w:after="0" w:line="340" w:lineRule="auto"/>
        <w:tabs>
          <w:tab w:leader="none" w:pos="2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260" w:hanging="503"/>
        <w:spacing w:after="0" w:line="340" w:lineRule="auto"/>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 See Cover Pages Items 5-9.</w:t>
      </w:r>
    </w:p>
    <w:p>
      <w:pPr>
        <w:spacing w:after="0" w:line="129" w:lineRule="exact"/>
        <w:rPr>
          <w:rFonts w:ascii="Arial" w:cs="Arial" w:eastAsia="Arial" w:hAnsi="Arial"/>
          <w:sz w:val="18"/>
          <w:szCs w:val="18"/>
          <w:color w:val="auto"/>
        </w:rPr>
      </w:pPr>
    </w:p>
    <w:p>
      <w:pPr>
        <w:ind w:left="2220" w:right="5120" w:hanging="498"/>
        <w:spacing w:after="0" w:line="340" w:lineRule="auto"/>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20" w:right="160"/>
        <w:spacing w:after="0" w:line="277" w:lineRule="auto"/>
        <w:rPr>
          <w:sz w:val="20"/>
          <w:szCs w:val="20"/>
          <w:color w:val="auto"/>
        </w:rPr>
      </w:pPr>
      <w:r>
        <w:rPr>
          <w:rFonts w:ascii="Arial" w:cs="Arial" w:eastAsia="Arial" w:hAnsi="Arial"/>
          <w:sz w:val="18"/>
          <w:szCs w:val="18"/>
          <w:color w:val="auto"/>
        </w:rPr>
        <w:t>The reported securities are owned directly by MSD, which is a wholly owned subsidiary of Merck. MSD and Merck are indirect beneficial owners of the reported securities.</w:t>
      </w:r>
    </w:p>
    <w:p>
      <w:pPr>
        <w:spacing w:after="0" w:line="3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sectPr>
      </w:pPr>
    </w:p>
    <w:bookmarkStart w:id="5" w:name="page6"/>
    <w:bookmarkEnd w:id="5"/>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60" w:right="1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9,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MERCK SHARP &amp; DOHME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Faye C. Brown</w:t>
            </w:r>
          </w:p>
        </w:tc>
        <w:tc>
          <w:tcPr>
            <w:tcW w:w="40" w:type="dxa"/>
            <w:vAlign w:val="bottom"/>
          </w:tcPr>
          <w:p>
            <w:pPr>
              <w:spacing w:after="0"/>
              <w:rPr>
                <w:sz w:val="20"/>
                <w:szCs w:val="20"/>
                <w:color w:val="auto"/>
              </w:rPr>
            </w:pPr>
          </w:p>
        </w:tc>
      </w:tr>
      <w:tr>
        <w:trPr>
          <w:trHeight w:val="195"/>
        </w:trPr>
        <w:tc>
          <w:tcPr>
            <w:tcW w:w="65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Faye C. Brown</w:t>
            </w:r>
          </w:p>
        </w:tc>
        <w:tc>
          <w:tcPr>
            <w:tcW w:w="40" w:type="dxa"/>
            <w:vAlign w:val="bottom"/>
          </w:tcPr>
          <w:p>
            <w:pPr>
              <w:spacing w:after="0"/>
              <w:rPr>
                <w:sz w:val="16"/>
                <w:szCs w:val="16"/>
                <w:color w:val="auto"/>
              </w:rPr>
            </w:pPr>
          </w:p>
        </w:tc>
      </w:t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Assistant Secretary</w:t>
            </w:r>
          </w:p>
        </w:tc>
        <w:tc>
          <w:tcPr>
            <w:tcW w:w="40" w:type="dxa"/>
            <w:vAlign w:val="bottom"/>
          </w:tcPr>
          <w:p>
            <w:pPr>
              <w:spacing w:after="0"/>
              <w:rPr>
                <w:sz w:val="20"/>
                <w:szCs w:val="20"/>
                <w:color w:val="auto"/>
              </w:rPr>
            </w:pP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MERCK &amp; CO., INC.</w:t>
            </w:r>
          </w:p>
        </w:tc>
        <w:tc>
          <w:tcPr>
            <w:tcW w:w="40" w:type="dxa"/>
            <w:vAlign w:val="bottom"/>
          </w:tcPr>
          <w:p>
            <w:pPr>
              <w:spacing w:after="0"/>
              <w:rPr>
                <w:sz w:val="24"/>
                <w:szCs w:val="24"/>
                <w:color w:val="auto"/>
              </w:rPr>
            </w:pPr>
          </w:p>
        </w:tc>
      </w:tr>
      <w:tr>
        <w:trPr>
          <w:trHeight w:val="432"/>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Faye C. Brown</w:t>
            </w:r>
          </w:p>
        </w:tc>
        <w:tc>
          <w:tcPr>
            <w:tcW w:w="40" w:type="dxa"/>
            <w:vAlign w:val="bottom"/>
          </w:tcPr>
          <w:p>
            <w:pPr>
              <w:spacing w:after="0"/>
              <w:rPr>
                <w:sz w:val="24"/>
                <w:szCs w:val="24"/>
                <w:color w:val="auto"/>
              </w:rPr>
            </w:pPr>
          </w:p>
        </w:tc>
      </w:tr>
      <w:tr>
        <w:trPr>
          <w:trHeight w:val="195"/>
        </w:trPr>
        <w:tc>
          <w:tcPr>
            <w:tcW w:w="65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Faye C. Brown</w:t>
            </w:r>
          </w:p>
        </w:tc>
        <w:tc>
          <w:tcPr>
            <w:tcW w:w="40" w:type="dxa"/>
            <w:vAlign w:val="bottom"/>
          </w:tcPr>
          <w:p>
            <w:pPr>
              <w:spacing w:after="0"/>
              <w:rPr>
                <w:sz w:val="16"/>
                <w:szCs w:val="16"/>
                <w:color w:val="auto"/>
              </w:rPr>
            </w:pPr>
          </w:p>
        </w:tc>
      </w:t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Senior Assistant Secretary</w:t>
            </w:r>
          </w:p>
        </w:tc>
        <w:tc>
          <w:tcPr>
            <w:tcW w:w="40" w:type="dxa"/>
            <w:vAlign w:val="bottom"/>
          </w:tcPr>
          <w:p>
            <w:pPr>
              <w:spacing w:after="0"/>
              <w:rPr>
                <w:sz w:val="20"/>
                <w:szCs w:val="20"/>
                <w:color w:val="auto"/>
              </w:rPr>
            </w:pPr>
          </w:p>
        </w:tc>
      </w:tr>
      <w:tr>
        <w:trPr>
          <w:trHeight w:val="432"/>
        </w:trPr>
        <w:tc>
          <w:tcPr>
            <w:tcW w:w="6500" w:type="dxa"/>
            <w:vAlign w:val="bottom"/>
          </w:tcPr>
          <w:p>
            <w:pPr>
              <w:ind w:left="5660"/>
              <w:spacing w:after="0"/>
              <w:rPr>
                <w:sz w:val="20"/>
                <w:szCs w:val="20"/>
                <w:color w:val="auto"/>
              </w:rPr>
            </w:pPr>
            <w:r>
              <w:rPr>
                <w:rFonts w:ascii="Arial" w:cs="Arial" w:eastAsia="Arial" w:hAnsi="Arial"/>
                <w:sz w:val="18"/>
                <w:szCs w:val="18"/>
                <w:color w:val="auto"/>
              </w:rPr>
              <w:t>6</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0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9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2"/>
      <w:numFmt w:val="bullet"/>
      <w:start w:val="1"/>
    </w:lvl>
    <w:lvl w:ilvl="1">
      <w:lvlJc w:val="left"/>
      <w:lvlText w:val="(%2)"/>
      <w:numFmt w:val="lowerLetter"/>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4"/>
      <w:numFmt w:val="bullet"/>
      <w:start w:val="1"/>
    </w:lvl>
  </w:abstractNum>
  <w:abstractNum w:abstractNumId="5">
    <w:nsid w:val="3352255A"/>
    <w:multiLevelType w:val="hybridMultilevel"/>
    <w:lvl w:ilvl="0">
      <w:lvlJc w:val="left"/>
      <w:lvlText w:val="9"/>
      <w:numFmt w:val="bullet"/>
      <w:start w:val="1"/>
    </w:lvl>
  </w:abstractNum>
  <w:abstractNum w:abstractNumId="6">
    <w:nsid w:val="109CF92E"/>
    <w:multiLevelType w:val="hybridMultilevel"/>
    <w:lvl w:ilvl="0">
      <w:lvlJc w:val="left"/>
      <w:lvlText w:val="*"/>
      <w:numFmt w:val="bullet"/>
      <w:start w:val="1"/>
    </w:lvl>
    <w:lvl w:ilvl="1">
      <w:lvlJc w:val="left"/>
      <w:lvlText w:val="%2"/>
      <w:numFmt w:val="decimal"/>
      <w:start w:val="10"/>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2"/>
      <w:numFmt w:val="bullet"/>
      <w:start w:val="1"/>
    </w:lvl>
    <w:lvl w:ilvl="1">
      <w:lvlJc w:val="left"/>
      <w:lvlText w:val="(%2)"/>
      <w:numFmt w:val="lowerLetter"/>
      <w:start w:val="1"/>
    </w:lvl>
  </w:abstractNum>
  <w:abstractNum w:abstractNumId="9">
    <w:nsid w:val="1BEFD79F"/>
    <w:multiLevelType w:val="hybridMultilevel"/>
    <w:lvl w:ilvl="0">
      <w:lvlJc w:val="left"/>
      <w:lvlText w:val="3"/>
      <w:numFmt w:val="bullet"/>
      <w:start w:val="1"/>
    </w:lvl>
  </w:abstractNum>
  <w:abstractNum w:abstractNumId="10">
    <w:nsid w:val="41A7C4C9"/>
    <w:multiLevelType w:val="hybridMultilevel"/>
    <w:lvl w:ilvl="0">
      <w:lvlJc w:val="left"/>
      <w:lvlText w:val="4"/>
      <w:numFmt w:val="bullet"/>
      <w:start w:val="1"/>
    </w:lvl>
  </w:abstractNum>
  <w:abstractNum w:abstractNumId="11">
    <w:nsid w:val="6B68079A"/>
    <w:multiLevelType w:val="hybridMultilevel"/>
    <w:lvl w:ilvl="0">
      <w:lvlJc w:val="left"/>
      <w:lvlText w:val="9"/>
      <w:numFmt w:val="bullet"/>
      <w:start w:val="1"/>
    </w:lvl>
  </w:abstractNum>
  <w:abstractNum w:abstractNumId="12">
    <w:nsid w:val="4E6AFB66"/>
    <w:multiLevelType w:val="hybridMultilevel"/>
    <w:lvl w:ilvl="0">
      <w:lvlJc w:val="left"/>
      <w:lvlText w:val="*"/>
      <w:numFmt w:val="bullet"/>
      <w:start w:val="1"/>
    </w:lvl>
    <w:lvl w:ilvl="1">
      <w:lvlJc w:val="left"/>
      <w:lvlText w:val="%2"/>
      <w:numFmt w:val="decimal"/>
      <w:start w:val="10"/>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lvl w:ilvl="1">
      <w:lvlJc w:val="left"/>
      <w:lvlText w:val="(%2)"/>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Roman"/>
      <w:start w:val="1"/>
    </w:lvl>
  </w:abstractNum>
  <w:abstractNum w:abstractNumId="18">
    <w:nsid w:val="257130A3"/>
    <w:multiLevelType w:val="hybridMultilevel"/>
    <w:lvl w:ilvl="0">
      <w:lvlJc w:val="left"/>
      <w:lvlText w:val="(%1)"/>
      <w:numFmt w:val="lowerRoman"/>
      <w:start w:val="2"/>
    </w:lvl>
  </w:abstractNum>
  <w:abstractNum w:abstractNumId="19">
    <w:nsid w:val="62BBD9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2019-12-03T13:28:52Z</dcterms:created>
  <dcterms:modified xsi:type="dcterms:W3CDTF">2019-12-03T13:28:52Z</dcterms:modified>
</cp:coreProperties>
</file>