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3, 2023</w:t>
      </w:r>
    </w:p>
    <w:p>
      <w:pPr>
        <w:spacing w:after="0" w:line="27"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29"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75"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33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right"/>
              <w:ind w:right="1179"/>
              <w:spacing w:after="0"/>
              <w:rPr>
                <w:sz w:val="20"/>
                <w:szCs w:val="20"/>
                <w:color w:val="auto"/>
              </w:rPr>
            </w:pPr>
            <w:r>
              <w:rPr>
                <w:rFonts w:ascii="Arial" w:cs="Arial" w:eastAsia="Arial" w:hAnsi="Arial"/>
                <w:sz w:val="18"/>
                <w:szCs w:val="18"/>
                <w:b w:val="1"/>
                <w:bCs w:val="1"/>
                <w:color w:val="auto"/>
              </w:rPr>
              <w:t>001-38853</w:t>
            </w:r>
          </w:p>
        </w:tc>
        <w:tc>
          <w:tcPr>
            <w:tcW w:w="2660" w:type="dxa"/>
            <w:vAlign w:val="bottom"/>
          </w:tcPr>
          <w:p>
            <w:pPr>
              <w:jc w:val="center"/>
              <w:ind w:left="1441"/>
              <w:spacing w:after="0"/>
              <w:rPr>
                <w:sz w:val="20"/>
                <w:szCs w:val="20"/>
                <w:color w:val="auto"/>
              </w:rPr>
            </w:pPr>
            <w:r>
              <w:rPr>
                <w:rFonts w:ascii="Arial" w:cs="Arial" w:eastAsia="Arial" w:hAnsi="Arial"/>
                <w:sz w:val="18"/>
                <w:szCs w:val="18"/>
                <w:b w:val="1"/>
                <w:bCs w:val="1"/>
                <w:color w:val="auto"/>
                <w:w w:val="89"/>
              </w:rPr>
              <w:t>26-1679911</w:t>
            </w:r>
          </w:p>
        </w:tc>
        <w:tc>
          <w:tcPr>
            <w:tcW w:w="0" w:type="dxa"/>
            <w:vAlign w:val="bottom"/>
          </w:tcPr>
          <w:p>
            <w:pPr>
              <w:spacing w:after="0"/>
              <w:rPr>
                <w:sz w:val="1"/>
                <w:szCs w:val="1"/>
                <w:color w:val="auto"/>
              </w:rPr>
            </w:pPr>
          </w:p>
        </w:tc>
      </w:tr>
      <w:tr>
        <w:trPr>
          <w:trHeight w:val="180"/>
        </w:trPr>
        <w:tc>
          <w:tcPr>
            <w:tcW w:w="33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or Other Jurisdiction</w:t>
            </w:r>
          </w:p>
        </w:tc>
        <w:tc>
          <w:tcPr>
            <w:tcW w:w="2880" w:type="dxa"/>
            <w:vAlign w:val="bottom"/>
          </w:tcPr>
          <w:p>
            <w:pPr>
              <w:spacing w:after="0"/>
              <w:rPr>
                <w:sz w:val="15"/>
                <w:szCs w:val="15"/>
                <w:color w:val="auto"/>
              </w:rPr>
            </w:pPr>
          </w:p>
        </w:tc>
        <w:tc>
          <w:tcPr>
            <w:tcW w:w="2660" w:type="dxa"/>
            <w:vAlign w:val="bottom"/>
          </w:tcPr>
          <w:p>
            <w:pPr>
              <w:jc w:val="center"/>
              <w:ind w:left="1441"/>
              <w:spacing w:after="0"/>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213"/>
        </w:trPr>
        <w:tc>
          <w:tcPr>
            <w:tcW w:w="33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6"/>
              </w:rPr>
              <w:t>of Incorporation)</w:t>
            </w:r>
          </w:p>
        </w:tc>
        <w:tc>
          <w:tcPr>
            <w:tcW w:w="2880" w:type="dxa"/>
            <w:vAlign w:val="bottom"/>
          </w:tcPr>
          <w:p>
            <w:pPr>
              <w:jc w:val="center"/>
              <w:ind w:right="359"/>
              <w:spacing w:after="0"/>
              <w:rPr>
                <w:sz w:val="20"/>
                <w:szCs w:val="20"/>
                <w:color w:val="auto"/>
              </w:rPr>
            </w:pPr>
            <w:r>
              <w:rPr>
                <w:rFonts w:ascii="Arial" w:cs="Arial" w:eastAsia="Arial" w:hAnsi="Arial"/>
                <w:sz w:val="14"/>
                <w:szCs w:val="14"/>
                <w:b w:val="1"/>
                <w:bCs w:val="1"/>
                <w:color w:val="auto"/>
                <w:w w:val="94"/>
              </w:rPr>
              <w:t>(Commission File Number)</w:t>
            </w:r>
          </w:p>
        </w:tc>
        <w:tc>
          <w:tcPr>
            <w:tcW w:w="2660" w:type="dxa"/>
            <w:vAlign w:val="bottom"/>
          </w:tcPr>
          <w:p>
            <w:pPr>
              <w:jc w:val="center"/>
              <w:ind w:left="144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30"/>
        </w:trPr>
        <w:tc>
          <w:tcPr>
            <w:tcW w:w="3380" w:type="dxa"/>
            <w:vAlign w:val="bottom"/>
          </w:tcPr>
          <w:p>
            <w:pPr>
              <w:jc w:val="center"/>
              <w:ind w:left="99"/>
              <w:spacing w:after="0"/>
              <w:rPr>
                <w:sz w:val="20"/>
                <w:szCs w:val="20"/>
                <w:color w:val="auto"/>
              </w:rPr>
            </w:pPr>
            <w:r>
              <w:rPr>
                <w:rFonts w:ascii="Arial" w:cs="Arial" w:eastAsia="Arial" w:hAnsi="Arial"/>
                <w:sz w:val="18"/>
                <w:szCs w:val="18"/>
                <w:b w:val="1"/>
                <w:bCs w:val="1"/>
                <w:color w:val="auto"/>
                <w:w w:val="90"/>
              </w:rPr>
              <w:t>333 Oyster Point Boulevard</w:t>
            </w:r>
          </w:p>
        </w:tc>
        <w:tc>
          <w:tcPr>
            <w:tcW w:w="28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80" w:type="dxa"/>
            <w:vAlign w:val="bottom"/>
          </w:tcPr>
          <w:p>
            <w:pPr>
              <w:jc w:val="center"/>
              <w:ind w:left="99"/>
              <w:spacing w:after="0"/>
              <w:rPr>
                <w:sz w:val="20"/>
                <w:szCs w:val="20"/>
                <w:color w:val="auto"/>
              </w:rPr>
            </w:pPr>
            <w:r>
              <w:rPr>
                <w:rFonts w:ascii="Arial" w:cs="Arial" w:eastAsia="Arial" w:hAnsi="Arial"/>
                <w:sz w:val="18"/>
                <w:szCs w:val="18"/>
                <w:b w:val="1"/>
                <w:bCs w:val="1"/>
                <w:color w:val="auto"/>
                <w:w w:val="89"/>
              </w:rPr>
              <w:t>South San Francisco, CA</w:t>
            </w:r>
          </w:p>
        </w:tc>
        <w:tc>
          <w:tcPr>
            <w:tcW w:w="2880" w:type="dxa"/>
            <w:vAlign w:val="bottom"/>
          </w:tcPr>
          <w:p>
            <w:pPr>
              <w:spacing w:after="0"/>
              <w:rPr>
                <w:sz w:val="20"/>
                <w:szCs w:val="20"/>
                <w:color w:val="auto"/>
              </w:rPr>
            </w:pPr>
          </w:p>
        </w:tc>
        <w:tc>
          <w:tcPr>
            <w:tcW w:w="2660" w:type="dxa"/>
            <w:vAlign w:val="bottom"/>
            <w:vMerge w:val="restart"/>
          </w:tcPr>
          <w:p>
            <w:pPr>
              <w:jc w:val="right"/>
              <w:ind w:right="1221"/>
              <w:spacing w:after="0"/>
              <w:rPr>
                <w:sz w:val="20"/>
                <w:szCs w:val="20"/>
                <w:color w:val="auto"/>
              </w:rPr>
            </w:pPr>
            <w:r>
              <w:rPr>
                <w:rFonts w:ascii="Arial" w:cs="Arial" w:eastAsia="Arial" w:hAnsi="Arial"/>
                <w:sz w:val="18"/>
                <w:szCs w:val="18"/>
                <w:b w:val="1"/>
                <w:bCs w:val="1"/>
                <w:color w:val="auto"/>
              </w:rPr>
              <w:t>94080</w:t>
            </w:r>
          </w:p>
        </w:tc>
        <w:tc>
          <w:tcPr>
            <w:tcW w:w="0" w:type="dxa"/>
            <w:vAlign w:val="bottom"/>
          </w:tcPr>
          <w:p>
            <w:pPr>
              <w:spacing w:after="0"/>
              <w:rPr>
                <w:sz w:val="1"/>
                <w:szCs w:val="1"/>
                <w:color w:val="auto"/>
              </w:rPr>
            </w:pPr>
          </w:p>
        </w:tc>
      </w:tr>
      <w:tr>
        <w:trPr>
          <w:trHeight w:val="53"/>
        </w:trPr>
        <w:tc>
          <w:tcPr>
            <w:tcW w:w="33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380" w:type="dxa"/>
            <w:vAlign w:val="bottom"/>
          </w:tcPr>
          <w:p>
            <w:pPr>
              <w:jc w:val="center"/>
              <w:ind w:left="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80" w:type="dxa"/>
            <w:vAlign w:val="bottom"/>
          </w:tcPr>
          <w:p>
            <w:pPr>
              <w:spacing w:after="0"/>
              <w:rPr>
                <w:sz w:val="16"/>
                <w:szCs w:val="16"/>
                <w:color w:val="auto"/>
              </w:rPr>
            </w:pPr>
          </w:p>
        </w:tc>
        <w:tc>
          <w:tcPr>
            <w:tcW w:w="2660" w:type="dxa"/>
            <w:vAlign w:val="bottom"/>
          </w:tcPr>
          <w:p>
            <w:pPr>
              <w:jc w:val="center"/>
              <w:ind w:right="32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243-5555</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7"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47"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3"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highlight w:val="black"/>
        </w:rPr>
      </w:pPr>
    </w:p>
    <w:p>
      <w:pPr>
        <w:ind w:left="700" w:hanging="674"/>
        <w:spacing w:after="0"/>
        <w:tabs>
          <w:tab w:leader="none" w:pos="7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Soliciting material pursuant to Rule 14a-12 under the Exchange Act (17 CFR 240.14a-12)</w:t>
      </w:r>
    </w:p>
    <w:p>
      <w:pPr>
        <w:spacing w:after="0" w:line="35" w:lineRule="exact"/>
        <w:rPr>
          <w:rFonts w:ascii="MS PGothic" w:cs="MS PGothic" w:eastAsia="MS PGothic" w:hAnsi="MS PGothic"/>
          <w:sz w:val="18"/>
          <w:szCs w:val="18"/>
          <w:color w:val="auto"/>
          <w:highlight w:val="black"/>
        </w:rPr>
      </w:pPr>
    </w:p>
    <w:p>
      <w:pPr>
        <w:ind w:left="700" w:hanging="674"/>
        <w:spacing w:after="0"/>
        <w:tabs>
          <w:tab w:leader="none" w:pos="7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14d-2(b) under the Exchange Act (17 CFR 240.14d-2(b))</w:t>
      </w:r>
    </w:p>
    <w:p>
      <w:pPr>
        <w:spacing w:after="0" w:line="23" w:lineRule="exact"/>
        <w:rPr>
          <w:rFonts w:ascii="MS PGothic" w:cs="MS PGothic" w:eastAsia="MS PGothic" w:hAnsi="MS PGothic"/>
          <w:sz w:val="18"/>
          <w:szCs w:val="18"/>
          <w:color w:val="auto"/>
          <w:highlight w:val="black"/>
        </w:rPr>
      </w:pPr>
    </w:p>
    <w:p>
      <w:pPr>
        <w:ind w:left="700" w:hanging="674"/>
        <w:spacing w:after="0"/>
        <w:tabs>
          <w:tab w:leader="none" w:pos="7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13e-4(c) under the Exchange Act (17 CFR 240.13e-4(c))</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80" w:type="dxa"/>
            <w:vAlign w:val="bottom"/>
          </w:tcPr>
          <w:p>
            <w:pPr>
              <w:spacing w:after="0"/>
              <w:rPr>
                <w:sz w:val="15"/>
                <w:szCs w:val="15"/>
                <w:color w:val="auto"/>
              </w:rPr>
            </w:pPr>
          </w:p>
        </w:tc>
        <w:tc>
          <w:tcPr>
            <w:tcW w:w="3900" w:type="dxa"/>
            <w:vAlign w:val="bottom"/>
          </w:tcPr>
          <w:p>
            <w:pPr>
              <w:spacing w:after="0"/>
              <w:rPr>
                <w:sz w:val="15"/>
                <w:szCs w:val="15"/>
                <w:color w:val="auto"/>
              </w:rPr>
            </w:pPr>
          </w:p>
        </w:tc>
      </w:tr>
      <w:tr>
        <w:trPr>
          <w:trHeight w:val="213"/>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0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8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25"/>
        </w:trPr>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0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9"/>
              </w:rPr>
              <w:t>NGM</w:t>
            </w:r>
          </w:p>
        </w:tc>
        <w:tc>
          <w:tcPr>
            <w:tcW w:w="8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00"/>
        <w:spacing w:after="0" w:line="238"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66" w:lineRule="exact"/>
        <w:rPr>
          <w:sz w:val="24"/>
          <w:szCs w:val="24"/>
          <w:color w:val="auto"/>
        </w:rPr>
      </w:pPr>
    </w:p>
    <w:p>
      <w:pPr>
        <w:ind w:right="1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706755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On August 3, 2023, NGM Biopharmaceuticals, Inc. reported its financial results for the second quarter ended June 30, 2023. A copy of the press release titled “NGM Bio Reports Second Quarter 2023 Financial Results and Provides Business Highlights,” is furnished pursuant to Item 2.02 as Exhibit 99.1 hereto and is incorporated herein by reference.</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i w:val="1"/>
                <w:iCs w:val="1"/>
                <w:color w:val="auto"/>
              </w:rPr>
              <w:t>(d)  Exhibits</w:t>
            </w: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4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Exhibit No.</w:t>
            </w:r>
          </w:p>
        </w:tc>
        <w:tc>
          <w:tcPr>
            <w:tcW w:w="6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gridSpan w:val="2"/>
          </w:tcPr>
          <w:p>
            <w:pPr>
              <w:ind w:left="32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58"/>
        </w:trPr>
        <w:tc>
          <w:tcPr>
            <w:tcW w:w="1440" w:type="dxa"/>
            <w:vAlign w:val="bottom"/>
          </w:tcPr>
          <w:p>
            <w:pPr>
              <w:ind w:left="20"/>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90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Press release, dated August 3, 2023, titled “NGM Bio Reports Second Quarter 2023 Financial Results and Provides Business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120" w:type="dxa"/>
            <w:vAlign w:val="bottom"/>
            <w:gridSpan w:val="3"/>
          </w:tcPr>
          <w:p>
            <w:pPr>
              <w:spacing w:after="0" w:line="196" w:lineRule="exact"/>
              <w:rPr>
                <w:sz w:val="20"/>
                <w:szCs w:val="20"/>
                <w:color w:val="auto"/>
              </w:rPr>
            </w:pPr>
            <w:r>
              <w:rPr>
                <w:rFonts w:ascii="Arial" w:cs="Arial" w:eastAsia="Arial" w:hAnsi="Arial"/>
                <w:sz w:val="18"/>
                <w:szCs w:val="18"/>
                <w:color w:val="0000FF"/>
              </w:rPr>
              <w:t>Highlights."</w:t>
            </w:r>
          </w:p>
        </w:tc>
        <w:tc>
          <w:tcPr>
            <w:tcW w:w="0" w:type="dxa"/>
            <w:vAlign w:val="bottom"/>
          </w:tcPr>
          <w:p>
            <w:pPr>
              <w:spacing w:after="0"/>
              <w:rPr>
                <w:sz w:val="1"/>
                <w:szCs w:val="1"/>
                <w:color w:val="auto"/>
              </w:rPr>
            </w:pPr>
          </w:p>
        </w:tc>
      </w:tr>
      <w:tr>
        <w:trPr>
          <w:trHeight w:val="20"/>
        </w:trPr>
        <w:tc>
          <w:tcPr>
            <w:tcW w:w="14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4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560" w:type="dxa"/>
            <w:vAlign w:val="bottom"/>
          </w:tcPr>
          <w:p>
            <w:pPr>
              <w:spacing w:after="0"/>
              <w:rPr>
                <w:sz w:val="20"/>
                <w:szCs w:val="20"/>
                <w:color w:val="auto"/>
              </w:rPr>
            </w:pPr>
          </w:p>
        </w:tc>
        <w:tc>
          <w:tcPr>
            <w:tcW w:w="7660" w:type="dxa"/>
            <w:vAlign w:val="bottom"/>
            <w:gridSpan w:val="2"/>
          </w:tcPr>
          <w:p>
            <w:pPr>
              <w:ind w:left="1940"/>
              <w:spacing w:after="0"/>
              <w:rPr>
                <w:sz w:val="20"/>
                <w:szCs w:val="20"/>
                <w:color w:val="auto"/>
              </w:rPr>
            </w:pPr>
            <w:r>
              <w:rPr>
                <w:rFonts w:ascii="Arial" w:cs="Arial" w:eastAsia="Arial" w:hAnsi="Arial"/>
                <w:sz w:val="18"/>
                <w:szCs w:val="18"/>
                <w:b w:val="1"/>
                <w:bCs w:val="1"/>
                <w:color w:val="auto"/>
              </w:rPr>
              <w:t>NGM Biopharmaceuticals, Inc.</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Dated: August 3, 2023</w:t>
            </w:r>
          </w:p>
        </w:tc>
        <w:tc>
          <w:tcPr>
            <w:tcW w:w="7660" w:type="dxa"/>
            <w:vAlign w:val="bottom"/>
            <w:gridSpan w:val="2"/>
          </w:tcPr>
          <w:p>
            <w:pPr>
              <w:ind w:left="1940"/>
              <w:spacing w:after="0"/>
              <w:rPr>
                <w:sz w:val="20"/>
                <w:szCs w:val="20"/>
                <w:color w:val="auto"/>
              </w:rPr>
            </w:pPr>
            <w:r>
              <w:rPr>
                <w:rFonts w:ascii="Arial" w:cs="Arial" w:eastAsia="Arial" w:hAnsi="Arial"/>
                <w:sz w:val="18"/>
                <w:szCs w:val="18"/>
                <w:color w:val="auto"/>
              </w:rPr>
              <w:t>By:  /s/ Siobhan Nolan Mangini</w:t>
            </w:r>
          </w:p>
        </w:tc>
      </w:tr>
      <w:tr>
        <w:trPr>
          <w:trHeight w:val="229"/>
        </w:trPr>
        <w:tc>
          <w:tcPr>
            <w:tcW w:w="3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Siobhan Nolan Mangini</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President and Chief Financial Officer</w:t>
            </w:r>
          </w:p>
        </w:tc>
      </w:tr>
    </w:tbl>
    <w:p>
      <w:pPr>
        <w:sectPr>
          <w:pgSz w:w="11900" w:h="16838" w:orient="portrait"/>
          <w:cols w:equalWidth="0" w:num="1">
            <w:col w:w="11240"/>
          </w:cols>
          <w:pgMar w:left="320" w:top="114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157480</wp:posOffset>
            </wp:positionV>
            <wp:extent cx="205740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Reports Second Quarter 2023 Financial Results and Provides Business Highlights</w:t>
      </w:r>
    </w:p>
    <w:p>
      <w:pPr>
        <w:spacing w:after="0" w:line="262" w:lineRule="exact"/>
        <w:rPr>
          <w:sz w:val="20"/>
          <w:szCs w:val="20"/>
          <w:color w:val="auto"/>
        </w:rPr>
      </w:pPr>
    </w:p>
    <w:p>
      <w:pPr>
        <w:ind w:left="660" w:right="800" w:hanging="328"/>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positive data from Phase 2 investigator-sponsored trial of aldafermin for the treatment of patients with diarrhea-predominant irritable bowel syndrome (IBS-D) and bile acid malabsorption (BAM)</w:t>
      </w:r>
    </w:p>
    <w:p>
      <w:pPr>
        <w:spacing w:after="0" w:line="65" w:lineRule="exact"/>
        <w:rPr>
          <w:rFonts w:ascii="Arial" w:cs="Arial" w:eastAsia="Arial" w:hAnsi="Arial"/>
          <w:sz w:val="18"/>
          <w:szCs w:val="18"/>
          <w:color w:val="auto"/>
        </w:rPr>
      </w:pPr>
    </w:p>
    <w:p>
      <w:pPr>
        <w:ind w:left="660" w:right="820" w:hanging="328"/>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topline positive data from Phase 2b ALPINE 4 trial of aldafermin; study met its primary endpoint in patients with compensated cirrhosis (F4) due to NASH</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to progress myeloid checkpoint solid tumor programs: NGM707, NGM831 and NGM438</w:t>
      </w:r>
    </w:p>
    <w:p>
      <w:pPr>
        <w:spacing w:after="0" w:line="117" w:lineRule="exact"/>
        <w:rPr>
          <w:rFonts w:ascii="Arial" w:cs="Arial" w:eastAsia="Arial" w:hAnsi="Arial"/>
          <w:sz w:val="18"/>
          <w:szCs w:val="18"/>
          <w:color w:val="auto"/>
        </w:rPr>
      </w:pPr>
    </w:p>
    <w:p>
      <w:pPr>
        <w:ind w:left="660" w:right="300" w:hanging="328"/>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Reported $193.5 million in cash, cash equivalents and marketable securities as of June 30, 2023, with expected cash runway into the second quarter of 2025</w:t>
      </w:r>
    </w:p>
    <w:p>
      <w:pPr>
        <w:spacing w:after="0" w:line="16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color w:val="auto"/>
        </w:rPr>
        <w:t xml:space="preserve">South San Francisco, CA, </w:t>
      </w:r>
      <w:r>
        <w:rPr>
          <w:rFonts w:ascii="Arial" w:cs="Arial" w:eastAsia="Arial" w:hAnsi="Arial"/>
          <w:sz w:val="18"/>
          <w:szCs w:val="18"/>
          <w:color w:val="auto"/>
        </w:rPr>
        <w:t>August 3, 2023 – NGM Biopharmaceuticals, Inc. (NGM Bio) (Nasdaq: NGM), a clinical-stage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discovering and developing transformative therapeutics for patients, today reported financial results for the quarterly period ended June 30, 2023 and provided business highlights.</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continue to make steady progress in clinical trials of our lead solid tumor oncology programs NGM707, NGM438 and NGM831,” said David J. Woodhouse, Ph.D., Chief Executive Officer at NGM Bio. “We also announced positive data in the second quarter from a Phase 2 investigator-sponsored trial of aldafermin for the treatment of patients with IBS-D and BAM, and from a Phase 2b trial of aldafermin in compensated cirrhosis (F4) patients, furthering our belief in the therapeutic potential of aldafermin. These latest data deepen the strong body of clinical evidence we have amassed demonstrating the activity and safety of aldafermin, which we will leverage as we engage in potential partnering discussions for continued development of this product candidate.”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Second Quarter and Recent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Aldafermin</w:t>
      </w:r>
    </w:p>
    <w:p>
      <w:pPr>
        <w:spacing w:after="0" w:line="127" w:lineRule="exact"/>
        <w:rPr>
          <w:sz w:val="20"/>
          <w:szCs w:val="20"/>
          <w:color w:val="auto"/>
        </w:rPr>
      </w:pPr>
    </w:p>
    <w:p>
      <w:pPr>
        <w:ind w:left="660" w:right="24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positive data from Phase 2 investigator-sponsored trial of aldafermin for the treatment of patients with diarrhea-predominant IBS-D and BAM in May 2023 at Digestive Disease Week 2023. Aldafermin demonstrated statistically significant reductions in serum 7αC4 (a marker of bile acid synthesis) and fecal bile acids versus placebo in patients with idiopathic BAM with IBS-D.</w:t>
      </w:r>
    </w:p>
    <w:p>
      <w:pPr>
        <w:spacing w:after="0" w:line="81" w:lineRule="exact"/>
        <w:rPr>
          <w:rFonts w:ascii="Arial" w:cs="Arial" w:eastAsia="Arial" w:hAnsi="Arial"/>
          <w:sz w:val="18"/>
          <w:szCs w:val="18"/>
          <w:color w:val="auto"/>
        </w:rPr>
      </w:pPr>
    </w:p>
    <w:p>
      <w:pPr>
        <w:ind w:left="660" w:right="2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positive topline data from the Phase 2b ALPINE 4 trial of aldafermin in 160 patients with compensated cirrhosis due to NASH (liver fibrosis stage 4, or, F4) in May 2023. The study met its primary endpoint with a statistically significant reduction in Enhanced Liver Fibrosis, or ELF, score from baseline to week 48 in patients treated with 3 mg of aldafermin versus patients receiving placebo. Aldafermin was generally well tolerated with no treatment-related serious adverse events and a safety and tolerability profile generally consistent with prior trials of aldafermin.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Tumor Oncology</w:t>
      </w:r>
    </w:p>
    <w:p>
      <w:pPr>
        <w:spacing w:after="0" w:line="127" w:lineRule="exact"/>
        <w:rPr>
          <w:sz w:val="20"/>
          <w:szCs w:val="20"/>
          <w:color w:val="auto"/>
        </w:rPr>
      </w:pPr>
    </w:p>
    <w:p>
      <w:pPr>
        <w:ind w:left="660" w:right="180" w:hanging="328"/>
        <w:spacing w:after="0" w:line="27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initiation of the first two Phase 2b expansion cohorts, continued enrollment in the Phase 1/2 trial evaluating NGM707, an ILT2/ILT4 antagonist antibody product candidate, in combination with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(pembrolizumab).</w:t>
      </w:r>
    </w:p>
    <w:p>
      <w:pPr>
        <w:spacing w:after="0" w:line="1" w:lineRule="exact"/>
        <w:rPr>
          <w:rFonts w:ascii="Arial" w:cs="Arial" w:eastAsia="Arial" w:hAnsi="Arial"/>
          <w:sz w:val="18"/>
          <w:szCs w:val="18"/>
          <w:color w:val="auto"/>
        </w:rPr>
      </w:pPr>
    </w:p>
    <w:p>
      <w:pPr>
        <w:ind w:left="660" w:right="60" w:hanging="328"/>
        <w:spacing w:after="0" w:line="27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enrollment in the Phase 1/1b trial evaluating NGM438, a LAIR1 antagonist antibody product candidate, as a monotherapy and in combination with pembrolizumab for the treatment of patients with advanced or metastatic solid tumors.</w:t>
      </w:r>
    </w:p>
    <w:p>
      <w:pPr>
        <w:sectPr>
          <w:pgSz w:w="11900" w:h="16838" w:orient="portrait"/>
          <w:cols w:equalWidth="0" w:num="1">
            <w:col w:w="11240"/>
          </w:cols>
          <w:pgMar w:left="320" w:top="927" w:right="339" w:bottom="1440" w:gutter="0" w:footer="0" w:header="0"/>
        </w:sectPr>
      </w:pPr>
    </w:p>
    <w:bookmarkStart w:id="4" w:name="page5"/>
    <w:bookmarkEnd w:id="4"/>
    <w:p>
      <w:pPr>
        <w:ind w:left="660" w:right="100" w:hanging="328"/>
        <w:spacing w:after="0" w:line="27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enrollment in the Phase 1/1b trial evaluating NGM831, an ILT3 antagonist antibody product candidate, as a monotherapy and in combination with pembrolizumab for the treatment of patients with advanced or metastatic solid tumors.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Updates</w:t>
      </w:r>
    </w:p>
    <w:p>
      <w:pPr>
        <w:spacing w:after="0" w:line="114" w:lineRule="exact"/>
        <w:rPr>
          <w:sz w:val="20"/>
          <w:szCs w:val="20"/>
          <w:color w:val="auto"/>
        </w:rPr>
      </w:pPr>
    </w:p>
    <w:p>
      <w:pPr>
        <w:ind w:left="660" w:right="360" w:hanging="328"/>
        <w:spacing w:after="0" w:line="27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Announced Siobhan Nolan Mangini will step down as President and Chief Financial Officer at NGM Bio. To support a smooth transition, she will stay on until December 1, 2023. NGM Bio has initiated a search to identify the company's next Chief Financial Officer.</w:t>
      </w:r>
    </w:p>
    <w:p>
      <w:pPr>
        <w:spacing w:after="0" w:line="192" w:lineRule="exact"/>
        <w:rPr>
          <w:rFonts w:ascii="Arial" w:cs="Arial" w:eastAsia="Arial" w:hAnsi="Arial"/>
          <w:sz w:val="18"/>
          <w:szCs w:val="18"/>
          <w:color w:val="auto"/>
        </w:rPr>
      </w:pPr>
    </w:p>
    <w:p>
      <w:pPr>
        <w:ind w:left="660" w:right="32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Substantially completed activities related to the restructuring of NGM Bio’s workforce announced in April 2023. NGM Bio incurred restructuring charges of approximately $5.0 million, the majority of which were paid in the second quarter.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Financial Results</w:t>
      </w:r>
    </w:p>
    <w:p>
      <w:pPr>
        <w:spacing w:after="0" w:line="127" w:lineRule="exact"/>
        <w:rPr>
          <w:sz w:val="20"/>
          <w:szCs w:val="20"/>
          <w:color w:val="auto"/>
        </w:rPr>
      </w:pPr>
    </w:p>
    <w:p>
      <w:pPr>
        <w:ind w:left="660" w:right="380" w:hanging="328"/>
        <w:spacing w:after="0" w:line="27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NGM Bio reported a net loss of $38.3 million for the quarter ended June 30, 2023, compared to a net loss of $46.5 million for the same period in 2022.</w:t>
      </w:r>
    </w:p>
    <w:p>
      <w:pPr>
        <w:spacing w:after="0" w:line="52" w:lineRule="exact"/>
        <w:rPr>
          <w:rFonts w:ascii="Arial" w:cs="Arial" w:eastAsia="Arial" w:hAnsi="Arial"/>
          <w:sz w:val="18"/>
          <w:szCs w:val="18"/>
          <w:color w:val="auto"/>
        </w:rPr>
      </w:pPr>
    </w:p>
    <w:p>
      <w:pPr>
        <w:ind w:left="660" w:right="60" w:hanging="328"/>
        <w:spacing w:after="0" w:line="23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Related party revenue from our collaboration with Merck Sharp &amp; Dohme LLC, or Merck, was $1.4 million for the quarter ended June 30, 2023 compared to $8.3 million for the same period in 2022. Our related party revenue from Merck will continue to decrease in 2023 and we expect approximately $0.6 million of funding from Merck from July 1, 2023 through March 31, 2024.</w:t>
      </w:r>
    </w:p>
    <w:p>
      <w:pPr>
        <w:spacing w:after="0" w:line="97" w:lineRule="exact"/>
        <w:rPr>
          <w:rFonts w:ascii="Arial" w:cs="Arial" w:eastAsia="Arial" w:hAnsi="Arial"/>
          <w:sz w:val="18"/>
          <w:szCs w:val="18"/>
          <w:color w:val="auto"/>
        </w:rPr>
      </w:pPr>
    </w:p>
    <w:p>
      <w:pPr>
        <w:ind w:left="660" w:right="60" w:hanging="328"/>
        <w:spacing w:after="0" w:line="27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R&amp;D expenses were $32.4 million for the quarter ended June 30, 2023, compared to $45.4 million for the same period in 2022. R&amp;D expenses included restructuring charges of $3.9 million in the three and six months ended June 30, 2023.</w:t>
      </w:r>
    </w:p>
    <w:p>
      <w:pPr>
        <w:spacing w:after="0" w:line="65" w:lineRule="exact"/>
        <w:rPr>
          <w:rFonts w:ascii="Arial" w:cs="Arial" w:eastAsia="Arial" w:hAnsi="Arial"/>
          <w:sz w:val="18"/>
          <w:szCs w:val="18"/>
          <w:color w:val="auto"/>
        </w:rPr>
      </w:pPr>
    </w:p>
    <w:p>
      <w:pPr>
        <w:ind w:left="660" w:right="160" w:hanging="328"/>
        <w:spacing w:after="0" w:line="30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General and administrative expenses were $9.6 million for the quarter ended June 30, 2023, compared to $9.9 million for the same period in 2022. G&amp;A expenses included restructuring charges of $1.1 million in the three and six months ended June 30, 2023.</w:t>
      </w:r>
    </w:p>
    <w:p>
      <w:pPr>
        <w:spacing w:after="0" w:line="41" w:lineRule="exact"/>
        <w:rPr>
          <w:rFonts w:ascii="Arial" w:cs="Arial" w:eastAsia="Arial" w:hAnsi="Arial"/>
          <w:sz w:val="17"/>
          <w:szCs w:val="17"/>
          <w:color w:val="auto"/>
        </w:rPr>
      </w:pPr>
    </w:p>
    <w:p>
      <w:pPr>
        <w:ind w:left="66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cash equivalents and short-term marketable securities were $193.5 million as of June 30, 2023, compared to $271.5 million as of December 31, 2022. NGM Bio expects its cash, cash equivalents and marketable securities will be sufficient to fund its planned operations into the second quarter of 2025. NGM Bio has based this estimate on plans and assumptions that may prove to be insufficient or inaccurate (for example, with respect to anticipated costs, timing or success of certain activities), and the company could utilize its available financial resources sooner than it currently expects.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NGM Bio is focused on discovering and developing novel, life-changing medicines for people whose health and lives have been disrupted by disease. The company’s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NGM Bio aspires to operate one of the most productive research and development engines in the biopharmaceutical industry. All therapeutic candidates in the NGM Bio pipeline have been generated by its in-house discovery engine, always led by biology and motivated by unmet patient need. Visit us at www.ngmbio.com for more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KEYTRUDA® is a registered trademark of Merck Sharp &amp; Dohme Corp., a subsidiary of Merck &amp; Co., Inc., Rahway, NJ, USA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Abbreviations (in Alphabetical Order)</w:t>
      </w:r>
    </w:p>
    <w:p>
      <w:pPr>
        <w:spacing w:after="0" w:line="127"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ILT2=Immunoglobin-Like Transcript 2; ILT3=Immunoglobin-Like Transcript 3; ILT4=Immunoglobin-Like Transcript 4; LAIR1=Leukocyte-Associated Immunoglobulin-Like Receptor 1; NASH=non-alcoholic steatohepatitis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Statements contained in this press release regarding matters that are not historical facts are “forward-looking statements” within the meaning of the Private Securities Litigation Reform Act of 1995. Words such as </w:t>
      </w:r>
      <w:r>
        <w:rPr>
          <w:rFonts w:ascii="Arial" w:cs="Arial" w:eastAsia="Arial" w:hAnsi="Arial"/>
          <w:sz w:val="18"/>
          <w:szCs w:val="18"/>
          <w:color w:val="001610"/>
        </w:rPr>
        <w:t>“will,” “could,” “expect,” “expected,” “potential,” “promising,” “aspires,”</w:t>
      </w:r>
      <w:r>
        <w:rPr>
          <w:rFonts w:ascii="Arial" w:cs="Arial" w:eastAsia="Arial" w:hAnsi="Arial"/>
          <w:sz w:val="18"/>
          <w:szCs w:val="18"/>
          <w:color w:val="auto"/>
        </w:rPr>
        <w:t xml:space="preserve"> </w:t>
      </w:r>
      <w:r>
        <w:rPr>
          <w:rFonts w:ascii="Arial" w:cs="Arial" w:eastAsia="Arial" w:hAnsi="Arial"/>
          <w:sz w:val="18"/>
          <w:szCs w:val="18"/>
          <w:color w:val="001610"/>
        </w:rPr>
        <w:t xml:space="preserve">“aims” </w:t>
      </w:r>
      <w:r>
        <w:rPr>
          <w:rFonts w:ascii="Arial" w:cs="Arial" w:eastAsia="Arial" w:hAnsi="Arial"/>
          <w:sz w:val="18"/>
          <w:szCs w:val="18"/>
          <w:color w:val="000000"/>
        </w:rPr>
        <w:t>and similar expressions (as well as other words or expressions referencing future events, conditions or circumstances) are intended to</w:t>
      </w:r>
      <w:r>
        <w:rPr>
          <w:rFonts w:ascii="Arial" w:cs="Arial" w:eastAsia="Arial" w:hAnsi="Arial"/>
          <w:sz w:val="18"/>
          <w:szCs w:val="18"/>
          <w:color w:val="001610"/>
        </w:rPr>
        <w:t xml:space="preserve"> </w:t>
      </w:r>
      <w:r>
        <w:rPr>
          <w:rFonts w:ascii="Arial" w:cs="Arial" w:eastAsia="Arial" w:hAnsi="Arial"/>
          <w:sz w:val="18"/>
          <w:szCs w:val="18"/>
          <w:color w:val="000000"/>
        </w:rPr>
        <w:t>identify forward-looking statements. These statements include those related to: the therapeutic potential of NGM Bio’s product candidates;</w:t>
      </w:r>
    </w:p>
    <w:p>
      <w:pPr>
        <w:sectPr>
          <w:pgSz w:w="11900" w:h="16838" w:orient="portrait"/>
          <w:cols w:equalWidth="0" w:num="1">
            <w:col w:w="11220"/>
          </w:cols>
          <w:pgMar w:left="320" w:top="1045" w:right="359" w:bottom="1440" w:gutter="0" w:footer="0" w:header="0"/>
        </w:sectPr>
      </w:pPr>
    </w:p>
    <w:bookmarkStart w:id="5" w:name="page6"/>
    <w:bookmarkEnd w:id="5"/>
    <w:p>
      <w:pPr>
        <w:spacing w:after="0" w:line="251" w:lineRule="auto"/>
        <w:rPr>
          <w:sz w:val="20"/>
          <w:szCs w:val="20"/>
          <w:color w:val="auto"/>
        </w:rPr>
      </w:pPr>
      <w:r>
        <w:rPr>
          <w:rFonts w:ascii="Arial" w:cs="Arial" w:eastAsia="Arial" w:hAnsi="Arial"/>
          <w:sz w:val="18"/>
          <w:szCs w:val="18"/>
          <w:color w:val="auto"/>
        </w:rPr>
        <w:t xml:space="preserve">NGM Bio’s continued pipeline development, including identification and engagement of third-party partners for potential future business development arrangements (“BD Arrangements”) to determine further development of programs currently without significant resource allocation, including NGM621, aldafermin, NGM313 (MK-3655) and NGM936, and research and development and discovery engine output; NGM Bio’s expectation of continued decreasing revenue from Merck; the costs and financial impact of the restructuring; NGM Bio remaining an integrated research and development organization following the completion of the restructuring; the sufficiency of NGM Bio’s cash resources to fund its planned operations into the second quarter of 2025; and other statements that are not historical fact. Because such statements deal with future events and are based on NGM Bio’s current expectations, they are subject to various risks and uncertainties, and actual results, performance or achievements of NGM Bio could differ materially from those described in or implied by the statements in this press release. </w:t>
      </w:r>
      <w:r>
        <w:rPr>
          <w:rFonts w:ascii="Arial" w:cs="Arial" w:eastAsia="Arial" w:hAnsi="Arial"/>
          <w:sz w:val="18"/>
          <w:szCs w:val="18"/>
          <w:color w:val="001610"/>
        </w:rPr>
        <w:t>These forward-looking statements are subject to risks and uncertainties, including, without limitation, risks and uncertainties</w:t>
      </w:r>
      <w:r>
        <w:rPr>
          <w:rFonts w:ascii="Arial" w:cs="Arial" w:eastAsia="Arial" w:hAnsi="Arial"/>
          <w:sz w:val="18"/>
          <w:szCs w:val="18"/>
          <w:color w:val="auto"/>
        </w:rPr>
        <w:t xml:space="preserve"> </w:t>
      </w:r>
      <w:r>
        <w:rPr>
          <w:rFonts w:ascii="Arial" w:cs="Arial" w:eastAsia="Arial" w:hAnsi="Arial"/>
          <w:sz w:val="18"/>
          <w:szCs w:val="18"/>
          <w:color w:val="001610"/>
        </w:rPr>
        <w:t>associated with the costly and time-consuming pharmaceutical product development process and the uncertainty of clinical success; risks related to failure or delays in successfully initiating, enrolling, reporting data from or completing clinical studies, as well as the risks that results obtained in preclinical or clinical trials to date may not be indicative of results obtained in future trials; NGM Bio’s reliance on its amended collaboration with Merck; NGM Bio’s ability to identify and engage third-party partners for BD Arrangements, if any, and its ability to attract such partners; the time-consuming and uncertain regulatory approval process; NGM Bio’s reliance on third-party manufacturers for its product candidates and the risks inherent in manufacturing and testing pharmaceutical products; the sufficiency of NGM Bio’s cash resources and expected cash runway, including the risk that NGM Bio could utilize its available capital resources sooner than it currently expects and its need for additional capital; macroeconomic conditions (such as the impacts of the ongoing COVID-19 pandemic and the conflict between Russia and Ukraine, global economic slowdown, increased inflation, rising interest rates and recent and potential future bank failures); and other risks and uncertainties affecting NGM Bio and its development programs</w:t>
      </w:r>
      <w:r>
        <w:rPr>
          <w:rFonts w:ascii="Arial" w:cs="Arial" w:eastAsia="Arial" w:hAnsi="Arial"/>
          <w:sz w:val="18"/>
          <w:szCs w:val="18"/>
          <w:color w:val="000000"/>
        </w:rPr>
        <w:t>, including those discussed in the section titled “Risk Factors”</w:t>
      </w:r>
      <w:r>
        <w:rPr>
          <w:rFonts w:ascii="Arial" w:cs="Arial" w:eastAsia="Arial" w:hAnsi="Arial"/>
          <w:sz w:val="18"/>
          <w:szCs w:val="18"/>
          <w:color w:val="001610"/>
        </w:rPr>
        <w:t xml:space="preserve"> </w:t>
      </w:r>
      <w:r>
        <w:rPr>
          <w:rFonts w:ascii="Arial" w:cs="Arial" w:eastAsia="Arial" w:hAnsi="Arial"/>
          <w:sz w:val="18"/>
          <w:szCs w:val="18"/>
          <w:color w:val="000000"/>
        </w:rPr>
        <w:t>in NGM Bio’s Quarterly Report on Form 10-Q for the quarter ended March 31, 2023 filed with the United States Securities and Exchange Commission (“SEC”) on May 4, 2023 and future filings and reports that NGM Bio makes from time to time with the SEC. Except as required by law, NGM Bio assumes no obligation to update these forward-looking statements, or to update the reasons if actual results differ materially from those anticipated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6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3720" w:type="dxa"/>
            <w:vAlign w:val="bottom"/>
          </w:tcPr>
          <w:p>
            <w:pPr>
              <w:ind w:left="2060"/>
              <w:spacing w:after="0"/>
              <w:rPr>
                <w:sz w:val="20"/>
                <w:szCs w:val="20"/>
                <w:color w:val="auto"/>
              </w:rPr>
            </w:pPr>
            <w:r>
              <w:rPr>
                <w:rFonts w:ascii="Arial" w:cs="Arial" w:eastAsia="Arial" w:hAnsi="Arial"/>
                <w:sz w:val="18"/>
                <w:szCs w:val="18"/>
                <w:b w:val="1"/>
                <w:bCs w:val="1"/>
                <w:color w:val="auto"/>
              </w:rPr>
              <w:t>Media Contact:</w:t>
            </w:r>
          </w:p>
        </w:tc>
      </w:tr>
      <w:tr>
        <w:trPr>
          <w:trHeight w:val="270"/>
        </w:trPr>
        <w:tc>
          <w:tcPr>
            <w:tcW w:w="3560" w:type="dxa"/>
            <w:vAlign w:val="bottom"/>
          </w:tcPr>
          <w:p>
            <w:pPr>
              <w:spacing w:after="0"/>
              <w:rPr>
                <w:sz w:val="20"/>
                <w:szCs w:val="20"/>
                <w:color w:val="auto"/>
              </w:rPr>
            </w:pPr>
            <w:r>
              <w:rPr>
                <w:rFonts w:ascii="Arial" w:cs="Arial" w:eastAsia="Arial" w:hAnsi="Arial"/>
                <w:sz w:val="18"/>
                <w:szCs w:val="18"/>
                <w:i w:val="1"/>
                <w:iCs w:val="1"/>
                <w:color w:val="auto"/>
              </w:rPr>
              <w:t>ir@ngmbio.com</w:t>
            </w:r>
          </w:p>
        </w:tc>
        <w:tc>
          <w:tcPr>
            <w:tcW w:w="3720" w:type="dxa"/>
            <w:vAlign w:val="bottom"/>
          </w:tcPr>
          <w:p>
            <w:pPr>
              <w:ind w:left="2060"/>
              <w:spacing w:after="0"/>
              <w:rPr>
                <w:sz w:val="20"/>
                <w:szCs w:val="20"/>
                <w:color w:val="auto"/>
              </w:rPr>
            </w:pPr>
            <w:r>
              <w:rPr>
                <w:rFonts w:ascii="Arial" w:cs="Arial" w:eastAsia="Arial" w:hAnsi="Arial"/>
                <w:sz w:val="18"/>
                <w:szCs w:val="18"/>
                <w:i w:val="1"/>
                <w:iCs w:val="1"/>
                <w:color w:val="auto"/>
                <w:w w:val="99"/>
              </w:rPr>
              <w:t>media@ngmbio.com</w:t>
            </w:r>
          </w:p>
        </w:tc>
      </w:tr>
    </w:tbl>
    <w:p>
      <w:pPr>
        <w:sectPr>
          <w:pgSz w:w="11900" w:h="16838" w:orient="portrait"/>
          <w:cols w:equalWidth="0" w:num="1">
            <w:col w:w="11240"/>
          </w:cols>
          <w:pgMar w:left="320" w:top="104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29,241</w:t>
            </w:r>
          </w:p>
        </w:tc>
        <w:tc>
          <w:tcPr>
            <w:tcW w:w="0" w:type="dxa"/>
            <w:vAlign w:val="bottom"/>
          </w:tcPr>
          <w:p>
            <w:pPr>
              <w:spacing w:after="0"/>
              <w:rPr>
                <w:sz w:val="1"/>
                <w:szCs w:val="1"/>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88,239</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20,650</w:t>
            </w:r>
          </w:p>
        </w:tc>
        <w:tc>
          <w:tcPr>
            <w:tcW w:w="0" w:type="dxa"/>
            <w:vAlign w:val="bottom"/>
          </w:tcPr>
          <w:p>
            <w:pPr>
              <w:spacing w:after="0"/>
              <w:rPr>
                <w:sz w:val="1"/>
                <w:szCs w:val="1"/>
                <w:color w:val="auto"/>
              </w:rPr>
            </w:pPr>
          </w:p>
        </w:tc>
      </w:tr>
      <w:tr>
        <w:trPr>
          <w:trHeight w:val="237"/>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41,998</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94,439</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108,889</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(90,769)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(79,648)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(78,969)</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(0.46)</w:t>
            </w:r>
          </w:p>
        </w:tc>
        <w:tc>
          <w:tcPr>
            <w:tcW w:w="500" w:type="dxa"/>
            <w:vAlign w:val="bottom"/>
            <w:gridSpan w:val="2"/>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(0.59)</w:t>
            </w:r>
          </w:p>
        </w:tc>
        <w:tc>
          <w:tcPr>
            <w:tcW w:w="420" w:type="dxa"/>
            <w:vAlign w:val="bottom"/>
            <w:gridSpan w:val="2"/>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(1.04)</w:t>
            </w:r>
          </w:p>
        </w:tc>
        <w:tc>
          <w:tcPr>
            <w:tcW w:w="520" w:type="dxa"/>
            <w:vAlign w:val="bottom"/>
            <w:gridSpan w:val="2"/>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Weighted average shares used to compute net loss per share,</w:t>
            </w: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82,456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79,270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82,233</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78,650</w:t>
            </w:r>
          </w:p>
        </w:tc>
        <w:tc>
          <w:tcPr>
            <w:tcW w:w="0" w:type="dxa"/>
            <w:vAlign w:val="bottom"/>
          </w:tcPr>
          <w:p>
            <w:pPr>
              <w:spacing w:after="0"/>
              <w:rPr>
                <w:sz w:val="1"/>
                <w:szCs w:val="1"/>
                <w:color w:val="auto"/>
              </w:rPr>
            </w:pPr>
          </w:p>
        </w:tc>
      </w:tr>
      <w:tr>
        <w:trPr>
          <w:trHeight w:val="222"/>
        </w:trPr>
        <w:tc>
          <w:tcPr>
            <w:tcW w:w="5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15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73,456</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198,036</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receivable from collaboration</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288,859</w:t>
            </w:r>
          </w:p>
        </w:tc>
        <w:tc>
          <w:tcPr>
            <w:tcW w:w="0" w:type="dxa"/>
            <w:vAlign w:val="bottom"/>
          </w:tcPr>
          <w:p>
            <w:pPr>
              <w:spacing w:after="0"/>
              <w:rPr>
                <w:sz w:val="1"/>
                <w:szCs w:val="1"/>
                <w:color w:val="auto"/>
              </w:rPr>
            </w:pPr>
          </w:p>
        </w:tc>
      </w:tr>
      <w:tr>
        <w:trPr>
          <w:trHeight w:val="23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220,544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307,402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5,855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33,638</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Operating lease liability, current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806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47,842</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47,842</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Preferred stock, $0.001 par value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$0.001 par value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6"/>
        </w:trPr>
        <w:tc>
          <w:tcPr>
            <w:tcW w:w="80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859,728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841,413</w:t>
            </w:r>
          </w:p>
        </w:tc>
        <w:tc>
          <w:tcPr>
            <w:tcW w:w="0" w:type="dxa"/>
            <w:vAlign w:val="bottom"/>
          </w:tcPr>
          <w:p>
            <w:pPr>
              <w:spacing w:after="0"/>
              <w:rPr>
                <w:sz w:val="1"/>
                <w:szCs w:val="1"/>
                <w:color w:val="auto"/>
              </w:rPr>
            </w:pPr>
          </w:p>
        </w:tc>
      </w:tr>
      <w:tr>
        <w:trPr>
          <w:trHeight w:val="23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(667,541)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(581,633)</w:t>
            </w:r>
          </w:p>
        </w:tc>
        <w:tc>
          <w:tcPr>
            <w:tcW w:w="0" w:type="dxa"/>
            <w:vAlign w:val="bottom"/>
          </w:tcPr>
          <w:p>
            <w:pPr>
              <w:spacing w:after="0"/>
              <w:rPr>
                <w:sz w:val="1"/>
                <w:szCs w:val="1"/>
                <w:color w:val="auto"/>
              </w:rPr>
            </w:pPr>
          </w:p>
        </w:tc>
      </w:tr>
      <w:tr>
        <w:trPr>
          <w:trHeight w:val="23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192,121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259,560</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220,544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307,402</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Derived from the audited consolidated financial statements.</w:t>
      </w:r>
    </w:p>
    <w:sectPr>
      <w:pgSz w:w="11900" w:h="16838" w:orient="portrait"/>
      <w:cols w:equalWidth="0" w:num="1">
        <w:col w:w="11260"/>
      </w:cols>
      <w:pgMar w:left="30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2023-08-03T15:38:04Z</dcterms:created>
  <dcterms:modified xsi:type="dcterms:W3CDTF">2023-08-03T15:38:04Z</dcterms:modified>
</cp:coreProperties>
</file>