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6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03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GOEDDEL DAVID V</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22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03/05/2020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40" w:type="dxa"/>
            <w:vAlign w:val="bottom"/>
            <w:tcBorders>
              <w:top w:val="single" w:sz="8" w:color="9A9A9A"/>
            </w:tcBorders>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7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9"/>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40" w:type="dxa"/>
            <w:vAlign w:val="bottom"/>
          </w:tcPr>
          <w:p>
            <w:pPr>
              <w:spacing w:after="0"/>
              <w:rPr>
                <w:sz w:val="20"/>
                <w:szCs w:val="20"/>
                <w:color w:val="auto"/>
              </w:rPr>
            </w:pPr>
          </w:p>
        </w:tc>
        <w:tc>
          <w:tcPr>
            <w:tcW w:w="14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94158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520" w:type="dxa"/>
            <w:vAlign w:val="bottom"/>
            <w:tcBorders>
              <w:bottom w:val="single" w:sz="8" w:color="2C2C2C"/>
            </w:tcBorders>
            <w:gridSpan w:val="7"/>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7"/>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w:t>
            </w:r>
          </w:p>
        </w:tc>
        <w:tc>
          <w:tcPr>
            <w:tcW w:w="10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640" w:type="dxa"/>
            <w:vAlign w:val="bottom"/>
          </w:tcPr>
          <w:p>
            <w:pPr>
              <w:ind w:left="30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8"/>
              </w:rPr>
              <w:t>or Disposed Of (D) (Instr. 3,</w:t>
            </w:r>
          </w:p>
        </w:tc>
        <w:tc>
          <w:tcPr>
            <w:tcW w:w="10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Ownership</w:t>
            </w:r>
          </w:p>
        </w:tc>
        <w:tc>
          <w:tcPr>
            <w:tcW w:w="12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  (D) or</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140" w:type="dxa"/>
            <w:vAlign w:val="bottom"/>
            <w:gridSpan w:val="2"/>
            <w:vMerge w:val="restart"/>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jc w:val="right"/>
              <w:ind w:right="7"/>
              <w:spacing w:after="0" w:line="133" w:lineRule="exact"/>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2"/>
          </w:tcPr>
          <w:p>
            <w:pPr>
              <w:ind w:left="400"/>
              <w:spacing w:after="0"/>
              <w:rPr>
                <w:sz w:val="20"/>
                <w:szCs w:val="20"/>
                <w:color w:val="auto"/>
              </w:rPr>
            </w:pPr>
            <w:r>
              <w:rPr>
                <w:rFonts w:ascii="Arial" w:cs="Arial" w:eastAsia="Arial" w:hAnsi="Arial"/>
                <w:sz w:val="17"/>
                <w:szCs w:val="17"/>
                <w:color w:val="0000FF"/>
              </w:rPr>
              <w:t>03/05/2020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3"/>
                <w:szCs w:val="13"/>
                <w:color w:val="0000FF"/>
              </w:rPr>
              <w:t>P</w:t>
            </w:r>
          </w:p>
        </w:tc>
        <w:tc>
          <w:tcPr>
            <w:tcW w:w="30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7"/>
                <w:szCs w:val="17"/>
                <w:color w:val="0000FF"/>
              </w:rPr>
              <w:t>8,307</w:t>
            </w:r>
            <w:r>
              <w:rPr>
                <w:rFonts w:ascii="Arial" w:cs="Arial" w:eastAsia="Arial" w:hAnsi="Arial"/>
                <w:sz w:val="22"/>
                <w:szCs w:val="22"/>
                <w:color w:val="008000"/>
                <w:vertAlign w:val="superscript"/>
              </w:rPr>
              <w:t>(1)</w:t>
            </w:r>
          </w:p>
        </w:tc>
        <w:tc>
          <w:tcPr>
            <w:tcW w:w="420" w:type="dxa"/>
            <w:vAlign w:val="bottom"/>
          </w:tcPr>
          <w:p>
            <w:pPr>
              <w:ind w:left="120"/>
              <w:spacing w:after="0"/>
              <w:rPr>
                <w:sz w:val="20"/>
                <w:szCs w:val="20"/>
                <w:color w:val="auto"/>
              </w:rPr>
            </w:pPr>
            <w:r>
              <w:rPr>
                <w:rFonts w:ascii="Arial" w:cs="Arial" w:eastAsia="Arial" w:hAnsi="Arial"/>
                <w:sz w:val="17"/>
                <w:szCs w:val="17"/>
                <w:color w:val="0000FF"/>
              </w:rPr>
              <w:t>A</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1640" w:type="dxa"/>
            <w:vAlign w:val="bottom"/>
            <w:gridSpan w:val="5"/>
          </w:tcPr>
          <w:p>
            <w:pPr>
              <w:ind w:left="220"/>
              <w:spacing w:after="0"/>
              <w:rPr>
                <w:sz w:val="20"/>
                <w:szCs w:val="20"/>
                <w:color w:val="auto"/>
              </w:rPr>
            </w:pPr>
            <w:r>
              <w:rPr>
                <w:rFonts w:ascii="Arial" w:cs="Arial" w:eastAsia="Arial" w:hAnsi="Arial"/>
                <w:sz w:val="17"/>
                <w:szCs w:val="17"/>
                <w:color w:val="0000FF"/>
              </w:rPr>
              <w:t>16,802,351</w:t>
            </w:r>
            <w:r>
              <w:rPr>
                <w:rFonts w:ascii="Arial" w:cs="Arial" w:eastAsia="Arial" w:hAnsi="Arial"/>
                <w:sz w:val="22"/>
                <w:szCs w:val="22"/>
                <w:color w:val="008000"/>
                <w:vertAlign w:val="superscript"/>
              </w:rPr>
              <w:t>(2)</w:t>
            </w: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2000" w:type="dxa"/>
            <w:vAlign w:val="bottom"/>
            <w:gridSpan w:val="5"/>
          </w:tcPr>
          <w:p>
            <w:pPr>
              <w:ind w:left="20"/>
              <w:spacing w:after="0" w:line="280"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(3)(4)(5)(6)(7)(8)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008000"/>
              </w:rPr>
              <w:t>(9)(10)</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7"/>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3,901 shares held directly by The Column Group III, LP ("TCG III LP") and 4,406 shares held directly by The Column Group III-A, LP ("TCG III-A LP").</w:t>
      </w:r>
    </w:p>
    <w:p>
      <w:pPr>
        <w:spacing w:after="0" w:line="50" w:lineRule="exact"/>
        <w:rPr>
          <w:rFonts w:ascii="Arial" w:cs="Arial" w:eastAsia="Arial" w:hAnsi="Arial"/>
          <w:sz w:val="13"/>
          <w:szCs w:val="13"/>
          <w:color w:val="008000"/>
        </w:rPr>
      </w:pPr>
    </w:p>
    <w:p>
      <w:pPr>
        <w:ind w:left="40" w:right="1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209,196 shares of Common Stock held directly by TCG III LP, 236,248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29"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3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03/06/2020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2020-03-06T16:58:59Z</dcterms:created>
  <dcterms:modified xsi:type="dcterms:W3CDTF">2020-03-06T16:58:59Z</dcterms:modified>
</cp:coreProperties>
</file>