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158750</wp:posOffset>
            </wp:positionV>
            <wp:extent cx="874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178435</wp:posOffset>
            </wp:positionV>
            <wp:extent cx="8743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173990</wp:posOffset>
            </wp:positionV>
            <wp:extent cx="8743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NGM Biopharmaceuticals,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161290</wp:posOffset>
            </wp:positionV>
            <wp:extent cx="874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660" w:type="dxa"/>
        <w:tblCellMar>
          <w:top w:w="0" w:type="dxa"/>
          <w:left w:w="0" w:type="dxa"/>
          <w:bottom w:w="0" w:type="dxa"/>
          <w:right w:w="0" w:type="dxa"/>
        </w:tblCellMar>
      </w:tblPr>
      <w:tr>
        <w:trPr>
          <w:trHeight w:val="222"/>
        </w:trPr>
        <w:tc>
          <w:tcPr>
            <w:tcW w:w="2760" w:type="dxa"/>
            <w:vAlign w:val="bottom"/>
          </w:tcPr>
          <w:p>
            <w:pPr>
              <w:jc w:val="center"/>
              <w:ind w:right="241"/>
              <w:spacing w:after="0"/>
              <w:rPr>
                <w:sz w:val="20"/>
                <w:szCs w:val="20"/>
                <w:color w:val="auto"/>
              </w:rPr>
            </w:pPr>
            <w:r>
              <w:rPr>
                <w:rFonts w:ascii="Arial" w:cs="Arial" w:eastAsia="Arial" w:hAnsi="Arial"/>
                <w:sz w:val="18"/>
                <w:szCs w:val="18"/>
                <w:b w:val="1"/>
                <w:bCs w:val="1"/>
                <w:color w:val="auto"/>
                <w:w w:val="91"/>
              </w:rPr>
              <w:t>Delaware</w:t>
            </w:r>
          </w:p>
        </w:tc>
        <w:tc>
          <w:tcPr>
            <w:tcW w:w="4760" w:type="dxa"/>
            <w:vAlign w:val="bottom"/>
          </w:tcPr>
          <w:p>
            <w:pPr>
              <w:jc w:val="center"/>
              <w:ind w:right="261"/>
              <w:spacing w:after="0"/>
              <w:rPr>
                <w:sz w:val="20"/>
                <w:szCs w:val="20"/>
                <w:color w:val="auto"/>
              </w:rPr>
            </w:pPr>
            <w:r>
              <w:rPr>
                <w:rFonts w:ascii="Arial" w:cs="Arial" w:eastAsia="Arial" w:hAnsi="Arial"/>
                <w:sz w:val="18"/>
                <w:szCs w:val="18"/>
                <w:b w:val="1"/>
                <w:bCs w:val="1"/>
                <w:color w:val="auto"/>
                <w:w w:val="90"/>
              </w:rPr>
              <w:t>001-38853</w:t>
            </w:r>
          </w:p>
        </w:tc>
        <w:tc>
          <w:tcPr>
            <w:tcW w:w="1720" w:type="dxa"/>
            <w:vAlign w:val="bottom"/>
          </w:tcPr>
          <w:p>
            <w:pPr>
              <w:jc w:val="right"/>
              <w:ind w:right="24"/>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76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(State or Other Jurisdiction</w:t>
            </w:r>
          </w:p>
        </w:tc>
        <w:tc>
          <w:tcPr>
            <w:tcW w:w="4760" w:type="dxa"/>
            <w:vAlign w:val="bottom"/>
          </w:tcPr>
          <w:p>
            <w:pPr>
              <w:spacing w:after="0"/>
              <w:rPr>
                <w:sz w:val="12"/>
                <w:szCs w:val="12"/>
                <w:color w:val="auto"/>
              </w:rPr>
            </w:pPr>
          </w:p>
        </w:tc>
        <w:tc>
          <w:tcPr>
            <w:tcW w:w="1720" w:type="dxa"/>
            <w:vAlign w:val="bottom"/>
          </w:tcPr>
          <w:p>
            <w:pPr>
              <w:jc w:val="center"/>
              <w:ind w:left="58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2760" w:type="dxa"/>
            <w:vAlign w:val="bottom"/>
          </w:tcPr>
          <w:p>
            <w:pPr>
              <w:jc w:val="center"/>
              <w:ind w:right="241"/>
              <w:spacing w:after="0"/>
              <w:rPr>
                <w:sz w:val="20"/>
                <w:szCs w:val="20"/>
                <w:color w:val="auto"/>
              </w:rPr>
            </w:pPr>
            <w:r>
              <w:rPr>
                <w:rFonts w:ascii="Arial" w:cs="Arial" w:eastAsia="Arial" w:hAnsi="Arial"/>
                <w:sz w:val="13"/>
                <w:szCs w:val="13"/>
                <w:b w:val="1"/>
                <w:bCs w:val="1"/>
                <w:color w:val="auto"/>
                <w:w w:val="96"/>
              </w:rPr>
              <w:t>of Incorporation)</w:t>
            </w:r>
          </w:p>
        </w:tc>
        <w:tc>
          <w:tcPr>
            <w:tcW w:w="4760" w:type="dxa"/>
            <w:vAlign w:val="bottom"/>
          </w:tcPr>
          <w:p>
            <w:pPr>
              <w:jc w:val="center"/>
              <w:ind w:right="261"/>
              <w:spacing w:after="0"/>
              <w:rPr>
                <w:sz w:val="20"/>
                <w:szCs w:val="20"/>
                <w:color w:val="auto"/>
              </w:rPr>
            </w:pPr>
            <w:r>
              <w:rPr>
                <w:rFonts w:ascii="Arial" w:cs="Arial" w:eastAsia="Arial" w:hAnsi="Arial"/>
                <w:sz w:val="13"/>
                <w:szCs w:val="13"/>
                <w:b w:val="1"/>
                <w:bCs w:val="1"/>
                <w:color w:val="auto"/>
                <w:w w:val="95"/>
              </w:rPr>
              <w:t>(Commission File Number)</w:t>
            </w:r>
          </w:p>
        </w:tc>
        <w:tc>
          <w:tcPr>
            <w:tcW w:w="1720" w:type="dxa"/>
            <w:vAlign w:val="bottom"/>
          </w:tcPr>
          <w:p>
            <w:pPr>
              <w:jc w:val="center"/>
              <w:ind w:left="584"/>
              <w:spacing w:after="0"/>
              <w:rPr>
                <w:sz w:val="20"/>
                <w:szCs w:val="20"/>
                <w:color w:val="auto"/>
              </w:rPr>
            </w:pPr>
            <w:r>
              <w:rPr>
                <w:rFonts w:ascii="Arial" w:cs="Arial" w:eastAsia="Arial" w:hAnsi="Arial"/>
                <w:sz w:val="13"/>
                <w:szCs w:val="13"/>
                <w:b w:val="1"/>
                <w:bCs w:val="1"/>
                <w:color w:val="auto"/>
                <w:w w:val="96"/>
              </w:rPr>
              <w:t>Identification No.)</w:t>
            </w:r>
          </w:p>
        </w:tc>
      </w:tr>
      <w:tr>
        <w:trPr>
          <w:trHeight w:val="401"/>
        </w:trPr>
        <w:tc>
          <w:tcPr>
            <w:tcW w:w="2760" w:type="dxa"/>
            <w:vAlign w:val="bottom"/>
          </w:tcPr>
          <w:p>
            <w:pPr>
              <w:jc w:val="center"/>
              <w:ind w:right="221"/>
              <w:spacing w:after="0"/>
              <w:rPr>
                <w:sz w:val="20"/>
                <w:szCs w:val="20"/>
                <w:color w:val="auto"/>
              </w:rPr>
            </w:pPr>
            <w:r>
              <w:rPr>
                <w:rFonts w:ascii="Arial" w:cs="Arial" w:eastAsia="Arial" w:hAnsi="Arial"/>
                <w:sz w:val="18"/>
                <w:szCs w:val="18"/>
                <w:b w:val="1"/>
                <w:bCs w:val="1"/>
                <w:color w:val="auto"/>
                <w:w w:val="91"/>
              </w:rPr>
              <w:t>333 Oyster Point Boulevard</w:t>
            </w:r>
          </w:p>
        </w:tc>
        <w:tc>
          <w:tcPr>
            <w:tcW w:w="47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2760" w:type="dxa"/>
            <w:vAlign w:val="bottom"/>
          </w:tcPr>
          <w:p>
            <w:pPr>
              <w:jc w:val="center"/>
              <w:ind w:right="221"/>
              <w:spacing w:after="0"/>
              <w:rPr>
                <w:sz w:val="20"/>
                <w:szCs w:val="20"/>
                <w:color w:val="auto"/>
              </w:rPr>
            </w:pPr>
            <w:r>
              <w:rPr>
                <w:rFonts w:ascii="Arial" w:cs="Arial" w:eastAsia="Arial" w:hAnsi="Arial"/>
                <w:sz w:val="18"/>
                <w:szCs w:val="18"/>
                <w:b w:val="1"/>
                <w:bCs w:val="1"/>
                <w:color w:val="auto"/>
                <w:w w:val="90"/>
              </w:rPr>
              <w:t>South San Francisco, California</w:t>
            </w:r>
          </w:p>
        </w:tc>
        <w:tc>
          <w:tcPr>
            <w:tcW w:w="4760" w:type="dxa"/>
            <w:vAlign w:val="bottom"/>
          </w:tcPr>
          <w:p>
            <w:pPr>
              <w:spacing w:after="0"/>
              <w:rPr>
                <w:sz w:val="19"/>
                <w:szCs w:val="19"/>
                <w:color w:val="auto"/>
              </w:rPr>
            </w:pPr>
          </w:p>
        </w:tc>
        <w:tc>
          <w:tcPr>
            <w:tcW w:w="1720" w:type="dxa"/>
            <w:vAlign w:val="bottom"/>
          </w:tcPr>
          <w:p>
            <w:pPr>
              <w:jc w:val="right"/>
              <w:ind w:right="224"/>
              <w:spacing w:after="0"/>
              <w:rPr>
                <w:sz w:val="20"/>
                <w:szCs w:val="20"/>
                <w:color w:val="auto"/>
              </w:rPr>
            </w:pPr>
            <w:r>
              <w:rPr>
                <w:rFonts w:ascii="Arial" w:cs="Arial" w:eastAsia="Arial" w:hAnsi="Arial"/>
                <w:sz w:val="18"/>
                <w:szCs w:val="18"/>
                <w:b w:val="1"/>
                <w:bCs w:val="1"/>
                <w:color w:val="auto"/>
              </w:rPr>
              <w:t>94080</w:t>
            </w:r>
          </w:p>
        </w:tc>
      </w:tr>
      <w:tr>
        <w:trPr>
          <w:trHeight w:val="174"/>
        </w:trPr>
        <w:tc>
          <w:tcPr>
            <w:tcW w:w="2760" w:type="dxa"/>
            <w:vAlign w:val="bottom"/>
          </w:tcPr>
          <w:p>
            <w:pPr>
              <w:jc w:val="center"/>
              <w:ind w:right="2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4760" w:type="dxa"/>
            <w:vAlign w:val="bottom"/>
          </w:tcPr>
          <w:p>
            <w:pPr>
              <w:spacing w:after="0"/>
              <w:rPr>
                <w:sz w:val="15"/>
                <w:szCs w:val="15"/>
                <w:color w:val="auto"/>
              </w:rPr>
            </w:pPr>
          </w:p>
        </w:tc>
        <w:tc>
          <w:tcPr>
            <w:tcW w:w="1720" w:type="dxa"/>
            <w:vAlign w:val="bottom"/>
          </w:tcPr>
          <w:p>
            <w:pPr>
              <w:jc w:val="center"/>
              <w:ind w:left="584"/>
              <w:spacing w:after="0"/>
              <w:rPr>
                <w:sz w:val="20"/>
                <w:szCs w:val="20"/>
                <w:color w:val="auto"/>
              </w:rPr>
            </w:pPr>
            <w:r>
              <w:rPr>
                <w:rFonts w:ascii="Arial" w:cs="Arial" w:eastAsia="Arial" w:hAnsi="Arial"/>
                <w:sz w:val="13"/>
                <w:szCs w:val="13"/>
                <w:b w:val="1"/>
                <w:bCs w:val="1"/>
                <w:color w:val="auto"/>
                <w:w w:val="96"/>
              </w:rPr>
              <w:t>(Zip Code)</w:t>
            </w:r>
          </w:p>
        </w:tc>
      </w:tr>
      <w:tr>
        <w:trPr>
          <w:trHeight w:val="298"/>
        </w:trPr>
        <w:tc>
          <w:tcPr>
            <w:tcW w:w="2760" w:type="dxa"/>
            <w:vAlign w:val="bottom"/>
          </w:tcPr>
          <w:p>
            <w:pPr>
              <w:spacing w:after="0"/>
              <w:rPr>
                <w:sz w:val="24"/>
                <w:szCs w:val="24"/>
                <w:color w:val="auto"/>
              </w:rPr>
            </w:pPr>
          </w:p>
        </w:tc>
        <w:tc>
          <w:tcPr>
            <w:tcW w:w="4760" w:type="dxa"/>
            <w:vAlign w:val="bottom"/>
          </w:tcPr>
          <w:p>
            <w:pPr>
              <w:jc w:val="center"/>
              <w:ind w:right="281"/>
              <w:spacing w:after="0"/>
              <w:rPr>
                <w:sz w:val="20"/>
                <w:szCs w:val="20"/>
                <w:color w:val="auto"/>
              </w:rPr>
            </w:pPr>
            <w:r>
              <w:rPr>
                <w:rFonts w:ascii="Arial" w:cs="Arial" w:eastAsia="Arial" w:hAnsi="Arial"/>
                <w:sz w:val="18"/>
                <w:szCs w:val="18"/>
                <w:b w:val="1"/>
                <w:bCs w:val="1"/>
                <w:color w:val="auto"/>
                <w:w w:val="90"/>
              </w:rPr>
              <w:t>(650) 243-5555</w:t>
            </w:r>
          </w:p>
        </w:tc>
        <w:tc>
          <w:tcPr>
            <w:tcW w:w="1720" w:type="dxa"/>
            <w:vAlign w:val="bottom"/>
          </w:tcPr>
          <w:p>
            <w:pPr>
              <w:spacing w:after="0"/>
              <w:rPr>
                <w:sz w:val="24"/>
                <w:szCs w:val="24"/>
                <w:color w:val="auto"/>
              </w:rPr>
            </w:pPr>
          </w:p>
        </w:tc>
      </w:tr>
      <w:tr>
        <w:trPr>
          <w:trHeight w:val="174"/>
        </w:trPr>
        <w:tc>
          <w:tcPr>
            <w:tcW w:w="2760" w:type="dxa"/>
            <w:vAlign w:val="bottom"/>
          </w:tcPr>
          <w:p>
            <w:pPr>
              <w:spacing w:after="0"/>
              <w:rPr>
                <w:sz w:val="15"/>
                <w:szCs w:val="15"/>
                <w:color w:val="auto"/>
              </w:rPr>
            </w:pPr>
          </w:p>
        </w:tc>
        <w:tc>
          <w:tcPr>
            <w:tcW w:w="4760" w:type="dxa"/>
            <w:vAlign w:val="bottom"/>
          </w:tcPr>
          <w:p>
            <w:pPr>
              <w:jc w:val="center"/>
              <w:ind w:right="261"/>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1720" w:type="dxa"/>
            <w:vAlign w:val="bottom"/>
          </w:tcPr>
          <w:p>
            <w:pPr>
              <w:spacing w:after="0"/>
              <w:rPr>
                <w:sz w:val="15"/>
                <w:szCs w:val="15"/>
                <w:color w:val="auto"/>
              </w:rPr>
            </w:pPr>
          </w:p>
        </w:tc>
      </w:tr>
      <w:tr>
        <w:trPr>
          <w:trHeight w:val="298"/>
        </w:trPr>
        <w:tc>
          <w:tcPr>
            <w:tcW w:w="2760" w:type="dxa"/>
            <w:vAlign w:val="bottom"/>
          </w:tcPr>
          <w:p>
            <w:pPr>
              <w:spacing w:after="0"/>
              <w:rPr>
                <w:sz w:val="24"/>
                <w:szCs w:val="24"/>
                <w:color w:val="auto"/>
              </w:rPr>
            </w:pPr>
          </w:p>
        </w:tc>
        <w:tc>
          <w:tcPr>
            <w:tcW w:w="476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Not Applicable</w:t>
            </w:r>
          </w:p>
        </w:tc>
        <w:tc>
          <w:tcPr>
            <w:tcW w:w="1720" w:type="dxa"/>
            <w:vAlign w:val="bottom"/>
          </w:tcPr>
          <w:p>
            <w:pPr>
              <w:spacing w:after="0"/>
              <w:rPr>
                <w:sz w:val="24"/>
                <w:szCs w:val="24"/>
                <w:color w:val="auto"/>
              </w:rPr>
            </w:pPr>
          </w:p>
        </w:tc>
      </w:tr>
      <w:tr>
        <w:trPr>
          <w:trHeight w:val="174"/>
        </w:trPr>
        <w:tc>
          <w:tcPr>
            <w:tcW w:w="2760" w:type="dxa"/>
            <w:vAlign w:val="bottom"/>
          </w:tcPr>
          <w:p>
            <w:pPr>
              <w:spacing w:after="0"/>
              <w:rPr>
                <w:sz w:val="15"/>
                <w:szCs w:val="15"/>
                <w:color w:val="auto"/>
              </w:rPr>
            </w:pPr>
          </w:p>
        </w:tc>
        <w:tc>
          <w:tcPr>
            <w:tcW w:w="4760" w:type="dxa"/>
            <w:vAlign w:val="bottom"/>
          </w:tcPr>
          <w:p>
            <w:pPr>
              <w:jc w:val="center"/>
              <w:ind w:right="261"/>
              <w:spacing w:after="0"/>
              <w:rPr>
                <w:sz w:val="20"/>
                <w:szCs w:val="20"/>
                <w:color w:val="auto"/>
              </w:rPr>
            </w:pPr>
            <w:r>
              <w:rPr>
                <w:rFonts w:ascii="Arial" w:cs="Arial" w:eastAsia="Arial" w:hAnsi="Arial"/>
                <w:sz w:val="13"/>
                <w:szCs w:val="13"/>
                <w:b w:val="1"/>
                <w:bCs w:val="1"/>
                <w:color w:val="auto"/>
                <w:w w:val="95"/>
              </w:rPr>
              <w:t>(Former Name or Former Address, if Changed Since Last Report)</w:t>
            </w:r>
          </w:p>
        </w:tc>
        <w:tc>
          <w:tcPr>
            <w:tcW w:w="17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3133725</wp:posOffset>
            </wp:positionH>
            <wp:positionV relativeFrom="paragraph">
              <wp:posOffset>111760</wp:posOffset>
            </wp:positionV>
            <wp:extent cx="874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31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Trading</w:t>
            </w:r>
          </w:p>
        </w:tc>
        <w:tc>
          <w:tcPr>
            <w:tcW w:w="5000" w:type="dxa"/>
            <w:vAlign w:val="bottom"/>
          </w:tcPr>
          <w:p>
            <w:pPr>
              <w:spacing w:after="0"/>
              <w:rPr>
                <w:sz w:val="12"/>
                <w:szCs w:val="12"/>
                <w:color w:val="auto"/>
              </w:rPr>
            </w:pPr>
          </w:p>
        </w:tc>
      </w:tr>
      <w:tr>
        <w:trPr>
          <w:trHeight w:val="185"/>
        </w:trPr>
        <w:tc>
          <w:tcPr>
            <w:tcW w:w="4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Symbol(s)</w:t>
            </w:r>
          </w:p>
        </w:tc>
        <w:tc>
          <w:tcPr>
            <w:tcW w:w="50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4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40" w:type="dxa"/>
            <w:vAlign w:val="bottom"/>
          </w:tcPr>
          <w:p>
            <w:pPr>
              <w:spacing w:after="0"/>
              <w:rPr>
                <w:sz w:val="19"/>
                <w:szCs w:val="19"/>
                <w:color w:val="auto"/>
              </w:rPr>
            </w:pPr>
          </w:p>
        </w:tc>
        <w:tc>
          <w:tcPr>
            <w:tcW w:w="5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4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ind w:right="8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56" w:lineRule="exact"/>
        <w:rPr>
          <w:sz w:val="20"/>
          <w:szCs w:val="20"/>
          <w:color w:val="auto"/>
        </w:rPr>
      </w:pPr>
    </w:p>
    <w:p>
      <w:pPr>
        <w:ind w:right="300"/>
        <w:spacing w:after="0" w:line="263" w:lineRule="auto"/>
        <w:rPr>
          <w:sz w:val="20"/>
          <w:szCs w:val="20"/>
          <w:color w:val="auto"/>
        </w:rPr>
      </w:pPr>
      <w:r>
        <w:rPr>
          <w:rFonts w:ascii="Arial" w:cs="Arial" w:eastAsia="Arial" w:hAnsi="Arial"/>
          <w:sz w:val="19"/>
          <w:szCs w:val="19"/>
          <w:color w:val="auto"/>
        </w:rPr>
        <w:t>On May 20, 2020,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NGM Biopharmaceuticals,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appointed Siobhan Nolan Mangini as the Company’s Chief Financial Officer effective as of July 13, 2020 (the “</w:t>
      </w:r>
      <w:r>
        <w:rPr>
          <w:rFonts w:ascii="Arial" w:cs="Arial" w:eastAsia="Arial" w:hAnsi="Arial"/>
          <w:sz w:val="19"/>
          <w:szCs w:val="19"/>
          <w:b w:val="1"/>
          <w:bCs w:val="1"/>
          <w:i w:val="1"/>
          <w:iCs w:val="1"/>
          <w:color w:val="auto"/>
        </w:rPr>
        <w:t>Start Date</w:t>
      </w:r>
      <w:r>
        <w:rPr>
          <w:rFonts w:ascii="Arial" w:cs="Arial" w:eastAsia="Arial" w:hAnsi="Arial"/>
          <w:sz w:val="19"/>
          <w:szCs w:val="19"/>
          <w:color w:val="auto"/>
        </w:rPr>
        <w:t>”). On the Start Date, Ms. Nolan Mangini will assume the duties and responsibilities of the Company’s principal financial and accounting officer from David J. Woodhouse, the Company’s Chief Executive Officer, who has been serving as the Company’s acting chief financial officer.</w:t>
      </w:r>
    </w:p>
    <w:p>
      <w:pPr>
        <w:spacing w:after="0" w:line="149"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Ms. Nolan Mangini, age 39, served in various roles at Castlight Health, Inc. from 2012 to February 2020, most recently as President from December 2019 to February 2020 and President and Chief Financial Officer from July 2019 to December 2019. Prior to that, she served as Chief Financial Officer, from July 2016 to July 2019; Vice President, Finance &amp; Business Operations, from October 2015 to July 2016; Senior Director, Financial Planning &amp; Business Operations, from November 2014 to September 2015; and Director, Strategy &amp; Business Development, from February 2012 to November 2014. Prior to joining Castlight Health, she worked at Bain &amp; Company, a management consulting company, from 2009 to January 2012, working in the health care and private equity practices. Ms. Nolan Mangini holds a B.S. in Economics from The Wharton School at University of Pennsylvania, an M.B.A. from the Graduate School of Business at Stanford University, and an M.P.A. from The Kennedy School of Government at Harvard University.</w:t>
      </w:r>
    </w:p>
    <w:p>
      <w:pPr>
        <w:spacing w:after="0" w:line="167" w:lineRule="exact"/>
        <w:rPr>
          <w:sz w:val="20"/>
          <w:szCs w:val="20"/>
          <w:color w:val="auto"/>
        </w:rPr>
      </w:pPr>
    </w:p>
    <w:p>
      <w:pPr>
        <w:jc w:val="both"/>
        <w:ind w:right="60"/>
        <w:spacing w:after="0" w:line="282" w:lineRule="auto"/>
        <w:rPr>
          <w:sz w:val="20"/>
          <w:szCs w:val="20"/>
          <w:color w:val="auto"/>
        </w:rPr>
      </w:pPr>
      <w:r>
        <w:rPr>
          <w:rFonts w:ascii="Arial" w:cs="Arial" w:eastAsia="Arial" w:hAnsi="Arial"/>
          <w:sz w:val="18"/>
          <w:szCs w:val="18"/>
          <w:color w:val="auto"/>
        </w:rPr>
        <w:t>In connection with Ms. Nolan Mangini’s appointment as Chief Financial Officer, the Company and Ms. Nolan Mangini entered into an Offer Letter Agreement, dated May 20, 2020 (the “</w:t>
      </w:r>
      <w:r>
        <w:rPr>
          <w:rFonts w:ascii="Arial" w:cs="Arial" w:eastAsia="Arial" w:hAnsi="Arial"/>
          <w:sz w:val="18"/>
          <w:szCs w:val="18"/>
          <w:b w:val="1"/>
          <w:bCs w:val="1"/>
          <w:i w:val="1"/>
          <w:iCs w:val="1"/>
          <w:color w:val="auto"/>
        </w:rPr>
        <w:t>Offer Letter</w:t>
      </w:r>
      <w:r>
        <w:rPr>
          <w:rFonts w:ascii="Arial" w:cs="Arial" w:eastAsia="Arial" w:hAnsi="Arial"/>
          <w:sz w:val="18"/>
          <w:szCs w:val="18"/>
          <w:color w:val="auto"/>
        </w:rPr>
        <w:t>”). Pursuant to the terms of the Offer Letter, Ms. Nolan Mangini is employed on an “at-will” basis and is entitled to an initial annual base salary of $425,000 per year and a one-time sign-on bonus of $75,000 (subject to a pro-rated repayment if Ms. Nolan Mangini voluntarily resigns from her employment with the Company within two years of the Start Date).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Offer Letter also provides for the grant of a stock option to purchase 300,000 shares of the Company’s common stock with an exercise price per share equal to 100% of the fair market value of the Company’s common stock on the date of grant. Such stock option will be subject to a four-year vesting schedule with 25% of the shares subject to the option vesting upon Ms. Nolan Mangini’s completion of one year of service measured from the Start Date and the balance of the shares vesting monthly thereafter for the next three years. Such stock option will be granted under the Company’s Amended and Restated 2018 Equity Incentive Plan. The Offer Letter also provides that if, on or within 18 months after the effective date of a change in control, Ms. Nolan Mangini’s employment is terminated without cause and other than a result of her death or disability, or she resigns for good reason, she will receive the following severance benefits: (i) continuation of her base salary for a six-month period, (ii) payment of premiums of health insurance benefits for up to six months and (iii) full vesting acceleration of any unvested outstanding equity awards.</w:t>
      </w:r>
    </w:p>
    <w:p>
      <w:pPr>
        <w:spacing w:after="0" w:line="157"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foregoing description of the Offer Letter is only a summary and it is qualified in its entirety by the Offer Letter, a copy of which will be filed as an exhibit to the Company’s Quarterly Report on Form 10-Q for the quarter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2" w:name="page3"/>
    <w:bookmarkEnd w:id="2"/>
    <w:p>
      <w:pPr>
        <w:spacing w:after="0"/>
        <w:tabs>
          <w:tab w:leader="none" w:pos="142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On May 20, 2020, the Company held its 2020 annual meeting of stockholders (the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The following is a brief description of each matter voted on at the Annual Meeting, as well as the number of votes cast for and against each matter, and if applicable, the number of abstentions and broker non-votes with respect to each matter. A more complete description of each matter can be found in the Company’s definitive proxy statement filed with the U.S. Securities and Exchange Commission on April 8, 2020. An archived version of the Annual Meeting webcast will be available for one year on the “Investors &amp; Media” section of the Company’s website.</w:t>
      </w:r>
    </w:p>
    <w:p>
      <w:pPr>
        <w:spacing w:after="0" w:line="178" w:lineRule="exact"/>
        <w:rPr>
          <w:sz w:val="20"/>
          <w:szCs w:val="20"/>
          <w:color w:val="auto"/>
        </w:rPr>
      </w:pPr>
    </w:p>
    <w:p>
      <w:pPr>
        <w:ind w:left="860" w:hanging="852"/>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b w:val="1"/>
          <w:bCs w:val="1"/>
          <w:i w:val="1"/>
          <w:iCs w:val="1"/>
          <w:color w:val="auto"/>
        </w:rPr>
        <w:t>Election of Directors</w:t>
      </w:r>
    </w:p>
    <w:p>
      <w:pPr>
        <w:spacing w:after="0" w:line="223"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Director Name</w:t>
            </w:r>
          </w:p>
        </w:tc>
        <w:tc>
          <w:tcPr>
            <w:tcW w:w="16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Votes For</w:t>
            </w: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Votes Withheld</w:t>
            </w: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Broker Non-Votes</w:t>
            </w:r>
          </w:p>
        </w:tc>
      </w:tr>
      <w:tr>
        <w:trPr>
          <w:trHeight w:val="195"/>
        </w:trPr>
        <w:tc>
          <w:tcPr>
            <w:tcW w:w="2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200" w:type="dxa"/>
            <w:vAlign w:val="bottom"/>
          </w:tcPr>
          <w:p>
            <w:pPr>
              <w:spacing w:after="0"/>
              <w:rPr>
                <w:sz w:val="16"/>
                <w:szCs w:val="16"/>
                <w:color w:val="auto"/>
              </w:rPr>
            </w:pP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34,591,781</w:t>
            </w:r>
          </w:p>
        </w:tc>
        <w:tc>
          <w:tcPr>
            <w:tcW w:w="220" w:type="dxa"/>
            <w:vAlign w:val="bottom"/>
          </w:tcPr>
          <w:p>
            <w:pPr>
              <w:spacing w:after="0"/>
              <w:rPr>
                <w:sz w:val="16"/>
                <w:szCs w:val="16"/>
                <w:color w:val="auto"/>
              </w:rPr>
            </w:pPr>
          </w:p>
        </w:tc>
        <w:tc>
          <w:tcPr>
            <w:tcW w:w="14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131,772</w:t>
            </w:r>
          </w:p>
        </w:tc>
        <w:tc>
          <w:tcPr>
            <w:tcW w:w="220" w:type="dxa"/>
            <w:vAlign w:val="bottom"/>
          </w:tcPr>
          <w:p>
            <w:pPr>
              <w:spacing w:after="0"/>
              <w:rPr>
                <w:sz w:val="16"/>
                <w:szCs w:val="16"/>
                <w:color w:val="auto"/>
              </w:rPr>
            </w:pPr>
          </w:p>
        </w:tc>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5,892,202</w:t>
            </w:r>
          </w:p>
        </w:tc>
        <w:tc>
          <w:tcPr>
            <w:tcW w:w="20" w:type="dxa"/>
            <w:vAlign w:val="bottom"/>
          </w:tcPr>
          <w:p>
            <w:pPr>
              <w:spacing w:after="0"/>
              <w:rPr>
                <w:sz w:val="16"/>
                <w:szCs w:val="16"/>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Mark Leschly</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33,390,748</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1,332,805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5,892,202</w:t>
            </w: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William J. Rieflin</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33,038,154</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1,685,399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5,892,202</w:t>
            </w:r>
          </w:p>
        </w:tc>
      </w:tr>
    </w:tbl>
    <w:p>
      <w:pPr>
        <w:spacing w:after="0" w:line="13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Class I director nominees were elected to hold office until the Company’s 2023 annual meeting of stockholders and until their successors are duly elected and qualified.</w:t>
      </w:r>
    </w:p>
    <w:p>
      <w:pPr>
        <w:spacing w:after="0" w:line="190" w:lineRule="exact"/>
        <w:rPr>
          <w:sz w:val="20"/>
          <w:szCs w:val="20"/>
          <w:color w:val="auto"/>
        </w:rPr>
      </w:pPr>
    </w:p>
    <w:p>
      <w:pPr>
        <w:ind w:left="860" w:hanging="852"/>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b w:val="1"/>
          <w:bCs w:val="1"/>
          <w:i w:val="1"/>
          <w:iCs w:val="1"/>
          <w:color w:val="auto"/>
        </w:rPr>
        <w:t>Ratification of Selection of Independent Registered Public Accounting Firm</w:t>
      </w:r>
    </w:p>
    <w:p>
      <w:pPr>
        <w:spacing w:after="0" w:line="223"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Firm</w:t>
            </w:r>
          </w:p>
        </w:tc>
        <w:tc>
          <w:tcPr>
            <w:tcW w:w="1680" w:type="dxa"/>
            <w:vAlign w:val="bottom"/>
            <w:gridSpan w:val="2"/>
          </w:tcPr>
          <w:p>
            <w:pPr>
              <w:ind w:left="440"/>
              <w:spacing w:after="0"/>
              <w:rPr>
                <w:sz w:val="20"/>
                <w:szCs w:val="20"/>
                <w:color w:val="auto"/>
              </w:rPr>
            </w:pPr>
            <w:r>
              <w:rPr>
                <w:rFonts w:ascii="Arial" w:cs="Arial" w:eastAsia="Arial" w:hAnsi="Arial"/>
                <w:sz w:val="14"/>
                <w:szCs w:val="14"/>
                <w:b w:val="1"/>
                <w:bCs w:val="1"/>
                <w:color w:val="auto"/>
              </w:rPr>
              <w:t>Votes For</w:t>
            </w:r>
          </w:p>
        </w:tc>
        <w:tc>
          <w:tcPr>
            <w:tcW w:w="1620" w:type="dxa"/>
            <w:vAlign w:val="bottom"/>
            <w:gridSpan w:val="2"/>
          </w:tcPr>
          <w:p>
            <w:pPr>
              <w:ind w:left="280"/>
              <w:spacing w:after="0"/>
              <w:rPr>
                <w:sz w:val="20"/>
                <w:szCs w:val="20"/>
                <w:color w:val="auto"/>
              </w:rPr>
            </w:pPr>
            <w:r>
              <w:rPr>
                <w:rFonts w:ascii="Arial" w:cs="Arial" w:eastAsia="Arial" w:hAnsi="Arial"/>
                <w:sz w:val="14"/>
                <w:szCs w:val="14"/>
                <w:b w:val="1"/>
                <w:bCs w:val="1"/>
                <w:color w:val="auto"/>
              </w:rPr>
              <w:t>Votes Against</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Abstentions</w:t>
            </w:r>
          </w:p>
        </w:tc>
      </w:tr>
      <w:tr>
        <w:trPr>
          <w:trHeight w:val="224"/>
        </w:trPr>
        <w:tc>
          <w:tcPr>
            <w:tcW w:w="20" w:type="dxa"/>
            <w:vAlign w:val="bottom"/>
          </w:tcPr>
          <w:p>
            <w:pPr>
              <w:spacing w:after="0"/>
              <w:rPr>
                <w:sz w:val="19"/>
                <w:szCs w:val="19"/>
                <w:color w:val="auto"/>
              </w:rPr>
            </w:pPr>
          </w:p>
        </w:tc>
        <w:tc>
          <w:tcPr>
            <w:tcW w:w="4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Ernst &amp; Young LLP</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40,364,441</w:t>
            </w:r>
          </w:p>
        </w:tc>
        <w:tc>
          <w:tcPr>
            <w:tcW w:w="2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164,158</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87,156</w:t>
            </w:r>
          </w:p>
        </w:tc>
        <w:tc>
          <w:tcPr>
            <w:tcW w:w="20" w:type="dxa"/>
            <w:vAlign w:val="bottom"/>
          </w:tcPr>
          <w:p>
            <w:pPr>
              <w:spacing w:after="0"/>
              <w:rPr>
                <w:sz w:val="19"/>
                <w:szCs w:val="19"/>
                <w:color w:val="auto"/>
              </w:rPr>
            </w:pPr>
          </w:p>
        </w:tc>
      </w:tr>
    </w:tbl>
    <w:p>
      <w:pPr>
        <w:spacing w:after="0" w:line="198"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Company’s stockholders ratified the appointment of Ernst &amp; Young LLP as the Company’s independent registered public accounting firm for the fiscal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586105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3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60" w:type="dxa"/>
            <w:vAlign w:val="bottom"/>
          </w:tcPr>
          <w:p>
            <w:pPr>
              <w:spacing w:after="0"/>
              <w:rPr>
                <w:sz w:val="22"/>
                <w:szCs w:val="22"/>
                <w:color w:val="auto"/>
              </w:rPr>
            </w:pPr>
          </w:p>
        </w:tc>
        <w:tc>
          <w:tcPr>
            <w:tcW w:w="7780" w:type="dxa"/>
            <w:vAlign w:val="bottom"/>
            <w:gridSpan w:val="2"/>
          </w:tcPr>
          <w:p>
            <w:pPr>
              <w:ind w:left="1780"/>
              <w:spacing w:after="0"/>
              <w:rPr>
                <w:sz w:val="20"/>
                <w:szCs w:val="20"/>
                <w:color w:val="auto"/>
              </w:rPr>
            </w:pPr>
            <w:r>
              <w:rPr>
                <w:rFonts w:ascii="Arial" w:cs="Arial" w:eastAsia="Arial" w:hAnsi="Arial"/>
                <w:sz w:val="20"/>
                <w:szCs w:val="20"/>
                <w:b w:val="1"/>
                <w:bCs w:val="1"/>
                <w:color w:val="auto"/>
              </w:rPr>
              <w:t>NGM Biopharmaceuticals, Inc.</w:t>
            </w:r>
          </w:p>
        </w:tc>
      </w:tr>
      <w:tr>
        <w:trPr>
          <w:trHeight w:val="914"/>
        </w:trPr>
        <w:tc>
          <w:tcPr>
            <w:tcW w:w="3460" w:type="dxa"/>
            <w:vAlign w:val="bottom"/>
          </w:tcPr>
          <w:p>
            <w:pPr>
              <w:spacing w:after="0"/>
              <w:rPr>
                <w:sz w:val="20"/>
                <w:szCs w:val="20"/>
                <w:color w:val="auto"/>
              </w:rPr>
            </w:pPr>
            <w:r>
              <w:rPr>
                <w:rFonts w:ascii="Arial" w:cs="Arial" w:eastAsia="Arial" w:hAnsi="Arial"/>
                <w:sz w:val="20"/>
                <w:szCs w:val="20"/>
                <w:color w:val="auto"/>
              </w:rPr>
              <w:t>Dated: May 27, 2020</w:t>
            </w:r>
          </w:p>
        </w:tc>
        <w:tc>
          <w:tcPr>
            <w:tcW w:w="7780" w:type="dxa"/>
            <w:vAlign w:val="bottom"/>
            <w:gridSpan w:val="2"/>
          </w:tcPr>
          <w:p>
            <w:pPr>
              <w:ind w:left="1780"/>
              <w:spacing w:after="0"/>
              <w:rPr>
                <w:sz w:val="20"/>
                <w:szCs w:val="20"/>
                <w:color w:val="auto"/>
              </w:rPr>
            </w:pPr>
            <w:r>
              <w:rPr>
                <w:rFonts w:ascii="Arial" w:cs="Arial" w:eastAsia="Arial" w:hAnsi="Arial"/>
                <w:sz w:val="20"/>
                <w:szCs w:val="20"/>
                <w:color w:val="auto"/>
              </w:rPr>
              <w:t>By: /s/ Valerie Pierce</w:t>
            </w:r>
          </w:p>
        </w:tc>
      </w:tr>
      <w:tr>
        <w:trPr>
          <w:trHeight w:val="206"/>
        </w:trPr>
        <w:tc>
          <w:tcPr>
            <w:tcW w:w="34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Valerie Pierce</w:t>
            </w:r>
          </w:p>
        </w:tc>
      </w:tr>
      <w:tr>
        <w:trPr>
          <w:trHeight w:val="250"/>
        </w:trPr>
        <w:tc>
          <w:tcPr>
            <w:tcW w:w="34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5640" w:type="dxa"/>
            <w:vAlign w:val="bottom"/>
          </w:tcPr>
          <w:p>
            <w:pPr>
              <w:spacing w:after="0"/>
              <w:rPr>
                <w:sz w:val="20"/>
                <w:szCs w:val="20"/>
                <w:color w:val="auto"/>
              </w:rPr>
            </w:pPr>
            <w:r>
              <w:rPr>
                <w:rFonts w:ascii="Arial" w:cs="Arial" w:eastAsia="Arial" w:hAnsi="Arial"/>
                <w:sz w:val="20"/>
                <w:szCs w:val="20"/>
                <w:i w:val="1"/>
                <w:iCs w:val="1"/>
                <w:color w:val="auto"/>
              </w:rPr>
              <w:t>Senior Vice President and General Counsel</w:t>
            </w:r>
          </w:p>
        </w:tc>
      </w:tr>
    </w:tbl>
    <w:p>
      <w:pPr>
        <w:spacing w:after="0" w:line="1" w:lineRule="exact"/>
        <w:rPr>
          <w:sz w:val="20"/>
          <w:szCs w:val="20"/>
          <w:color w:val="auto"/>
        </w:rPr>
      </w:pP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2020-05-27T15:14:49Z</dcterms:created>
  <dcterms:modified xsi:type="dcterms:W3CDTF">2020-05-27T15:14:49Z</dcterms:modified>
</cp:coreProperties>
</file>