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-3810</wp:posOffset>
            </wp:positionV>
            <wp:extent cx="138430" cy="186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6690"/>
                    </a:xfrm>
                    <a:prstGeom prst="rect">
                      <a:avLst/>
                    </a:prstGeom>
                    <a:noFill/>
                  </pic:spPr>
                </pic:pic>
              </a:graphicData>
            </a:graphic>
          </wp:anchor>
        </w:drawing>
      </w:r>
    </w:p>
    <w:p>
      <w:pPr>
        <w:jc w:val="both"/>
        <w:ind w:left="340" w:right="340" w:hanging="262"/>
        <w:spacing w:after="0" w:line="182"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3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735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35076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00" w:space="380"/>
            <w:col w:w="850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Lieu Hsiao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NGM BIOPHARMACEUTICALS,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NGM BIOPHARMACEUTICALS INC </w:t>
              </w:r>
            </w:hyperlink>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0"/>
                <w:szCs w:val="20"/>
                <w:color w:val="000000"/>
              </w:rPr>
              <w:t>]</w:t>
            </w: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215"/>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04/05/2024</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715"/>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715"/>
              <w:spacing w:after="0"/>
              <w:rPr>
                <w:sz w:val="20"/>
                <w:szCs w:val="20"/>
                <w:color w:val="auto"/>
              </w:rPr>
            </w:pPr>
            <w:r>
              <w:rPr>
                <w:rFonts w:ascii="Times New Roman" w:cs="Times New Roman" w:eastAsia="Times New Roman" w:hAnsi="Times New Roman"/>
                <w:sz w:val="17"/>
                <w:szCs w:val="17"/>
                <w:color w:val="0000FF"/>
                <w:w w:val="95"/>
              </w:rPr>
              <w:t>04/05/2024</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U</w:t>
            </w:r>
          </w:p>
        </w:tc>
        <w:tc>
          <w:tcPr>
            <w:tcW w:w="220" w:type="dxa"/>
            <w:vAlign w:val="bottom"/>
          </w:tcPr>
          <w:p>
            <w:pPr>
              <w:spacing w:after="0"/>
              <w:rPr>
                <w:sz w:val="22"/>
                <w:szCs w:val="22"/>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19,349</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39,750</w:t>
            </w:r>
          </w:p>
        </w:tc>
        <w:tc>
          <w:tcPr>
            <w:tcW w:w="74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39,750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0.84</w:t>
            </w:r>
            <w:r>
              <w:rPr>
                <w:rFonts w:ascii="Times New Roman" w:cs="Times New Roman" w:eastAsia="Times New Roman" w:hAnsi="Times New Roman"/>
                <w:sz w:val="10"/>
                <w:szCs w:val="10"/>
                <w:color w:val="008000"/>
                <w:w w:val="90"/>
              </w:rPr>
              <w:t>(1)(4)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19"/>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9"/>
              </w:rPr>
              <w:t>190,000</w:t>
            </w: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03/18/2029</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7"/>
              </w:rPr>
              <w:t>190,000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(1)(4)</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line="268" w:lineRule="exact"/>
              <w:rPr>
                <w:sz w:val="20"/>
                <w:szCs w:val="20"/>
                <w:color w:val="auto"/>
              </w:rPr>
            </w:pPr>
            <w:r>
              <w:rPr>
                <w:rFonts w:ascii="Arial" w:cs="Arial" w:eastAsia="Arial" w:hAnsi="Arial"/>
                <w:sz w:val="22"/>
                <w:szCs w:val="22"/>
                <w:color w:val="000000"/>
                <w:w w:val="82"/>
                <w:vertAlign w:val="subscript"/>
              </w:rPr>
              <w:t>$</w:t>
            </w:r>
            <w:r>
              <w:rPr>
                <w:rFonts w:ascii="Times New Roman" w:cs="Times New Roman" w:eastAsia="Times New Roman" w:hAnsi="Times New Roman"/>
                <w:sz w:val="25"/>
                <w:szCs w:val="25"/>
                <w:color w:val="0000FF"/>
                <w:w w:val="82"/>
                <w:vertAlign w:val="subscript"/>
              </w:rPr>
              <w:t>0.84</w:t>
            </w:r>
            <w:r>
              <w:rPr>
                <w:rFonts w:ascii="Times New Roman" w:cs="Times New Roman" w:eastAsia="Times New Roman" w:hAnsi="Times New Roman"/>
                <w:sz w:val="11"/>
                <w:szCs w:val="11"/>
                <w:color w:val="008000"/>
                <w:w w:val="82"/>
              </w:rPr>
              <w:t>(1)(4)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74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02/03/2030</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25,000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0.84</w:t>
            </w:r>
            <w:r>
              <w:rPr>
                <w:rFonts w:ascii="Times New Roman" w:cs="Times New Roman" w:eastAsia="Times New Roman" w:hAnsi="Times New Roman"/>
                <w:sz w:val="10"/>
                <w:szCs w:val="10"/>
                <w:color w:val="008000"/>
                <w:w w:val="90"/>
              </w:rPr>
              <w:t>(1)(4)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19"/>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9"/>
              </w:rPr>
              <w:t>100,000</w:t>
            </w: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03/16/2031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7"/>
              </w:rPr>
              <w:t>100,000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(1)(4)</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0.84</w:t>
            </w:r>
            <w:r>
              <w:rPr>
                <w:rFonts w:ascii="Times New Roman" w:cs="Times New Roman" w:eastAsia="Times New Roman" w:hAnsi="Times New Roman"/>
                <w:sz w:val="10"/>
                <w:szCs w:val="10"/>
                <w:color w:val="008000"/>
                <w:w w:val="90"/>
              </w:rPr>
              <w:t>(1)(4)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19"/>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9"/>
              </w:rPr>
              <w:t>150,000</w:t>
            </w: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03/02/2032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7"/>
              </w:rPr>
              <w:t>150,000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(1)(4)</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0.84</w:t>
            </w:r>
            <w:r>
              <w:rPr>
                <w:rFonts w:ascii="Times New Roman" w:cs="Times New Roman" w:eastAsia="Times New Roman" w:hAnsi="Times New Roman"/>
                <w:sz w:val="10"/>
                <w:szCs w:val="10"/>
                <w:color w:val="008000"/>
                <w:w w:val="90"/>
              </w:rPr>
              <w:t>(1)(4)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19"/>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9"/>
              </w:rPr>
              <w:t>150,000</w:t>
            </w: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11/03/2032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7"/>
              </w:rPr>
              <w:t>150,000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(1)(4)</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4.36</w:t>
            </w:r>
            <w:r>
              <w:rPr>
                <w:rFonts w:ascii="Times New Roman" w:cs="Times New Roman" w:eastAsia="Times New Roman" w:hAnsi="Times New Roman"/>
                <w:sz w:val="10"/>
                <w:szCs w:val="10"/>
                <w:color w:val="008000"/>
                <w:w w:val="90"/>
              </w:rPr>
              <w:t>(1)(4)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19"/>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9"/>
              </w:rPr>
              <w:t>159,000</w:t>
            </w: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03/01/2033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7"/>
              </w:rPr>
              <w:t>159,000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(1)(4)</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of pursuant to the terms of the Agreement and Plan of Merger entered into by and among the Issuer, Atlas Neon Parent, Inc. ("Parent") and Atlas Neon Merger Sub, Inc., a wholly-owned subsidiary of Parent ("Purchaser"), dated as of February 25,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Pursuant to the Merger Agreement, as of the Effective Time, each outstanding Restricted Stock Unit was canceled and the holder of such canceled Restricted Stock Unit was entitled to receive an amount in cash, without interest and less any withholding of taxes, equal to the Offer Price.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do not have an expiration date.</w:t>
      </w:r>
    </w:p>
    <w:p>
      <w:pPr>
        <w:spacing w:after="0" w:line="41" w:lineRule="exact"/>
        <w:rPr>
          <w:rFonts w:ascii="Times New Roman" w:cs="Times New Roman" w:eastAsia="Times New Roman" w:hAnsi="Times New Roman"/>
          <w:sz w:val="13"/>
          <w:szCs w:val="13"/>
          <w:color w:val="008000"/>
        </w:rPr>
      </w:pPr>
    </w:p>
    <w:p>
      <w:pPr>
        <w:ind w:left="40" w:right="18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the vesting of each outstanding unvested Stock Option that had a per share exercise price that was less than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Valerie Pierce, Attorney-in-</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04/05/2024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8482"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2024-04-08T15:19:32Z</dcterms:created>
  <dcterms:modified xsi:type="dcterms:W3CDTF">2024-04-08T15:19:32Z</dcterms:modified>
</cp:coreProperties>
</file>