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color w:val="000000"/>
          <w:sz w:val="26"/>
        </w:rPr>
      </w:pPr>
      <w:r>
        <w:rPr>
          <w:rFonts w:ascii="Arial;sans-serif" w:hAnsi="Arial;sans-serif"/>
          <w:b/>
          <w:color w:val="000000"/>
          <w:sz w:val="26"/>
        </w:rPr>
        <w:t>UNITED STATES</w:t>
      </w:r>
    </w:p>
    <w:p>
      <w:pPr>
        <w:pStyle w:val="TextBody"/>
        <w:spacing w:lineRule="auto" w:line="288" w:before="0" w:after="0"/>
        <w:jc w:val="center"/>
        <w:rPr>
          <w:rFonts w:ascii="Arial;sans-serif" w:hAnsi="Arial;sans-serif"/>
          <w:b/>
          <w:color w:val="000000"/>
          <w:sz w:val="26"/>
        </w:rPr>
      </w:pPr>
      <w:r>
        <w:rPr>
          <w:rFonts w:ascii="Arial;sans-serif" w:hAnsi="Arial;sans-serif"/>
          <w:b/>
          <w:color w:val="000000"/>
          <w:sz w:val="26"/>
        </w:rPr>
        <w:t>SECURITIES AND EXCHANGE COMMISSION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spacing w:lineRule="auto" w:line="288" w:before="120" w:after="283"/>
        <w:jc w:val="center"/>
        <w:rPr>
          <w:rFonts w:ascii="Arial;sans-serif" w:hAnsi="Arial;sans-serif"/>
          <w:b/>
          <w:color w:val="000000"/>
          <w:sz w:val="26"/>
        </w:rPr>
      </w:pPr>
      <w:r>
        <w:rPr>
          <w:rFonts w:ascii="Arial;sans-serif" w:hAnsi="Arial;sans-serif"/>
          <w:b/>
          <w:color w:val="000000"/>
          <w:sz w:val="26"/>
        </w:rPr>
        <w:t>SCHEDULE 14A INFORMATION</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Proxy Statement Pursuant to Section 14(a) of the Securities Exchange Act of 1934</w:t>
      </w:r>
    </w:p>
    <w:p>
      <w:pPr>
        <w:pStyle w:val="TextBody"/>
        <w:spacing w:lineRule="auto" w:line="288" w:before="120" w:after="283"/>
        <w:jc w:val="center"/>
        <w:rPr/>
      </w:pPr>
      <w:r>
        <w:rPr>
          <w:rFonts w:ascii="Arial;sans-serif" w:hAnsi="Arial;sans-serif"/>
          <w:b w:val="false"/>
          <w:color w:val="000000"/>
          <w:sz w:val="18"/>
        </w:rPr>
        <w:t>(Amendment No.</w:t>
      </w:r>
      <w:r>
        <w:rPr>
          <w:color w:val="000000"/>
          <w:u w:val="single"/>
        </w:rPr>
        <w:t>   </w:t>
      </w:r>
      <w:r>
        <w:rPr>
          <w:rFonts w:ascii="Arial;sans-serif" w:hAnsi="Arial;sans-serif"/>
          <w:b w:val="false"/>
          <w:color w:val="000000"/>
          <w:sz w:val="18"/>
        </w:rPr>
        <w:t>)</w:t>
      </w:r>
    </w:p>
    <w:p>
      <w:pPr>
        <w:pStyle w:val="TextBody"/>
        <w:spacing w:lineRule="auto" w:line="288" w:before="60" w:after="120"/>
        <w:jc w:val="both"/>
        <w:rPr/>
      </w:pPr>
      <w:r>
        <w:rPr>
          <w:rFonts w:ascii="Arial;sans-serif" w:hAnsi="Arial;sans-serif"/>
          <w:b w:val="false"/>
          <w:color w:val="000000"/>
          <w:sz w:val="18"/>
        </w:rPr>
        <w:t>Filed by the Registrant               </w:t>
      </w:r>
      <w:r>
        <w:rPr>
          <w:color w:val="000000"/>
        </w:rPr>
        <w:t>☑</w:t>
      </w:r>
    </w:p>
    <w:p>
      <w:pPr>
        <w:pStyle w:val="TextBody"/>
        <w:spacing w:lineRule="auto" w:line="288" w:before="60" w:after="120"/>
        <w:jc w:val="both"/>
        <w:rPr/>
      </w:pPr>
      <w:r>
        <w:rPr>
          <w:rFonts w:ascii="Arial;sans-serif" w:hAnsi="Arial;sans-serif"/>
          <w:b w:val="false"/>
          <w:color w:val="000000"/>
          <w:sz w:val="18"/>
        </w:rPr>
        <w:t>Filed by a Party other than the Registrant </w:t>
      </w:r>
      <w:r>
        <w:rPr>
          <w:color w:val="000000"/>
        </w:rPr>
        <w:t>☐</w:t>
      </w:r>
    </w:p>
    <w:p>
      <w:pPr>
        <w:pStyle w:val="TextBody"/>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Check the appropriate box:</w:t>
      </w:r>
    </w:p>
    <w:tbl>
      <w:tblPr>
        <w:tblW w:w="7391" w:type="dxa"/>
        <w:jc w:val="left"/>
        <w:tblInd w:w="0" w:type="dxa"/>
        <w:tblCellMar>
          <w:top w:w="28" w:type="dxa"/>
          <w:left w:w="28" w:type="dxa"/>
          <w:bottom w:w="28" w:type="dxa"/>
          <w:right w:w="28" w:type="dxa"/>
        </w:tblCellMar>
      </w:tblPr>
      <w:tblGrid>
        <w:gridCol w:w="124"/>
        <w:gridCol w:w="109"/>
        <w:gridCol w:w="109"/>
        <w:gridCol w:w="2060"/>
        <w:gridCol w:w="2060"/>
        <w:gridCol w:w="29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 240.14a-12</w:t>
            </w:r>
          </w:p>
        </w:tc>
      </w:tr>
    </w:tbl>
    <w:tbl>
      <w:tblPr>
        <w:tblW w:w="6450" w:type="dxa"/>
        <w:jc w:val="left"/>
        <w:tblInd w:w="0" w:type="dxa"/>
        <w:tblCellMar>
          <w:top w:w="28" w:type="dxa"/>
          <w:left w:w="28" w:type="dxa"/>
          <w:bottom w:w="28" w:type="dxa"/>
          <w:right w:w="28" w:type="dxa"/>
        </w:tblCellMar>
      </w:tblPr>
      <w:tblGrid>
        <w:gridCol w:w="2066"/>
        <w:gridCol w:w="1816"/>
        <w:gridCol w:w="2568"/>
      </w:tblGrid>
      <w:tr>
        <w:trPr/>
        <w:tc>
          <w:tcPr>
            <w:tcW w:w="2066"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7"/>
              </w:rPr>
            </w:pPr>
            <w:r>
              <w:rPr>
                <w:rFonts w:ascii="Arial;sans-serif" w:hAnsi="Arial;sans-serif"/>
                <w:b/>
                <w:color w:val="000000"/>
                <w:sz w:val="27"/>
              </w:rPr>
              <w:t>NGM Biopharmaceuticals, Inc.</w:t>
            </w:r>
          </w:p>
        </w:tc>
      </w:tr>
      <w:tr>
        <w:trPr/>
        <w:tc>
          <w:tcPr>
            <w:tcW w:w="645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(Name of Registrant as Specified In Its Charter)</w:t>
            </w:r>
          </w:p>
        </w:tc>
      </w:tr>
      <w:tr>
        <w:trPr/>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7"/>
              </w:rPr>
            </w:pPr>
            <w:r>
              <w:rPr>
                <w:rFonts w:ascii="Arial;sans-serif" w:hAnsi="Arial;sans-serif"/>
                <w:b/>
                <w:color w:val="000000"/>
                <w:sz w:val="27"/>
              </w:rPr>
              <w:t>N/A</w:t>
            </w:r>
          </w:p>
        </w:tc>
      </w:tr>
      <w:tr>
        <w:trPr/>
        <w:tc>
          <w:tcPr>
            <w:tcW w:w="645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(Name of Person(s) Filing Proxy Statement if Other Than the Registrant)</w:t>
            </w:r>
          </w:p>
        </w:tc>
      </w:tr>
    </w:tbl>
    <w:p>
      <w:pPr>
        <w:pStyle w:val="TextBody"/>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Payment of Filing Fee (Check the appropriate box)</w:t>
      </w:r>
    </w:p>
    <w:tbl>
      <w:tblPr>
        <w:tblW w:w="9266" w:type="dxa"/>
        <w:jc w:val="left"/>
        <w:tblInd w:w="0" w:type="dxa"/>
        <w:tblCellMar>
          <w:top w:w="28" w:type="dxa"/>
          <w:left w:w="28" w:type="dxa"/>
          <w:bottom w:w="28" w:type="dxa"/>
          <w:right w:w="28" w:type="dxa"/>
        </w:tblCellMar>
      </w:tblPr>
      <w:tblGrid>
        <w:gridCol w:w="124"/>
        <w:gridCol w:w="109"/>
        <w:gridCol w:w="109"/>
        <w:gridCol w:w="2615"/>
        <w:gridCol w:w="2615"/>
        <w:gridCol w:w="36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36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89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spacing w:before="120" w:after="24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before="0" w:after="24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333 Oyster Point Boulevard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South San Francisco, California 94080</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NOTICE OF ANNUAL MEETING OF STOCKHOLDERS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TO BE HELD ON MAY 10, 2023</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Dear Stockholder:</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You are cordially invited to attend the 2023 Annual Meeting of Stockholders, or the Annual Meeting, of NGM Biopharmaceuticals, Inc., a Delaware corporation, referred to as the “Company” or “NGM”. The meeting will be held virtually on Wednesday, May 10, 2023 at 7:30 a.m. Pacific Daylight Time. This year’s Annual Meeting will be held virtually through a live webcast at www.virtualshareholdermeeting.com/NGM2023. You will not be able to attend the Annual Meeting in person.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At or before the Annual Meeting, stockholders are invited to consider and vote upon the following matters: </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1.To elect to the Company’s Board of Directors the three nominees for Class I director named in the accompanying Proxy Statement to hold office until the Company’s 2026 annual meeting of stockholders and until their successors have been duly elected and qualified.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2.To approve, on an advisory basis, the compensation of the Company’s named executive officers, as disclosed in the accompanying Proxy Statement.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3.To ratify the selection by the Audit Committee of the Company’s Board of Directors of Ernst &amp; Young LLP as the Company’s independent registered public accounting firm for the year ending December 31, 2023.</w:t>
      </w:r>
    </w:p>
    <w:p>
      <w:pPr>
        <w:pStyle w:val="TextBody"/>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4.To conduct any other business properly brought before the meeting.</w:t>
      </w:r>
    </w:p>
    <w:p>
      <w:pPr>
        <w:pStyle w:val="TextBody"/>
        <w:spacing w:lineRule="auto" w:line="268" w:before="0" w:after="240"/>
        <w:jc w:val="both"/>
        <w:rPr>
          <w:rFonts w:ascii="Arial;sans-serif" w:hAnsi="Arial;sans-serif"/>
          <w:b w:val="false"/>
          <w:color w:val="000000"/>
          <w:sz w:val="20"/>
        </w:rPr>
      </w:pPr>
      <w:r>
        <w:rPr>
          <w:rFonts w:ascii="Arial;sans-serif" w:hAnsi="Arial;sans-serif"/>
          <w:b w:val="false"/>
          <w:color w:val="000000"/>
          <w:sz w:val="20"/>
        </w:rPr>
        <w:t>The foregoing items of business are more fully described in the Proxy Statement accompanying this notice.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year’s Annual Meeting will be held virtually through a live webcast. You will be able to attend the Annual Meeting, submit questions and vote during the live webcast by visiting www.virtualshareholdermeeting.com/NGM2023 and entering the 16-digit control number on the Notice of Internet Availability of Proxy Materials, on your proxy card or on the instructions that accompanied your proxy materials. Please refer to the additional logistical details in the accompanying Proxy Statement. You may log in at www.virtualshareholdermeeting.com/NGM2023 beginning at 7:15 a.m. Pacific Daylight Time on Wednesday, May 10, 2023.</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has fixed the close of business on March 17, 2023 as the record date for the determination of stockholders entitled to notice of and to vote at the Annual Meeting or any adjournment thereof, referred to as the Record Date.</w:t>
      </w:r>
    </w:p>
    <w:tbl>
      <w:tblPr>
        <w:tblW w:w="10205" w:type="dxa"/>
        <w:jc w:val="left"/>
        <w:tblInd w:w="0" w:type="dxa"/>
        <w:tblCellMar>
          <w:top w:w="28" w:type="dxa"/>
          <w:left w:w="28" w:type="dxa"/>
          <w:bottom w:w="28" w:type="dxa"/>
          <w:right w:w="28" w:type="dxa"/>
        </w:tblCellMar>
      </w:tblPr>
      <w:tblGrid>
        <w:gridCol w:w="3264"/>
        <w:gridCol w:w="2869"/>
        <w:gridCol w:w="4072"/>
      </w:tblGrid>
      <w:tr>
        <w:trPr/>
        <w:tc>
          <w:tcPr>
            <w:tcW w:w="3264"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100" w:after="283"/>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w:t>
            </w:r>
          </w:p>
          <w:p>
            <w:pPr>
              <w:pStyle w:val="TableContents"/>
              <w:spacing w:lineRule="auto" w:line="288" w:before="0" w:after="240"/>
              <w:jc w:val="center"/>
              <w:rPr>
                <w:rFonts w:ascii="Arial;sans-serif" w:hAnsi="Arial;sans-serif"/>
                <w:b/>
                <w:color w:val="000000"/>
                <w:sz w:val="20"/>
              </w:rPr>
            </w:pPr>
            <w:r>
              <w:rPr>
                <w:rFonts w:ascii="Arial;sans-serif" w:hAnsi="Arial;sans-serif"/>
                <w:b/>
                <w:color w:val="000000"/>
                <w:sz w:val="20"/>
              </w:rPr>
              <w:t xml:space="preserve">Annual Meeting of Stockholders to be held on May 10, 2023, at 7:30 a.m. Pacific Daylight Time. </w:t>
            </w:r>
          </w:p>
          <w:p>
            <w:pPr>
              <w:pStyle w:val="TableContents"/>
              <w:spacing w:lineRule="auto" w:line="288" w:before="240" w:after="240"/>
              <w:jc w:val="center"/>
              <w:rPr>
                <w:rFonts w:ascii="Arial;sans-serif" w:hAnsi="Arial;sans-serif"/>
                <w:b/>
                <w:color w:val="000000"/>
                <w:sz w:val="20"/>
              </w:rPr>
            </w:pPr>
            <w:r>
              <w:rPr>
                <w:rFonts w:ascii="Arial;sans-serif" w:hAnsi="Arial;sans-serif"/>
                <w:b/>
                <w:color w:val="000000"/>
                <w:sz w:val="20"/>
              </w:rPr>
              <w:t>This Notice, the accompanying Proxy Statement and the Company’s Annual Report on Form 10-K for the fiscal year ended December 31, 2022 are available at www.proxyvote.com.</w:t>
            </w:r>
          </w:p>
        </w:tc>
      </w:tr>
    </w:tbl>
    <w:tbl>
      <w:tblPr>
        <w:tblW w:w="7183" w:type="dxa"/>
        <w:jc w:val="left"/>
        <w:tblInd w:w="0" w:type="dxa"/>
        <w:tblCellMar>
          <w:top w:w="28" w:type="dxa"/>
          <w:left w:w="28" w:type="dxa"/>
          <w:bottom w:w="28" w:type="dxa"/>
          <w:right w:w="28" w:type="dxa"/>
        </w:tblCellMar>
      </w:tblPr>
      <w:tblGrid>
        <w:gridCol w:w="2325"/>
        <w:gridCol w:w="2046"/>
        <w:gridCol w:w="2054"/>
        <w:gridCol w:w="222"/>
        <w:gridCol w:w="222"/>
        <w:gridCol w:w="314"/>
      </w:tblGrid>
      <w:tr>
        <w:trPr/>
        <w:tc>
          <w:tcPr>
            <w:tcW w:w="2325"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64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 Order of the Board of Directors,</w:t>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Valerie Pierce</w:t>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Valerie Pierce</w:t>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3"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Senior Vice President, General Counsel, Chief Compliance Officer and Secretary</w:t>
            </w:r>
          </w:p>
        </w:tc>
      </w:tr>
      <w:tr>
        <w:trPr/>
        <w:tc>
          <w:tcPr>
            <w:tcW w:w="64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South San Francisco, California</w:t>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March 29, 2023</w:t>
            </w:r>
          </w:p>
        </w:tc>
        <w:tc>
          <w:tcPr>
            <w:tcW w:w="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3269"/>
        <w:gridCol w:w="2871"/>
        <w:gridCol w:w="4065"/>
      </w:tblGrid>
      <w:tr>
        <w:trPr/>
        <w:tc>
          <w:tcPr>
            <w:tcW w:w="3269"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6" w:before="0" w:after="0"/>
              <w:jc w:val="both"/>
              <w:rPr>
                <w:rFonts w:ascii="Arial;sans-serif" w:hAnsi="Arial;sans-serif"/>
                <w:b/>
                <w:color w:val="000000"/>
                <w:sz w:val="20"/>
              </w:rPr>
            </w:pPr>
            <w:r>
              <w:rPr>
                <w:rFonts w:ascii="Arial;sans-serif" w:hAnsi="Arial;sans-serif"/>
                <w:b/>
                <w:color w:val="000000"/>
                <w:sz w:val="20"/>
              </w:rPr>
              <w:t>You are cordially invited to attend the Annual Meeting. Whether or not you expect to attend the Annual Meeting, please complete, date, sign and return the proxy mailed to you, or vote over the telephone or via the internet as instructed in these materials, as promptly as possible, in order to ensure your representation at the Annual Meeting. Even if you have voted by proxy, you may still vote online if you attend the Annual Meeting. Stockholders who attend the Annual Meeting should follow the instructions at www.virtualshareholdermeeting.com/NGM2023 to vote online at the Annual Meeting. Please note, however, that if your shares are held of record by a broker, bank or other nominee and you wish to vote at the meeting, you must obtain a proxy issued in your name from that record holder.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before="0" w:after="240"/>
        <w:jc w:val="both"/>
        <w:rPr/>
      </w:pPr>
      <w:r>
        <w:rPr/>
      </w:r>
    </w:p>
    <w:p>
      <w:pPr>
        <w:pStyle w:val="TextBody"/>
        <w:spacing w:lineRule="auto" w:line="288" w:before="0" w:after="240"/>
        <w:jc w:val="center"/>
        <w:rPr/>
      </w:pPr>
      <w:r>
        <w:rPr>
          <w:rFonts w:ascii="Arial;sans-serif" w:hAnsi="Arial;sans-serif"/>
          <w:b/>
          <w:color w:val="000000"/>
          <w:sz w:val="20"/>
        </w:rPr>
        <w:t>TABLE OF CONTENTS</w:t>
      </w:r>
      <w:r>
        <w:rPr>
          <w:color w:val="000000"/>
        </w:rPr>
        <w:t> </w:t>
      </w:r>
    </w:p>
    <w:tbl>
      <w:tblPr>
        <w:tblW w:w="10205" w:type="dxa"/>
        <w:jc w:val="left"/>
        <w:tblInd w:w="0" w:type="dxa"/>
        <w:tblCellMar>
          <w:top w:w="28" w:type="dxa"/>
          <w:left w:w="28" w:type="dxa"/>
          <w:bottom w:w="28" w:type="dxa"/>
          <w:right w:w="28" w:type="dxa"/>
        </w:tblCellMar>
      </w:tblPr>
      <w:tblGrid>
        <w:gridCol w:w="3587"/>
        <w:gridCol w:w="3114"/>
        <w:gridCol w:w="3130"/>
        <w:gridCol w:w="109"/>
        <w:gridCol w:w="109"/>
        <w:gridCol w:w="156"/>
      </w:tblGrid>
      <w:tr>
        <w:trPr/>
        <w:tc>
          <w:tcPr>
            <w:tcW w:w="3587" w:type="dxa"/>
            <w:tcBorders/>
            <w:shd w:fill="auto" w:val="clear"/>
            <w:vAlign w:val="center"/>
          </w:tcPr>
          <w:p>
            <w:pPr>
              <w:pStyle w:val="TableContents"/>
              <w:spacing w:before="0" w:after="283"/>
              <w:rPr>
                <w:sz w:val="4"/>
                <w:szCs w:val="4"/>
              </w:rPr>
            </w:pPr>
            <w:r>
              <w:rPr>
                <w:sz w:val="4"/>
                <w:szCs w:val="4"/>
              </w:rPr>
            </w:r>
          </w:p>
        </w:tc>
        <w:tc>
          <w:tcPr>
            <w:tcW w:w="3114" w:type="dxa"/>
            <w:tcBorders/>
            <w:shd w:fill="auto" w:val="clear"/>
            <w:vAlign w:val="center"/>
          </w:tcPr>
          <w:p>
            <w:pPr>
              <w:pStyle w:val="TableContents"/>
              <w:spacing w:before="0" w:after="283"/>
              <w:rPr>
                <w:sz w:val="4"/>
                <w:szCs w:val="4"/>
              </w:rPr>
            </w:pPr>
            <w:r>
              <w:rPr>
                <w:sz w:val="4"/>
                <w:szCs w:val="4"/>
              </w:rPr>
            </w:r>
          </w:p>
        </w:tc>
        <w:tc>
          <w:tcPr>
            <w:tcW w:w="3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10">
              <w:r>
                <w:rPr>
                  <w:rStyle w:val="InternetLink"/>
                  <w:rFonts w:ascii="Arial;sans-serif" w:hAnsi="Arial;sans-serif"/>
                  <w:b w:val="false"/>
                  <w:strike w:val="false"/>
                  <w:dstrike w:val="false"/>
                  <w:color w:val="000000"/>
                  <w:sz w:val="20"/>
                  <w:u w:val="none"/>
                  <w:effect w:val="none"/>
                </w:rPr>
                <w:t>QUESTIONS AND ANSWERS ABOUT THESE PROXY MATERIALS AND VOTING</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10">
              <w:r>
                <w:rPr>
                  <w:rStyle w:val="InternetLink"/>
                  <w:rFonts w:ascii="Arial;sans-serif" w:hAnsi="Arial;sans-serif"/>
                  <w:b w:val="false"/>
                  <w:strike w:val="false"/>
                  <w:dstrike w:val="false"/>
                  <w:color w:val="000000"/>
                  <w:sz w:val="20"/>
                  <w:u w:val="none"/>
                  <w:effect w:val="none"/>
                </w:rPr>
                <w:t>1</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13">
              <w:r>
                <w:rPr>
                  <w:rStyle w:val="InternetLink"/>
                  <w:rFonts w:ascii="Arial;sans-serif" w:hAnsi="Arial;sans-serif"/>
                  <w:b w:val="false"/>
                  <w:strike w:val="false"/>
                  <w:dstrike w:val="false"/>
                  <w:color w:val="000000"/>
                  <w:sz w:val="20"/>
                  <w:u w:val="none"/>
                  <w:effect w:val="none"/>
                </w:rPr>
                <w:t>PROPOSAL NO. 1 ELECTION OF DIRECTORS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13">
              <w:r>
                <w:rPr>
                  <w:rStyle w:val="InternetLink"/>
                  <w:rFonts w:ascii="Arial;sans-serif" w:hAnsi="Arial;sans-serif"/>
                  <w:b w:val="false"/>
                  <w:strike w:val="false"/>
                  <w:dstrike w:val="false"/>
                  <w:color w:val="000000"/>
                  <w:sz w:val="20"/>
                  <w:u w:val="none"/>
                  <w:effect w:val="none"/>
                </w:rPr>
                <w:t>7</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16">
              <w:r>
                <w:rPr>
                  <w:rStyle w:val="InternetLink"/>
                </w:rPr>
                <w:t>CORPORATE GOVER</w:t>
              </w:r>
            </w:hyperlink>
            <w:hyperlink w:anchor="idb7fddde329e48bebe989c72ad8e4fc8_16">
              <w:r>
                <w:rPr>
                  <w:rStyle w:val="InternetLink"/>
                </w:rPr>
                <w:t>N</w:t>
              </w:r>
            </w:hyperlink>
            <w:hyperlink w:anchor="idb7fddde329e48bebe989c72ad8e4fc8_16">
              <w:r>
                <w:rPr>
                  <w:rStyle w:val="InternetLink"/>
                </w:rPr>
                <w:t>ANCE AND BOARD MATTERS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16">
              <w:r>
                <w:rPr>
                  <w:rStyle w:val="InternetLink"/>
                  <w:rFonts w:ascii="Arial;sans-serif" w:hAnsi="Arial;sans-serif"/>
                  <w:b w:val="false"/>
                  <w:strike w:val="false"/>
                  <w:dstrike w:val="false"/>
                  <w:color w:val="000000"/>
                  <w:sz w:val="20"/>
                  <w:u w:val="none"/>
                  <w:effect w:val="none"/>
                </w:rPr>
                <w:t>11</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19">
              <w:r>
                <w:rPr>
                  <w:rStyle w:val="InternetLink"/>
                  <w:rFonts w:ascii="Arial;sans-serif" w:hAnsi="Arial;sans-serif"/>
                  <w:b w:val="false"/>
                  <w:strike w:val="false"/>
                  <w:dstrike w:val="false"/>
                  <w:color w:val="000000"/>
                  <w:sz w:val="20"/>
                  <w:u w:val="none"/>
                  <w:effect w:val="none"/>
                </w:rPr>
                <w:t>EXECUTIVE OFFICERS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19">
              <w:r>
                <w:rPr>
                  <w:rStyle w:val="InternetLink"/>
                  <w:rFonts w:ascii="Arial;sans-serif" w:hAnsi="Arial;sans-serif"/>
                  <w:b w:val="false"/>
                  <w:strike w:val="false"/>
                  <w:dstrike w:val="false"/>
                  <w:color w:val="000000"/>
                  <w:sz w:val="20"/>
                  <w:u w:val="none"/>
                  <w:effect w:val="none"/>
                </w:rPr>
                <w:t>18</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22">
              <w:r>
                <w:rPr>
                  <w:rStyle w:val="InternetLink"/>
                  <w:rFonts w:ascii="Arial;sans-serif" w:hAnsi="Arial;sans-serif"/>
                  <w:b w:val="false"/>
                  <w:strike w:val="false"/>
                  <w:dstrike w:val="false"/>
                  <w:color w:val="000000"/>
                  <w:sz w:val="20"/>
                  <w:u w:val="none"/>
                  <w:effect w:val="none"/>
                </w:rPr>
                <w:t>COMPENSATION DISCUSSION AND ANALYSIS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22">
              <w:r>
                <w:rPr>
                  <w:rStyle w:val="InternetLink"/>
                  <w:rFonts w:ascii="Arial;sans-serif" w:hAnsi="Arial;sans-serif"/>
                  <w:b w:val="false"/>
                  <w:strike w:val="false"/>
                  <w:dstrike w:val="false"/>
                  <w:color w:val="000000"/>
                  <w:sz w:val="20"/>
                  <w:u w:val="none"/>
                  <w:effect w:val="none"/>
                </w:rPr>
                <w:t>19</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25">
              <w:r>
                <w:rPr>
                  <w:rStyle w:val="InternetLink"/>
                  <w:rFonts w:ascii="Arial;sans-serif" w:hAnsi="Arial;sans-serif"/>
                  <w:b w:val="false"/>
                  <w:strike w:val="false"/>
                  <w:dstrike w:val="false"/>
                  <w:color w:val="000000"/>
                  <w:sz w:val="20"/>
                  <w:u w:val="none"/>
                  <w:effect w:val="none"/>
                </w:rPr>
                <w:t>EXECUTIVE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25">
              <w:r>
                <w:rPr>
                  <w:rStyle w:val="InternetLink"/>
                  <w:rFonts w:ascii="Arial;sans-serif" w:hAnsi="Arial;sans-serif"/>
                  <w:b w:val="false"/>
                  <w:strike w:val="false"/>
                  <w:dstrike w:val="false"/>
                  <w:color w:val="000000"/>
                  <w:sz w:val="20"/>
                  <w:u w:val="none"/>
                  <w:effect w:val="none"/>
                </w:rPr>
                <w:t>35</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28">
              <w:r>
                <w:rPr>
                  <w:rStyle w:val="InternetLink"/>
                  <w:rFonts w:ascii="Arial;sans-serif" w:hAnsi="Arial;sans-serif"/>
                  <w:b w:val="false"/>
                  <w:strike w:val="false"/>
                  <w:dstrike w:val="false"/>
                  <w:color w:val="000000"/>
                  <w:sz w:val="20"/>
                  <w:u w:val="none"/>
                  <w:effect w:val="none"/>
                </w:rPr>
                <w:t>EQUITY COMPENSATION PLANS AT DECEMBER 31, 202</w:t>
              </w:r>
            </w:hyperlink>
            <w:r>
              <w:rPr>
                <w:rFonts w:ascii="Arial;sans-serif" w:hAnsi="Arial;sans-serif"/>
                <w:b w:val="false"/>
                <w:color w:val="000000"/>
                <w:sz w:val="20"/>
              </w:rPr>
              <w:t>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28">
              <w:r>
                <w:rPr>
                  <w:rStyle w:val="InternetLink"/>
                  <w:rFonts w:ascii="Arial;sans-serif" w:hAnsi="Arial;sans-serif"/>
                  <w:b w:val="false"/>
                  <w:strike w:val="false"/>
                  <w:dstrike w:val="false"/>
                  <w:color w:val="000000"/>
                  <w:sz w:val="20"/>
                  <w:u w:val="none"/>
                  <w:effect w:val="none"/>
                </w:rPr>
                <w:t>45</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228">
              <w:r>
                <w:rPr>
                  <w:rStyle w:val="InternetLink"/>
                  <w:rFonts w:ascii="Arial;sans-serif" w:hAnsi="Arial;sans-serif"/>
                  <w:b w:val="false"/>
                  <w:strike w:val="false"/>
                  <w:dstrike w:val="false"/>
                  <w:color w:val="000000"/>
                  <w:sz w:val="20"/>
                  <w:u w:val="none"/>
                  <w:effect w:val="none"/>
                </w:rPr>
                <w:t>CEO PAY RATIO</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228">
              <w:r>
                <w:rPr>
                  <w:rStyle w:val="InternetLink"/>
                  <w:rFonts w:ascii="Arial;sans-serif" w:hAnsi="Arial;sans-serif"/>
                  <w:b w:val="false"/>
                  <w:strike w:val="false"/>
                  <w:dstrike w:val="false"/>
                  <w:color w:val="000000"/>
                  <w:sz w:val="20"/>
                  <w:u w:val="none"/>
                  <w:effect w:val="none"/>
                </w:rPr>
                <w:t>46</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pPr>
            <w:hyperlink w:anchor="idb7fddde329e48bebe989c72ad8e4fc8_239">
              <w:r>
                <w:rPr>
                  <w:rStyle w:val="InternetLink"/>
                  <w:rFonts w:ascii="Arial;sans-serif" w:hAnsi="Arial;sans-serif"/>
                  <w:b w:val="false"/>
                  <w:strike w:val="false"/>
                  <w:dstrike w:val="false"/>
                  <w:color w:val="000000"/>
                  <w:sz w:val="20"/>
                  <w:u w:val="none"/>
                  <w:effect w:val="none"/>
                </w:rPr>
                <w:t>PAY VERSUS PERFORMANCE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239">
              <w:r>
                <w:rPr>
                  <w:rStyle w:val="InternetLink"/>
                  <w:rFonts w:ascii="Arial;sans-serif" w:hAnsi="Arial;sans-serif"/>
                  <w:b w:val="false"/>
                  <w:strike w:val="false"/>
                  <w:dstrike w:val="false"/>
                  <w:color w:val="000000"/>
                  <w:sz w:val="20"/>
                  <w:u w:val="none"/>
                  <w:effect w:val="none"/>
                </w:rPr>
                <w:t>47</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31">
              <w:r>
                <w:rPr>
                  <w:rStyle w:val="InternetLink"/>
                  <w:rFonts w:ascii="Arial;sans-serif" w:hAnsi="Arial;sans-serif"/>
                  <w:b w:val="false"/>
                  <w:strike w:val="false"/>
                  <w:dstrike w:val="false"/>
                  <w:color w:val="000000"/>
                  <w:sz w:val="20"/>
                  <w:u w:val="none"/>
                  <w:effect w:val="none"/>
                </w:rPr>
                <w:t>DIRECTOR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31">
              <w:r>
                <w:rPr>
                  <w:rStyle w:val="InternetLink"/>
                  <w:rFonts w:ascii="Arial;sans-serif" w:hAnsi="Arial;sans-serif"/>
                  <w:b w:val="false"/>
                  <w:strike w:val="false"/>
                  <w:dstrike w:val="false"/>
                  <w:color w:val="000000"/>
                  <w:sz w:val="20"/>
                  <w:u w:val="none"/>
                  <w:effect w:val="none"/>
                </w:rPr>
                <w:t>52</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34">
              <w:r>
                <w:rPr>
                  <w:rStyle w:val="InternetLink"/>
                  <w:rFonts w:ascii="Arial;sans-serif" w:hAnsi="Arial;sans-serif"/>
                  <w:b w:val="false"/>
                  <w:strike w:val="false"/>
                  <w:dstrike w:val="false"/>
                  <w:color w:val="000000"/>
                  <w:sz w:val="20"/>
                  <w:u w:val="none"/>
                  <w:effect w:val="none"/>
                </w:rPr>
                <w:t>PROPOSAL NO. 2 ADVISORY VOTE ON EXECUTIVE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34">
              <w:r>
                <w:rPr>
                  <w:rStyle w:val="InternetLink"/>
                  <w:rFonts w:ascii="Arial;sans-serif" w:hAnsi="Arial;sans-serif"/>
                  <w:b w:val="false"/>
                  <w:strike w:val="false"/>
                  <w:dstrike w:val="false"/>
                  <w:color w:val="000000"/>
                  <w:sz w:val="20"/>
                  <w:u w:val="none"/>
                  <w:effect w:val="none"/>
                </w:rPr>
                <w:t>54</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40">
              <w:r>
                <w:rPr>
                  <w:rStyle w:val="InternetLink"/>
                  <w:rFonts w:ascii="Arial;sans-serif" w:hAnsi="Arial;sans-serif"/>
                  <w:b w:val="false"/>
                  <w:strike w:val="false"/>
                  <w:dstrike w:val="false"/>
                  <w:color w:val="000000"/>
                  <w:sz w:val="20"/>
                  <w:u w:val="none"/>
                  <w:effect w:val="none"/>
                </w:rPr>
                <w:t>PROPOSAL NO. 3 RATIFICATION OF SELECTION OF INDEPENDENT REGISTERED PUBLIC ACCOUNTING FIRM</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40">
              <w:r>
                <w:rPr>
                  <w:rStyle w:val="InternetLink"/>
                  <w:rFonts w:ascii="Arial;sans-serif" w:hAnsi="Arial;sans-serif"/>
                  <w:b w:val="false"/>
                  <w:strike w:val="false"/>
                  <w:dstrike w:val="false"/>
                  <w:color w:val="000000"/>
                  <w:sz w:val="20"/>
                  <w:u w:val="none"/>
                  <w:effect w:val="none"/>
                </w:rPr>
                <w:t>55</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43">
              <w:r>
                <w:rPr>
                  <w:rStyle w:val="InternetLink"/>
                  <w:rFonts w:ascii="Arial;sans-serif" w:hAnsi="Arial;sans-serif"/>
                  <w:b w:val="false"/>
                  <w:strike w:val="false"/>
                  <w:dstrike w:val="false"/>
                  <w:color w:val="000000"/>
                  <w:sz w:val="20"/>
                  <w:u w:val="none"/>
                  <w:effect w:val="none"/>
                </w:rPr>
                <w:t>TRANSACTIONS WITH RELATED PERSONS AND INDEMNIFICATION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43">
              <w:r>
                <w:rPr>
                  <w:rStyle w:val="InternetLink"/>
                  <w:rFonts w:ascii="Arial;sans-serif" w:hAnsi="Arial;sans-serif"/>
                  <w:b w:val="false"/>
                  <w:strike w:val="false"/>
                  <w:dstrike w:val="false"/>
                  <w:color w:val="000000"/>
                  <w:sz w:val="20"/>
                  <w:u w:val="none"/>
                  <w:effect w:val="none"/>
                </w:rPr>
                <w:t>57</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46">
              <w:r>
                <w:rPr>
                  <w:rStyle w:val="InternetLink"/>
                  <w:rFonts w:ascii="Arial;sans-serif" w:hAnsi="Arial;sans-serif"/>
                  <w:b w:val="false"/>
                  <w:strike w:val="false"/>
                  <w:dstrike w:val="false"/>
                  <w:color w:val="000000"/>
                  <w:sz w:val="20"/>
                  <w:u w:val="none"/>
                  <w:effect w:val="none"/>
                </w:rPr>
                <w:t>SECURITY OWNERSHIP OF CERTAIN BENEFICIAL OWNERS AND MANAGEMENT</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46">
              <w:r>
                <w:rPr>
                  <w:rStyle w:val="InternetLink"/>
                  <w:rFonts w:ascii="Arial;sans-serif" w:hAnsi="Arial;sans-serif"/>
                  <w:b w:val="false"/>
                  <w:strike w:val="false"/>
                  <w:dstrike w:val="false"/>
                  <w:color w:val="000000"/>
                  <w:sz w:val="20"/>
                  <w:u w:val="none"/>
                  <w:effect w:val="none"/>
                </w:rPr>
                <w:t>59</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49">
              <w:r>
                <w:rPr>
                  <w:rStyle w:val="InternetLink"/>
                  <w:rFonts w:ascii="Arial;sans-serif" w:hAnsi="Arial;sans-serif"/>
                  <w:b w:val="false"/>
                  <w:strike w:val="false"/>
                  <w:dstrike w:val="false"/>
                  <w:color w:val="000000"/>
                  <w:sz w:val="20"/>
                  <w:u w:val="none"/>
                  <w:effect w:val="none"/>
                </w:rPr>
                <w:t>HOUSEHOLDING OF PROXY MATERIALS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49">
              <w:r>
                <w:rPr>
                  <w:rStyle w:val="InternetLink"/>
                  <w:rFonts w:ascii="Arial;sans-serif" w:hAnsi="Arial;sans-serif"/>
                  <w:b w:val="false"/>
                  <w:strike w:val="false"/>
                  <w:dstrike w:val="false"/>
                  <w:color w:val="000000"/>
                  <w:sz w:val="20"/>
                  <w:u w:val="none"/>
                  <w:effect w:val="none"/>
                </w:rPr>
                <w:t>61</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pPr>
            <w:hyperlink w:anchor="idb7fddde329e48bebe989c72ad8e4fc8_52">
              <w:r>
                <w:rPr>
                  <w:rStyle w:val="InternetLink"/>
                  <w:rFonts w:ascii="Arial;sans-serif" w:hAnsi="Arial;sans-serif"/>
                  <w:b w:val="false"/>
                  <w:strike w:val="false"/>
                  <w:dstrike w:val="false"/>
                  <w:color w:val="000000"/>
                  <w:sz w:val="20"/>
                  <w:u w:val="none"/>
                  <w:effect w:val="none"/>
                </w:rPr>
                <w:t>STOCKHOLDER PROPOSALS AND NOMINATIONS FOR THE 2024 ANNUAL MEETING</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52">
              <w:r>
                <w:rPr>
                  <w:rStyle w:val="InternetLink"/>
                  <w:rFonts w:ascii="Arial;sans-serif" w:hAnsi="Arial;sans-serif"/>
                  <w:b w:val="false"/>
                  <w:strike w:val="false"/>
                  <w:dstrike w:val="false"/>
                  <w:color w:val="000000"/>
                  <w:sz w:val="20"/>
                  <w:u w:val="none"/>
                  <w:effect w:val="none"/>
                </w:rPr>
                <w:t>62</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b7fddde329e48bebe989c72ad8e4fc8_55">
              <w:r>
                <w:rPr>
                  <w:rStyle w:val="InternetLink"/>
                  <w:rFonts w:ascii="Arial;sans-serif" w:hAnsi="Arial;sans-serif"/>
                  <w:b w:val="false"/>
                  <w:strike w:val="false"/>
                  <w:dstrike w:val="false"/>
                  <w:color w:val="000000"/>
                  <w:sz w:val="20"/>
                  <w:u w:val="none"/>
                  <w:effect w:val="none"/>
                </w:rPr>
                <w:t>OTHER MATTERS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7fddde329e48bebe989c72ad8e4fc8_55">
              <w:r>
                <w:rPr>
                  <w:rStyle w:val="InternetLink"/>
                  <w:rFonts w:ascii="Arial;sans-serif" w:hAnsi="Arial;sans-serif"/>
                  <w:b w:val="false"/>
                  <w:strike w:val="false"/>
                  <w:dstrike w:val="false"/>
                  <w:color w:val="000000"/>
                  <w:sz w:val="20"/>
                  <w:u w:val="none"/>
                  <w:effect w:val="none"/>
                </w:rPr>
                <w:t>62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before="0" w:after="24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333 Oyster Point Boulevard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South San Francisco, California 94080</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PROXY STATEMENT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2023 ANNUAL MEETING OF STOCKHOLDERS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MAY 10, 2023</w:t>
      </w:r>
    </w:p>
    <w:p>
      <w:pPr>
        <w:pStyle w:val="TextBody"/>
        <w:spacing w:lineRule="auto" w:line="288" w:before="200" w:after="60"/>
        <w:jc w:val="center"/>
        <w:rPr>
          <w:rFonts w:ascii="Arial;sans-serif" w:hAnsi="Arial;sans-serif"/>
          <w:b/>
          <w:color w:val="000000"/>
          <w:sz w:val="20"/>
        </w:rPr>
      </w:pPr>
      <w:r>
        <w:rPr>
          <w:rFonts w:ascii="Arial;sans-serif" w:hAnsi="Arial;sans-serif"/>
          <w:b/>
          <w:color w:val="000000"/>
          <w:sz w:val="20"/>
        </w:rPr>
        <w:t>QUESTIONS AND ANSWERS ABOUT THESE PROXY MATERIALS AND VOTING</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Why did I receive a notice regarding the availability of proxy materials on the internet?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rules adopted by the Securities and Exchange Commission, or the SEC, we have elected to provide access to our proxy materials over the internet. Accordingly, we or your broker have sent you a Notice of Internet Availability of Proxy Materials, or the Notice, because the Board of Directors of NGM Biopharmaceuticals, Inc. (referred to in this Proxy Statement as “we,” “us,” “our,” the “Company” or “NGM”) is soliciting your proxy to vote at the 2023 Annual Meeting of Stockholders, or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intend to mail the Notice to each of our stockholders of record entitled to vote at the Annual Meeting beginning on or about March 29, 2023.</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Will I receive any other proxy materials by mail?</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 you will not receive any other proxy materials by mail unless you request a paper copy of proxy materials. To request that a full set of the proxy materials be sent to your specified postal address, please go to www.proxyvote.com or call 1-800-579-1639 and follow the instructions. You may also request a full set of the proxy materials by sending an email, referencing the 16-digit control number set forth in the Notice, to sendmaterial@proxyvote.com.</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What am I being asked to vote 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At the Annual Meeting, our stockholders will consider and vote on the following matters: </w:t>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1</w:t>
      </w:r>
      <w:r>
        <w:rPr>
          <w:color w:val="000000"/>
        </w:rPr>
        <w:t xml:space="preserve"> </w:t>
      </w:r>
      <w:r>
        <w:rPr>
          <w:rFonts w:ascii="Arial;sans-serif" w:hAnsi="Arial;sans-serif"/>
          <w:b w:val="false"/>
          <w:color w:val="000000"/>
          <w:sz w:val="20"/>
        </w:rPr>
        <w:t>- To elect to our Board of Directors the three nominees for Class I director named herein to hold office until our 2026 annual meeting of stockholders and until their successors have been duly elected and qualified;</w:t>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2</w:t>
      </w:r>
      <w:r>
        <w:rPr>
          <w:color w:val="000000"/>
        </w:rPr>
        <w:t xml:space="preserve"> </w:t>
      </w:r>
      <w:r>
        <w:rPr>
          <w:rFonts w:ascii="Arial;sans-serif" w:hAnsi="Arial;sans-serif"/>
          <w:b w:val="false"/>
          <w:color w:val="000000"/>
          <w:sz w:val="20"/>
        </w:rPr>
        <w:t>- To approve, on an advisory basis, the compensation of the Company’s named executive officers, as disclosed in this Proxy Statement in accordance with SEC rules; and</w:t>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3</w:t>
      </w:r>
      <w:r>
        <w:rPr>
          <w:color w:val="000000"/>
        </w:rPr>
        <w:t xml:space="preserve"> </w:t>
      </w:r>
      <w:r>
        <w:rPr>
          <w:rFonts w:ascii="Arial;sans-serif" w:hAnsi="Arial;sans-serif"/>
          <w:b w:val="false"/>
          <w:color w:val="000000"/>
          <w:sz w:val="20"/>
        </w:rPr>
        <w:t xml:space="preserve">- To ratify the selection by the Audit Committee of our Board of Directors of Ernst &amp; Young LLP as our independent registered public accounting firm for the year ending December 31, 2023.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At the Annual Meeting, stockholders also will be asked to transact any other business that may properly come before the Annual Meeting other than the three items listed above. As of the date of this Proxy Statement, our Board of Directors did not know of any other matters to be presented for consideration at the Annual Meeting other than the three items noted above.</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How does the Board of Directors recommend that I vote?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unanimously recommends that you vote:</w:t>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1</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election to our Board of Directors of the three nominees for Class I director named herein to hold office until our 2026 annual meeting of stockholders and until their successors have been duly elected and qualified;</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240"/>
        <w:jc w:val="both"/>
        <w:rPr/>
      </w:pPr>
      <w:r>
        <w:rPr/>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2</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approval, on an advisory basis, of the compensation of the Company’s named executive officers, as disclosed in this Proxy Statement in accordance with SEC rules; and</w:t>
      </w:r>
    </w:p>
    <w:p>
      <w:pPr>
        <w:pStyle w:val="TextBody"/>
        <w:spacing w:lineRule="auto" w:line="288" w:before="0" w:after="240"/>
        <w:jc w:val="both"/>
        <w:rPr/>
      </w:pPr>
      <w:r>
        <w:rPr>
          <w:color w:val="000000"/>
        </w:rPr>
        <w:t xml:space="preserve">➢ </w:t>
      </w:r>
      <w:r>
        <w:rPr>
          <w:rFonts w:ascii="Arial;sans-serif" w:hAnsi="Arial;sans-serif"/>
          <w:b w:val="false"/>
          <w:i/>
          <w:color w:val="000000"/>
          <w:sz w:val="20"/>
        </w:rPr>
        <w:t>Proposal No. 3</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 xml:space="preserve">FOR </w:t>
      </w:r>
      <w:r>
        <w:rPr>
          <w:rFonts w:ascii="Arial;sans-serif" w:hAnsi="Arial;sans-serif"/>
          <w:b w:val="false"/>
          <w:color w:val="000000"/>
          <w:sz w:val="20"/>
        </w:rPr>
        <w:t>the ratification of the selection by the Audit Committee of our Board of Directors of Ernst &amp; Young LLP as our independent registered public accounting firm for the year ending December 31, 2023.</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Who is entitled to vote at the Annual Meeting?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Only stockholders of record of NGM common stock as of the close of business on the Record Date, March 17, 2023, will be entitled to vote at the Annual Meeting. As of the Record Date, 82,056,499 shares of NGM common stock were outstanding and entitled to vote. </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How do I vote?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Proposal No. 1, you may either vote “For” the nominees to the Board of Directors or you may “Withhold” your vote for any nominee you specify. For both of the other proposals to be voted on, you may vote “For” or “Against” or abstain from voting. The procedures for voting are fairly simple as described below: </w:t>
      </w:r>
    </w:p>
    <w:p>
      <w:pPr>
        <w:pStyle w:val="TextBody"/>
        <w:spacing w:lineRule="auto" w:line="288" w:before="200" w:after="240"/>
        <w:jc w:val="both"/>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on the Record Date, your shares were registered directly in your name with our transfer agent, American Stock Transfer &amp; Trust Company, LLC, then you are a stockholder of record. As a stockholder of record, you may vote online during the Annual Meeting, vote by proxy through the internet or by telephone or vote by proxy using a proxy card that you may request or that we may elect to deliver at a later time. Whether or not you plan to attend the Annual Meeting, we urge you to vote by proxy through the internet or by telephone as instructed below, or by completing a proxy card as soon as possible. </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To vote using a proxy card before the Annual Meeting, simply complete, sign and date the proxy card that you may request or that was delivered to you and return it promptly in the envelope provided. If you return your signed proxy card to us before the Annual Meeting, we will vote your shares as you direct.</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To vote over the telephone before the Annual Meeting, dial toll-free 1-800-690-6903 using a touch-tone phone and follow the recorded instructions. You will be asked to provide the 16-digit control number included on your Notice, your proxy card (that you may request or that was delivered you) or the instructions that accompanied your proxy materials. Your vote must be received by 11:59 p.m. Eastern Daylight Time on May 9, 2023 to be counted.</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To vote through the internet before the Annual Meeting, go to http://www.proxyvote.com to complete an electronic proxy card. You will be asked to provide the 16-digit control number included on your Notice, your proxy card (that you may request or that was delivered you) or the instructions that accompanied your proxy materials. Your vote must be received by 11:59 p.m. Eastern Daylight Time on May 9, 2023 to be counted.</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you may vote online during the Annual Meeting. To do so, please go to www.virtualshareholdermeeting.com/NGM2023. You will be asked to provide the 16-digit control number included on your Notice, your proxy card (that you may request or that was delivered you) or the instructions that accompanied your proxy materials. Once you have logged into the Annual Meeting, please follow the instructions to vote your shares. If you do not have your 16-digit control number, you will be able to access and listen to the Annual Meeting, but you will not be able to vote your shares or submit questions.</w:t>
      </w:r>
    </w:p>
    <w:p>
      <w:pPr>
        <w:pStyle w:val="TextBody"/>
        <w:spacing w:lineRule="auto" w:line="288" w:before="200" w:after="240"/>
        <w:jc w:val="both"/>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on the Record Date, your shares were held, not in your name, but rather in an account at a broker, bank or other nominee, then you are the beneficial owner of shares held in “street name.” Your broker, bank or other nominee is considered to be the stockholder of record for purposes of voting at the Annual Meeting. As a beneficial owner, you should have received a notice containing voting instructions from your broker, bank or other nominee rather than from us. Simply follow the instructions in the notice to ensure that your vote is counted. Please also note that since you are not the stockholder of record, you may only vote your shares during the Annual Meeting if you request and obtain a valid 16-digit control number from your broker, bank or other nominee. Beneficial owners who attend the Annual Meeting should follow the instructions at www.virtualshareholdermeeting.com/NGM2023 to vote during the meeting.</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240"/>
        <w:jc w:val="both"/>
        <w:rPr/>
      </w:pPr>
      <w:r>
        <w:rPr/>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How many votes do I have?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each matter to be voted upon, you have one vote for each share of NGM common stock you owned as of March 17, 2023.</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What are “broker non-votes”?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discussed above, if a beneficial owner of shares held in “street name” does not give voting instructions to his or her broker, bank or other nominee holding his or her shares as to how to vote on matters deemed to be “non-routine” under applicable rules, the broker, bank or other nominee does not have the authority to vote the beneficial owner’s shares on such “non-routine” matters. These un-voted shares are generally referred to and counted as “broker non-votes.” Since Proposal Nos. 1 and 2 are considered to be “non-routine” under applicable rules, we expect broker non-votes to exist in connection with Proposal Nos. 1 and 2. Proposal No. 3 is considered to be “routine” under applicable rules, and therefore we do not expect broker non-votes on Proposal No. 3.</w:t>
      </w:r>
    </w:p>
    <w:p>
      <w:pPr>
        <w:pStyle w:val="TextBody"/>
        <w:spacing w:lineRule="auto" w:line="288" w:before="0" w:after="240"/>
        <w:jc w:val="both"/>
        <w:rPr/>
      </w:pPr>
      <w:r>
        <w:rPr>
          <w:rFonts w:ascii="Arial;sans-serif" w:hAnsi="Arial;sans-serif"/>
          <w:b w:val="false"/>
          <w:i/>
          <w:color w:val="000000"/>
          <w:sz w:val="20"/>
        </w:rPr>
        <w:t xml:space="preserve">As a reminder, if you are a beneficial owner of shares held in “street name,” in order to ensure your shares are voted in the way you would prefer, you </w:t>
      </w:r>
      <w:r>
        <w:rPr>
          <w:rFonts w:ascii="Arial;sans-serif" w:hAnsi="Arial;sans-serif"/>
          <w:b w:val="false"/>
          <w:i/>
          <w:color w:val="000000"/>
          <w:sz w:val="20"/>
          <w:u w:val="single"/>
        </w:rPr>
        <w:t>must</w:t>
      </w:r>
      <w:r>
        <w:rPr>
          <w:color w:val="000000"/>
        </w:rPr>
        <w:t xml:space="preserve"> </w:t>
      </w:r>
      <w:r>
        <w:rPr>
          <w:rFonts w:ascii="Arial;sans-serif" w:hAnsi="Arial;sans-serif"/>
          <w:b w:val="false"/>
          <w:i/>
          <w:color w:val="000000"/>
          <w:sz w:val="20"/>
        </w:rPr>
        <w:t>provide voting instructions to your broker, bank or other nominee by the deadline provided in the materials you receive from your broker, bank or other nominee.</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What is required to approve each proposal?</w:t>
      </w:r>
    </w:p>
    <w:tbl>
      <w:tblPr>
        <w:tblW w:w="10205" w:type="dxa"/>
        <w:jc w:val="left"/>
        <w:tblInd w:w="0" w:type="dxa"/>
        <w:tblCellMar>
          <w:top w:w="28" w:type="dxa"/>
          <w:left w:w="28" w:type="dxa"/>
          <w:bottom w:w="28" w:type="dxa"/>
          <w:right w:w="28" w:type="dxa"/>
        </w:tblCellMar>
      </w:tblPr>
      <w:tblGrid>
        <w:gridCol w:w="882"/>
        <w:gridCol w:w="483"/>
        <w:gridCol w:w="485"/>
        <w:gridCol w:w="590"/>
        <w:gridCol w:w="472"/>
        <w:gridCol w:w="367"/>
        <w:gridCol w:w="1298"/>
        <w:gridCol w:w="1138"/>
        <w:gridCol w:w="1141"/>
        <w:gridCol w:w="610"/>
        <w:gridCol w:w="610"/>
        <w:gridCol w:w="611"/>
        <w:gridCol w:w="441"/>
        <w:gridCol w:w="441"/>
        <w:gridCol w:w="636"/>
      </w:tblGrid>
      <w:tr>
        <w:trPr/>
        <w:tc>
          <w:tcPr>
            <w:tcW w:w="8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1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Proposal</w:t>
            </w:r>
          </w:p>
        </w:tc>
        <w:tc>
          <w:tcPr>
            <w:tcW w:w="14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Voting Options</w:t>
            </w:r>
          </w:p>
        </w:tc>
        <w:tc>
          <w:tcPr>
            <w:tcW w:w="3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Vote Required to Adopt the Proposal</w:t>
            </w:r>
          </w:p>
        </w:tc>
        <w:tc>
          <w:tcPr>
            <w:tcW w:w="1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Effect of Abstentions / Withheld Votes</w:t>
            </w:r>
          </w:p>
        </w:tc>
        <w:tc>
          <w:tcPr>
            <w:tcW w:w="151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Effect of “Broker Non-Votes”</w:t>
            </w:r>
          </w:p>
        </w:tc>
      </w:tr>
      <w:tr>
        <w:trPr/>
        <w:tc>
          <w:tcPr>
            <w:tcW w:w="1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No. 1 - Election of directors</w:t>
            </w:r>
          </w:p>
        </w:tc>
        <w:tc>
          <w:tcPr>
            <w:tcW w:w="14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color w:val="000000"/>
              </w:rPr>
            </w:pPr>
            <w:r>
              <w:rPr>
                <w:color w:val="000000"/>
              </w:rPr>
              <w:t>“</w:t>
            </w:r>
            <w:r>
              <w:rPr>
                <w:rFonts w:ascii="Arial;sans-serif" w:hAnsi="Arial;sans-serif"/>
                <w:b w:val="false"/>
                <w:color w:val="000000"/>
                <w:sz w:val="20"/>
              </w:rPr>
              <w:t>FOR” or “WITHHOLD”</w:t>
            </w:r>
          </w:p>
        </w:tc>
        <w:tc>
          <w:tcPr>
            <w:tcW w:w="3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Plurality of the shares present or represented by proxy and entitled to vote; the nominees receiving the highest number of votes “FOR” will be elected.</w:t>
            </w:r>
          </w:p>
        </w:tc>
        <w:tc>
          <w:tcPr>
            <w:tcW w:w="1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effect. Only “FOR” votes will affect the outcome.</w:t>
            </w:r>
          </w:p>
        </w:tc>
        <w:tc>
          <w:tcPr>
            <w:tcW w:w="151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effect. Only “FOR” votes will affect the outcome</w:t>
            </w:r>
          </w:p>
        </w:tc>
      </w:tr>
      <w:tr>
        <w:trPr/>
        <w:tc>
          <w:tcPr>
            <w:tcW w:w="1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No. 2 -Advisory vote to approve executive compensation</w:t>
            </w:r>
          </w:p>
        </w:tc>
        <w:tc>
          <w:tcPr>
            <w:tcW w:w="14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color w:val="000000"/>
              </w:rPr>
            </w:pPr>
            <w:r>
              <w:rPr>
                <w:color w:val="000000"/>
              </w:rPr>
              <w:t>“</w:t>
            </w:r>
            <w:r>
              <w:rPr>
                <w:rFonts w:ascii="Arial;sans-serif" w:hAnsi="Arial;sans-serif"/>
                <w:b w:val="false"/>
                <w:color w:val="000000"/>
                <w:sz w:val="20"/>
              </w:rPr>
              <w:t>FOR,” “AGAINST,” or “ABSTAIN”</w:t>
            </w:r>
          </w:p>
        </w:tc>
        <w:tc>
          <w:tcPr>
            <w:tcW w:w="35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Majority of the voting power of the shares present or represented by proxy and entitled to vote generally on the subject matter; of the shares present and entitled to vote on the proposal, a majority of them must be voted “FOR” the proposal for it to be approved. </w:t>
            </w:r>
          </w:p>
        </w:tc>
        <w:tc>
          <w:tcPr>
            <w:tcW w:w="1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 abstention will have the same effect as a vote “AGAINST” the proposal.</w:t>
            </w:r>
          </w:p>
        </w:tc>
        <w:tc>
          <w:tcPr>
            <w:tcW w:w="151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effect</w:t>
            </w:r>
          </w:p>
        </w:tc>
      </w:tr>
      <w:tr>
        <w:trPr/>
        <w:tc>
          <w:tcPr>
            <w:tcW w:w="1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No. 3 -Ratification of retention of Ernst &amp; Young LLP</w:t>
            </w:r>
          </w:p>
        </w:tc>
        <w:tc>
          <w:tcPr>
            <w:tcW w:w="142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color w:val="000000"/>
              </w:rPr>
            </w:pPr>
            <w:r>
              <w:rPr>
                <w:color w:val="000000"/>
              </w:rPr>
              <w:t>“</w:t>
            </w:r>
            <w:r>
              <w:rPr>
                <w:rFonts w:ascii="Arial;sans-serif" w:hAnsi="Arial;sans-serif"/>
                <w:b w:val="false"/>
                <w:color w:val="000000"/>
                <w:sz w:val="20"/>
              </w:rPr>
              <w:t>FOR,” AGAINST,” or “ABSTAIN”</w:t>
            </w:r>
          </w:p>
        </w:tc>
        <w:tc>
          <w:tcPr>
            <w:tcW w:w="357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Majority of the voting power of the shares present or represented by proxy and entitled to vote generally on the subject matter; of the shares present and entitled to vote on the proposal, a majority of them must be voted “FOR” the proposal for it to be approved.</w:t>
            </w:r>
          </w:p>
        </w:tc>
        <w:tc>
          <w:tcPr>
            <w:tcW w:w="18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 abstention will have the same effect as a vote “AGAINST” the proposal.</w:t>
            </w:r>
          </w:p>
        </w:tc>
        <w:tc>
          <w:tcPr>
            <w:tcW w:w="151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 applicable; brokers have discretion to vote.</w:t>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240"/>
        <w:jc w:val="both"/>
        <w:rPr/>
      </w:pPr>
      <w:r>
        <w:rPr/>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If I am a stockholder of record and I do not vote, or if I return a proxy card or otherwise vote without giving specific voting instructions, what happens?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you are a stockholder of record and do not vote by completing a proxy card, either by telephone, through the internet or online during the Annual Meeting, your shares will not be voted.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you return a signed and dated proxy card or otherwise vote without marking voting selections or if you indicate when voting on the internet or by telephone that you wish to vote as recommended by our Board of Directors, your shares will be voted, as applicable, “For” Proposal No. 1, the election of the three nominees for director, “For” Proposal No. 2, to approve, on an advisory basis, the compensation of the Company’s named executive officers, and “For” Proposal No. 3, the ratification of the selection by the Audit Committee of our Board of Directors of Ernst &amp; Young LLP as our independent registered public accounting firm for the year ending December 31, 2023. If any other matter is properly presented at the Annual Meeting, your proxyholder will vote your shares using their best judgment.</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If I am a beneficial owner of shares held in “street name” and I do not provide my broker, bank or other nominee with voting instructions, what happens?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you are a beneficial owner of shares held in “street name” and you do not instruct your broker, bank or other nominee how to vote your shares, your broker, bank or other nominee may still be able to vote your shares in its discretion. In this regard, brokers, banks and other nominees may generally vote in their discretion your “uninstructed” shares with respect to matters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In this regard, Proposal Nos. 1 and 2 are considered to be “non-routine” under applicable rules meaning that your broker, bank or other nominee may not vote your shares on those proposals in the absence of your voting instructions. However, Proposal No. 3 is considered to be a “routine” matter under applicable rules, meaning that if you do not return voting instructions to your broker, bank or other nominee by its deadline, your broker, bank or other nominee may generally vote in their discretion on Proposal No. 3. We encourage you to provide voting instructions to your broker, bank or other nominee. This ensures that your shares will be voted at the Annual Meeting according to your instructions. You should receive directions from your broker, bank or other nominee about how to submit your proxy to them at the time you receive this Proxy Statement.</w:t>
      </w:r>
    </w:p>
    <w:p>
      <w:pPr>
        <w:pStyle w:val="TextBody"/>
        <w:spacing w:lineRule="auto" w:line="288" w:before="0" w:after="240"/>
        <w:jc w:val="both"/>
        <w:rPr/>
      </w:pPr>
      <w:r>
        <w:rPr>
          <w:rFonts w:ascii="Arial;sans-serif" w:hAnsi="Arial;sans-serif"/>
          <w:b w:val="false"/>
          <w:i/>
          <w:color w:val="000000"/>
          <w:sz w:val="20"/>
        </w:rPr>
        <w:t xml:space="preserve">If you are a beneficial owner of shares held in “street name,” in order to ensure your shares are voted in the way you would prefer, you </w:t>
      </w:r>
      <w:r>
        <w:rPr>
          <w:rFonts w:ascii="Arial;sans-serif" w:hAnsi="Arial;sans-serif"/>
          <w:b w:val="false"/>
          <w:i/>
          <w:color w:val="000000"/>
          <w:sz w:val="20"/>
          <w:u w:val="single"/>
        </w:rPr>
        <w:t>must</w:t>
      </w:r>
      <w:r>
        <w:rPr>
          <w:color w:val="000000"/>
        </w:rPr>
        <w:t xml:space="preserve"> </w:t>
      </w:r>
      <w:r>
        <w:rPr>
          <w:rFonts w:ascii="Arial;sans-serif" w:hAnsi="Arial;sans-serif"/>
          <w:b w:val="false"/>
          <w:i/>
          <w:color w:val="000000"/>
          <w:sz w:val="20"/>
        </w:rPr>
        <w:t>provide voting instructions to your broker, bank or other nominee by the deadline provided in the materials you receive from your broker, bank or other nominee.</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Can I change my vote after submitting my proxy?</w:t>
      </w:r>
    </w:p>
    <w:p>
      <w:pPr>
        <w:pStyle w:val="TextBody"/>
        <w:spacing w:lineRule="auto" w:line="288" w:before="200" w:after="240"/>
        <w:jc w:val="both"/>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Yes. Proxies may be revoked at any time before the final vote at the Annual Meeting. If you are the stockholder of record of your shares, you may revoke your proxy in any one of the following ways:</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You may submit a valid, later-dated proxy;</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You may submit a subsequent proxy by telephone or through the internet (only your last telephone or internet proxy will be counted) before 11:59 p.m. Eastern Daylight Time on May 9, 2023;</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You may send a timely written notice that you are revoking your proxy to our Secretary at 333 Oyster Point Boulevard, South San Francisco, California 94080; or</w:t>
      </w:r>
    </w:p>
    <w:p>
      <w:pPr>
        <w:pStyle w:val="TextBody"/>
        <w:spacing w:lineRule="auto" w:line="288" w:before="0" w:after="240"/>
        <w:jc w:val="both"/>
        <w:rPr>
          <w:color w:val="000000"/>
        </w:rPr>
      </w:pPr>
      <w:r>
        <w:rPr>
          <w:color w:val="000000"/>
        </w:rPr>
        <w:t xml:space="preserve">➢ </w:t>
      </w:r>
      <w:r>
        <w:rPr>
          <w:rFonts w:ascii="Arial;sans-serif" w:hAnsi="Arial;sans-serif"/>
          <w:b w:val="false"/>
          <w:color w:val="000000"/>
          <w:sz w:val="20"/>
        </w:rPr>
        <w:t>You may attend the Annual Meeting and vote again online by following the instructions at www.virtualshareholdermeeting.com/NGM2023.</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240"/>
        <w:jc w:val="both"/>
        <w:rPr/>
      </w:pPr>
      <w:r>
        <w:rPr/>
      </w:r>
    </w:p>
    <w:p>
      <w:pPr>
        <w:pStyle w:val="TextBody"/>
        <w:spacing w:lineRule="auto" w:line="288" w:before="200" w:after="240"/>
        <w:jc w:val="both"/>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shares held beneficially in “street name,” you must contact the bank, broker or other nominee holding your shares and follow its instructions for revoking or changing your vote.</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What is the quorum requirement?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quorum of stockholders is necessary to hold a valid meeting. A quorum will be present if the holders of a majority of the voting power of the outstanding shares entitled to vote are present at the Annual Meeting or represented by proxy. On the Record Date, there were 82,056,499 shares outstanding and entitled to vote. Thus, the holders of 41,028,250 shares must be present or represented by proxy at the Annual Meeting to have a quorum.</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Your shares will be counted towards the quorum only if you submit a valid proxy (or one is submitted on your behalf by your broker, bank or other nominee) or if you vote online during the Annual Meeting. Abstentions and broker non-votes will be counted towards the quorum requirement. If there is no quorum, the holders of a majority of shares present at the Annual Meeting or represented by proxy may adjourn the meeting to another date. Virtual attendance at our Annual Meeting constitutes presence for purposes of a quorum at the meeting.</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Will a list of record stockholders as of the Record Date be available?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the ten days prior to the Annual Meeting, the list will be available for examination by any stockholder of record for a legally valid purpose at our principal executive offices located at 333 Oyster Point Boulevard, South San Francisco, California 94080. You may email NGM at ir@ngmbio.com to coordinate arrangements to view the stockholder list. </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What does it mean if I receive more than one Notice?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each of the Notices you receive to ensure that all your shares are voted.</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Who is paying for this proxy solicitation?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nominees for the cost of forwarding proxy materials to beneficial owners.</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How can I find out the results of the voting at the Annual Meeting?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amended report on Form 8-K to disclose the final results.</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Why are we holding our Annual Meeting in a virtual format?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Following the successful implementation of a virtual format for our annual meeting of stockholders in the previous three years, we have again decided to hold the Annual Meeting in a virtual format, which will be conducted via live webcast. We continue to believe that a virtual format helps to facilitate stockholder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NGM and our stockholders time and resources. We also designed the virtual format of our Annual Meeting to ensure that our stockholders who attend the Annual Meeting will be afforded the same rights and opportunities to participate as they would at an in-</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person meeting. For example, last year’s virtual format allowed our stockholders to communicate with us during the meeting, enabling them to ask questions of our Board of Directors or management in live format. During the Annual Meeting, we will once again answer appropriate questions submitted during the meeting to the extent relevant to the business of the meeting and as time permits.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Whether or not you expect to attend the Annual Meeting, please vote as soon as possible by one of the methods described in these proxy materials so that your shares will be represented and voted at the Annual Meeting.</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How do I attend the Annual Meeting?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You will be able to attend and participate in the Annual Meeting online by visiting www.virtualshareholdermeeting.com/NGM2023, where you will be able to listen to the meeting live, submit questions and vote. You will not be able to attend the Annual Meeting in person. Information on how to vote at the Annual Meeting is discussed below. The live Annual Meeting webcast will begin promptly at 7:30 a.m., Pacific Daylight Time. We encourage you to access the webcast prior to the start time. Online check-in will begin at 7:15 a.m. Pacific Daylight Time, and you should allow ample time for the check-in procedures. </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What do I need in order to be able to participate in the Annual Meeting?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You will need the 16-digit control number included in your Notice, on your proxy card or on the instructions that accompanied your proxy materials in order to be able to vote your shares or submit questions during the Annual Meeting. Instructions on how to connect to the Annual Meeting and participate via the internet will be posted at www.virtualshareholdermeeting.com/NGM2023.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Technicians will be ready to assist you with any technical difficulties you may have accessing the virtual meeting platform or submitting questions. If you encounter any difficulties accessing the Annual Meeting during the check-in or meeting time, please call the technical support number that will be posted on the Annual Meeting login page. </w:t>
      </w:r>
    </w:p>
    <w:p>
      <w:pPr>
        <w:pStyle w:val="TextBody"/>
        <w:spacing w:lineRule="auto" w:line="276" w:before="200" w:after="240"/>
        <w:jc w:val="both"/>
        <w:rPr>
          <w:rFonts w:ascii="Arial;sans-serif" w:hAnsi="Arial;sans-serif"/>
          <w:b/>
          <w:color w:val="000000"/>
          <w:sz w:val="20"/>
        </w:rPr>
      </w:pPr>
      <w:r>
        <w:rPr>
          <w:rFonts w:ascii="Arial;sans-serif" w:hAnsi="Arial;sans-serif"/>
          <w:b/>
          <w:color w:val="000000"/>
          <w:sz w:val="20"/>
        </w:rPr>
        <w:t>For the Annual Meeting, how do we ask questions of management and the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plan to have a Q&amp;A session at the Annual Meeting and will include as many stockholder questions, to the extent relevant to the business of the meeting, as the allotted time permits. Questions may be submitted during the Annual Meeting through www.virtualshareholdermeeting.com/NGM2023. As noted above, you will need the 16-digit control number included in your Notice, on your proxy card or on the instructions that accompanied your proxy materials in order to be able to submit questions during the Annual Meeting. </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24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PROPOSAL NO. 1</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ELECTION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Board of Directors is divided into three classes, designated as Class I, Class II and Class III, with each class serving a staggered three-year term. Vacancies on the Board of Directors may be filled only by persons elected by a majority of the remaining directors unless the Board of Directors determines by resolution that any such vacancies will be filled by stockholders. A director elected by the Board of Directors to fill a vacancy in a class, including vacancies created by an increase in the number of directors, will serve for the remainder of the full term of that class and until the director’s successor is duly elected and qualified.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presently has eight members, as follows: Class I directors: Shelly D. Guyer, Carole Ho, M.D. and William J. Rieflin, whose terms will expire at the Annual Meeting; Class II directors: Jin-Long Chen, Ph.D. and Roger M. Perlmutter, M.D., Ph.D., whose terms will expire at the annual meeting of stockholders to be held in 2024; and Class III directors: David V. Goeddel, Ph.D., Suzanne Sawochka Hooper and David J. Woodhouse, Ph.D., whose terms will expire at the annual meeting of stockholders to be held in 2025.</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Ms. Guyer, Dr. Ho and Mr. Rieflin, each a current Class I director, were recommended for re-election to our Board of Directors as Class I director nominees by our Nominating and Corporate Governance Committee and each was nominated for re-election by our Board of Directors. Ms. Guyer and Mr. Rieflin were previously elected to our Board of Directors by our stockholders. The Board of Directors elected Dr. Ho to our Board of Directors on June 5, 2020 upon recommendation by our Nominating and Corporate Governance Committee, based on its review of her experience and qualifications. Dr. Ho was initially recommended to our Nominating and Corporate Governance Committee by an external search firm.</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re-elected at the Annual Meeting, Ms. Guyer, Dr. Ho and Mr. Rieflin would serve until the annual meeting of stockholders to be held in 2026 and until their successors have been duly elected and qualified, or, if sooner, until the director’s death, resignation or removal.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Directors are elected by a plurality of the votes of the holders of shares present or represented by proxy and entitled to vote on the election of directors. Accordingly, the nominees who receive the highest number of “FOR” votes from the holders of shares present in person or represented by proxy and entitled to vote on the election of directors will be elected. Only votes “FOR” nominees will affect the outcome. Shares represented by executed proxies will be voted, if authority to do so is not withheld, for the election of all of the nominees named below. If any nominee becomes unavailable for election as a result of an unexpected occurrence, the Board of Directors may designate a substitute nominee, in which event the persons named in the enclosed proxy will vote for the election of such substitute nominee, unless the Board of Directors chooses to reduce the number of directors serving on the Board of Directors. Each person nominated for election has consented to being named as a nominee in this Proxy Statement and has agreed to serve if elected. We have no reason to believe that any nominee will be unable to serve.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includes a brief biography of each of the Class I director nominees standing for election at the Annual Meeting and each of our Class II and Class III directors continuing to serve on the Board of Directors, including their respective ages, as of March 17, 2023.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Class I Director Nominees for Election for a Three-Year Term Expiring at the 2026 Annual Meeting of Stockholders</w:t>
      </w:r>
    </w:p>
    <w:p>
      <w:pPr>
        <w:pStyle w:val="TextBody"/>
        <w:spacing w:lineRule="auto" w:line="288" w:before="0" w:after="240"/>
        <w:jc w:val="both"/>
        <w:rPr/>
      </w:pPr>
      <w:r>
        <w:rPr>
          <w:rFonts w:ascii="Arial;sans-serif" w:hAnsi="Arial;sans-serif"/>
          <w:b w:val="false"/>
          <w:i/>
          <w:color w:val="000000"/>
          <w:sz w:val="20"/>
        </w:rPr>
        <w:t>Shelly D. Guyer</w:t>
      </w:r>
      <w:r>
        <w:rPr>
          <w:rFonts w:ascii="Arial;sans-serif" w:hAnsi="Arial;sans-serif"/>
          <w:b w:val="false"/>
          <w:color w:val="000000"/>
          <w:sz w:val="20"/>
        </w:rPr>
        <w:t xml:space="preserve">, age 62, has served as a member of our Board of Directors since December 2019. Ms. Guyer previously led the sustainability and environmental, social and governance, or ESG, efforts of Invitae Corporation, or Invitae, a publicly-traded leading medical genetics company, as Chief Sustainability Officer from June 2021 to October 2022, and previously acted as Invitae’s Chief Financial Officer from June 2017 to June 2021. Prior to that, she served as Chief Financial Officer of Veracyte, Inc., or Veracyte,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a digital healthcare company. From March 2006 to August 2007, Ms. Guyer served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Vice President of Business Development and Investor Relations of Nuvelo, Inc., or Nuvelo, a biopharmaceutical company. Prior to joining Nuvelo, Ms. Guyer worked at J.P. Morgan Securities and its predecessor companies for over 17 years, serving in a variety of roles including in healthcare investment banking and as a member of the H&amp;Q Environmental Technology Fund. Ms. Guyer received an A.B. in Politics from Princeton University and an M.B.A. from the Haas School of Business at the University of California, Berkeley. We believe that Ms. Guyer’s financial background and executive experience, as well as her ESG expertise, make her qualified to serve on our Board of Directors.</w:t>
      </w:r>
    </w:p>
    <w:p>
      <w:pPr>
        <w:pStyle w:val="TextBody"/>
        <w:spacing w:lineRule="auto" w:line="288" w:before="0" w:after="240"/>
        <w:jc w:val="both"/>
        <w:rPr/>
      </w:pPr>
      <w:r>
        <w:rPr>
          <w:rFonts w:ascii="Arial;sans-serif" w:hAnsi="Arial;sans-serif"/>
          <w:b w:val="false"/>
          <w:i/>
          <w:color w:val="000000"/>
          <w:sz w:val="20"/>
        </w:rPr>
        <w:t>Carole Ho, M.D</w:t>
      </w:r>
      <w:r>
        <w:rPr>
          <w:rFonts w:ascii="Arial;sans-serif" w:hAnsi="Arial;sans-serif"/>
          <w:b w:val="false"/>
          <w:color w:val="000000"/>
          <w:sz w:val="20"/>
        </w:rPr>
        <w:t>., age 50, has served as a member of our Board of Directors since June 2020. Dr. Ho also serves as Chief Medical Officer and Head of Development at Denali Therapeutics Inc., or Denali, a biotechnology company since June 2015. Prior to joining Denali, Dr. Ho held various roles of increasing responsibility at Genentech, Inc., or Genentech, a private biotechnology company, between 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completed a residency in neurology at Partners Neurology Residency of the Massachusetts General and Brigham and Women’s Hospital between 2004 and 2014 and was board certified in neurology and psychiatry. She currently serves on the board of directors of Beam Therapeutics Inc., a publicly-traded biotechnology company. Dr. Ho received an M.D. from Cornell University and a B.S. in Biochemical Sciences from Harvard College. We believe that Dr. Ho’s medical background, executive experience and experience serving as a director of another publicly-traded life science company make her qualified to serve on our Board of Directors.</w:t>
      </w:r>
    </w:p>
    <w:p>
      <w:pPr>
        <w:pStyle w:val="TextBody"/>
        <w:spacing w:lineRule="auto" w:line="288" w:before="0" w:after="240"/>
        <w:jc w:val="both"/>
        <w:rPr/>
      </w:pPr>
      <w:r>
        <w:rPr>
          <w:rFonts w:ascii="Arial;sans-serif" w:hAnsi="Arial;sans-serif"/>
          <w:b w:val="false"/>
          <w:i/>
          <w:color w:val="000000"/>
          <w:sz w:val="20"/>
        </w:rPr>
        <w:t>William J. Rieflin</w:t>
      </w:r>
      <w:r>
        <w:rPr>
          <w:rFonts w:ascii="Arial;sans-serif" w:hAnsi="Arial;sans-serif"/>
          <w:b w:val="false"/>
          <w:color w:val="000000"/>
          <w:sz w:val="20"/>
        </w:rPr>
        <w:t>, age 63, became the Chairman of our Board of Directors in July 2022, after having served as our Executive Chairman since September 2018. He also served as our Chief Executive Officer and a member of our Board of Directors from September 2010 to September 2018. From 2004 until 2010, he served as President of XenoPort, Inc., or XenoPort, a biotechnology company focused on the discovery and development of transported prodrugs. From 1996 to 2004, he held various positions with Tularik Inc., or Tularik, a biotechnology company focused on the discovery and development of product candidates based on the regulation of gene expression that was acquired by Amgen, Inc., or Amgen, a public biotechnology company, in 2004, most recently serving as Executive Vice President, Administration, Chief Financial Officer, General Counsel and Secretary. Mr. Rieflin has served as a director of RAPT Therapeutics, Inc., or RAPT, a publicly-traded biotechnology company, since 2015 and as chair of the board since 2019, at Lyell Immunopharma, Inc., a publicly-traded biotechnology company, since 2020, at Kallyope Inc., a private biotechnology company, since 2016 and at Lycia Therapeutics, Inc., a private biotechnology company, as chair of the board since 2020. Mr. Rieflin also served as a director of Flexus Biosciences until its acquisition in 2015, a director of XenoPort until its acquisition in 2016 and as a director of Anacor Pharmaceuticals, a private biopharmaceutical company, until its acquisition in 2016. Mr. Rieflin received a B.S. from Cornell University, an M.B.A. from the University of Chicago Graduate School of Business and a J.D. from Stanford Law School. We believe that Mr. Rieflin’s extensive experience with NGM, which is a consequence of his tenure as Chief Executive Officer and Executive Chairman, brings necessary historic knowledge and continuity to our Board of Directors. In addition, we believe that his prior experiences provided him with operational and industry expertise that are important to our Board of Directors. Mr. Rieflin was elected to our Board of Directors prior to our initial public offering pursuant to a voting agreement entered into with certain of our stockholders that terminated upon completion of our initial public offering in April 2019.</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The Board of Directors Recommends </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a Vote “For” Each of the Class I Director Nominees Named Above.</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Class II Directors Continuing in Office Until the 2024 Annual Meeting of Stockholders</w:t>
      </w:r>
    </w:p>
    <w:p>
      <w:pPr>
        <w:pStyle w:val="TextBody"/>
        <w:spacing w:lineRule="auto" w:line="288" w:before="0" w:after="240"/>
        <w:jc w:val="both"/>
        <w:rPr/>
      </w:pPr>
      <w:r>
        <w:rPr>
          <w:rFonts w:ascii="Arial;sans-serif" w:hAnsi="Arial;sans-serif"/>
          <w:b w:val="false"/>
          <w:i/>
          <w:color w:val="000000"/>
          <w:sz w:val="20"/>
        </w:rPr>
        <w:t>Jin-Long Chen, Ph.D</w:t>
      </w:r>
      <w:r>
        <w:rPr>
          <w:rFonts w:ascii="Arial;sans-serif" w:hAnsi="Arial;sans-serif"/>
          <w:b w:val="false"/>
          <w:color w:val="000000"/>
          <w:sz w:val="20"/>
        </w:rPr>
        <w:t xml:space="preserve">., age 60, our founder, has served as a member of our Board of Directors and as our Chief Scientific Officer since January 2008. He was also NGM’s President until November 2014. From 2004 to 2008, Dr. Chen held various positions at Amgen, most recently as its Vice President, Metabolic Research. Prior to joining Amgen, Dr. Chen was Vice President, Biology at Tularik. He has served as a director of Tenaya Therapeutics, or Tenaya, a public biotechnology company, since 2016. Dr. Chen received a B.S. from Fu-Jen Catholic University, an M.S. from National Taiwan University and a Ph.D. from the University of California, Berkeley. We believe that Dr. Chen’s extensive experience with NGM,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Dr. Chen was elected to our Board of Directors prior to our initial public offering pursuant to a voting agreement entered into with certain of our stockholders prior to the initial public offering that terminated upon completion of our initial public offering in April 2019.</w:t>
      </w:r>
    </w:p>
    <w:p>
      <w:pPr>
        <w:pStyle w:val="TextBody"/>
        <w:spacing w:lineRule="auto" w:line="288" w:before="0" w:after="240"/>
        <w:jc w:val="both"/>
        <w:rPr/>
      </w:pPr>
      <w:r>
        <w:rPr>
          <w:rFonts w:ascii="Arial;sans-serif" w:hAnsi="Arial;sans-serif"/>
          <w:b w:val="false"/>
          <w:i/>
          <w:color w:val="000000"/>
          <w:sz w:val="20"/>
        </w:rPr>
        <w:t>Roger M. Perlmutter, M.D., Ph.D</w:t>
      </w:r>
      <w:r>
        <w:rPr>
          <w:rFonts w:ascii="Arial;sans-serif" w:hAnsi="Arial;sans-serif"/>
          <w:b w:val="false"/>
          <w:color w:val="000000"/>
          <w:sz w:val="20"/>
        </w:rPr>
        <w:t>., age 70, has served as a member of our Board of Directors since June 2021. Dr. Perlmutter is a highly accomplished industry as well as academic leader with over 35 years of experience. He currently serves as the President, Chief Executive Officer and Chairman of Eikon Therapeutics, Inc., a private biotechnology company. From 2013 through 2020, he served as Executive Vice President, Merck &amp; Co., or Merck, and President, Merck Research Laboratories, or MRL, where he supervised the discovery and development of numerous lifesaving medicines, and then he served as non-Executive Chairman of MRL from January through May 2021. He currently serves on the board of directors of Insitro, Inc., a privately held machine learning-driven drug discovery and development company, on the Scientific Advisory Board of the CBC Group, a healthcare-dedicated investment platform, and as a Science Partner at The Column Group, or TCG, a venture capital partnership. Before joining Merck, Dr. Perlmutter spent 12 years as Executive Vice President and head of R&amp;D at Amgen from January 2001 to February 2012. Prior to assuming leadership roles in industry, Dr. Perlmutter was a professor in the Departments of Immunology, Biochemistry and Medicine at the University of Washington, Seattle, and served as Chairman of its Department of Immunology, where he was at the same time an investigator of the Howard Hughes Medical Institute. Prior to his role at the University of Washington, he was a lecturer in the Division of Biology at the California Institute of Technology, Pasadena. Dr. Perlmutter is a Fellow of the American Academy of Arts and Sciences and the American Association for the Advancement of Science, and both a Distinguished Fellow and past president of the American Association of Immunologists. Dr. Perlmutter graduated from Reed College and received his M.D. and Ph.D. degrees from Washington University in St. Louis. We believe Dr. Perlmutter’s extensive industry, academic and executive experience make him qualified to serve on our Board of Directors.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Class III Directors Continuing in Office Until the 2025 Annual Meeting of Stockholders</w:t>
      </w:r>
    </w:p>
    <w:p>
      <w:pPr>
        <w:pStyle w:val="TextBody"/>
        <w:spacing w:lineRule="auto" w:line="268" w:before="0" w:after="0"/>
        <w:jc w:val="both"/>
        <w:rPr/>
      </w:pPr>
      <w:r>
        <w:rPr>
          <w:rFonts w:ascii="Arial;sans-serif" w:hAnsi="Arial;sans-serif"/>
          <w:b w:val="false"/>
          <w:i/>
          <w:color w:val="000000"/>
          <w:sz w:val="20"/>
        </w:rPr>
        <w:t xml:space="preserve">David V. Goeddel, Ph.D., </w:t>
      </w:r>
      <w:r>
        <w:rPr>
          <w:rFonts w:ascii="Arial;sans-serif" w:hAnsi="Arial;sans-serif"/>
          <w:b w:val="false"/>
          <w:color w:val="000000"/>
          <w:sz w:val="20"/>
        </w:rPr>
        <w:t>age 71, became Lead Independent Director of our Board of Directors in September 2018, after having served as Chairman since January 2008, and served as our Chief Executive Officer from 2008 to 2010. Dr. Goeddel has been a Managing Partner of TCG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Dr. Goeddel served as a director at the following publicly-traded biotechnology companies: RAPT, April 2015 to June 2020, Surrozen Inc., or Surrozen, a publicly traded biotechnology company, from February 2017 to 2021 and Board Chairman of Tenaya from October 2016 to the present and he currently serves as Board Chairman on two privately held biotechnology companies.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publicly-traded and privately-held life science companies and experience in founding and serving as President and Chief Executive Officer of a publicly-traded biopharmaceutical company give him the qualifications, skills and financial expertise to serve on our Board of Directors. Dr. Goeddel was elected to our Board of Directors prior to our initial public offering pursuant to a voting agreement entered into with certain of our stockholders prior to the initial public offering that terminated upon completion of our initial public offering in April 2019.</w:t>
      </w:r>
    </w:p>
    <w:p>
      <w:pPr>
        <w:pStyle w:val="TextBody"/>
        <w:spacing w:before="0" w:after="0"/>
        <w:jc w:val="both"/>
        <w:rPr/>
      </w:pPr>
      <w:r>
        <w:rPr/>
      </w:r>
    </w:p>
    <w:p>
      <w:pPr>
        <w:pStyle w:val="TextBody"/>
        <w:spacing w:lineRule="auto" w:line="288" w:before="0" w:after="240"/>
        <w:jc w:val="both"/>
        <w:rPr/>
      </w:pPr>
      <w:r>
        <w:rPr>
          <w:rFonts w:ascii="Arial;sans-serif" w:hAnsi="Arial;sans-serif"/>
          <w:b w:val="false"/>
          <w:i/>
          <w:color w:val="000000"/>
          <w:sz w:val="20"/>
        </w:rPr>
        <w:t>Suzanne Sawochka Hooper,</w:t>
      </w:r>
      <w:r>
        <w:rPr>
          <w:color w:val="000000"/>
        </w:rPr>
        <w:t xml:space="preserve"> </w:t>
      </w:r>
      <w:r>
        <w:rPr>
          <w:rFonts w:ascii="Arial;sans-serif" w:hAnsi="Arial;sans-serif"/>
          <w:b w:val="false"/>
          <w:color w:val="000000"/>
          <w:sz w:val="20"/>
        </w:rPr>
        <w:t>age 57, has served as a member of our Board of Directors since August 2018. From March 2012 to March 2019, Ms. Hooper served as the Executive Vice President and General Counsel of Jazz Pharmaceuticals plc., or Jazz, a public biopharmaceutical company. From 1999 until February 2012, she was a partner in the law firm Cooley LLP. Ms. Hooper served as a member of the board of directors of Eidos Therapeutics, a subsidiary of BridgeBio Pharma, Inc., or BridgeBio, from August 2020 until it was acquired by BridgeBio in January 2021. Ms. Hooper received a J.D. from the University of California, Berkeley School of Law and a B.A. in Political Science from the University of California, Santa Barbara. We believe that Ms. Hooper’s legal and operational background and executive experience make her qualified to serve on our Board of Directors. In addition, Ms. Hooper’s experience as the Executive Vice President of a publicly-traded pharmaceutical company provided her with operational expertise that is important to our Board of Directors. Ms. Hooper was elected to our Board of Directors prior to our initial public offering pursuant to a voting agreement entered into with certain of our stockholders prior to the initial public offering that terminated upon completion of our initial public offering in April 2019.</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240"/>
        <w:jc w:val="both"/>
        <w:rPr/>
      </w:pPr>
      <w:r>
        <w:rPr/>
      </w:r>
    </w:p>
    <w:p>
      <w:pPr>
        <w:pStyle w:val="TextBody"/>
        <w:spacing w:lineRule="auto" w:line="288" w:before="0" w:after="240"/>
        <w:jc w:val="both"/>
        <w:rPr/>
      </w:pPr>
      <w:r>
        <w:rPr>
          <w:rFonts w:ascii="Arial;sans-serif" w:hAnsi="Arial;sans-serif"/>
          <w:b w:val="false"/>
          <w:i/>
          <w:color w:val="000000"/>
          <w:sz w:val="20"/>
        </w:rPr>
        <w:t>David J. Woodhouse, Ph.D.</w:t>
      </w:r>
      <w:r>
        <w:rPr>
          <w:rFonts w:ascii="Arial;sans-serif" w:hAnsi="Arial;sans-serif"/>
          <w:b w:val="false"/>
          <w:color w:val="000000"/>
          <w:sz w:val="20"/>
        </w:rPr>
        <w:t>, age 53, became our Chief Executive Officer and a member of our Board of Directors in September 2018 and was our Acting Chief Financial Officer between September 2018 and July 2020,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 public biopharmaceutical company, and also as a research assistant at Amgen. He currently serves on the board of directors of Surrozen. Dr. Woodhouse received a B.A. in pharmacology from the University of California, Santa Barbara, an M.B.A. from the Tuck School of Business at Dartmouth and a Ph.D. in molecular pharmacology from Stanford University School of Medicine. We believe that Dr. Woodhouse’s experience with NGM, as well as his financial and executive experience, make him qualified to serve on our Board of Directors. In addition, Dr. Woodhouse’s experience in healthcare investment banking prior to joining us provided him with industry expertise that is important to our Board of Directors. Dr. Woodhouse was elected to our Board of Directors prior to our initial public offering pursuant to a voting agreement entered into with certain of our stockholders prior to the initial public offering that terminated upon completion of our initial public offering in April 2019.</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Board Diversity</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Board Diversity Matrix below provides the diversity statistics for our Board of Directors.</w:t>
      </w:r>
    </w:p>
    <w:tbl>
      <w:tblPr>
        <w:tblW w:w="7509" w:type="dxa"/>
        <w:jc w:val="left"/>
        <w:tblInd w:w="0" w:type="dxa"/>
        <w:tblCellMar>
          <w:top w:w="28" w:type="dxa"/>
          <w:left w:w="28" w:type="dxa"/>
          <w:bottom w:w="28" w:type="dxa"/>
          <w:right w:w="28" w:type="dxa"/>
        </w:tblCellMar>
      </w:tblPr>
      <w:tblGrid>
        <w:gridCol w:w="1475"/>
        <w:gridCol w:w="1294"/>
        <w:gridCol w:w="1301"/>
        <w:gridCol w:w="277"/>
        <w:gridCol w:w="277"/>
        <w:gridCol w:w="277"/>
        <w:gridCol w:w="277"/>
        <w:gridCol w:w="277"/>
        <w:gridCol w:w="277"/>
        <w:gridCol w:w="277"/>
        <w:gridCol w:w="277"/>
        <w:gridCol w:w="277"/>
        <w:gridCol w:w="277"/>
        <w:gridCol w:w="277"/>
        <w:gridCol w:w="392"/>
      </w:tblGrid>
      <w:tr>
        <w:trPr/>
        <w:tc>
          <w:tcPr>
            <w:tcW w:w="1475"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7509" w:type="dxa"/>
            <w:gridSpan w:val="15"/>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Board Diversity Matrix (As of March 17, 2023)</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Total Number of Directors</w:t>
            </w:r>
          </w:p>
        </w:tc>
        <w:tc>
          <w:tcPr>
            <w:tcW w:w="3439"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4070"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Female</w:t>
            </w:r>
          </w:p>
        </w:tc>
        <w:tc>
          <w:tcPr>
            <w:tcW w:w="831"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Male</w:t>
            </w:r>
          </w:p>
        </w:tc>
        <w:tc>
          <w:tcPr>
            <w:tcW w:w="831"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Non-</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Binary</w:t>
            </w:r>
          </w:p>
        </w:tc>
        <w:tc>
          <w:tcPr>
            <w:tcW w:w="946"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Did Not</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Disclose</w:t>
            </w:r>
          </w:p>
          <w:p>
            <w:pPr>
              <w:pStyle w:val="TableContents"/>
              <w:spacing w:lineRule="auto" w:line="268" w:before="0" w:after="0"/>
              <w:jc w:val="center"/>
              <w:rPr>
                <w:rFonts w:ascii="Arial;sans-serif" w:hAnsi="Arial;sans-serif"/>
                <w:b/>
                <w:color w:val="000000"/>
                <w:sz w:val="20"/>
              </w:rPr>
            </w:pPr>
            <w:r>
              <w:rPr>
                <w:rFonts w:ascii="Arial;sans-serif" w:hAnsi="Arial;sans-serif"/>
                <w:b/>
                <w:color w:val="000000"/>
                <w:sz w:val="20"/>
              </w:rPr>
              <w:t>Gender</w:t>
            </w:r>
          </w:p>
        </w:tc>
      </w:tr>
      <w:tr>
        <w:trPr/>
        <w:tc>
          <w:tcPr>
            <w:tcW w:w="407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ind w:left="0" w:right="0" w:firstLine="201"/>
              <w:jc w:val="left"/>
              <w:rPr>
                <w:rFonts w:ascii="Arial;sans-serif" w:hAnsi="Arial;sans-serif"/>
                <w:b/>
                <w:color w:val="000000"/>
                <w:sz w:val="20"/>
              </w:rPr>
            </w:pPr>
            <w:r>
              <w:rPr>
                <w:rFonts w:ascii="Arial;sans-serif" w:hAnsi="Arial;sans-serif"/>
                <w:b/>
                <w:color w:val="000000"/>
                <w:sz w:val="20"/>
              </w:rPr>
              <w:t>Part I: Gender Identity</w:t>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left w:val="single" w:sz="8" w:space="0" w:color="000000"/>
              <w:right w:val="single" w:sz="8" w:space="0" w:color="000000"/>
            </w:tcBorders>
            <w:shd w:fill="D9D9D9" w:val="clear"/>
            <w:tcMar>
              <w:bottom w:w="0" w:type="dxa"/>
            </w:tcMar>
            <w:vAlign w:val="center"/>
          </w:tcPr>
          <w:p>
            <w:pPr>
              <w:pStyle w:val="TableContents"/>
              <w:spacing w:before="0" w:after="283"/>
              <w:rPr>
                <w:sz w:val="4"/>
                <w:szCs w:val="4"/>
              </w:rPr>
            </w:pPr>
            <w:r>
              <w:rPr>
                <w:sz w:val="4"/>
                <w:szCs w:val="4"/>
              </w:rPr>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Directors</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ind w:left="0" w:right="0" w:firstLine="201"/>
              <w:jc w:val="left"/>
              <w:rPr>
                <w:rFonts w:ascii="Arial;sans-serif" w:hAnsi="Arial;sans-serif"/>
                <w:b/>
                <w:color w:val="000000"/>
                <w:sz w:val="20"/>
              </w:rPr>
            </w:pPr>
            <w:r>
              <w:rPr>
                <w:rFonts w:ascii="Arial;sans-serif" w:hAnsi="Arial;sans-serif"/>
                <w:b/>
                <w:color w:val="000000"/>
                <w:sz w:val="20"/>
              </w:rPr>
              <w:t>Part II: Demographic Background</w:t>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left w:val="single" w:sz="8" w:space="0" w:color="000000"/>
              <w:right w:val="single" w:sz="8" w:space="0" w:color="000000"/>
            </w:tcBorders>
            <w:shd w:fill="D9D9D9" w:val="clear"/>
            <w:tcMar>
              <w:bottom w:w="0" w:type="dxa"/>
            </w:tcMar>
            <w:vAlign w:val="center"/>
          </w:tcPr>
          <w:p>
            <w:pPr>
              <w:pStyle w:val="TableContents"/>
              <w:spacing w:before="0" w:after="283"/>
              <w:rPr>
                <w:sz w:val="4"/>
                <w:szCs w:val="4"/>
              </w:rPr>
            </w:pPr>
            <w:r>
              <w:rPr>
                <w:sz w:val="4"/>
                <w:szCs w:val="4"/>
              </w:rPr>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African American or Black</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Alaskan Native or Native American</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Asian</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Hispanic or Latinx</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Native Hawaiian or Pacific Islander</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White</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Two or More Races or Ethnicities</w:t>
            </w:r>
          </w:p>
        </w:tc>
        <w:tc>
          <w:tcPr>
            <w:tcW w:w="8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8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40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LGBTQ+</w:t>
            </w:r>
          </w:p>
        </w:tc>
        <w:tc>
          <w:tcPr>
            <w:tcW w:w="3439"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40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ind w:left="0" w:right="0" w:firstLine="200"/>
              <w:jc w:val="left"/>
              <w:rPr>
                <w:rFonts w:ascii="Arial;sans-serif" w:hAnsi="Arial;sans-serif"/>
                <w:b w:val="false"/>
                <w:color w:val="000000"/>
                <w:sz w:val="20"/>
              </w:rPr>
            </w:pPr>
            <w:r>
              <w:rPr>
                <w:rFonts w:ascii="Arial;sans-serif" w:hAnsi="Arial;sans-serif"/>
                <w:b w:val="false"/>
                <w:color w:val="000000"/>
                <w:sz w:val="20"/>
              </w:rPr>
              <w:t>Did Not Disclose Demographic Background</w:t>
            </w:r>
          </w:p>
        </w:tc>
        <w:tc>
          <w:tcPr>
            <w:tcW w:w="3439"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jc w:val="center"/>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240"/>
        <w:jc w:val="both"/>
        <w:rPr/>
      </w:pPr>
      <w:r>
        <w:rPr/>
      </w:r>
    </w:p>
    <w:p>
      <w:pPr>
        <w:pStyle w:val="TextBody"/>
        <w:spacing w:lineRule="auto" w:line="288" w:before="140" w:after="60"/>
        <w:jc w:val="center"/>
        <w:rPr>
          <w:rFonts w:ascii="Arial;sans-serif" w:hAnsi="Arial;sans-serif"/>
          <w:b/>
          <w:color w:val="000000"/>
          <w:sz w:val="20"/>
        </w:rPr>
      </w:pPr>
      <w:r>
        <w:rPr>
          <w:rFonts w:ascii="Arial;sans-serif" w:hAnsi="Arial;sans-serif"/>
          <w:b/>
          <w:color w:val="000000"/>
          <w:sz w:val="20"/>
        </w:rPr>
        <w:t>CORPORATE GOVERNANCE AND BOARD MATTERS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Overview</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Investors &amp; Media section of our website, www.ngmbio.com, including our Corporate Governance Guidelines, our Code of Business Conduct and Ethics and the charters for our Audit, Compensation and Nominating and Corporate Governance Committees. Information contained on, or that can be accessed through, our website is not incorporated by reference into and does not form a part of this Proxy Statement. We believe that our corporate governance policies and practices, including the majority of independent directors on our Board of Directors and the appointment of a Lead Independent Director, empower our independent directors to effectively oversee our management, including the performance of our Chief Executive Officer, and provide an effective and appropriately balanced board governance structure.</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Independence of the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required under the Nasdaq listing standards, a majority of the members of a listed company’s board of directors must qualify as “independent,” as affirmatively determined by its board of directors. Our Board of Directors has undertaken a review of its composition, the composition of its committees and the independence of each of our directors and nominees for director. Based upon information requested from and provided by each director concerning his or her background, employment and affiliations, including family relationships, our Board of Directors has determined that Drs. Goeddel, Ho and Perlmutter and Mses. Guyer and Hooper do not have any relationships that would interfere with the exercise of independent judgment in carrying out the responsibilities of a director and that each of these directors is otherwise “independent” as that term is defined under applicable Nasdaq listing standards.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determined that Dr. Woodhouse is not considered independent because he currently serves as our Chief Executive Officer, Mr. Rieflin is not considered independent because he served as our Executive Chairman through July 1, 2022 and Dr. Chen is not considered independent because he currently serves as our Chief Scientific Officer. Our Board of Directors has determined that each member of the Audit Committee, Compensation Committee and Nominating and Corporate Governance Committee meets the applicable Nasdaq and SEC rules and regulations regarding “independence” and that each member is free of any relationship that would interfere with his or her individual exercise of independent judgment with regard to the Company. In making these independence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Board Leadership Structure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our bylaws and Corporate Governance Guidelines do not require that we separate the Chairman of the Board of Directors and Chief Executive Officer positions, our Board of Directors believes that having separate positions is the appropriate leadership structure for us at this time and, therefore, the positions of Chairman of the Board of Directors and Chief Executive Officer are currently separated. Separating these positions allows our Chief Executive Officer to focus on our day-to-day business, while allowing our Chairman to lead our Board of Directors in its fundamental role of providing advice to and oversight of members of management. Our Board of Directors recognizes that, depending on the circumstances, other leadership models, such as combining the role of Chairman of the Board of Directors with the role of Chief Executive Officer, might be appropriate. Accordingly, our Board of Directors may periodically review its leadership structure. Our Board of Directors believes its leadership structure has not affected its administration of its risk oversight function.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Corporate Governance Guidelines provide that in the event the Chairman is not an independent director, our Board of Directors may designate one of the independent directors to serve as Lead Independent Director. Our Board of Directors has appointed Dr. Goeddel to serve as our Lead Independent Director. Specific roles and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responsibilities of the Lead Independent Director, which are detailed in our Corporate Governance Guidelines, include:</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establishing the agenda with the Chairman and Chief Executive Officer for regular meetings of the Board of Directors and serving as the chairperson of Board of Directors meetings in the absence of the Chairman;</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establishing the agenda for meetings of the independent directors;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coordinating with the committee chairs regarding meeting agendas and informational requirements;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presiding over meetings of the independent directors and leading executive sessions of the Board of Directors;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presiding over any portions of meetings of the Board of Directors at which the evaluation or compensation of the Chief Executive Officer or Chairman is presented or discussed;</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presiding over any portions of meetings of the Board of Directors at which the performance of the Board of Directors is presented or discussed; and</w:t>
      </w:r>
    </w:p>
    <w:p>
      <w:pPr>
        <w:pStyle w:val="TextBody"/>
        <w:spacing w:lineRule="auto" w:line="288" w:before="0" w:after="240"/>
        <w:ind w:left="0" w:right="0" w:hanging="360"/>
        <w:jc w:val="both"/>
        <w:rPr/>
      </w:pPr>
      <w:r>
        <w:rPr>
          <w:color w:val="000000"/>
        </w:rPr>
        <w:t>•</w:t>
      </w:r>
      <w:r>
        <w:rPr>
          <w:rFonts w:ascii="Arial;sans-serif" w:hAnsi="Arial;sans-serif"/>
          <w:b w:val="false"/>
          <w:color w:val="000000"/>
          <w:sz w:val="20"/>
        </w:rPr>
        <w:t>coordinating the activities of the other independent directors and performing such other duties as may be established or delegated by the Chairman or the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discussed above, except for Drs. Woodhouse and Chen and Mr. Rieflin, our Board of Directors is comprised of independent directors. The active involvement of these independent directors, combined with the qualifications and significant responsibilities of our Lead Independent Director, provide balance on the Board of Directors and promote strong, independent oversight of our management and affairs.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Role of the Board of Directors in Risk Oversight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believes that risk management is an important part of establishing, updating and executing our business strategy. Our Board of Directors, as a whole and through its committees, has oversight responsibility relating to risks that could affect our corporate strategy, business objectives, compliance, operations and the financial condition and performance of the Company. Our Board of Directors and its committees focus their oversight on the most significant risks facing the Company and on the processes to identify, prioritize, assess, manage and mitigate those risks. While our Board of Directors is ultimately responsible for risk oversight at the Company, our Board of Directors has delegated to its committees the oversight of risks associated with their respective areas of responsibility, as summarized below. In addition, while our Board of Directors and its committees have an oversight role, management is principally tasked with direct responsibility for management and assessment of risks and the implementation of processes and controls to mitigate their effects on the Company. In turn, the Company’s senior management reports to the Board of Directors and its committees on areas of material risk to the Company, including strategic, operational, financial, cybersecurity, legal and regulatory risks and, when appropriate, the committees provide reports to the full Board of Directors on these and other areas for review.</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has delegated to the Audit Committee the primary responsibility for the oversight of the major financial and legal compliance risks facing our business. In this regard, the Audit Committee is responsible for overseeing our financial reporting process on behalf of our Board of Directors and reviewing with management and our auditors, as appropriate, our major financial and legal compliance risk exposures and the steps taken by management to monitor and control these exposures, including risks relating to data privacy, technology and information security, including cyber security and back-up of information systems. The Compensation Committee is responsible for overseeing our practices and policies of employee compensation as they relate to risk management and risk-taking incentives to determine whether such compensation policies and practices are reasonably likely to have a material adverse effect on the Company. The Compensation Committee is also responsible for overseeing risks with respect to our human capital management practices generally. The Nominating and Corporate Governance Committee oversees the management of risks associated with our corporate governance practices and overall board effectiveness, and reviews senior management’s efforts to monitor compliance with the Company’s programs and policies designed to ensure adherence to applicable laws and rules, as well as to its Code of Business Conduct and Ethics.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240"/>
        <w:jc w:val="both"/>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Meetings of the Board of Directors; Annual Meeting Attendance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Board of Directors met six times during 2022. Each director attended 75% or more of the aggregate number of meetings of the Board of Directors and of the committees on which he or she served, held during the portion of 2022 for which he or she was a director or committee member. In accordance with our Corporate Governance Guidelines, our directors are encouraged, but not required, to attend each annual meeting of stockholders. All of our directors attended our 2022 annual meeting of stockholders held on May 18, 2022.</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Information Regarding Committees of the Board of Directors</w:t>
      </w:r>
    </w:p>
    <w:p>
      <w:pPr>
        <w:pStyle w:val="TextBody"/>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The Board of Directors has three standing committees: an Audit Committee, a Compensation Committee and a Nominating and Corporate Governance Committee. The following table provides membership and meeting information for 2022 for each of these committees:</w:t>
      </w:r>
    </w:p>
    <w:tbl>
      <w:tblPr>
        <w:tblW w:w="7701" w:type="dxa"/>
        <w:jc w:val="left"/>
        <w:tblInd w:w="0" w:type="dxa"/>
        <w:tblCellMar>
          <w:top w:w="28" w:type="dxa"/>
          <w:left w:w="28" w:type="dxa"/>
          <w:bottom w:w="28" w:type="dxa"/>
          <w:right w:w="28" w:type="dxa"/>
        </w:tblCellMar>
      </w:tblPr>
      <w:tblGrid>
        <w:gridCol w:w="1096"/>
        <w:gridCol w:w="958"/>
        <w:gridCol w:w="975"/>
        <w:gridCol w:w="109"/>
        <w:gridCol w:w="109"/>
        <w:gridCol w:w="109"/>
        <w:gridCol w:w="200"/>
        <w:gridCol w:w="200"/>
        <w:gridCol w:w="201"/>
        <w:gridCol w:w="109"/>
        <w:gridCol w:w="109"/>
        <w:gridCol w:w="109"/>
        <w:gridCol w:w="485"/>
        <w:gridCol w:w="485"/>
        <w:gridCol w:w="486"/>
        <w:gridCol w:w="109"/>
        <w:gridCol w:w="109"/>
        <w:gridCol w:w="109"/>
        <w:gridCol w:w="478"/>
        <w:gridCol w:w="478"/>
        <w:gridCol w:w="678"/>
      </w:tblGrid>
      <w:tr>
        <w:trPr/>
        <w:tc>
          <w:tcPr>
            <w:tcW w:w="109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Nominating and</w:t>
            </w:r>
          </w:p>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Corporate</w:t>
            </w:r>
          </w:p>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Governance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David V. Goeddel,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Shelly D. Guyer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Carole Ho,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Suzanne Sawochka Hooper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Roger M. Perlmutter,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r>
              <w:rPr>
                <w:color w:val="000000"/>
              </w:rPr>
              <w:t>✓</w:t>
            </w:r>
            <w:r>
              <w:rPr>
                <w:rFonts w:ascii="Arial;sans-serif" w:hAnsi="Arial;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Meetings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spacing w:lineRule="auto" w:line="288" w:before="0" w:after="120"/>
        <w:jc w:val="both"/>
        <w:rPr>
          <w:rFonts w:ascii="Arial;sans-serif" w:hAnsi="Arial;sans-serif"/>
          <w:b w:val="false"/>
          <w:color w:val="000000"/>
          <w:sz w:val="20"/>
        </w:rPr>
      </w:pPr>
      <w:r>
        <w:rPr>
          <w:rFonts w:ascii="Arial;sans-serif" w:hAnsi="Arial;sans-serif"/>
          <w:b w:val="false"/>
          <w:color w:val="000000"/>
          <w:sz w:val="20"/>
        </w:rPr>
        <w:t>________________________________</w:t>
      </w:r>
    </w:p>
    <w:p>
      <w:pPr>
        <w:pStyle w:val="TextBody"/>
        <w:spacing w:lineRule="auto" w:line="288" w:before="60" w:after="240"/>
        <w:jc w:val="both"/>
        <w:rPr/>
      </w:pPr>
      <w:r>
        <w:rPr>
          <w:rFonts w:ascii="Arial;sans-serif" w:hAnsi="Arial;sans-serif"/>
          <w:b w:val="false"/>
          <w:color w:val="000000"/>
          <w:sz w:val="16"/>
        </w:rPr>
        <w:t>*</w:t>
      </w:r>
      <w:r>
        <w:rPr>
          <w:rFonts w:ascii="Arial;sans-serif" w:hAnsi="Arial;sans-serif"/>
          <w:b w:val="false"/>
          <w:color w:val="000000"/>
          <w:sz w:val="16"/>
        </w:rPr>
        <w:t>Committee Chair</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Below is a description of the Audit Committee, Compensation Committee and Nominating and Corporate Governance Committee. The written charters of the committees are available to stockholders on the Investors &amp; Media section of our website at www.ngmbio.com. Information contained on, or that can be accessed through, our website is not incorporated by reference into and does not form a part of this Proxy Statement. Each of the committees has authority to engage legal counsel or other experts or consultants, as it deems appropriate to carry out its responsibilities.</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Audit Committee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Audit Committee consists of Mses. Guyer and Hooper and Dr. Ho, each of whom our Board of Directors has determined satisfies the independence requirements under the Nasdaq listing standards and Rule 10A-3(b)(1) of the Securities Exchange Act of 1934, as amended, or the Exchange Act. The Chair of our Audit Committee is Ms. Guyer, whom our Board of Directors has determined is an “audit committee financial expert” as defined by applicable SEC rules. Each member of our Audit Committee can read and understand fundamental financial statements in accordance with the applicable Nasdaq listing standards. In arriving at these determinations, our Board of Directors has examined each Audit Committee member’s scope of experience and the nature of her or his employment. The functions of this committee include:</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assisting our Board of Directors in overseeing our corporate accounting and financial reporting processes, systems of internal control over financial reporting and audits of our financial statements and systems of disclosure controls and procedures, as well as the quality and integrity of our financial statements and reports;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assisting our Board of Directors in assessing the qualifications and independence of, and overseeing the performance of and compensation to be paid to, our registered public accounting firm or firms engaged as our independent outside auditors for the purpose of preparing or issuing an audit report or performing audit services;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and considering any related party transaction for approval or disapproval, as the case may be, and providing oversight of related party transactions;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240"/>
        <w:jc w:val="both"/>
        <w:rPr/>
      </w:pPr>
      <w:r>
        <w:rPr/>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and discussing with management and auditors our major financial and legal compliance risk exposures, including risks related to data privacy and technology and information security, including cybersecurity;</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preparing the required report of the Audit Committee for inclusion in our annual proxy statement; and</w:t>
      </w:r>
    </w:p>
    <w:p>
      <w:pPr>
        <w:pStyle w:val="TextBody"/>
        <w:spacing w:lineRule="auto" w:line="288" w:before="0" w:after="240"/>
        <w:ind w:left="0" w:right="0" w:hanging="360"/>
        <w:jc w:val="both"/>
        <w:rPr/>
      </w:pPr>
      <w:r>
        <w:rPr>
          <w:color w:val="000000"/>
        </w:rPr>
        <w:t>•</w:t>
      </w:r>
      <w:r>
        <w:rPr>
          <w:rFonts w:ascii="Arial;sans-serif" w:hAnsi="Arial;sans-serif"/>
          <w:b w:val="false"/>
          <w:color w:val="000000"/>
          <w:sz w:val="20"/>
        </w:rPr>
        <w:t>reviewing and assessing, at least annually, the performance of the Audit Committee and the adequacy of its charter.</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Report of the Audit Committee of the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Audit Committee has reviewed and discussed the audited consolidated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auditors’ communications with the Audit Committee concerning independence, and has discussed with the independent registered public accounting firm the audit firm’s independence. Based on the foregoing, the Audit Committee has recommended to the Board of Directors that the audited consolidated financial statements be included in our Annual Report on Form 10-K for the fiscal year ended December 31, 2022.</w:t>
      </w:r>
    </w:p>
    <w:tbl>
      <w:tblPr>
        <w:tblW w:w="4527" w:type="dxa"/>
        <w:jc w:val="left"/>
        <w:tblInd w:w="0" w:type="dxa"/>
        <w:tblCellMar>
          <w:top w:w="28" w:type="dxa"/>
          <w:left w:w="28" w:type="dxa"/>
          <w:bottom w:w="28" w:type="dxa"/>
          <w:right w:w="28" w:type="dxa"/>
        </w:tblCellMar>
      </w:tblPr>
      <w:tblGrid>
        <w:gridCol w:w="1505"/>
        <w:gridCol w:w="1322"/>
        <w:gridCol w:w="1328"/>
        <w:gridCol w:w="109"/>
        <w:gridCol w:w="109"/>
        <w:gridCol w:w="154"/>
      </w:tblGrid>
      <w:tr>
        <w:trPr/>
        <w:tc>
          <w:tcPr>
            <w:tcW w:w="150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Respectfully submitted,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Audit Committee of the Board of Directors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Shelly D. Guyer (Chair)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Carole Ho, M.D.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Suzanne Sawochka Hooper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Compensation Committee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Compensation Committee consists of Dr. Ho and Ms. Hooper. Ms. Hooper serves as the Chair of our Compensation Committee. Our Board of Directors has determined that each of Dr. Ho and Ms. Hooper is independent under the Nasdaq listing standards. The functions of this committee include:</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overseeing our overall compensation strategy;</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the Company’s practices and policies of employee compensation as they relate to risk management and risk-taking incentives;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evaluating the performance of our Chief Executive Officer in light of relevant corporate performance goals and objectives and determining and approving, or reviewing and recommending to the Board of Directors for approval, the compensation and other terms of employment of the Chief Executive Officer;</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and determining the form and amount of compensation to be paid to our other executive officers and senior management;</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and recommending to the Board of Directors the type and amount of compensation to be paid or awarded to directors;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adopting, amending, terminating and administering our compensation plans and programs;</w:t>
      </w:r>
    </w:p>
    <w:p>
      <w:pPr>
        <w:pStyle w:val="TextBody"/>
        <w:spacing w:lineRule="auto" w:line="288" w:before="0" w:after="120"/>
        <w:ind w:left="0" w:right="0" w:hanging="360"/>
        <w:rPr/>
      </w:pPr>
      <w:r>
        <w:rPr>
          <w:color w:val="000000"/>
        </w:rPr>
        <w:t>•</w:t>
      </w:r>
      <w:r>
        <w:rPr>
          <w:rFonts w:ascii="Arial;sans-serif" w:hAnsi="Arial;sans-serif"/>
          <w:b w:val="false"/>
          <w:color w:val="000000"/>
          <w:sz w:val="20"/>
        </w:rPr>
        <w:t>overseeing the Company’s talent and employee development programs, employee recruitment and retention, and the development and implementation of the Company’s policies and strategies regarding diversity, equity, inclusion and corporate culture; and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240"/>
        <w:jc w:val="both"/>
        <w:rPr/>
      </w:pPr>
      <w:r>
        <w:rPr/>
      </w:r>
    </w:p>
    <w:p>
      <w:pPr>
        <w:pStyle w:val="TextBody"/>
        <w:spacing w:lineRule="auto" w:line="288" w:before="0" w:after="240"/>
        <w:ind w:left="0" w:right="0" w:hanging="360"/>
        <w:jc w:val="both"/>
        <w:rPr/>
      </w:pPr>
      <w:r>
        <w:rPr>
          <w:color w:val="000000"/>
        </w:rPr>
        <w:t>•</w:t>
      </w:r>
      <w:r>
        <w:rPr>
          <w:rFonts w:ascii="Arial;sans-serif" w:hAnsi="Arial;sans-serif"/>
          <w:b w:val="false"/>
          <w:color w:val="000000"/>
          <w:sz w:val="20"/>
        </w:rPr>
        <w:t>reviewing and assessing, at least annually, the performance of the Compensation Committee and the adequacy of its charter.</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Compensation Committee Processes and Procedures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agenda for each meeting is usually developed by the Chair of the Compensation Committee, in consultation with management.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Company’s Chief Executive Officer may not participate in, or be present during, any deliberations or determinations of the Compensation Committee regarding his compensation or his individual performance. Until his retirement as Executive Chairman in July 2022, Mr. Rieflin did not participate in, and was not present during, any deliberations or determinations of the Compensation Committee regarding his compensation or his individual performance.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charter of the Compensation Committee grants the Compensation Committee full access to all books, records, facilities and personnel of the Company, as well as authority to obtain, at the expense of the Company, advice and assistance from internal and external legal, accounting or other advisors and consultants as the Compensation Committee deems necessary or appropriate in carrying out its duties. In particular, the Compensation Committee has the sole authority to select, retain and terminate any compensation consultant to assist in its evaluation of executive and director compensation, including the sole authority to approve the consultant’s reasonable fees and other retention terms.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“Compensation Discussion and Analysis—Process for Determining Executive Compensation” in this Proxy Statement for additional information. With respect to director compensation matters, our Compensation Committee recommends to our Board of Directors and our Board of Directors determines and sets director compensation. Our compensation arrangements for our directors are described under the section of this Proxy Statement entitled “Director Compensation.”</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Compensation Committee Interlocks and Insider Participation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Neither Dr. Ho nor Ms. Hooper is or has been an officer or employee of our Company.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Nominating and Corporate Governance Committee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Nominating and Corporate Governance Committee consists of Drs. Goeddel and Perlmutter and Ms. Guyer, and Dr. Perlmutter serves as Chair. Our Board of Directors has determined that Drs. Goeddel and Perlmutter and Ms. Guyer are independent under the applicable Nasdaq listing standards. The functions of this committee include:</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developing, reviewing and assessing our corporate governance documents, including our Corporate Governance Guidelines and Code of Business Conduct and Ethics, and reviewing management’s efforts to monitor compliance with our programs and policies designed to ensure adherence to applicable laws and rules;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identifying and evaluating candidates to serve as directors consistent with the criteria approved by our Board of Directors;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recommending candidates for selection to our Board of Directors, or, to the extent required below, to serve as nominees for director for the annual meeting of stockholders;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reviewing, discussing and assessing the performance of our Board of Directors and its committees;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making other recommendations to our Board of Directors regarding the Board’s leadership structure and other affairs relating to our directors;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240"/>
        <w:jc w:val="both"/>
        <w:rPr/>
      </w:pPr>
      <w:r>
        <w:rPr/>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oversee the Company’s environmental, social and governance efforts, progress and disclosures and regularly review emerging corporate governance issues and practices, including proxy advisory firm policies and recommendations; and</w:t>
      </w:r>
    </w:p>
    <w:p>
      <w:pPr>
        <w:pStyle w:val="TextBody"/>
        <w:spacing w:lineRule="auto" w:line="288" w:before="0" w:after="240"/>
        <w:ind w:left="0" w:right="0" w:hanging="360"/>
        <w:jc w:val="both"/>
        <w:rPr/>
      </w:pPr>
      <w:r>
        <w:rPr>
          <w:color w:val="000000"/>
        </w:rPr>
        <w:t>•</w:t>
      </w:r>
      <w:r>
        <w:rPr>
          <w:rFonts w:ascii="Arial;sans-serif" w:hAnsi="Arial;sans-serif"/>
          <w:b w:val="false"/>
          <w:color w:val="000000"/>
          <w:sz w:val="20"/>
        </w:rPr>
        <w:t xml:space="preserve">reviewing and assessing, at least annually, the performance of the Nominating and Corporate Governance Committee and the adequacy of its charter.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Candidates for director nominees are reviewed in the context of the current composition of the Board of Directors and the competencies of the individual members, the current and future operating requirements of NGM and the long-term interests of stockholders, with the objective of having a balanced and effective Board of Directors that reflects a variety of characteristics, perspectives, skills and professional experience. The Nominating and Corporate Governance Committee’s review and periodic assessments of the characteristics, perspectives, skills and professional experience it seeks in the Board as a whole, and in individual directors, in connection with its review of the Board’s composition, enables it to assess the effectiveness of its goal of achieving a balanced and effective Board comprised of a diverse set of directors. In conducting this assessment, the Nominating and Corporate Governance Committee typically considers diversity in terms of background, perspective and experience, including diversity with respect to race, ethnicity, gender and sexual orientation, and such other factors as it deems appropriate, given the current needs of the Board of Directors and NGM. The Nominating and Corporate Governance Committee and our Board of Directors are committed to actively seeking highly-qualified candidates who are women or from underrepresented minorities to include in the pool of candidates from which director nominees are chosen. The Nominating and Corporate Governance Committee assesses the effectiveness of its goal of achieving a balanced and effective Board comprised of a diverse set of directors through its periodic evaluation of the composition of the full Board of Directors.</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Nominating and Corporate Governance Committee uses its network of contacts to compile a list of potential candidates, but may also engage, if it deems appropriate, a professional search firm. In January 2022, the Nominating and Corporate Governance Committee engaged Heidrich &amp; Struggles to assist in the search for well-qualified and credentialed director candidates.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pStyle w:val="TextBody"/>
        <w:spacing w:before="0" w:after="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case of incumbent directors whose terms of office are set to expire, the Nominating and Corporate Governance Committee reviewed these directors’ service to NGM, including the number of meetings attended, level of participation, quality of performance and any relationships and transactions that might impair the directors’ independence, as well as the overall composition of the Board and the desire to add new skill sets, expertise and diversity to the Company. In the case of all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333 Oyster Point Boulevard, South San Francisco, California 94080, Attn: Secretary. Submissions must include the full name of the proposed nominee, a description of the proposed nominee’s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 experience for at least the previous five years, complete biographical information, a description of the proposed nominee’s qualifications as a director and a representation that the nominating stockholder is a beneficial or record holder of our common stock and has been a holder for at least one year. Any such submission must be accompanied by the written consent of the proposed nominee to be named as a nominee and to serve as a director if elected. The Secretary will forward such communication to the Board of Directors.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Stockholder Communications with the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Board of Directors believes that stockholders should have an opportunity to communicate with the Board of Directors, and efforts have been made to ensure that the views of stockholders are heard by the Board of Directors or individual directors, as applicable, and that appropriate responses are provided to stockholders in a timely manner. We believe that our responsiveness to stockholder communications to the Board of Directors has been excellent. Stockholders wishing to communicate with the Board of Directors or an individual director may send a written communication to the Board of Directors or such director c/o NGM Biopharmaceuticals, Inc., 333 Oyster Point Boulevard, South San Francisco, California 94080,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shall discard the communication.</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Code of Business Conduct and Ethics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adopted a written code of business conduct and ethics, the Code of Conduct, that applies to all of our employees, officers and directors, including our principal executive officer, principal financial officer, principal accounting officer or controller or persons performing similar functions. The Code of Conduct is available on our corporate website at https://www.ngmbio.com/ in the Investors &amp; Media section under “Corporate Governance.”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Information contained on, or that can be accessed through, our website is not incorporated by reference into and does not form a part of this Proxy Statement.</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Corporate Governance Guidelines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Board composition and structure, Board membership criteria, director independence, Board and Board committee assessments, committees of the Board of Directors, Board access to management and outside advisors and director orientation and education. The Corporate Governance Guidelines, as well as the charters for each committee of the Board of Directors, may be viewed on the Investors &amp; Media section of our website at www.ngmbio.com. Information contained on, or that can be accessed through, our website is not incorporated by reference into and does not form a part of this Proxy Statement.</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 xml:space="preserve">Hedging and Pledging Policy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adopted a policy, which applies to all of our directors and employees (including officers), that prohibits, among other things, short selling of our securities, trading derivative securities of the Company (other than employee stock options) and purchasing our securities on margin or holding our securities in a margin account. The policy also provides that directors and employees (including officers) are prohibited from engaging in any hedging or monetization transactions, including through the use of financial instruments such as prepaid variable forwards, equity swaps, collars and exchange funds. Additionally, directors, officers and employees may not engage in any transaction in our securities without first obtaining pre-clearance of the transaction from our Chief Financial Officer, General Counsel or their respective designees.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EXECUTIVE OFFICERS</w:t>
      </w:r>
    </w:p>
    <w:p>
      <w:pPr>
        <w:pStyle w:val="TextBody"/>
        <w:spacing w:lineRule="auto" w:line="288" w:before="200" w:after="240"/>
        <w:jc w:val="both"/>
        <w:rPr/>
      </w:pPr>
      <w:r>
        <w:rPr>
          <w:rFonts w:ascii="Arial;sans-serif" w:hAnsi="Arial;sans-serif"/>
          <w:b w:val="false"/>
          <w:color w:val="000000"/>
          <w:sz w:val="20"/>
        </w:rPr>
        <w:t>The following table sets forth certain information with respect to our executive officers as of March 17, 2023:</w:t>
      </w:r>
      <w:r>
        <w:rPr>
          <w:color w:val="000000"/>
        </w:rPr>
        <w:t> </w:t>
      </w:r>
    </w:p>
    <w:tbl>
      <w:tblPr>
        <w:tblW w:w="10205" w:type="dxa"/>
        <w:jc w:val="left"/>
        <w:tblInd w:w="0" w:type="dxa"/>
        <w:tblCellMar>
          <w:top w:w="28" w:type="dxa"/>
          <w:left w:w="28" w:type="dxa"/>
          <w:bottom w:w="28" w:type="dxa"/>
          <w:right w:w="28" w:type="dxa"/>
        </w:tblCellMar>
      </w:tblPr>
      <w:tblGrid>
        <w:gridCol w:w="933"/>
        <w:gridCol w:w="823"/>
        <w:gridCol w:w="832"/>
        <w:gridCol w:w="109"/>
        <w:gridCol w:w="109"/>
        <w:gridCol w:w="109"/>
        <w:gridCol w:w="150"/>
        <w:gridCol w:w="150"/>
        <w:gridCol w:w="151"/>
        <w:gridCol w:w="109"/>
        <w:gridCol w:w="109"/>
        <w:gridCol w:w="109"/>
        <w:gridCol w:w="1911"/>
        <w:gridCol w:w="1895"/>
        <w:gridCol w:w="2706"/>
      </w:tblGrid>
      <w:tr>
        <w:trPr/>
        <w:tc>
          <w:tcPr>
            <w:tcW w:w="93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r>
      <w:tr>
        <w:trPr/>
        <w:tc>
          <w:tcPr>
            <w:tcW w:w="25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Position</w:t>
            </w:r>
          </w:p>
        </w:tc>
      </w:tr>
      <w:tr>
        <w:trPr/>
        <w:tc>
          <w:tcPr>
            <w:tcW w:w="2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David J. Woodhouse, Ph.D.</w:t>
            </w:r>
            <w:r>
              <w:rPr>
                <w:color w:val="000000"/>
              </w:rPr>
              <w:t> </w:t>
            </w:r>
            <w:r>
              <w:rPr>
                <w:rFonts w:ascii="Arial;sans-serif" w:hAnsi="Arial;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2588"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2588"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Jin-Long Chen, Ph.D.</w:t>
            </w:r>
            <w:r>
              <w:rPr>
                <w:rFonts w:ascii="Arial;sans-serif" w:hAnsi="Arial;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Founder, Chief Scientific Officer and Director</w:t>
            </w:r>
          </w:p>
        </w:tc>
      </w:tr>
      <w:tr>
        <w:trPr/>
        <w:tc>
          <w:tcPr>
            <w:tcW w:w="2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Medical Officer</w:t>
            </w:r>
          </w:p>
        </w:tc>
      </w:tr>
      <w:tr>
        <w:trPr/>
        <w:tc>
          <w:tcPr>
            <w:tcW w:w="25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Chief Compliance Officer and Secretary</w:t>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60" w:after="60"/>
        <w:ind w:left="0" w:right="0" w:hanging="720"/>
        <w:jc w:val="both"/>
        <w:rPr>
          <w:rFonts w:ascii="Arial;sans-serif" w:hAnsi="Arial;sans-serif"/>
          <w:b w:val="false"/>
          <w:color w:val="000000"/>
          <w:sz w:val="16"/>
        </w:rPr>
      </w:pPr>
      <w:r>
        <w:rPr>
          <w:rFonts w:ascii="Arial;sans-serif" w:hAnsi="Arial;sans-serif"/>
          <w:b w:val="false"/>
          <w:color w:val="000000"/>
          <w:sz w:val="16"/>
        </w:rPr>
        <w:t>(1)Please see “Class III Directors Continuing in Office Until the 2025 Annual Meeting of Stockholders” for Dr. Woodhouse’s biography.</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(2)Please see “Class II Directors Continuing in Office Until the 2024 Annual Meeting of Stockholders” for Dr. Chen’s biography.</w:t>
      </w:r>
    </w:p>
    <w:p>
      <w:pPr>
        <w:pStyle w:val="TextBody"/>
        <w:spacing w:lineRule="auto" w:line="288" w:before="0" w:after="240"/>
        <w:jc w:val="both"/>
        <w:rPr/>
      </w:pPr>
      <w:r>
        <w:rPr>
          <w:rFonts w:ascii="Arial;sans-serif" w:hAnsi="Arial;sans-serif"/>
          <w:b w:val="false"/>
          <w:i/>
          <w:color w:val="000000"/>
          <w:sz w:val="20"/>
        </w:rPr>
        <w:t>Siobhan Nolan Mangini</w:t>
      </w:r>
      <w:r>
        <w:rPr>
          <w:rFonts w:ascii="Arial;sans-serif" w:hAnsi="Arial;sans-serif"/>
          <w:b w:val="false"/>
          <w:color w:val="000000"/>
          <w:sz w:val="20"/>
        </w:rPr>
        <w:t>, age 42, has served as our President since July 2022 and as our Chief Financial Officer since July 2020. Prior to that, Ms. Nolan Mangini served in various roles at Castlight Health, Inc., or Castlight, now known as apree health, a healthcare technology company, from 2012 to February 2020, and most recently as President from December 2019 to February 2020 and President and Chief Financial Officer from July 2019 to December 2019. Prior to that, she served as Chief Financial Officer from July 2016 to July 2019; Vice President, Finance &amp; Business Operations from October 2015 to July 2016; Senior Director, Financial Planning &amp; Business Operations from November 2014 to September 2015; and Director, Strategy &amp; Business Development from February 2012 to November 2014. Prior to joining Castlight Health, Ms. Nolan Mangini worked at Bain &amp; Company, a management consulting company, from 2009 to January 2012, specializing in the health care and private equity practices. She currently serves as a member of the board of directors and audit committee chair at Marathon Health, a private healthcare technology company, and a member of the board of directors of Virta Health and SmithRx, both private healthcare technology companies. Ms. Nolan Mangini holds a B.S. in Economics from The Wharton School at the University of Pennsylvania, an M.B.A. from the Graduate School of Business at Stanford University and an M.P.A. from The Kennedy School of Government at Harvard University.</w:t>
      </w:r>
    </w:p>
    <w:p>
      <w:pPr>
        <w:pStyle w:val="TextBody"/>
        <w:spacing w:lineRule="auto" w:line="288" w:before="0" w:after="240"/>
        <w:jc w:val="both"/>
        <w:rPr/>
      </w:pPr>
      <w:r>
        <w:rPr>
          <w:rFonts w:ascii="Arial;sans-serif" w:hAnsi="Arial;sans-serif"/>
          <w:b w:val="false"/>
          <w:i/>
          <w:color w:val="000000"/>
          <w:sz w:val="20"/>
        </w:rPr>
        <w:t>Hsiao D. Lieu, M.D.</w:t>
      </w:r>
      <w:r>
        <w:rPr>
          <w:rFonts w:ascii="Arial;sans-serif" w:hAnsi="Arial;sans-serif"/>
          <w:b w:val="false"/>
          <w:color w:val="000000"/>
          <w:sz w:val="20"/>
        </w:rPr>
        <w:t>, age 52, has served as our Executive Vice President since March 2023 and as our Chief Medical Officer since March 2019. Prior to that, Dr. Lieu worked at Genentech from November 2017 to March 2019 as Vice President of Early Clinical Development for non-oncology molecules. He also worked at Eli Lilly and Company, or Eli Lilly, a public pharmaceutical company, from July 2012 through November 2017, where he held various leadership roles, most recently as Global Brand Development Leader, Autoimmune, Taltz®. Prior to joining Eli Lilly, Dr. Lieu was a co-founder and Chief Executive Officer of RetinoRx, LLC and Chief Medical Officer and Executive Vice President at Niles Therapeutics, Inc. and held clinical development leadership roles with Portola Pharmaceuticals, Inc., a public biopharmaceutical company, and CV Therapeutics, Inc., a public biopharmaceutical company that was acquired by Gilead Sciences, Inc. Dr. Lieu was an attending cardiologist at San Francisco General Hospital from 2002 to 2013 and an adjunct Associate Clinical Medical Professor at University of California, San Francisco. Dr. Lieu received his M.D. from Albert Einstein College of Medicine and B.A. from New York University.</w:t>
      </w:r>
    </w:p>
    <w:p>
      <w:pPr>
        <w:pStyle w:val="TextBody"/>
        <w:spacing w:lineRule="auto" w:line="288" w:before="0" w:after="240"/>
        <w:jc w:val="both"/>
        <w:rPr/>
      </w:pPr>
      <w:r>
        <w:rPr>
          <w:rFonts w:ascii="Arial;sans-serif" w:hAnsi="Arial;sans-serif"/>
          <w:b w:val="false"/>
          <w:i/>
          <w:color w:val="000000"/>
          <w:sz w:val="20"/>
        </w:rPr>
        <w:t>Valerie Pierce</w:t>
      </w:r>
      <w:r>
        <w:rPr>
          <w:rFonts w:ascii="Arial;sans-serif" w:hAnsi="Arial;sans-serif"/>
          <w:b w:val="false"/>
          <w:color w:val="000000"/>
          <w:sz w:val="20"/>
        </w:rPr>
        <w:t>, age 60, has served as our Senior Vice President, General Counsel, Chief Compliance Officer and Secretary since October 2019. Prior to joining NGM, Ms. Pierce served as Senior Vice President, Associate General Counsel at Jazz from August 2017 through September 2019 and Vice President, Associate General Counsel from September 2012 through August 2017, where she was responsible for corporate governance and securities matters, transactional support, legal operations and a wide variety of other matters. Before Jazz, Ms. Pierce worked in various in-house positions, including Vice President and Senior Transactional Counsel at Amyris, Inc., Senior Vice President and General Counsel at Sunesis Pharmaceuticals, Inc., General Counsel at the Institute for OneWorld Health and earlier roles at Tularik and ALZA Corporation, a public pharmaceutical company. Ms. Pierce received a B.A. from Yale University and a J.D. from Yale Law School.</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COMPENSATION DISCUSSION AND ANALYSIS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This Compensation Discussion and Analysis discusses the principles underlying our policies and decisions with respect to the compensation of our named executive officers and the material factors relevant to an analysis of these policies and decisions. Our named executive officers for 2022 are: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David J. Woodhouse, Ph.D., our Chief Executive Officer;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Siobhan Nolan Mangini, our President and Chief Financial Officer;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Jin-Long Chen, Ph.D., our Founder and Chief Scientific Officer;</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Hsiao D. Lieu, M.D., our Executive Vice President and Chief Medical Officer; and</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Valerie Pierce, our Senior Vice President, General Counsel, Chief Compliance Officer and Secretary.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Overview of Business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Currently, we have five programs in active clinical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2022 Accomplishments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key accomplishments in 2022 included the following: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Sharpened our focus on oncology solid-tumor clinical development and advanced our solid tumor oncology development programs in the clinic, including our three myeloid checkpoint inhibitor programs.</w:t>
      </w:r>
    </w:p>
    <w:p>
      <w:pPr>
        <w:pStyle w:val="TextBody"/>
        <w:spacing w:lineRule="auto" w:line="288" w:before="60" w:after="120"/>
        <w:ind w:left="0" w:right="0" w:hanging="360"/>
        <w:jc w:val="both"/>
        <w:rPr/>
      </w:pPr>
      <w:r>
        <w:rPr>
          <w:color w:val="000000"/>
        </w:rPr>
        <w:t>◦</w:t>
      </w:r>
      <w:r>
        <w:rPr>
          <w:rFonts w:ascii="Arial;sans-serif" w:hAnsi="Arial;sans-serif"/>
          <w:b w:val="false"/>
          <w:i/>
          <w:color w:val="000000"/>
          <w:sz w:val="20"/>
        </w:rPr>
        <w:t>Myeloid Checkpoint Inhibitor Portfolio</w:t>
      </w:r>
    </w:p>
    <w:p>
      <w:pPr>
        <w:pStyle w:val="TextBody"/>
        <w:spacing w:lineRule="auto" w:line="288" w:before="60" w:after="120"/>
        <w:ind w:left="0" w:right="0" w:hanging="360"/>
        <w:jc w:val="both"/>
        <w:rPr/>
      </w:pPr>
      <w:r>
        <w:rPr>
          <w:color w:val="000000"/>
        </w:rPr>
        <w:t>▪</w:t>
      </w:r>
      <w:r>
        <w:rPr>
          <w:rFonts w:ascii="Arial;sans-serif" w:hAnsi="Arial;sans-serif"/>
          <w:b w:val="false"/>
          <w:i/>
          <w:color w:val="000000"/>
          <w:sz w:val="20"/>
        </w:rPr>
        <w:t xml:space="preserve">NGM707, our </w:t>
      </w:r>
      <w:r>
        <w:rPr>
          <w:rFonts w:ascii="Arial;sans-serif" w:hAnsi="Arial;sans-serif"/>
          <w:b w:val="false"/>
          <w:i/>
          <w:color w:val="001610"/>
          <w:sz w:val="20"/>
        </w:rPr>
        <w:t>ILT2/ILT4 antagonist antibody product candidate.</w:t>
      </w:r>
      <w:r>
        <w:rPr>
          <w:color w:val="001610"/>
        </w:rPr>
        <w:t xml:space="preserve"> </w:t>
      </w:r>
      <w:r>
        <w:rPr>
          <w:rFonts w:ascii="Arial;sans-serif" w:hAnsi="Arial;sans-serif"/>
          <w:b w:val="false"/>
          <w:color w:val="001610"/>
          <w:sz w:val="20"/>
        </w:rPr>
        <w:t>Presented preliminary data from the Phase 1a monotherapy portion of the ongoing Phase 1/2 trial of NGM707 in patients with advanced or metastatic solid tumors at the 2022 European Society of Medical Oncologists (ESMO) I-O Annual Congress. NGM707 was generally well tolerated, potential proof-of-mechanism (myeloid reprogramming) was observed in peripheral blood and tumor biopsies and early signals of anti-tumor activity were demonstrated across multiple tumor types.</w:t>
      </w:r>
    </w:p>
    <w:p>
      <w:pPr>
        <w:pStyle w:val="TextBody"/>
        <w:spacing w:lineRule="auto" w:line="288" w:before="60" w:after="120"/>
        <w:ind w:left="0" w:right="0" w:hanging="360"/>
        <w:jc w:val="both"/>
        <w:rPr/>
      </w:pPr>
      <w:r>
        <w:rPr>
          <w:color w:val="000000"/>
        </w:rPr>
        <w:t>▪</w:t>
      </w:r>
      <w:r>
        <w:rPr>
          <w:rFonts w:ascii="Arial;sans-serif" w:hAnsi="Arial;sans-serif"/>
          <w:b w:val="false"/>
          <w:i/>
          <w:color w:val="000000"/>
          <w:sz w:val="20"/>
        </w:rPr>
        <w:t xml:space="preserve">NGM831, our </w:t>
      </w:r>
      <w:r>
        <w:rPr>
          <w:rFonts w:ascii="Arial;sans-serif" w:hAnsi="Arial;sans-serif"/>
          <w:b w:val="false"/>
          <w:i/>
          <w:color w:val="001610"/>
          <w:sz w:val="20"/>
        </w:rPr>
        <w:t>ILT3 antagonist antibody product candidate.</w:t>
      </w:r>
      <w:r>
        <w:rPr>
          <w:color w:val="001610"/>
        </w:rPr>
        <w:t xml:space="preserve"> </w:t>
      </w:r>
      <w:r>
        <w:rPr>
          <w:rFonts w:ascii="Arial;sans-serif" w:hAnsi="Arial;sans-serif"/>
          <w:b w:val="false"/>
          <w:color w:val="001610"/>
          <w:sz w:val="20"/>
        </w:rPr>
        <w:t>Initiated a Phase 1 trial of NGM831 as a monotherapy and in combination with KEYTRUDA</w:t>
      </w:r>
      <w:r>
        <w:rPr>
          <w:rFonts w:ascii="Arial;sans-serif" w:hAnsi="Arial;sans-serif"/>
          <w:b w:val="false"/>
          <w:color w:val="001610"/>
          <w:sz w:val="13"/>
        </w:rPr>
        <w:t xml:space="preserve">® </w:t>
      </w:r>
      <w:r>
        <w:rPr>
          <w:rFonts w:ascii="Arial;sans-serif" w:hAnsi="Arial;sans-serif"/>
          <w:b w:val="false"/>
          <w:color w:val="001610"/>
          <w:sz w:val="20"/>
        </w:rPr>
        <w:t>(pembrolizumab) in patients with advanced solid tumors.</w:t>
      </w:r>
    </w:p>
    <w:p>
      <w:pPr>
        <w:pStyle w:val="TextBody"/>
        <w:spacing w:lineRule="auto" w:line="288" w:before="60" w:after="120"/>
        <w:ind w:left="0" w:right="0" w:hanging="360"/>
        <w:jc w:val="both"/>
        <w:rPr/>
      </w:pPr>
      <w:r>
        <w:rPr>
          <w:color w:val="000000"/>
        </w:rPr>
        <w:t>▪</w:t>
      </w:r>
      <w:r>
        <w:rPr>
          <w:rFonts w:ascii="Arial;sans-serif" w:hAnsi="Arial;sans-serif"/>
          <w:b w:val="false"/>
          <w:i/>
          <w:color w:val="000000"/>
          <w:sz w:val="20"/>
        </w:rPr>
        <w:t>NGM438, our LAIR1</w:t>
      </w:r>
      <w:r>
        <w:rPr>
          <w:color w:val="001610"/>
        </w:rPr>
        <w:t xml:space="preserve"> </w:t>
      </w:r>
      <w:r>
        <w:rPr>
          <w:rFonts w:ascii="Arial;sans-serif" w:hAnsi="Arial;sans-serif"/>
          <w:b w:val="false"/>
          <w:i/>
          <w:color w:val="001610"/>
          <w:sz w:val="20"/>
        </w:rPr>
        <w:t>antagonist antibody product candidate.</w:t>
      </w:r>
      <w:r>
        <w:rPr>
          <w:color w:val="001610"/>
        </w:rPr>
        <w:t xml:space="preserve"> </w:t>
      </w:r>
      <w:r>
        <w:rPr>
          <w:rFonts w:ascii="Arial;sans-serif" w:hAnsi="Arial;sans-serif"/>
          <w:b w:val="false"/>
          <w:color w:val="001610"/>
          <w:sz w:val="20"/>
        </w:rPr>
        <w:t>Initiated a Phase 1 trial of NGM438 as a monotherapy and in combination with pembrolizumab in patients with advanced solid tumors.</w:t>
      </w:r>
    </w:p>
    <w:p>
      <w:pPr>
        <w:pStyle w:val="TextBody"/>
        <w:spacing w:lineRule="auto" w:line="288" w:before="60" w:after="120"/>
        <w:ind w:left="0" w:right="0" w:hanging="360"/>
        <w:jc w:val="both"/>
        <w:rPr/>
      </w:pPr>
      <w:r>
        <w:rPr>
          <w:color w:val="000000"/>
        </w:rPr>
        <w:t>◦</w:t>
      </w:r>
      <w:r>
        <w:rPr>
          <w:rFonts w:ascii="Arial;sans-serif" w:hAnsi="Arial;sans-serif"/>
          <w:b w:val="false"/>
          <w:i/>
          <w:color w:val="000000"/>
          <w:sz w:val="20"/>
        </w:rPr>
        <w:t xml:space="preserve">NGM120, our GFRAL </w:t>
      </w:r>
      <w:r>
        <w:rPr>
          <w:rFonts w:ascii="Arial;sans-serif" w:hAnsi="Arial;sans-serif"/>
          <w:b w:val="false"/>
          <w:i/>
          <w:color w:val="001610"/>
          <w:sz w:val="20"/>
        </w:rPr>
        <w:t>antagonist antibody product candidate.</w:t>
      </w:r>
      <w:r>
        <w:rPr>
          <w:color w:val="001610"/>
        </w:rPr>
        <w:t xml:space="preserve"> </w:t>
      </w:r>
      <w:r>
        <w:rPr>
          <w:rFonts w:ascii="Arial;sans-serif" w:hAnsi="Arial;sans-serif"/>
          <w:b w:val="false"/>
          <w:color w:val="001610"/>
          <w:sz w:val="20"/>
        </w:rPr>
        <w:t>Presented updated preliminary findings from ongoing Phase 1a and Phase 1b cohorts evaluating NGM120 for the treatment of cancer at the 2022 ESMO Annual Congress and at the 2022 American Association for Cancer Research (AACR) Special Conference: Pancreatic.</w:t>
      </w:r>
    </w:p>
    <w:p>
      <w:pPr>
        <w:pStyle w:val="TextBody"/>
        <w:spacing w:lineRule="auto" w:line="288" w:before="60" w:after="120"/>
        <w:ind w:left="0" w:right="0" w:hanging="360"/>
        <w:jc w:val="both"/>
        <w:rPr/>
      </w:pPr>
      <w:r>
        <w:rPr>
          <w:color w:val="000000"/>
        </w:rPr>
        <w:t>•</w:t>
      </w:r>
      <w:r>
        <w:rPr>
          <w:rFonts w:ascii="Arial;sans-serif" w:hAnsi="Arial;sans-serif"/>
          <w:b w:val="false"/>
          <w:color w:val="001610"/>
          <w:sz w:val="20"/>
        </w:rPr>
        <w:t>Presented preclinical data on NGM936, our ILT3 x CD3 bispecific antagonist antibody product candidate designed for the treatment of acute myeloid leukemia and multiple myeloma, at the 2022 American Society of Hematology (ASH) Annual Meeting.</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240"/>
        <w:jc w:val="both"/>
        <w:rPr/>
      </w:pPr>
      <w:r>
        <w:rPr/>
      </w:r>
    </w:p>
    <w:p>
      <w:pPr>
        <w:pStyle w:val="TextBody"/>
        <w:spacing w:lineRule="auto" w:line="288" w:before="60" w:after="120"/>
        <w:ind w:left="0" w:right="0" w:hanging="360"/>
        <w:rPr/>
      </w:pPr>
      <w:r>
        <w:rPr>
          <w:color w:val="000000"/>
        </w:rPr>
        <w:t>•</w:t>
      </w:r>
      <w:r>
        <w:rPr>
          <w:rFonts w:ascii="Arial;sans-serif" w:hAnsi="Arial;sans-serif"/>
          <w:b w:val="false"/>
          <w:color w:val="000000"/>
          <w:sz w:val="20"/>
        </w:rPr>
        <w:t>Completed enrollment of patients in ALPINE 4, the Phase 2b trial of aldafermin, our engineered FGF19 analog product candidate, in patients with compensated cirrhosis due to non-alcoholic steatohepatitis (liver fibrosis stage 4 by the NASH Clinical Research Network classification).</w:t>
      </w:r>
    </w:p>
    <w:p>
      <w:pPr>
        <w:pStyle w:val="TextBody"/>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 xml:space="preserve">In addition, in 2022, we announced disappointing topline results from the Phase 2 CATALINA clinical trial of our product candidate NGM621, a monoclonal antibody engineered to potently inhibit complement C3, which was being evaluated for the treatment of patients with geographic atrophy, or GA. The trial did not meet its primary endpoint of a statistically significant rate of change in GA lesion area using slope analysis over 52 weeks of treatment with NGM621 versus sham.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Compensation Highlights for 2022 and Early 2023</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carefully evaluate our compensation arrangements and maintain and develop programs that we feel are the most appropriate to drive results for our Company and our stockholders. We have evolved our compensation policies since going public to align with our strategic priorities, best practices and compensation trends for companies at a similar stage. We take a holistic approach to designing our policies to align our executive compensation program with our stockholders’ interests and our Company performance, which is best viewed over the long term to align with product development cycles. Highlights of our executive compensation program in 2022 and early 2023 include:</w:t>
      </w:r>
    </w:p>
    <w:p>
      <w:pPr>
        <w:pStyle w:val="TextBody"/>
        <w:spacing w:lineRule="auto" w:line="288" w:before="60" w:after="120"/>
        <w:ind w:left="0" w:right="0" w:hanging="360"/>
        <w:jc w:val="both"/>
        <w:rPr/>
      </w:pPr>
      <w:r>
        <w:rPr>
          <w:color w:val="000000"/>
        </w:rPr>
        <w:t>•</w:t>
      </w:r>
      <w:r>
        <w:rPr>
          <w:rFonts w:ascii="Arial;sans-serif" w:hAnsi="Arial;sans-serif"/>
          <w:b/>
          <w:color w:val="000000"/>
          <w:sz w:val="20"/>
        </w:rPr>
        <w:t xml:space="preserve">Base Salary: </w:t>
      </w:r>
      <w:r>
        <w:rPr>
          <w:rFonts w:ascii="Arial;sans-serif" w:hAnsi="Arial;sans-serif"/>
          <w:b w:val="false"/>
          <w:color w:val="000000"/>
          <w:sz w:val="20"/>
        </w:rPr>
        <w:t>Our named executive officers’ base salaries for 2022 increased between 3% and 7% as compared to 2021 figures, which is aligned with actions we have taken across the Company.</w:t>
      </w:r>
    </w:p>
    <w:p>
      <w:pPr>
        <w:pStyle w:val="TextBody"/>
        <w:spacing w:lineRule="auto" w:line="288" w:before="60" w:after="120"/>
        <w:ind w:left="0" w:right="0" w:hanging="360"/>
        <w:rPr/>
      </w:pPr>
      <w:r>
        <w:rPr>
          <w:color w:val="000000"/>
        </w:rPr>
        <w:t>•</w:t>
      </w:r>
      <w:r>
        <w:rPr>
          <w:rFonts w:ascii="Arial;sans-serif" w:hAnsi="Arial;sans-serif"/>
          <w:b/>
          <w:color w:val="000000"/>
          <w:sz w:val="20"/>
        </w:rPr>
        <w:t xml:space="preserve">Annual Cash Performance-Based Bonus: </w:t>
      </w:r>
      <w:r>
        <w:rPr>
          <w:rFonts w:ascii="Arial;sans-serif" w:hAnsi="Arial;sans-serif"/>
          <w:b w:val="false"/>
          <w:color w:val="000000"/>
          <w:sz w:val="20"/>
        </w:rPr>
        <w:t>We did not increase target bonus award opportunities for our named executive officers (with the exception of Ms. Nolan Mangini, whose target was increased in connection with her promotion to President of the Company). Our named executive officers received performance-based cash bonuses for 2022 in amounts ranging between 73% and 80% of target. Our performance-based bonus program supports our commitment to align pay and performance and reinforces that these payments are “at-risk.”</w:t>
      </w:r>
    </w:p>
    <w:p>
      <w:pPr>
        <w:pStyle w:val="TextBody"/>
        <w:spacing w:lineRule="auto" w:line="288" w:before="60" w:after="120"/>
        <w:ind w:left="0" w:right="0" w:hanging="360"/>
        <w:rPr/>
      </w:pPr>
      <w:r>
        <w:rPr>
          <w:color w:val="000000"/>
        </w:rPr>
        <w:t>•</w:t>
      </w:r>
      <w:r>
        <w:rPr>
          <w:rFonts w:ascii="Arial;sans-serif" w:hAnsi="Arial;sans-serif"/>
          <w:b/>
          <w:color w:val="000000"/>
          <w:sz w:val="20"/>
          <w:highlight w:val="white"/>
        </w:rPr>
        <w:t xml:space="preserve">Long-Term Equity Awards: </w:t>
      </w:r>
      <w:r>
        <w:rPr>
          <w:rFonts w:ascii="Arial;sans-serif" w:hAnsi="Arial;sans-serif"/>
          <w:b w:val="false"/>
          <w:color w:val="000000"/>
          <w:sz w:val="20"/>
        </w:rPr>
        <w:t xml:space="preserve">Equity awards are an integral part of our executive compensation program and comprise the primary “at-risk” portion of our named executive officer compensation package. </w:t>
      </w:r>
      <w:r>
        <w:rPr>
          <w:rFonts w:ascii="Arial;sans-serif" w:hAnsi="Arial;sans-serif"/>
          <w:b w:val="false"/>
          <w:color w:val="000000"/>
          <w:sz w:val="20"/>
          <w:highlight w:val="white"/>
        </w:rPr>
        <w:t xml:space="preserve">In 2023, we introduced restricted stock unit, or RSU, awards for the first time, which is consistent with our pay-for-performance philosophy, as award value is directly dependent on stock price. Granting </w:t>
      </w:r>
      <w:r>
        <w:rPr>
          <w:rFonts w:ascii="Arial;sans-serif" w:hAnsi="Arial;sans-serif"/>
          <w:b w:val="false"/>
          <w:color w:val="000000"/>
          <w:sz w:val="20"/>
        </w:rPr>
        <w:t>both stock options and RSUs allows us to better balance our goals of attracting and retaining key executives, enhancing stockholder value and motivating and incentivizing extraordinary performance.</w:t>
      </w:r>
    </w:p>
    <w:p>
      <w:pPr>
        <w:pStyle w:val="TextBody"/>
        <w:spacing w:lineRule="auto" w:line="288" w:before="60" w:after="120"/>
        <w:ind w:left="0" w:right="0" w:hanging="360"/>
        <w:rPr/>
      </w:pPr>
      <w:r>
        <w:rPr>
          <w:color w:val="000000"/>
        </w:rPr>
        <w:t>•</w:t>
      </w:r>
      <w:r>
        <w:rPr>
          <w:rFonts w:ascii="Arial;sans-serif" w:hAnsi="Arial;sans-serif"/>
          <w:b/>
          <w:color w:val="000000"/>
          <w:sz w:val="20"/>
        </w:rPr>
        <w:t xml:space="preserve">Total Chief Executive Officer Compensation: </w:t>
      </w:r>
      <w:r>
        <w:rPr>
          <w:rFonts w:ascii="Arial;sans-serif" w:hAnsi="Arial;sans-serif"/>
          <w:b w:val="false"/>
          <w:color w:val="000000"/>
          <w:sz w:val="20"/>
        </w:rPr>
        <w:t>Our Chief Executive Officer’s total compensation (base salary, performance-based cash bonus earned and equity granted, as reported in the “Executive Compensation—Summary Compensation Table”) for 2022 decreased approximately 40% from 2021 levels. We granted our Chief Executive Officer one equity award in 2022 as part of our annual equity grant cycle.</w:t>
      </w:r>
    </w:p>
    <w:p>
      <w:pPr>
        <w:pStyle w:val="TextBody"/>
        <w:spacing w:lineRule="auto" w:line="288" w:before="60" w:after="120"/>
        <w:ind w:left="0" w:right="0" w:hanging="360"/>
        <w:rPr/>
      </w:pPr>
      <w:r>
        <w:rPr>
          <w:color w:val="000000"/>
        </w:rPr>
        <w:t>•</w:t>
      </w:r>
      <w:r>
        <w:rPr>
          <w:rFonts w:ascii="Arial;sans-serif" w:hAnsi="Arial;sans-serif"/>
          <w:b/>
          <w:color w:val="000000"/>
          <w:sz w:val="20"/>
        </w:rPr>
        <w:t>Peer Group:</w:t>
      </w:r>
      <w:r>
        <w:rPr>
          <w:color w:val="000000"/>
        </w:rPr>
        <w:t xml:space="preserve"> </w:t>
      </w:r>
      <w:r>
        <w:rPr>
          <w:rFonts w:ascii="Arial;sans-serif" w:hAnsi="Arial;sans-serif"/>
          <w:b w:val="false"/>
          <w:color w:val="000000"/>
          <w:sz w:val="20"/>
        </w:rPr>
        <w:t xml:space="preserve">We modified our peer group in October 2022 to better represent the current scale of our business by actively excluding companies with higher market capitalizations and making changes to ensure selection of an appropriate group of companies based on not only market capitalization, but also industry focus, number of employees and state of development. </w:t>
      </w:r>
    </w:p>
    <w:p>
      <w:pPr>
        <w:pStyle w:val="TextBody"/>
        <w:spacing w:lineRule="auto" w:line="288" w:before="60" w:after="120"/>
        <w:ind w:left="0" w:right="0" w:hanging="360"/>
        <w:rPr/>
      </w:pPr>
      <w:r>
        <w:rPr>
          <w:color w:val="000000"/>
        </w:rPr>
        <w:t>•</w:t>
      </w:r>
      <w:r>
        <w:rPr>
          <w:rFonts w:ascii="Arial;sans-serif" w:hAnsi="Arial;sans-serif"/>
          <w:b/>
          <w:color w:val="000000"/>
          <w:sz w:val="20"/>
          <w:highlight w:val="white"/>
        </w:rPr>
        <w:t xml:space="preserve">Stockholder Engagement: </w:t>
      </w:r>
      <w:r>
        <w:rPr>
          <w:rFonts w:ascii="Arial;sans-serif" w:hAnsi="Arial;sans-serif"/>
          <w:b w:val="false"/>
          <w:color w:val="000000"/>
          <w:sz w:val="20"/>
          <w:highlight w:val="white"/>
        </w:rPr>
        <w:t>We engaged with our stockholders to understand their views on our executive compensation program, as described in the section below entitled “</w:t>
      </w:r>
      <w:r>
        <w:rPr>
          <w:rFonts w:ascii="Arial;sans-serif" w:hAnsi="Arial;sans-serif"/>
          <w:b w:val="false"/>
          <w:color w:val="000000"/>
          <w:sz w:val="20"/>
        </w:rPr>
        <w:t>2022 Say-on-Pay Advisory Vote and Stockholder Outreach.”</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Executive Compensation Philosophy and Pay-for-Performance Emphasis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overall compensation philosophy and executive officer compensation program are guided by the following objectives and principles: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structure executive compensation to reward and motivate executive officers who contribute to the achievement of our operational and strategic objectives;</w:t>
      </w:r>
    </w:p>
    <w:p>
      <w:pPr>
        <w:pStyle w:val="TextBody"/>
        <w:spacing w:lineRule="auto" w:line="288" w:before="60" w:after="120"/>
        <w:ind w:left="0" w:right="0" w:hanging="360"/>
        <w:rPr/>
      </w:pPr>
      <w:r>
        <w:rPr>
          <w:color w:val="000000"/>
        </w:rPr>
        <w:t>•</w:t>
      </w:r>
      <w:r>
        <w:rPr>
          <w:rFonts w:ascii="Arial;sans-serif" w:hAnsi="Arial;sans-serif"/>
          <w:b w:val="false"/>
          <w:color w:val="000000"/>
          <w:sz w:val="20"/>
        </w:rPr>
        <w:t xml:space="preserve">attract and retain executive officers who contribute to our Company’s ongoing performance and long-term success;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240"/>
        <w:jc w:val="both"/>
        <w:rPr/>
      </w:pPr>
      <w:r>
        <w:rPr/>
      </w:r>
    </w:p>
    <w:p>
      <w:pPr>
        <w:pStyle w:val="TextBody"/>
        <w:spacing w:lineRule="auto" w:line="288" w:before="60" w:after="120"/>
        <w:ind w:left="0" w:right="0" w:hanging="360"/>
        <w:rPr/>
      </w:pPr>
      <w:r>
        <w:rPr>
          <w:color w:val="000000"/>
        </w:rPr>
        <w:t>•</w:t>
      </w:r>
      <w:r>
        <w:rPr>
          <w:rFonts w:ascii="Arial;sans-serif" w:hAnsi="Arial;sans-serif"/>
          <w:b w:val="false"/>
          <w:color w:val="000000"/>
          <w:sz w:val="20"/>
        </w:rPr>
        <w:t xml:space="preserve">link executive officer compensation and stockholder interests through the grant of long-term equity incentives.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seek to attract, motivate and retain highly qualified executive officers by compensating them competitively, consistent with our success and their contribution to that success. Our ability to excel depends on the skills, creativity, integrity and teamwork of all of our employees, including our executive officers, in service of not only our short-term goals, but also our broader long-term strategic objectives. Given the long product development cycles in the biopharmaceutical industry, our Compensation Committee believes that compensation paid to our executive officers should be aligned with both our short- and long-term performance and linked to results intended to create stockholder value. Furthermore, compensation paid to our executive officers is intended to enhance our ability to attract and retain highly qualified executives in a competitive talent market. Mindful of these principles, we have structured our compensation program to ensure that a significant portion of our executive officers’ compensation opportunity is related to factors that are designed to enhance stockholder value and to attract and retain key executives who are critical to our long-term success.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significant percentage of target compensation for our Chief Executive Officer and other named executive officers is structured in the form of “at-risk” compensation, consisting of the opportunity to earn annual performance-based bonus payouts dependent upon Company and individual performance and equity awards. We believe this approach best aligns our executive officers’ interests with those of our stockholders for both short- and long-term performance. Target total compensation for our named executive officers for 2022, as shown below, reflects annual base salary, target annual performance-based bonus amounts and the grant date fair value of equity awards granted during the year (as reported in “Executive Compensation—Summary Compensation Table” below).</w:t>
      </w:r>
    </w:p>
    <w:p>
      <w:pPr>
        <w:pStyle w:val="TextBody"/>
        <w:spacing w:before="0" w:after="0"/>
        <w:jc w:val="center"/>
        <w:rPr/>
      </w:pPr>
      <w:r>
        <w:rPr/>
        <w:drawing>
          <wp:inline distT="0" distB="63500" distL="0" distR="0">
            <wp:extent cx="6515100" cy="477202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515100" cy="47720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240"/>
        <w:jc w:val="both"/>
        <w:rPr/>
      </w:pPr>
      <w:r>
        <w:rPr/>
      </w:r>
    </w:p>
    <w:p>
      <w:pPr>
        <w:pStyle w:val="TextBody"/>
        <w:spacing w:lineRule="auto" w:line="288" w:before="240" w:after="240"/>
        <w:rPr>
          <w:rFonts w:ascii="Arial;sans-serif" w:hAnsi="Arial;sans-serif"/>
          <w:b/>
          <w:i/>
          <w:color w:val="000000"/>
          <w:sz w:val="20"/>
        </w:rPr>
      </w:pPr>
      <w:r>
        <w:rPr>
          <w:rFonts w:ascii="Arial;sans-serif" w:hAnsi="Arial;sans-serif"/>
          <w:b/>
          <w:i/>
          <w:color w:val="000000"/>
          <w:sz w:val="20"/>
        </w:rPr>
        <w:t>Key Features of our Executive Compensation Program</w:t>
      </w:r>
    </w:p>
    <w:tbl>
      <w:tblPr>
        <w:tblW w:w="10205" w:type="dxa"/>
        <w:jc w:val="left"/>
        <w:tblInd w:w="0" w:type="dxa"/>
        <w:tblCellMar>
          <w:top w:w="28" w:type="dxa"/>
          <w:left w:w="28" w:type="dxa"/>
          <w:bottom w:w="28" w:type="dxa"/>
          <w:right w:w="28" w:type="dxa"/>
        </w:tblCellMar>
      </w:tblPr>
      <w:tblGrid>
        <w:gridCol w:w="2286"/>
        <w:gridCol w:w="2003"/>
        <w:gridCol w:w="2031"/>
        <w:gridCol w:w="109"/>
        <w:gridCol w:w="109"/>
        <w:gridCol w:w="109"/>
        <w:gridCol w:w="1117"/>
        <w:gridCol w:w="1117"/>
        <w:gridCol w:w="1324"/>
      </w:tblGrid>
      <w:tr>
        <w:trPr/>
        <w:tc>
          <w:tcPr>
            <w:tcW w:w="2286"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r>
      <w:tr>
        <w:trPr/>
        <w:tc>
          <w:tcPr>
            <w:tcW w:w="6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What We 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What We Don’t Do</w:t>
            </w:r>
          </w:p>
        </w:tc>
      </w:tr>
      <w:tr>
        <w:trPr/>
        <w:tc>
          <w:tcPr>
            <w:tcW w:w="6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20"/>
              <w:jc w:val="left"/>
              <w:rPr>
                <w:color w:val="000000"/>
              </w:rPr>
            </w:pPr>
            <w:r>
              <w:rPr>
                <w:color w:val="000000"/>
              </w:rPr>
              <w:t xml:space="preserve">✓ </w:t>
            </w:r>
            <w:r>
              <w:rPr>
                <w:rFonts w:ascii="Arial;sans-serif" w:hAnsi="Arial;sans-serif"/>
                <w:b w:val="false"/>
                <w:color w:val="000000"/>
                <w:sz w:val="20"/>
              </w:rPr>
              <w:t>Design executive compensation to align pay with performance</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Emphasize long-term equity incentives, with the majority of executive compensation being “at-risk”</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Reevaluate and adjust our program annually based on company and market developments and stockholder feedback</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Tie performance-based cash bonus opportunities to pre-determined corporate goals</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Discourage inappropriate risk-taking</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Prohibit hedging and pledging by officers and directors</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Engage an independent compensation consultant who reports directly to the Compensation Committee</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Have 100% independent directors on the Compensation Committee, which meets regularly in independent session without management present</w:t>
            </w:r>
          </w:p>
          <w:p>
            <w:pPr>
              <w:pStyle w:val="TableContents"/>
              <w:spacing w:lineRule="auto" w:line="268" w:before="0" w:after="120"/>
              <w:jc w:val="left"/>
              <w:rPr>
                <w:color w:val="000000"/>
              </w:rPr>
            </w:pPr>
            <w:r>
              <w:rPr>
                <w:color w:val="000000"/>
              </w:rPr>
              <w:t xml:space="preserve">✓ </w:t>
            </w:r>
            <w:r>
              <w:rPr>
                <w:rFonts w:ascii="Arial;sans-serif" w:hAnsi="Arial;sans-serif"/>
                <w:b w:val="false"/>
                <w:color w:val="000000"/>
                <w:sz w:val="20"/>
              </w:rPr>
              <w:t>Provide “double-trigger” change in control severance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20"/>
              <w:jc w:val="left"/>
              <w:rPr>
                <w:rFonts w:ascii="Arial;sans-serif" w:hAnsi="Arial;sans-serif"/>
                <w:b w:val="false"/>
                <w:color w:val="000000"/>
                <w:sz w:val="20"/>
              </w:rPr>
            </w:pPr>
            <w:r>
              <w:rPr>
                <w:rFonts w:ascii="Arial;sans-serif" w:hAnsi="Arial;sans-serif"/>
                <w:b w:val="false"/>
                <w:color w:val="000000"/>
                <w:sz w:val="20"/>
              </w:rPr>
              <w:t>X No excessive or “single-trigger” change in control or severance payments</w:t>
            </w:r>
          </w:p>
          <w:p>
            <w:pPr>
              <w:pStyle w:val="TableContents"/>
              <w:spacing w:lineRule="auto" w:line="288" w:before="0" w:after="120"/>
              <w:jc w:val="left"/>
              <w:rPr>
                <w:rFonts w:ascii="Arial;sans-serif" w:hAnsi="Arial;sans-serif"/>
                <w:b w:val="false"/>
                <w:color w:val="000000"/>
                <w:sz w:val="20"/>
              </w:rPr>
            </w:pPr>
            <w:r>
              <w:rPr>
                <w:rFonts w:ascii="Arial;sans-serif" w:hAnsi="Arial;sans-serif"/>
                <w:b w:val="false"/>
                <w:color w:val="000000"/>
                <w:sz w:val="20"/>
              </w:rPr>
              <w:t>X No excise tax or other tax gross-ups</w:t>
            </w:r>
          </w:p>
          <w:p>
            <w:pPr>
              <w:pStyle w:val="TableContents"/>
              <w:spacing w:lineRule="auto" w:line="288" w:before="0" w:after="120"/>
              <w:jc w:val="left"/>
              <w:rPr>
                <w:rFonts w:ascii="Arial;sans-serif" w:hAnsi="Arial;sans-serif"/>
                <w:b w:val="false"/>
                <w:color w:val="000000"/>
                <w:sz w:val="20"/>
              </w:rPr>
            </w:pPr>
            <w:r>
              <w:rPr>
                <w:rFonts w:ascii="Arial;sans-serif" w:hAnsi="Arial;sans-serif"/>
                <w:b w:val="false"/>
                <w:color w:val="000000"/>
                <w:sz w:val="20"/>
              </w:rPr>
              <w:t>X No guaranteed bonuses or base salary increases</w:t>
            </w:r>
          </w:p>
          <w:p>
            <w:pPr>
              <w:pStyle w:val="TableContents"/>
              <w:spacing w:lineRule="auto" w:line="288" w:before="0" w:after="120"/>
              <w:jc w:val="left"/>
              <w:rPr>
                <w:rFonts w:ascii="Arial;sans-serif" w:hAnsi="Arial;sans-serif"/>
                <w:b w:val="false"/>
                <w:color w:val="000000"/>
                <w:sz w:val="20"/>
              </w:rPr>
            </w:pPr>
            <w:r>
              <w:rPr>
                <w:rFonts w:ascii="Arial;sans-serif" w:hAnsi="Arial;sans-serif"/>
                <w:b w:val="false"/>
                <w:color w:val="000000"/>
                <w:sz w:val="20"/>
              </w:rPr>
              <w:t>X No executive fringe benefits or perquisites</w:t>
            </w:r>
          </w:p>
        </w:tc>
      </w:tr>
    </w:tbl>
    <w:p>
      <w:pPr>
        <w:pStyle w:val="TextBody"/>
        <w:spacing w:lineRule="auto" w:line="288" w:before="60" w:after="240"/>
        <w:jc w:val="both"/>
        <w:rPr>
          <w:rFonts w:ascii="Arial;sans-serif" w:hAnsi="Arial;sans-serif"/>
          <w:b/>
          <w:color w:val="000000"/>
          <w:sz w:val="20"/>
        </w:rPr>
      </w:pPr>
      <w:r>
        <w:rPr>
          <w:rFonts w:ascii="Arial;sans-serif" w:hAnsi="Arial;sans-serif"/>
          <w:b/>
          <w:color w:val="000000"/>
          <w:sz w:val="20"/>
        </w:rPr>
        <w:t>2022 Say-on-Pay Advisory Vote and Stockholder Outreach</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2022, we held our first advisory vote from our stockholders regarding our executive compensation program. Our Compensation Committee takes the results of this vote into account when determining the compensation of our executive officers. At our annual meeting of stockholders held in May 2022, approximately 76% of the votes cast were in favor of our say-on-pay proposal. While a significant percentage of the votes cast were in favor of our executive compensation program for 2021, the vote result was below our desired level of support; therefore, we sought to understand the reason for this result.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response to the level of support for our 2022 say-on-pay proposal, we requested meetings with stockholders owning, in the aggregate, approximately 84% of our outstanding common stock. We contacted all of our top 15 stockholders, which included large, dissenting stockholders. Most stockholders declined to have a meeting or indicated they had no feedback for us on our say-on-pay vote. However, our head of investor relations and General Counsel (and when requested, an independent member of our Board of Directors) held meetings with every stockholder that responded and agreed to meet with us (reflecting in aggregate 11% of our outstanding common stock). In these meetings, we solicited feedback on, and provided additional insight into, our executive compensation program, with the goal of sharing any feedback for consideration by our Compensation Committee. During these engagement meetings, stockholders expressed a general desire for clearer disclosure on the metrics the Company uses to evaluate its performance to demonstrate a pay-for-performance mindset, with a stated preference for measurable metrics that are meaningful to the Company and its business and a corresponding recognition that it is challenging for clinical-stage, non-revenue-generating biotechnology companies with diverse portfolios to set quantitative metrics; a request for a more detailed description of the rationale for compensation of its executives; a stated cap on bonus payouts, while recognizing there never have been payouts above 100% of target; and consideration of introducing performance-vesting criteria for equity awards, in addition to the Company’s current program which includes time-vesting awards. In response to this feedback, we have included more detailed disclosure about our executive compensation decisions and their relationship to corporate performance based on pre-determined goals and the Compensation Committee will consider adding an explicit cap to our bonus program and continue to monitor when it will be appropriate to add performance-vesting awards to the Company’s equity incentive program for executives. We plan to continue to engage with stockholders on a regular basis to solicit and consider their views on our executive compensation program, as well as our business strategy, performance and corporate governance practices.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240"/>
        <w:jc w:val="both"/>
        <w:rPr/>
      </w:pPr>
      <w:r>
        <w:rPr/>
      </w:r>
    </w:p>
    <w:p>
      <w:pPr>
        <w:pStyle w:val="TextBody"/>
        <w:spacing w:lineRule="auto" w:line="288" w:before="60" w:after="240"/>
        <w:jc w:val="both"/>
        <w:rPr>
          <w:rFonts w:ascii="Arial;sans-serif" w:hAnsi="Arial;sans-serif"/>
          <w:b/>
          <w:color w:val="000000"/>
          <w:sz w:val="20"/>
        </w:rPr>
      </w:pPr>
      <w:r>
        <w:rPr>
          <w:rFonts w:ascii="Arial;sans-serif" w:hAnsi="Arial;sans-serif"/>
          <w:b/>
          <w:color w:val="000000"/>
          <w:sz w:val="20"/>
        </w:rPr>
        <w:t xml:space="preserve">Process for Determining Executive Compensation </w:t>
      </w:r>
    </w:p>
    <w:p>
      <w:pPr>
        <w:pStyle w:val="TextBody"/>
        <w:spacing w:lineRule="auto" w:line="288" w:before="60" w:after="240"/>
        <w:jc w:val="both"/>
        <w:rPr>
          <w:rFonts w:ascii="Arial;sans-serif" w:hAnsi="Arial;sans-serif"/>
          <w:b/>
          <w:i/>
          <w:color w:val="000000"/>
          <w:sz w:val="20"/>
        </w:rPr>
      </w:pPr>
      <w:r>
        <w:rPr>
          <w:rFonts w:ascii="Arial;sans-serif" w:hAnsi="Arial;sans-serif"/>
          <w:b/>
          <w:i/>
          <w:color w:val="000000"/>
          <w:sz w:val="20"/>
        </w:rPr>
        <w:t xml:space="preserve">Role of Our Compensation Committee, Management and the Board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Compensation Committee is appointed by the Board of Directors to assist with the Board of Director’s oversight responsibilities with respect to the Company’s compensation and benefit plans, policies and programs, administration of Company equity plans and the Board’s responsibilities related to the compensation of the Company’s executive officers, directors and senior management, as appropriate.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Compensation Committee is responsible for overseeing and reviewing our general compensation strategy. In this capacity, our Compensation Committee approves the design of, implements, reviews and approves all compensation for our executive officers, except for the approval of compensation for our Chief Executive Officer, whose compensation is approved by our Board of Directors based on recommendations from our Compensation Committee.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Compensation Committee works with and receives information and analyses from management, including our legal, finance, and human resources departments, and our Chief Executive Officer, and considers such information and analyses in determining the structure and amount of compensation to be paid to our executive officers, including our named executive officers. Our Chief Executive Officer provides recommendations annually to the Compensation Committee regarding the compensation of all executive officers (other than himself) based on the overall corporate achievements during the period being assessed and his knowledge of the individual contributions to our success by each of the executive officers. The Compensation Committee takes these recommendations into consideration when determining the overall performance of the company and each of our executive officers individually, as demonstrated by progress measured against corporate goals and achievement of other corporate priorities.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Members of management, including our Chief Executive Officer, may attend portions of our Compensation Committee’s meetings; however, neither our Chief Executive Officer nor any other member of management is present during decisions regarding his or her own compensation.</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Role of the Independent Compensation Consultant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2022, the Compensation Committee engaged Aon’s Human Capital Solutions practice, a division of Aon plc, or Aon, as its independent compensation consultant to examine various policies under the Compensation Committee’s charter. Aon reports directly to the Compensation Committee, and the Compensation Committee has the sole authority to hire, fire and direct the work of Aon. In 2022, Aon advised the Compensation Committee on a variety of compensation-related issues, including: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identifying an updated peer group of companies for market comparison purposes;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gathering data on our executive officer cash and equity compensation, and our non-employee director compensation, relative to competitive market practices;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gathering data on peer group short- and long-term incentive practices;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gathering data on peer group equity use and dilution;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addressing trends and best practices in executive compensation to inform the Compensation Committee’s decisions;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developing a market-based framework for potential changes to our compensation program for the Compensation Committee’s review and input;</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assessing compensation risk to determine whether our compensation policies and practices are reasonably likely to have a material adverse effect on the Company; and</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supporting other ad hoc matters throughout the year.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After review and consultation with Aon, our Compensation Committee determined that Aon is independent, and that there is no conflict of interest resulting from retaining Aon currently or during 2022. In reaching these conclusions, our Compensation Committee considered the factors set forth in the SEC rules and the Nasdaq listing standards. Other than services provided to our Compensation Committee, Aon has not performed any other work for us. </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Defining and Comparing Compensation to Market Benchmarks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Because we aim to attract and retain the most highly qualified executive officers in what has been an extremely competitive market for talent, our Compensation Committee believes that it is important when making its compensation decisions to be informed as to the current practices of comparable public companies with which we compete for top talent. To this end, as described below, the Compensation Committee reviews market data compiled by Aon for each executive officer’s position, including information relating to the mix and levels of compensation for executive officers in the biopharmaceutical industry, with a focus on target total compensation in line with the Compensation Committee’s holistic approach to executive compensation. The use of market data is not formulaic, and the Compensation Committee considers market data as only one of the factors that informs its decisions, as described below under “Key Factors Used in Determining Executive Compensation.”</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Determination of 2022 Peer Group</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September 2021, our Compensation Committee, using data provided by Aon, established a group of companies that would be appropriate peers for compensation decisions for 2022 based on a balance of industry focus, number of employees, state of development, complexity and market capitalization. Specifically, companies were selected if they were publicly-traded biopharmaceutical companies that were pre-commercial, with a focus on companies that have recently gone public and clinical-stage companies with products in Phase 2 or 3 clinical trials, as well as preclinical platform companies where appropriate, meeting at least two of the following three criteria:</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companies with market capitalizations that range from approximately 0.3x to 3.0x our market capitalization at the time of selecting the peer group (i.e., $600 million to $5.0 billion);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companies with 100 to 500 employees; and</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companies based in the United States, with a focus on companies headquartered in the Bay Area and other biotechnology hub markets.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these criteria, in September 2021, Aon recommended, and our Compensation Committee approved, the following companies as our peer group for 2022:</w:t>
      </w:r>
    </w:p>
    <w:tbl>
      <w:tblPr>
        <w:tblW w:w="9479" w:type="dxa"/>
        <w:jc w:val="left"/>
        <w:tblInd w:w="0" w:type="dxa"/>
        <w:tblCellMar>
          <w:top w:w="28" w:type="dxa"/>
          <w:left w:w="28" w:type="dxa"/>
          <w:bottom w:w="28" w:type="dxa"/>
          <w:right w:w="28" w:type="dxa"/>
        </w:tblCellMar>
      </w:tblPr>
      <w:tblGrid>
        <w:gridCol w:w="1193"/>
        <w:gridCol w:w="1049"/>
        <w:gridCol w:w="1058"/>
        <w:gridCol w:w="1034"/>
        <w:gridCol w:w="1034"/>
        <w:gridCol w:w="1036"/>
        <w:gridCol w:w="898"/>
        <w:gridCol w:w="898"/>
        <w:gridCol w:w="1279"/>
      </w:tblGrid>
      <w:tr>
        <w:trPr/>
        <w:tc>
          <w:tcPr>
            <w:tcW w:w="1193"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947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0"/>
              </w:rPr>
              <w:t>2022 Peer Group</w:t>
            </w:r>
            <w:r>
              <w:rPr>
                <w:rFonts w:ascii="Arial;sans-serif" w:hAnsi="Arial;sans-serif"/>
                <w:b/>
                <w:color w:val="000000"/>
                <w:sz w:val="13"/>
              </w:rPr>
              <w:t>(1)</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Alector, Inc.</w:t>
            </w:r>
          </w:p>
        </w:tc>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Atara Biotherapeutics, Inc.</w:t>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Gossamer Bio, Inc.</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Allakos Inc.</w:t>
            </w:r>
          </w:p>
        </w:tc>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Cytokinetics, Incorporated</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Kodiak Sciences Inc.</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Allogene Therapeutics, Inc.</w:t>
            </w:r>
          </w:p>
        </w:tc>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CytomX Therapeutics,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Madrigal Pharmaceuticals, Inc.</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AnaptysBio, Inc.</w:t>
            </w:r>
          </w:p>
        </w:tc>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Denali Therapeutics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Replimune Group, Inc.</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Apellis Pharmaceuticals, Inc.</w:t>
            </w:r>
          </w:p>
        </w:tc>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Dicerna Pharmaceuticals,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Rubius Therapeutics, Inc.</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Arcturus Therapeutics Holdings, Inc.</w:t>
            </w:r>
          </w:p>
        </w:tc>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Editas Medicine,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Scholar Rock Holding Corporation</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Arcus Biosciences, Inc.</w:t>
            </w:r>
          </w:p>
        </w:tc>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Forma Therapeutics Holdings,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Turning Point Therapeutics, Inc.</w:t>
            </w:r>
          </w:p>
        </w:tc>
      </w:tr>
    </w:tbl>
    <w:p>
      <w:pPr>
        <w:pStyle w:val="TextBody"/>
        <w:spacing w:lineRule="auto" w:line="288" w:before="20" w:after="12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240"/>
        <w:ind w:left="0" w:right="0" w:hanging="720"/>
        <w:rPr>
          <w:rFonts w:ascii="Arial;sans-serif" w:hAnsi="Arial;sans-serif"/>
          <w:b w:val="false"/>
          <w:color w:val="000000"/>
          <w:sz w:val="16"/>
        </w:rPr>
      </w:pPr>
      <w:r>
        <w:rPr>
          <w:rFonts w:ascii="Arial;sans-serif" w:hAnsi="Arial;sans-serif"/>
          <w:b w:val="false"/>
          <w:color w:val="000000"/>
          <w:sz w:val="16"/>
        </w:rPr>
        <w:t>(1)Allakos Inc., Arcturus Therapeutics Holdings Inc., Cytokinetics, Incorporated, Forma Therapeutics Holdings, Inc., Kodiak Sciences Inc. and Scholar Rock Holding Corporation were added to our 2022 peer group because they met the selection criteria, and Adverum Biotechnologies, Inc., Constellation Pharmaceuticals, Inc., Fate Therapeutics, Inc., Intellia Therapeutics, Inc., Odonate Therapeutics, Inc., Tricida, Inc. and Voyager Therapeutics, Inc. were removed from the peer group because they either were acquired or no longer met the selection criteria.</w:t>
      </w:r>
    </w:p>
    <w:p>
      <w:pPr>
        <w:pStyle w:val="TextBody"/>
        <w:spacing w:lineRule="auto" w:line="288" w:before="0" w:after="240"/>
        <w:jc w:val="both"/>
        <w:rPr/>
      </w:pPr>
      <w:r>
        <w:rPr>
          <w:rFonts w:ascii="Arial;sans-serif" w:hAnsi="Arial;sans-serif"/>
          <w:b w:val="false"/>
          <w:color w:val="000000"/>
          <w:sz w:val="20"/>
        </w:rPr>
        <w:t>At the time of approval of the 2022 peer group, our market cap was at approximately the 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of the peer companies, reflecting strong alignment with the companies selected for inclusion.</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Use of Market Data</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late 2021, Aon completed an assessment of executive compensation based on our chosen 2022 peer group as one input into the pay policy development for 2022 and the Compensation Committee’s determination of executive compensation. This assessment used market data that was compiled from multiple sources and provided by Aon to the Compensation Committee, including: (i) data from the Aon Global Life Sciences Survey with respect to the 2022 peer group companies listed above, or the peer survey data; (ii) the 2022 peer group companies’ publicly disclosed information, or public peer data; and (iii) data from public pre-commercial biotechnology and pharmaceutical companies in the Aon Global Life Sciences Survey with market capitalizations that range from approximately $600 million to $5.0 billion and with 100 to 500 employees, or the general survey data. Generally, peer survey data and public peer data are used in establishing market data reference points, and the general survey data is used when there is a lack of peer survey data and public peer data for an executive officer’s position. The peer survey data, the general survey data and the public peer data are collectively referred to in this Proxy Statement as market data.</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Compensation Committee reviews each executive officer’s target total compensation, comprising both target total cash compensation (consisting of base salary and target annual performance-based bonus) and equity compensation, against the market data described above primarily to ensure that our executive compensation program, as a whole, is competitive and within the standard practices for companies of a similar stage. This supports our objectives to attract and retain the highest caliber of executive officers and to provide a total compensation opportunity for executive officers that is aligned with our corporate objectives and strategic needs. However, the Compensation Committee recognizes that its compensation decisions may result in compensation that is higher or lower than that paid by peer companies for similar positions based on the Compensation Committee’s exercise of its discretion and its consideration of factors such as experience, scope of position, position criticality and career arc. Our Compensation Committee believes that over-reliance on benchmarking against market data, particularly peer survey data, can result in compensation that is unrelated to the value delivered by our executive officers because compensation benchmarking does not take into account company-to-company variations among actual roles with similar titles or the specific performance of the individual executive officer; as such, market data is just one factor we use in determining executive compensation. Additionally, due to the nature of our business, we compete for executive talent with many companies that are not similar to our peer companies, including with public companies that are larger and more established than we are or that possess greater resources than we do and, particularly for certain roles, that may be in industries other than biotechnology, with smaller private companies that may be able to offer greater equity compensation potential and with prestigious academic and non-profit institutions. Compensation data for such companies and institutions is not reflected in the market data.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a result, the Compensation Committee does not use a formulaic approach to set pay at a particular positioning within the market data; rather, the Compensation Committee reviews a range of market data reference points as one factor before making compensation determinations for each executive officer. While the Compensation Committee views a range of market data, it generally considers the 60th percentile of market data for base salary and the 50th percentile of market data for each of target annual performance-based bonus awards, long-term incentive compensation and target total direct compensation as appropriate reference points to take into consideration when determining executive officer compensation. </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Determination of 2023 Peer Group</w:t>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While the Compensation Committee believed that the peer group described above was appropriate when approved in September 2021, the Compensation Committee asked Aon to reassess our peer group in October 2022 to better represent the then-current scale of our business following the announcement of topline results from the Phase 2 CATALINA trial and the reduction in our market capitalization. The criteria remained similar to that used to determine our 2022 peer group. However, in October 2022 Aon evaluated each 2022 peer company against an adjusted market capitalization range of $100 million to $800 million (reflecting approximately 0.4x to 3.0x of our market capitalization) for continued inclusion and determined to remove seven peers (Allogene, Apellis, Acrus, Cytokinetics, Denali, Madrigal and Rubius) due to falling outside of this range and two peers (Dicerna and Turning Point) due to acquisitions. Based on these criteria, in October 2022, Aon recommended, and our Compensation Committee approved, the following companies as our peer group for 2023:</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240"/>
        <w:jc w:val="both"/>
        <w:rPr/>
      </w:pPr>
      <w:r>
        <w:rPr/>
      </w:r>
    </w:p>
    <w:tbl>
      <w:tblPr>
        <w:tblW w:w="9479" w:type="dxa"/>
        <w:jc w:val="left"/>
        <w:tblInd w:w="0" w:type="dxa"/>
        <w:tblCellMar>
          <w:top w:w="28" w:type="dxa"/>
          <w:left w:w="28" w:type="dxa"/>
          <w:bottom w:w="28" w:type="dxa"/>
          <w:right w:w="28" w:type="dxa"/>
        </w:tblCellMar>
      </w:tblPr>
      <w:tblGrid>
        <w:gridCol w:w="1195"/>
        <w:gridCol w:w="1051"/>
        <w:gridCol w:w="1053"/>
        <w:gridCol w:w="1034"/>
        <w:gridCol w:w="1034"/>
        <w:gridCol w:w="1037"/>
        <w:gridCol w:w="899"/>
        <w:gridCol w:w="899"/>
        <w:gridCol w:w="1277"/>
      </w:tblGrid>
      <w:tr>
        <w:trPr/>
        <w:tc>
          <w:tcPr>
            <w:tcW w:w="119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r>
      <w:tr>
        <w:trPr/>
        <w:tc>
          <w:tcPr>
            <w:tcW w:w="94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 Peer Group</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4D Molecular Therapeutics, Inc.*</w:t>
            </w:r>
          </w:p>
        </w:tc>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CytomX Therapeutics, Inc.</w:t>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Kronos Bio, Inc.*</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Alector, Inc.</w:t>
            </w:r>
          </w:p>
        </w:tc>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Editas Medicine,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Nektar Therapeutics*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Allakos Inc.</w:t>
            </w:r>
          </w:p>
        </w:tc>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Evelo Biosciences,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Protagonist Therapeutics, Inc.*</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Allovir, Inc.*</w:t>
            </w:r>
          </w:p>
        </w:tc>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Forma Therapeutics Holdings,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Replimune Group, Inc.</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Alpine Immune Sciences, Inc.*</w:t>
            </w:r>
          </w:p>
        </w:tc>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Gossamer Bio,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Scholar Rock Holding Corporation</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AnaptysBio, Inc.</w:t>
            </w:r>
          </w:p>
        </w:tc>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Gritstone bio,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Summit Therapeutics Inc.*</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Arcturus Therapeutics Holdings, Inc.</w:t>
            </w:r>
          </w:p>
        </w:tc>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KalVista Pharmaceuticals, Inc.*</w:t>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Syros Pharmaceuticals, Inc.*</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Atara Biotherapeutics, Inc.</w:t>
            </w:r>
          </w:p>
        </w:tc>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Kodiak Sciences Inc.</w:t>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Vaxart, Inc.*</w:t>
            </w:r>
          </w:p>
        </w:tc>
      </w:tr>
    </w:tbl>
    <w:p>
      <w:pPr>
        <w:pStyle w:val="TextBody"/>
        <w:spacing w:lineRule="auto" w:line="288" w:before="20" w:after="12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240"/>
        <w:jc w:val="both"/>
        <w:rPr/>
      </w:pPr>
      <w:r>
        <w:rPr>
          <w:rFonts w:ascii="Arial;sans-serif" w:hAnsi="Arial;sans-serif"/>
          <w:b w:val="false"/>
          <w:color w:val="000000"/>
          <w:sz w:val="16"/>
        </w:rPr>
        <w:t>*</w:t>
      </w:r>
      <w:r>
        <w:rPr>
          <w:rFonts w:ascii="Arial;sans-serif" w:hAnsi="Arial;sans-serif"/>
          <w:b w:val="false"/>
          <w:color w:val="000000"/>
          <w:sz w:val="16"/>
        </w:rPr>
        <w:t>New peer company.</w:t>
      </w:r>
    </w:p>
    <w:p>
      <w:pPr>
        <w:pStyle w:val="TextBody"/>
        <w:spacing w:lineRule="auto" w:line="288" w:before="60" w:after="240"/>
        <w:jc w:val="both"/>
        <w:rPr/>
      </w:pPr>
      <w:r>
        <w:rPr>
          <w:rFonts w:ascii="Arial;sans-serif" w:hAnsi="Arial;sans-serif"/>
          <w:b/>
          <w:i/>
          <w:color w:val="000000"/>
          <w:sz w:val="20"/>
        </w:rPr>
        <w:t>Key Factors Used in Determining Executive Compensation</w:t>
      </w:r>
      <w:r>
        <w:rPr>
          <w:color w:val="000000"/>
        </w:rPr>
        <w:t xml:space="preserv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When determining the compensation of each of our executive officers, our Compensation Committee, with input from our Chief Executive Officer (other than for himself) and reference to market data, may consider a number of key factors, including:</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 xml:space="preserve">our overall corporate performance; </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our performance against our intentionally aggressive annual corporate goals and other corporate priorities;</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market trends and pressures;</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the experience level of the executive officer and the scope and criticality of the executive officer’s role;</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the executive officer’s individual performance and career trajectory;</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internal pay equity;</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the need to attract and retain talent in what has been a competitive market; and</w:t>
      </w:r>
    </w:p>
    <w:p>
      <w:pPr>
        <w:pStyle w:val="TextBody"/>
        <w:spacing w:lineRule="auto" w:line="288" w:before="60" w:after="120"/>
        <w:ind w:left="0" w:right="0" w:hanging="360"/>
        <w:jc w:val="both"/>
        <w:rPr/>
      </w:pPr>
      <w:r>
        <w:rPr>
          <w:color w:val="000000"/>
        </w:rPr>
        <w:t>•</w:t>
      </w:r>
      <w:r>
        <w:rPr>
          <w:rFonts w:ascii="Arial;sans-serif" w:hAnsi="Arial;sans-serif"/>
          <w:b w:val="false"/>
          <w:color w:val="000000"/>
          <w:sz w:val="20"/>
        </w:rPr>
        <w:t>the impact of aggregate compensation on the annual budget and on stockholder dilution.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making decisions regarding executive compensation, the Compensation Committee members also exercise their independent judgment and use their professional experience and understanding of compensation practices in the biopharmaceutical industry. </w:t>
      </w:r>
    </w:p>
    <w:p>
      <w:pPr>
        <w:pStyle w:val="TextBody"/>
        <w:spacing w:lineRule="auto" w:line="288" w:before="60" w:after="240"/>
        <w:jc w:val="both"/>
        <w:rPr>
          <w:rFonts w:ascii="Arial;sans-serif" w:hAnsi="Arial;sans-serif"/>
          <w:b/>
          <w:color w:val="000000"/>
          <w:sz w:val="20"/>
        </w:rPr>
      </w:pPr>
      <w:r>
        <w:rPr>
          <w:rFonts w:ascii="Arial;sans-serif" w:hAnsi="Arial;sans-serif"/>
          <w:b/>
          <w:color w:val="000000"/>
          <w:sz w:val="20"/>
        </w:rPr>
        <w:t>Elements of Executive Compensation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primary components of our executive compensation program are base salary, annual performance-based cash bonus awards and annual equity-based awards. We believe that these components, along with our other benefits, foster a productive work environment that offers our employees the flexibility and opportunity to thrive in a collaborative atmosphere and to receive meaningful rewards and recognition for their contributions to our growth and success. We view these components of compensation as related but distinct. While annual cash bonus awards and annual equity awards are not guaranteed, we believe that, as is common in the biopharmaceutical industry, base salary, annual cash bonuses and equity-based awards are all necessary to attract and retain employees. To date, we have not adopted any formal policies or guidelines for allocating compensation between short- and long-term compensation, or between cash and non-cash compensation. However, as described above, in practice, the vast majority of our named executive officers’ compensation is structured in the form of “at-risk” compensation, intentionally designed to align our executive officers’ interests with those of our stockholders for short- and long-term performance. Long-term compensation in the form of equity awards comprises the primary “at-risk” portion of our named executive officer compensation package. We also provide our executive officers with benefits available to all our employees, including retirement benefits under our 401(k) plan and participation in various employee health and welfare benefit plans, and we provide certain of our executive officers with severance and change-in-control-related payments and benefits.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240"/>
        <w:jc w:val="both"/>
        <w:rPr/>
      </w:pPr>
      <w:r>
        <w:rPr/>
      </w:r>
    </w:p>
    <w:p>
      <w:pPr>
        <w:pStyle w:val="TextBody"/>
        <w:spacing w:lineRule="auto" w:line="288" w:before="60" w:after="240"/>
        <w:jc w:val="both"/>
        <w:rPr>
          <w:rFonts w:ascii="Arial;sans-serif" w:hAnsi="Arial;sans-serif"/>
          <w:b/>
          <w:color w:val="000000"/>
          <w:sz w:val="20"/>
        </w:rPr>
      </w:pPr>
      <w:r>
        <w:rPr>
          <w:rFonts w:ascii="Arial;sans-serif" w:hAnsi="Arial;sans-serif"/>
          <w:b/>
          <w:color w:val="000000"/>
          <w:sz w:val="20"/>
        </w:rPr>
        <w:t>2022 Compensation Decisions for Our Named Executive Officers</w:t>
      </w:r>
    </w:p>
    <w:p>
      <w:pPr>
        <w:pStyle w:val="TextBody"/>
        <w:spacing w:lineRule="auto" w:line="288" w:before="60" w:after="240"/>
        <w:jc w:val="both"/>
        <w:rPr>
          <w:rFonts w:ascii="Arial;sans-serif" w:hAnsi="Arial;sans-serif"/>
          <w:b/>
          <w:i/>
          <w:color w:val="000000"/>
          <w:sz w:val="20"/>
        </w:rPr>
      </w:pPr>
      <w:r>
        <w:rPr>
          <w:rFonts w:ascii="Arial;sans-serif" w:hAnsi="Arial;sans-serif"/>
          <w:b/>
          <w:i/>
          <w:color w:val="000000"/>
          <w:sz w:val="20"/>
        </w:rPr>
        <w:t xml:space="preserve">Base Salaries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 salary is an important element of compensation to attract and retain our executive officers. We provide base salary as a fixed source of cash compensation to recognize each named executive officer’s day-to-day responsibilities, while providing an appropriate and competitive base level of current cash income. Adjustments to base salaries are generally based on the scope of the executive officer’s responsibilities, position criticality, experience and tenure, as well as current market data regarding similar positions and other factors described above. Base salary increases are not formulaic or guaranteed.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February 2022, the 2022 annual base salaries of our named executive officers were determined and approved by our Board of Directors (with respect to Dr. Woodhouse) and by our Compensation Committee (with respect to our other named executive officers), with retroactive effect to January 1, 2022. The base salary increases from 2021 principally reflected general merit increases and competitive market adjustments. After his increase, Dr. Woodhouse’s base salary was in the range of the 50th percentile of the market data. After his increase, the base salary of Dr. Chen was above the 75th percentile of the market data, reflecting the criticality of the Chief Scientific Officer position to our Company generally, as well as recognition of Dr. Chen’s founder status and the Compensation Committee’s consideration of his significant ongoing contributions, including to the culture of our Company. The base salaries of the other named executive officers were at approximately the 60th percentile of the market data after their respective base salary increases.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Thereafter, in June 2022, in connection with Ms. Nolan Mangini’s promotion to serve in the additional position of President of the Company, the Board of Directors approved a further increase to Ms. Nolan Mangini’s annual base salary from $460,000 to $500,000, effective as of July 1, 2022, to reflect Ms. Nolan Mangini’s increased responsibilities and position criticality and to more closely align with market data.</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increases provided to our NEOs were aligned with the prevailing policy implemented across the Company. The following table shows each named executive officer’s 2022 annual base salary rate approved in February 2022: </w:t>
      </w:r>
    </w:p>
    <w:tbl>
      <w:tblPr>
        <w:tblW w:w="9697" w:type="dxa"/>
        <w:jc w:val="left"/>
        <w:tblInd w:w="0" w:type="dxa"/>
        <w:tblCellMar>
          <w:top w:w="28" w:type="dxa"/>
          <w:left w:w="28" w:type="dxa"/>
          <w:bottom w:w="28" w:type="dxa"/>
          <w:right w:w="28" w:type="dxa"/>
        </w:tblCellMar>
      </w:tblPr>
      <w:tblGrid>
        <w:gridCol w:w="914"/>
        <w:gridCol w:w="806"/>
        <w:gridCol w:w="815"/>
        <w:gridCol w:w="109"/>
        <w:gridCol w:w="109"/>
        <w:gridCol w:w="109"/>
        <w:gridCol w:w="844"/>
        <w:gridCol w:w="844"/>
        <w:gridCol w:w="847"/>
        <w:gridCol w:w="109"/>
        <w:gridCol w:w="109"/>
        <w:gridCol w:w="109"/>
        <w:gridCol w:w="844"/>
        <w:gridCol w:w="844"/>
        <w:gridCol w:w="847"/>
        <w:gridCol w:w="109"/>
        <w:gridCol w:w="109"/>
        <w:gridCol w:w="109"/>
        <w:gridCol w:w="220"/>
        <w:gridCol w:w="220"/>
        <w:gridCol w:w="671"/>
      </w:tblGrid>
      <w:tr>
        <w:trPr/>
        <w:tc>
          <w:tcPr>
            <w:tcW w:w="9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 Annual Base 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 Annual Base 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Increase</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580,000 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610,000 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Siobhan Nolan Mangini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435,000 </w:t>
            </w:r>
          </w:p>
        </w:tc>
        <w:tc>
          <w:tcPr>
            <w:tcW w:w="8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460,000 </w:t>
            </w:r>
          </w:p>
        </w:tc>
        <w:tc>
          <w:tcPr>
            <w:tcW w:w="8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530,000 </w:t>
            </w:r>
          </w:p>
        </w:tc>
        <w:tc>
          <w:tcPr>
            <w:tcW w:w="8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550,000 </w:t>
            </w:r>
          </w:p>
        </w:tc>
        <w:tc>
          <w:tcPr>
            <w:tcW w:w="8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450,000 </w:t>
            </w:r>
          </w:p>
        </w:tc>
        <w:tc>
          <w:tcPr>
            <w:tcW w:w="8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8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412,000 </w:t>
            </w:r>
          </w:p>
        </w:tc>
        <w:tc>
          <w:tcPr>
            <w:tcW w:w="8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440,000 </w:t>
            </w:r>
          </w:p>
        </w:tc>
        <w:tc>
          <w:tcPr>
            <w:tcW w:w="8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20" w:after="120"/>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240"/>
        <w:ind w:left="0" w:right="0" w:hanging="720"/>
        <w:rPr>
          <w:rFonts w:ascii="Arial;sans-serif" w:hAnsi="Arial;sans-serif"/>
          <w:b w:val="false"/>
          <w:color w:val="000000"/>
          <w:sz w:val="16"/>
        </w:rPr>
      </w:pPr>
      <w:r>
        <w:rPr>
          <w:rFonts w:ascii="Arial;sans-serif" w:hAnsi="Arial;sans-serif"/>
          <w:b w:val="false"/>
          <w:color w:val="000000"/>
          <w:sz w:val="16"/>
        </w:rPr>
        <w:t>(1)In connection with Ms. Nolan Mangini’s promotion to serve in the additional position of President of the Company, the Board of Directors approved an annual base salary of $500,000 for Ms. Nolan Mangini, effective as of July 1, 2022.</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Annual Cash Performance-Based Bonus Program</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maintain an annual cash performance-based bonus program in which all employees, including executive officers, who are employed by us as of September 30 of the performance year are eligible to participate. The potential for annual cash bonuses is intended to provide financial incentives to employees to drive individual and Company performance. Whether a bonus is paid to any executive officer in any given year is dependent primarily on an assessment of the Company’s achievements against corporate goals and individual contributions to the outcomes. The philosophy of the Board of Directors since the inception of the Company has been to establish very aggressive annual corporate goals, with the expectation that all such goals are not going to be achieved in the year given the uncertainty of product development and clinical trial outcomes. As a result, we consider annual performance bonuses to be a form of “at-risk” compensation that is designed to align our executive officers’ interests with those of our stockholders.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240"/>
        <w:jc w:val="both"/>
        <w:rPr/>
      </w:pPr>
      <w:r>
        <w:rPr/>
      </w:r>
    </w:p>
    <w:p>
      <w:pPr>
        <w:pStyle w:val="TextBody"/>
        <w:spacing w:lineRule="auto" w:line="288" w:before="0" w:after="240"/>
        <w:jc w:val="both"/>
        <w:rPr/>
      </w:pPr>
      <w:r>
        <w:rPr>
          <w:rFonts w:ascii="Arial;sans-serif" w:hAnsi="Arial;sans-serif"/>
          <w:b w:val="false"/>
          <w:i/>
          <w:color w:val="000000"/>
          <w:sz w:val="20"/>
        </w:rPr>
        <w:t>Named Executive Officer Bonus Targets</w:t>
      </w:r>
      <w:r>
        <w:rPr>
          <w:color w:val="000000"/>
        </w:rPr>
        <w:t xml:space="preserv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annual cash bonus targets for our executive officers are set by the Compensation Committee (or, with respect to our Chief Executive Officer, by our Board of Directors) as a percentage of each executive officer’s base salary. They are reviewed annually by the Compensation Committee (and the Board of Directors, as applicable), taking into consideration, as applicable, market data, internal equity and the executive officer’s position criticality and experience in role, and adjusted if deemed appropriate by the Compensation Committee (or the Board of Directors, as applicable). In February 2022, the Compensation Committee (and the Board of Directors, as applicable) determined that the existing bonus targets from 2021 remained aligned with competitive trends and with the level of “at-risk” cash appropriate for the Company and, as a result, were unchanged for 2022.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June 2022, in connection with Ms. Nolan Mangini’s promotion to serve in the additional position of President of the Company, the Board of Directors approved an increase to Ms. Nolan Mangini’s bonus target from 40% to 45%, effective as of July 1, 2022, to reflect Ms. Nolan Mangini’s increased responsibilities and position criticality and to more closely align with market data.</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table shows each named executive officer’s 2022 target bonus award: </w:t>
      </w:r>
    </w:p>
    <w:tbl>
      <w:tblPr>
        <w:tblW w:w="10205" w:type="dxa"/>
        <w:jc w:val="left"/>
        <w:tblInd w:w="0" w:type="dxa"/>
        <w:tblCellMar>
          <w:top w:w="28" w:type="dxa"/>
          <w:left w:w="28" w:type="dxa"/>
          <w:bottom w:w="28" w:type="dxa"/>
          <w:right w:w="28" w:type="dxa"/>
        </w:tblCellMar>
      </w:tblPr>
      <w:tblGrid>
        <w:gridCol w:w="873"/>
        <w:gridCol w:w="770"/>
        <w:gridCol w:w="779"/>
        <w:gridCol w:w="109"/>
        <w:gridCol w:w="109"/>
        <w:gridCol w:w="109"/>
        <w:gridCol w:w="741"/>
        <w:gridCol w:w="741"/>
        <w:gridCol w:w="744"/>
        <w:gridCol w:w="109"/>
        <w:gridCol w:w="109"/>
        <w:gridCol w:w="109"/>
        <w:gridCol w:w="1433"/>
        <w:gridCol w:w="1433"/>
        <w:gridCol w:w="2037"/>
      </w:tblGrid>
      <w:tr>
        <w:trPr/>
        <w:tc>
          <w:tcPr>
            <w:tcW w:w="873"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r>
      <w:tr>
        <w:trPr/>
        <w:tc>
          <w:tcPr>
            <w:tcW w:w="2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xml:space="preserve">2022 Target Bonus Award </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of 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2022 Target Bonus Award Relative to Peer Data (percentile)</w:t>
            </w:r>
          </w:p>
        </w:tc>
      </w:tr>
      <w:tr>
        <w:trPr/>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20"/>
              </w:rPr>
              <w:t>25</w:t>
            </w:r>
            <w:r>
              <w:rPr>
                <w:rFonts w:ascii="Arial;sans-serif" w:hAnsi="Arial;sans-serif"/>
                <w:b w:val="false"/>
                <w:color w:val="000000"/>
                <w:sz w:val="13"/>
              </w:rPr>
              <w:t>th</w:t>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Arial;sans-serif" w:hAnsi="Arial;sans-serif"/>
                <w:b w:val="false"/>
                <w:color w:val="000000"/>
                <w:sz w:val="20"/>
              </w:rPr>
              <w:t>Siobhan Nolan Mangini</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20"/>
              </w:rPr>
              <w:t>50</w:t>
            </w:r>
            <w:r>
              <w:rPr>
                <w:rFonts w:ascii="Arial;sans-serif" w:hAnsi="Arial;sans-serif"/>
                <w:b w:val="false"/>
                <w:color w:val="000000"/>
                <w:sz w:val="13"/>
              </w:rPr>
              <w:t>th</w:t>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Arial;sans-serif" w:hAnsi="Arial;sans-serif"/>
                <w:b w:val="false"/>
                <w:color w:val="000000"/>
                <w:sz w:val="20"/>
              </w:rPr>
              <w:t>Jin-Long Chen, Ph.D.</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20"/>
              </w:rPr>
              <w:t>75</w:t>
            </w:r>
            <w:r>
              <w:rPr>
                <w:rFonts w:ascii="Arial;sans-serif" w:hAnsi="Arial;sans-serif"/>
                <w:b w:val="false"/>
                <w:color w:val="000000"/>
                <w:sz w:val="13"/>
              </w:rPr>
              <w:t>th</w:t>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20"/>
              </w:rPr>
              <w:t>50</w:t>
            </w:r>
            <w:r>
              <w:rPr>
                <w:rFonts w:ascii="Arial;sans-serif" w:hAnsi="Arial;sans-serif"/>
                <w:b w:val="false"/>
                <w:color w:val="000000"/>
                <w:sz w:val="13"/>
              </w:rPr>
              <w:t>th</w:t>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3"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20"/>
              </w:rPr>
              <w:t>50</w:t>
            </w:r>
            <w:r>
              <w:rPr>
                <w:rFonts w:ascii="Arial;sans-serif" w:hAnsi="Arial;sans-serif"/>
                <w:b w:val="false"/>
                <w:color w:val="000000"/>
                <w:sz w:val="13"/>
              </w:rPr>
              <w:t>th</w:t>
            </w:r>
          </w:p>
        </w:tc>
      </w:tr>
    </w:tbl>
    <w:p>
      <w:pPr>
        <w:pStyle w:val="TextBody"/>
        <w:spacing w:lineRule="auto" w:line="288" w:before="0" w:after="6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60" w:after="60"/>
        <w:ind w:left="0" w:right="0" w:hanging="720"/>
        <w:rPr>
          <w:rFonts w:ascii="Arial;sans-serif" w:hAnsi="Arial;sans-serif"/>
          <w:b w:val="false"/>
          <w:color w:val="000000"/>
          <w:sz w:val="16"/>
        </w:rPr>
      </w:pPr>
      <w:r>
        <w:rPr>
          <w:rFonts w:ascii="Arial;sans-serif" w:hAnsi="Arial;sans-serif"/>
          <w:b w:val="false"/>
          <w:color w:val="000000"/>
          <w:sz w:val="16"/>
        </w:rPr>
        <w:t>(1)The 2022 target bonus award listed for Ms. Nolan Mangini reflects that, (i) in February 2022, the Compensation Committee determined that Ms. Nolan Mangini’s bonus target for 2022 would remain at 40%, effective as of January 1, 2022, and (ii) in June 2022, in connection with Ms. Nolan Mangini’s promotion to the additional position of President of the Company, the Board of Directors approved a bonus target of 45% for Ms. Nolan Mangini, effective as of July 1, 2022.</w:t>
      </w:r>
    </w:p>
    <w:p>
      <w:pPr>
        <w:pStyle w:val="TextBody"/>
        <w:spacing w:lineRule="auto" w:line="288" w:before="60" w:after="240"/>
        <w:ind w:left="0" w:right="0" w:hanging="720"/>
        <w:rPr>
          <w:rFonts w:ascii="Arial;sans-serif" w:hAnsi="Arial;sans-serif"/>
          <w:b w:val="false"/>
          <w:color w:val="000000"/>
          <w:sz w:val="16"/>
        </w:rPr>
      </w:pPr>
      <w:r>
        <w:rPr>
          <w:rFonts w:ascii="Arial;sans-serif" w:hAnsi="Arial;sans-serif"/>
          <w:b w:val="false"/>
          <w:color w:val="000000"/>
          <w:sz w:val="16"/>
        </w:rPr>
        <w:t>(2)The 2022 target bonus award listed for Dr. Chen fell at the 75th percentile of the market data for his position in light of the criticality of the Chief Scientific Officer position to our Company generally, as well as in recognition of Dr. Chen’s founder status and the Compensation Committee’s consideration of his significant ongoing contributions, including to the culture of our Company.</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 xml:space="preserve">Determination of Total Company Bonus Pool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Bonuses for all employees, including our executive officers, are allocated from a bonus pool that is determined by the Compensation Committee each year. The total aggregate bonus payout for all employees, including executive officers, is capped at the amount of the approved bonus pool.</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bonus pool for any given year is determined primarily based on the Compensation Committee’s determination of the Company’s percentage achievement of intentionally aggressive annual corporate goals approved by our Board of Directors and the Compensation Committee, or the bonus pool performance percentage. The Company’s annual corporate goals generally fall into two broad strategic areas — advancement of research and development, or R&amp;D, programs and corporate business objectives — and are intended to drive specific product discovery objectives and preclinical and clinical development achievements across our broad pipeline and to continue to build the foundation for the Company’s future growth. In February 2022, our Board of Directors approved our 2022 corporate goals, or the 2022 goals, and the Compensation Committee adopted the 2022 goals for purposes of considering the bonus pool release for 2022 performance. Our 2022 goals focused on generating clinical data for certain of our clinical-stage programs, completing enrollment in certain other clinical trials, building up our oncology development capabilities expertise, achieving certain capital-raising and business development objectives, advancing our discovery research efforts and meeting certain recruiting, retention and operating expense targets.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Consistent with the philosophy of the Board of Directors that more progress will be made by striving to achieve stretch goals, even if all of the goals are not fully achieved, the 2022 goals were set as intentionally aggressive stretch goals. The probability of achievement of our 2022 goals, as a whole, was dictated by clinical outcomes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which, by their nature, are uncertain and risky. As such, the 2022 goals were designed to incentivize extraordinary performance, while recognizing that 100% achievement of all of the 2022 goals was unlikely to be achieved. The Compensation Committee recognized that achieving even 80% of the 2022 goals would be difficult, requiring focused effort and diligence, and would represent strong positive alignment with the Company’s business objectives. As a result, the Compensation Committee determined that the achievement of approximately 80% of our 2022 goals could result in funding 100% of the bonus pool in an aggregate amount equal to all employee bonuses paid at 100% of their respective targets, or a 100% bonus pool performance percentage, as shown below:</w:t>
      </w:r>
    </w:p>
    <w:tbl>
      <w:tblPr>
        <w:tblW w:w="3089" w:type="dxa"/>
        <w:jc w:val="center"/>
        <w:tblInd w:w="0" w:type="dxa"/>
        <w:tblCellMar>
          <w:top w:w="28" w:type="dxa"/>
          <w:left w:w="28" w:type="dxa"/>
          <w:bottom w:w="28" w:type="dxa"/>
          <w:right w:w="28" w:type="dxa"/>
        </w:tblCellMar>
      </w:tblPr>
      <w:tblGrid>
        <w:gridCol w:w="885"/>
        <w:gridCol w:w="777"/>
        <w:gridCol w:w="782"/>
        <w:gridCol w:w="189"/>
        <w:gridCol w:w="189"/>
        <w:gridCol w:w="267"/>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2022 Goals Achieved</w:t>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Bonus Pool Funding</w:t>
            </w:r>
          </w:p>
        </w:tc>
        <w:tc>
          <w:tcPr>
            <w:tcW w:w="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early 2023, in making its decision regarding the amount of the bonus pool for 2022 performance, the Compensation Committee, considering input from our Chief Executive Officer and other members of the Board of Directors, considered our achievements against our aggressive 2022 goals. Specifically, the Compensation Committee noted the following achievements with respect to our 2022 goals: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advancement of our NGM707 Phase 1/2 trial to support advancement of Phase 2a development;</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completion of enrollment in the Phase 1a portion of the NGM831 Phase 1 trial, and completion of enrollment in the Phase 1a portion of the NGM438 Phase 1 trial in early 2023;</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buildup of our oncology development expertise, including improvements in clinical oncology development, regulatory and biometrics capabilities;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raising approximately $50 million in capital;</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advancing research discovery efforts, including progress towards a new biologics platform; and</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directing cash resources to optimally develop our R&amp;D portfolio within our approved management operating plan.</w:t>
      </w:r>
    </w:p>
    <w:p>
      <w:pPr>
        <w:pStyle w:val="TextBody"/>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 xml:space="preserve">In addition, the Compensation Committee considered that, in October 2022, we announced disappointing topline results from the Phase 2 CATALINA clinical trial of our NGM621 which was being evaluated for the treatment of patients with GA.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the Compensation Committee’s evaluation of the achievements against our 2022 goals, and the results of the CATALINA trial, the Compensation Committee determined that the Company had achieved approximately 60% of its 2022 goals. Under the established approach that the achievement of approximately 80% of our 2022 goals could result in funding 100% of the bonus pool, the Compensation Committee determined to fund the bonus pool in an aggregate amount equal to all employee bonuses paid at 75% of their respective targets, or a 75% bonus pool performance percentage, as shown below. In addition to this bonus pool, we fund an exceptionalism bonus pool that is used to reward key talent and our highest performing employees below the vice president level. Our named executive officers are not eligible for exceptionalism bonuses.</w:t>
      </w:r>
    </w:p>
    <w:tbl>
      <w:tblPr>
        <w:tblW w:w="2983" w:type="dxa"/>
        <w:jc w:val="center"/>
        <w:tblInd w:w="0" w:type="dxa"/>
        <w:tblCellMar>
          <w:top w:w="28" w:type="dxa"/>
          <w:left w:w="28" w:type="dxa"/>
          <w:bottom w:w="28" w:type="dxa"/>
          <w:right w:w="28" w:type="dxa"/>
        </w:tblCellMar>
      </w:tblPr>
      <w:tblGrid>
        <w:gridCol w:w="885"/>
        <w:gridCol w:w="777"/>
        <w:gridCol w:w="782"/>
        <w:gridCol w:w="158"/>
        <w:gridCol w:w="158"/>
        <w:gridCol w:w="223"/>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2022 Goals Achieved</w:t>
            </w:r>
          </w:p>
        </w:tc>
        <w:tc>
          <w:tcPr>
            <w:tcW w:w="5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Bonus Pool Funding</w:t>
            </w:r>
          </w:p>
        </w:tc>
        <w:tc>
          <w:tcPr>
            <w:tcW w:w="5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bl>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 xml:space="preserve">Named Executive Officer Bonus Payments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Compensation Committee and the Board of Directors (with respect to Dr. Woodhouse) aims to award each executive officer a bonus equivalent to the portion of their target bonus award adjusted by the bonus pool performance percentage, but generally believes that allowing for adjustments based on an assessment of individual contributions to the Company’s goals is an important aspect of compensation governance and is consistent with our Company’s culture.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February 2022, the Board of Directors determined that Dr. Woodhouse’s performance goals for purposes of determining his 2022 bonus were the 2022 goals. As such, in early 2023, the Board of Directors deemed it appropriate to pay Dr. Woodhouse an amount commensurate with the 75% bonus pool performance percentage. The Compensation Committee approved the cash bonus amount for each other named executive officer based on each named executive officer’s bonus target and the 75% bonus pool performance percentage, as well as the Compensation Committee’s consideration of individual performance, target total cash compensation relative to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market data and other factors. Specifically, the Compensation Committee considered the following aspects of each named executive officer’s individual performance, including contributions toward the corporate accomplishments noted above, when determining the amount of his or her 2022 cash bonus payment.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Ms. Nolan Mangini: our Compensation Committee considered numerous contributions, including her role in raising $50 million of new capital through equity financing, expanding and strengthening our business development capabilities and her contributions to our business development efforts, and the successful completion of the Company’s first SOX 404(b) audit.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Dr. Chen: our Compensation Committee considered numerous contributions, including advancement of several new research-stage programs and platform technologies, selection and mentoring of new leadership within the biology and protein engineering functions and contributions to business development efforts.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Dr. Lieu: our Compensation Committee considered key contributions to the buildup of oncology expertise within clinical development, increased capabilities in biometrics and regulatory and timely execution of trials in a broadened portfolio of clinical programs.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Ms. Pierce: our Compensation Committee considered numerous contributions, including legal support for financing and business development activities during the year, leadership of organizational improvements in SEC reporting and broader contributions to managing company growth and diversity, equity and inclusion efforts.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light of the foregoing, the 2022 bonus awards set forth in the table below were approved by our Board of Directors (with respect to Dr. Woodhouse) and by our Compensation Committee (with respect to our other named executive officers): </w:t>
      </w:r>
    </w:p>
    <w:tbl>
      <w:tblPr>
        <w:tblW w:w="10205" w:type="dxa"/>
        <w:jc w:val="left"/>
        <w:tblInd w:w="0" w:type="dxa"/>
        <w:tblCellMar>
          <w:top w:w="28" w:type="dxa"/>
          <w:left w:w="28" w:type="dxa"/>
          <w:bottom w:w="28" w:type="dxa"/>
          <w:right w:w="28" w:type="dxa"/>
        </w:tblCellMar>
      </w:tblPr>
      <w:tblGrid>
        <w:gridCol w:w="842"/>
        <w:gridCol w:w="699"/>
        <w:gridCol w:w="701"/>
        <w:gridCol w:w="109"/>
        <w:gridCol w:w="109"/>
        <w:gridCol w:w="109"/>
        <w:gridCol w:w="1204"/>
        <w:gridCol w:w="1204"/>
        <w:gridCol w:w="1205"/>
        <w:gridCol w:w="109"/>
        <w:gridCol w:w="109"/>
        <w:gridCol w:w="109"/>
        <w:gridCol w:w="1082"/>
        <w:gridCol w:w="1082"/>
        <w:gridCol w:w="1532"/>
      </w:tblGrid>
      <w:tr>
        <w:trPr/>
        <w:tc>
          <w:tcPr>
            <w:tcW w:w="842"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3"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Actual 2022 Performance-Based Bonus Award</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xml:space="preserve">Actual 2022 Performance-Based Bonus Award </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of Target Bonus)</w:t>
            </w:r>
          </w:p>
        </w:tc>
      </w:tr>
      <w:tr>
        <w:trPr/>
        <w:tc>
          <w:tcPr>
            <w:tcW w:w="2242"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250,000 </w:t>
            </w:r>
          </w:p>
        </w:tc>
        <w:tc>
          <w:tcPr>
            <w:tcW w:w="120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2242"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Siobhan Nolan Mangini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1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74</w:t>
            </w:r>
          </w:p>
        </w:tc>
      </w:tr>
      <w:tr>
        <w:trPr/>
        <w:tc>
          <w:tcPr>
            <w:tcW w:w="2242"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120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shd w:fill="CFF0FC"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w:t>
            </w:r>
          </w:p>
        </w:tc>
      </w:tr>
      <w:tr>
        <w:trPr/>
        <w:tc>
          <w:tcPr>
            <w:tcW w:w="22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1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79</w:t>
            </w:r>
          </w:p>
        </w:tc>
      </w:tr>
      <w:tr>
        <w:trPr/>
        <w:tc>
          <w:tcPr>
            <w:tcW w:w="224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140,000 </w:t>
            </w:r>
          </w:p>
        </w:tc>
        <w:tc>
          <w:tcPr>
            <w:tcW w:w="1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80</w:t>
            </w:r>
          </w:p>
        </w:tc>
      </w:tr>
    </w:tbl>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 xml:space="preserve">Equity Compensation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that our ability to grant equity awards is a valuable and necessary compensation tool that aligns the long-term financial interests of our executive officers with the financial interests of our stockholders and is therefore a key aspect of our pay-for-performance program. In addition, we believe that our ability to grant equity awards helps us to attract, retain and motivate executive officers, and fosters an ownership culture, designed to encourage them to devote their best efforts to our business and financial success. Prior to 2023, all equity awards were granted in the form of stock options, which is consistent with early-stage development companies, to align with increases in stockholder value. The Compensation Committee also believes that stock options align with a focus on future value consistent with the longer product cycles that come from executing on research and clinical trial objectives. The Compensation Committee believes that stock options are inherently performance-based, and automatically link executive pay to stockholder return, as the value realized, if any, from an award of stock options is dependent upon, and directly proportionate to, future appreciation in our stock price. Regardless of the reported value in the Summary Compensation Table, our named executive officers will only receive value from their stock option awards if the market price of our common stock increases above the market price of our common stock at the time of grant and remains above such price as the stock options continue to vest. Stock options also do not have downside protection, and the awards will not provide value to the holder when the stock price is below the exercise price.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Vesting of options is generally tied to continuous service with us, serving as an additional retention measure. Prior to 2023, our executive officers were typically awarded an initial new hire option grant upon commencement of employment, as well as annual option grants thereafter. Annual grants typically commence in the year following the executive officer’s employment start date so long as the executive officer was employed by October 1st of the preceding year (although the amount of any such grant takes into consideration the amount of time that has passed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since the new hire grant was made). However, an annual option grant is not guaranteed and is awarded at the sole discretion of the Compensation Committee (or the Board of Directors, as appropriate). We consider annual option grants to be a form of “at-risk” compensation.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Beginning in 2023, our Compensation Committee introduced restricted stock unit, or RSU, awards as part of our annual grant program, as further described below under “Preview of 2023 Equity Awards.” The Compensation Committee made the decision to introduce RSU awards to reflect macro-economic factors in our sector, for additional retention as the Company addressed ongoing clinical trial and scientific outcomes and implemented a shift in strategic focus to oncology, which has inherently long development cycles. In addition, this action was considered to manage overall dilution for our stockholders and to reflect the ongoing talent pressure across the life sciences sector, in particular in the Bay Area.</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of our named executive officers holds stock options under our Amended and Restated 2018 Equity Incentive Plan, or the Restated 2018 Plan, and some hold options under our 2008 Equity Incentive Plan, or the 2008 Plan. Such options were granted subject to the general terms of the applicable plan and the applicable forms of stock option agreement thereunder. All options are granted with a per share exercise price equal to no less than the fair market value of a share of our common stock on the grant date, and generally vest, for initial new hire grants, as to 25% of the shares subject to the option on the first anniversary of the applicable new hire start date with the remainder vesting on a monthly basis over 36 months thereafter and, for annual grants, on a monthly basis over 48 months, in each case subject to continued service with us through each vesting date. All options have a maximum term of up to 10 years from the date of grant, subject to earlier expiration following the cessation of an executive officer’s continuous service with us. Option vesting is subject to acceleration as described below under “Executive Compensation—Potential Payments Upon Termination or Change in Control” and “Executive Compensation—Equity Compensation Plans.” Options generally remain exercisable for three months following an executive officer’s cessation of continuous service, except in the event of a termination for cause or due to disability or death.</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specific vesting terms of each named executive officer’s stock options are described below under “Executive Compensation—Outstanding Equity Awards at December 31, 2022.” For additional information about our equity compensation plans, please see the section titled “Executive Compensation—Equity Compensation Plans” below.</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Annual 2022 Stock Option Awards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February 2022, the Compensation Committee (or, with respect to Dr. Woodhouse, the Board of Directors) granted a stock option to each of our named executive officers that vests as follows: 1/48th of the shares subject to the option vest each month from January 1, 2022, subject to the executive officer’s continued service to us on each applicable vesting date. Such options were granted as of the second business day following the day on which the Company’s Annual Report on Form 10-K for the year ended December 31, 2021 was filed. Stock option grants for each of the named executive officers in 2022 were based on the Compensation Committee’s consideration of a number of factors, including market data for the relevant position (based on award value and percent of company), management of dilution, the retention value of existing holdings for each named executive officer and internal equity across the senior leadership team. In determining the size of the stock options, the Compensation Committee (and the Board, as applicable) considered the 50th percentile of the market data for the award value and percent of company as reference points.</w:t>
      </w:r>
    </w:p>
    <w:tbl>
      <w:tblPr>
        <w:tblW w:w="5321" w:type="dxa"/>
        <w:jc w:val="left"/>
        <w:tblInd w:w="0" w:type="dxa"/>
        <w:tblCellMar>
          <w:top w:w="28" w:type="dxa"/>
          <w:left w:w="28" w:type="dxa"/>
          <w:bottom w:w="28" w:type="dxa"/>
          <w:right w:w="28" w:type="dxa"/>
        </w:tblCellMar>
      </w:tblPr>
      <w:tblGrid>
        <w:gridCol w:w="916"/>
        <w:gridCol w:w="808"/>
        <w:gridCol w:w="810"/>
        <w:gridCol w:w="109"/>
        <w:gridCol w:w="109"/>
        <w:gridCol w:w="109"/>
        <w:gridCol w:w="719"/>
        <w:gridCol w:w="719"/>
        <w:gridCol w:w="1022"/>
      </w:tblGrid>
      <w:tr>
        <w:trPr/>
        <w:tc>
          <w:tcPr>
            <w:tcW w:w="91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xml:space="preserve">2022 Stock Option Awards </w:t>
            </w:r>
          </w:p>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of shares)</w:t>
            </w:r>
          </w:p>
        </w:tc>
      </w:tr>
      <w:tr>
        <w:trPr/>
        <w:tc>
          <w:tcPr>
            <w:tcW w:w="253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1022"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Siobhan Nolan Mangini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0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175,000 </w:t>
            </w:r>
          </w:p>
        </w:tc>
        <w:tc>
          <w:tcPr>
            <w:tcW w:w="102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10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10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Ms. Nolan Mangini’s Promotion Stock Option Award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Ms. Nolan Mangini’s promotion to serve in the additional position of President of the Company, on July 1, 2022, Ms. Nolan Mangini was granted a stock option to purchase 100,000 shares of our common stock, which vests as to 1/48th of the shares subject to the option each month from July 1, 2022, subject to her continued service to us on each applicable vesting date. The size of Ms. Nolan Mangini’s grant was determined after consideration of her increased responsibilities, internal pay equity and market data for comparable positions.</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Dr. Lieu’s Supplemental Stock Option Award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November 2022, in recognition of Dr. Lieu’s criticality to the Company’s business and strategy, our Compensation Committee granted Dr. Lieu a stock option to purchase 150,000 shares of our common stock, which vests as to 50% of the shares subject to the option on each of the first and second anniversaries of the grant date, subject to his continued service to us on each applicable vesting date. Our Compensation Committee determined that this grant was an appropriate retention tool that would further incentivize Dr. Lieu at a pivotal moment for the Company’s business. The size of the grant was determined after taking into consideration, among other things, Dr. Lieu’s then-current compensation opportunities, equity ownership (including the value of his equity holdings and the extent to which the exercise prices of his then-outstanding stock options were below market value), retention considerations and market data.</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Preview of 2023 Equity Awards – Introduction of RSUs</w:t>
      </w:r>
    </w:p>
    <w:p>
      <w:pPr>
        <w:pStyle w:val="TextBody"/>
        <w:spacing w:lineRule="auto" w:line="288" w:before="0" w:after="240"/>
        <w:jc w:val="both"/>
        <w:rPr/>
      </w:pPr>
      <w:r>
        <w:rPr>
          <w:rFonts w:ascii="Arial;sans-serif" w:hAnsi="Arial;sans-serif"/>
          <w:b w:val="false"/>
          <w:color w:val="000000"/>
          <w:sz w:val="20"/>
        </w:rPr>
        <w:t>In February 2023, we introduced RSU awards into our long-term incentive program to promote the stability and retention of our employees, including our named executive officers. Our Compensation Committee believes a more diversified long-term incentive program, pursuant to which both stock options and RSUs are granted to our employees, including executive officers, better balances our goals of attracting and retaining key executives, enhancing stockholder value, and motivating and incentivizing extraordinary performance. In addition, RSUs are</w:t>
      </w:r>
      <w:r>
        <w:rPr>
          <w:color w:val="000000"/>
          <w:highlight w:val="white"/>
        </w:rPr>
        <w:t xml:space="preserve"> </w:t>
      </w:r>
      <w:r>
        <w:rPr>
          <w:rFonts w:ascii="Arial;sans-serif" w:hAnsi="Arial;sans-serif"/>
          <w:b w:val="false"/>
          <w:color w:val="000000"/>
          <w:sz w:val="20"/>
          <w:highlight w:val="white"/>
        </w:rPr>
        <w:t>consistent with</w:t>
      </w:r>
      <w:r>
        <w:rPr>
          <w:color w:val="000000"/>
        </w:rPr>
        <w:t xml:space="preserve"> </w:t>
      </w:r>
      <w:r>
        <w:rPr>
          <w:rFonts w:ascii="Arial;sans-serif" w:hAnsi="Arial;sans-serif"/>
          <w:b w:val="false"/>
          <w:color w:val="000000"/>
          <w:sz w:val="20"/>
        </w:rPr>
        <w:t xml:space="preserve">our pay-for-performance philosophy, as the award value is directly dependent on stock price over the long-term and RSUs provide less dilution than stock options. </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Other Features of Our Executive Compensation Program</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Agreements with Our Named Executive Officers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have entered into employment agreements or offer letters with each of our named executive officers. We designed these agreements to be part of a competitive compensation package and to focus our named executive officers on our business goals and objectives. The key terms of the employment agreements or offer letters are described below under “Executive Compensation—Employment, Severance and Change-in-Control Arrangements.”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Pursuant to their employments agreements or offer letters, each of Dr. Woodhouse, Mses. Nolan Mangini and Pierce and Dr. Lieu (effective as of February 2023) is eligible to receive severance payments and benefits upon an involuntary termination of employment without cause (and other than as a result of death or disability) or upon a resignation for good reason, in either case on or within 18 months following a change in control of our Company. We believe that this protection serves to encourage continued attention and dedication to duties without distraction arising from the possibility of a change in control for executive officers in positions not likely to be continued by the acquiror in the event of a change in control, and provides the business with a smooth transition in the event of such a termination of employment of these named executive officers in connection with a transaction. This severance and change-in-control arrangement is also designed to retain these named executive officers in their key positions as we compete for talented executives in the marketplace where such protections are commonly offered. The key terms of these change-in-control severance arrangements are described below under “Executive Compensation—Employment, Severance and Change-in-Control Arrangements.”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each of our named executive officers holds equity awards under our equity incentive plans that were granted subject to the applicable forms of award agreement. A description of the termination and change-in-control provisions in such equity incentive plans and forms of award agreement is provided below under “Executive Compensation—Equity Compensation Plans.”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 xml:space="preserve">Other Benefits and Perquisites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named executive officers are eligible to participate in all of our benefit plans, including our 401(k) plan and our NGM Biopharmaceuticals Matching Plan, or the 401(k) Matching Plan (see “Executive Compensation—401(k) Plan and Matching Plan” below), medical, dental, vision, short-term disability, long-term disability and group life insurance, in each case generally on the same basis as other employees. In 2022, for all of our full-time employees in the United States, including our named executive officers, we made a matching contribution in our common stock under our 401(k) Matching Plan equal to 50% of the employee’s 401(k) plan contribution, up to a maximum annual Company contribution of $3,500 worth of our common stock.</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currently have qualified or nonqualified defined benefit plans or deferred compensation plans, nor do we offer pension or other retirement benefits other than our 401(k) plan. We generally do not offer perquisites or personal benefits to our named executive officers.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Additional Compensation Information, Policies and Practices</w:t>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Equity Grant Practices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general practice is to grant annual equity awards to our executive officers and other employees as of the second business day following the day on which our Annual Report on Form 10-K for the applicable year is filed. Accordingly, grants to our executive officers are made shortly after we have released information about our financial performance to the public for the applicable annual period. As a result, the timing of equity awards is not coordinated in a manner that intentionally benefits our executive officers.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Accounting and Tax Considerations </w:t>
      </w:r>
    </w:p>
    <w:p>
      <w:pPr>
        <w:pStyle w:val="TextBody"/>
        <w:spacing w:before="0" w:after="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Under FASB Accounting Standards Codification Topic 718, Compensation-Stock Compensation, or ASC 718, we are required to estimate and record an expense for each award of equity compensation (including stock options) over the vesting period of the award. We record share-based compensation expense on an ongoing basis according to ASC 718. The Compensation Committee has considered, and may in the future consider, the grant of performance-based or other types of stock awards to executive officers in lieu of or in addition to stock option grants or RSU awards in light of the accounting impact of ASC 718 and other considerations.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Under Section 162(m) of the Internal Revenue Code, or Section 162(m), compensation paid to each of our “covered employees” that exceeds $1 million per taxable year is generally non-deductible unless the compensation qualifies for (i) certain grandfathered exceptions (including the “performance-based compensation” exception) for certain compensation paid pursuant to a written binding contract in effect on November 2, 2017 and not materially modified on or after such date or (ii) the reliance period exception for certain compensation paid by corporations that became publicly held on or before December 20, 2019.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Although the Compensation Committee considers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NGM and of our stockholders, which may include providing for compensation that is not deductible by us due to the deduction limit under Section 162(m). The Compensation Committee also retains the flexibility to modify compensation that was initially intended to be exempt from the deduction limit under Section 162(m) if it determines that such modifications are consistent with our business needs. </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Insider Trading Policy and Hedging and Pledging Prohibitions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maintain an insider trading policy that prohibits our officers, directors, employees, consultants and contractors from, among other things, engaging in speculative transactions in our securities, including by way of the purchase or sale of “put” or “call” options or other derivative securities directly linked to our equity, short sales of our equity or purchases of our securities on margin. In addition, no officer, director or employee may engage in any transaction in our securities, including any purchase or sale in the open market, loan, pledge, hedge or other transfer, without first obtaining pre-clearance of the transaction from our Chief Financial Officer, General Counsel or their respective designees.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Clawbacks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Additionally, we intend to adopt a clawback policy that is compliant with the Dodd-Frank Wall Street Reform and Consumer Protection Act, or the Dodd-Frank Act, in a timely manner following finalization of the Nasdaq listing standards relating to the recovery of erroneously awarded compensation.</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Risk Assessment Concerning Compensation Practices and Policies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 the assistance of the Compensation Committee’s compensation consultant and our outside legal counsel, in December 2022, the Compensation Committee reviewed our compensation policies and practices to assess whether they encourage employees to take excessive or inappropriate risks. After reviewing and assessing our compensation philosophy, policies and practices, including the mix of fixed and variable, short- and long-term incentives and overall compensation, incentive plan structures and risk mitigation features, and oversight of each plan and arrangement,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or inappropriate risks; and the mix of short-term compensation (in the form of base salary and annual bonus, if any, which is based on the achievement of multiple performance goals), and long-term compensation (in the form of equity awards) prevents undue focus on short-term results and helps align the interests of our named executive officers with the interests of our stockholders.</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Report of the Compensation Committee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Compensation Committee has reviewed and discussed the Compensation Discussion and Analysis contained in this Proxy Statement with the Company’s management. Based on this review and discussion, the Compensation Committee has recommended to the Board of Directors that the Compensation Discussion and Analysis be included in Company’s Proxy Statement and incorporated by reference into the Company’s Annual Report on Form 10-K for the fiscal year ended December 31, 2022.</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Respectfully submitted,</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of the Board of Directors</w:t>
      </w:r>
    </w:p>
    <w:p>
      <w:pPr>
        <w:pStyle w:val="TextBody"/>
        <w:spacing w:before="0" w:after="0"/>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Suzanne Sawochka Hooper (Chairperson)</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Carole Ho, M.D.</w:t>
      </w:r>
    </w:p>
    <w:p>
      <w:pPr>
        <w:pStyle w:val="TextBody"/>
        <w:spacing w:before="0" w:after="0"/>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EXECUTIVE COMPENSATION</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Summary Compensation Table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shows, for the years ended December 31, 2022, 2021 and 2020, the compensation awarded to or paid to, or earned by, our named executive officers.</w:t>
      </w:r>
    </w:p>
    <w:tbl>
      <w:tblPr>
        <w:tblW w:w="11527" w:type="dxa"/>
        <w:jc w:val="left"/>
        <w:tblInd w:w="0" w:type="dxa"/>
        <w:tblCellMar>
          <w:top w:w="28" w:type="dxa"/>
          <w:left w:w="28" w:type="dxa"/>
          <w:bottom w:w="28" w:type="dxa"/>
          <w:right w:w="28" w:type="dxa"/>
        </w:tblCellMar>
      </w:tblPr>
      <w:tblGrid>
        <w:gridCol w:w="645"/>
        <w:gridCol w:w="277"/>
        <w:gridCol w:w="279"/>
        <w:gridCol w:w="109"/>
        <w:gridCol w:w="109"/>
        <w:gridCol w:w="109"/>
        <w:gridCol w:w="174"/>
        <w:gridCol w:w="174"/>
        <w:gridCol w:w="178"/>
        <w:gridCol w:w="109"/>
        <w:gridCol w:w="109"/>
        <w:gridCol w:w="109"/>
        <w:gridCol w:w="428"/>
        <w:gridCol w:w="428"/>
        <w:gridCol w:w="221"/>
        <w:gridCol w:w="109"/>
        <w:gridCol w:w="109"/>
        <w:gridCol w:w="109"/>
        <w:gridCol w:w="428"/>
        <w:gridCol w:w="428"/>
        <w:gridCol w:w="221"/>
        <w:gridCol w:w="109"/>
        <w:gridCol w:w="109"/>
        <w:gridCol w:w="109"/>
        <w:gridCol w:w="510"/>
        <w:gridCol w:w="511"/>
        <w:gridCol w:w="256"/>
        <w:gridCol w:w="109"/>
        <w:gridCol w:w="109"/>
        <w:gridCol w:w="109"/>
        <w:gridCol w:w="470"/>
        <w:gridCol w:w="470"/>
        <w:gridCol w:w="471"/>
        <w:gridCol w:w="109"/>
        <w:gridCol w:w="109"/>
        <w:gridCol w:w="109"/>
        <w:gridCol w:w="470"/>
        <w:gridCol w:w="470"/>
        <w:gridCol w:w="471"/>
        <w:gridCol w:w="109"/>
        <w:gridCol w:w="109"/>
        <w:gridCol w:w="109"/>
        <w:gridCol w:w="510"/>
        <w:gridCol w:w="511"/>
        <w:gridCol w:w="237"/>
      </w:tblGrid>
      <w:tr>
        <w:trPr/>
        <w:tc>
          <w:tcPr>
            <w:tcW w:w="64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Salary</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Bonus</w:t>
            </w:r>
          </w:p>
          <w:p>
            <w:pPr>
              <w:pStyle w:val="TableContents"/>
              <w:spacing w:lineRule="auto" w:line="240" w:before="0" w:after="0"/>
              <w:jc w:val="center"/>
              <w:rPr/>
            </w:pPr>
            <w:r>
              <w:rPr>
                <w:rFonts w:ascii="Arial;sans-serif" w:hAnsi="Arial;sans-serif"/>
                <w:b/>
                <w:color w:val="000000"/>
                <w:sz w:val="18"/>
              </w:rPr>
              <w:t>($)</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Option</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Awards</w:t>
            </w:r>
          </w:p>
          <w:p>
            <w:pPr>
              <w:pStyle w:val="TableContents"/>
              <w:spacing w:lineRule="auto" w:line="240" w:before="0" w:after="0"/>
              <w:jc w:val="center"/>
              <w:rPr/>
            </w:pPr>
            <w:r>
              <w:rPr>
                <w:rFonts w:ascii="Arial;sans-serif" w:hAnsi="Arial;sans-serif"/>
                <w:b/>
                <w:color w:val="000000"/>
                <w:sz w:val="18"/>
              </w:rPr>
              <w:t>($)</w:t>
            </w:r>
            <w:r>
              <w:rPr>
                <w:rFonts w:ascii="Arial;sans-serif" w:hAnsi="Arial;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Non-Equity Incentive Plan Compen-sation ($)</w:t>
            </w:r>
            <w:r>
              <w:rPr>
                <w:rFonts w:ascii="Arial;sans-serif" w:hAnsi="Arial;sans-serif"/>
                <w:b/>
                <w:color w:val="000000"/>
                <w:sz w:val="12"/>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All Other</w:t>
            </w:r>
          </w:p>
          <w:p>
            <w:pPr>
              <w:pStyle w:val="TableContents"/>
              <w:spacing w:lineRule="auto" w:line="240" w:before="0" w:after="0"/>
              <w:jc w:val="center"/>
              <w:rPr/>
            </w:pPr>
            <w:r>
              <w:rPr>
                <w:rFonts w:ascii="Arial;sans-serif" w:hAnsi="Arial;sans-serif"/>
                <w:b/>
                <w:color w:val="000000"/>
                <w:sz w:val="18"/>
              </w:rPr>
              <w:t>Compen-sation ($)</w:t>
            </w:r>
            <w:r>
              <w:rPr>
                <w:rFonts w:ascii="Arial;sans-serif" w:hAnsi="Arial;sans-serif"/>
                <w:b/>
                <w:color w:val="000000"/>
                <w:sz w:val="12"/>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Total</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5,072,750 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5,933,500 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9,031,230 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9,911,980 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3,833,880 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4,559,630 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Siobhan Nolan Mangini </w:t>
            </w:r>
            <w:r>
              <w:rPr>
                <w:rFonts w:ascii="Arial;sans-serif" w:hAnsi="Arial;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2,903,030 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3,533,780 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1,003,470 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1,614,220 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199,695 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3,458,520 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3,813,965 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1,775,463 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2,506,213 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highlight w:val="cyan"/>
              </w:rPr>
            </w:pPr>
            <w:r>
              <w:rPr>
                <w:rFonts w:ascii="Arial;sans-serif" w:hAnsi="Arial;sans-serif"/>
                <w:b w:val="false"/>
                <w:i/>
                <w:color w:val="000000"/>
                <w:sz w:val="20"/>
                <w:highlight w:val="cyan"/>
              </w:rPr>
              <w:t>Founder and Chief Scientific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3,512,145 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4,242,895 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1,677,323 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2,368,073 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Hsiao D. Lieu, M.D.</w:t>
            </w:r>
            <w:r>
              <w:rPr>
                <w:rFonts w:ascii="Arial;sans-serif" w:hAnsi="Arial;sans-serif"/>
                <w:b w:val="false"/>
                <w:color w:val="000000"/>
                <w:sz w:val="13"/>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2,106,660 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142,500 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2,732,410 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Executive Vice President and Chief Medical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2,006,940 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2,632,690 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239,618 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822,368 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Valerie Pierce</w:t>
            </w:r>
            <w:r>
              <w:rPr>
                <w:rFonts w:ascii="Arial;sans-serif" w:hAnsi="Arial;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1,521,825 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132,000 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2,102,575 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Senior Vice President, General Counsel, Chief Compliance Officer and Secretary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2,006,940 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2,589,690 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(1)Amounts represent discretionary portion of annual performance-based bonuses awarded for the year indicated. For a description of the Company’s annual performance-based bonus program for 2022, see “Compensation Discussion and Analysis—2022 Compensation Decisions for Our Named Executive Officers—Annual Cash Performance-Based Bonus Program” in this Proxy Statement.</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(2)Amounts represent the aggregate grant date fair value of stock options granted to our named executive officers during 2020, 2021 and 2022, as applicable, computed in accordance with ASC Topic 718. Assumptions used in the calculation of these amounts are included in “Note 7—Stockholders’ Equity” to our consolidated financial statements included in our Annual Report on Form 10-K for the year ended December 31, 2022. These amounts do not necessarily correspond to the actual value recognized or that may be recognized by the named executive officers.</w:t>
      </w:r>
    </w:p>
    <w:p>
      <w:pPr>
        <w:pStyle w:val="TextBody"/>
        <w:spacing w:lineRule="auto" w:line="268" w:before="0" w:after="0"/>
        <w:ind w:left="0" w:right="0" w:hanging="720"/>
        <w:rPr>
          <w:rFonts w:ascii="Arial;sans-serif" w:hAnsi="Arial;sans-serif"/>
          <w:b w:val="false"/>
          <w:color w:val="000000"/>
          <w:sz w:val="16"/>
        </w:rPr>
      </w:pPr>
      <w:r>
        <w:rPr>
          <w:rFonts w:ascii="Arial;sans-serif" w:hAnsi="Arial;sans-serif"/>
          <w:b w:val="false"/>
          <w:color w:val="000000"/>
          <w:sz w:val="16"/>
        </w:rPr>
        <w:t>(3)Amounts represent annual performance-based bonuses awarded for the year indicated. For a description of the Company’s annual performance-based bonus program for 2022, see “Compensation Discussion and Analysis—2022 Compensation Decisions for Our Named Executive Officers—Annual Cash Performance-Based Bonus Program” in this Proxy Statement.</w:t>
      </w:r>
    </w:p>
    <w:p>
      <w:pPr>
        <w:pStyle w:val="TextBody"/>
        <w:spacing w:before="0" w:after="0"/>
        <w:ind w:left="0" w:right="0" w:hanging="360"/>
        <w:rPr/>
      </w:pPr>
      <w:r>
        <w:rPr/>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(4)Amounts shown in this column represent defined contribution retirement matching contributions (made in the form of shares of our common stock) provided to the named executive officers on the same terms as provided to all of our regular full-time employees in the United States. For more information regarding these benefits, see below under “—401(k) Plan and Matching Plan.”</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(5)Ms. Nolan Mangini was promoted to President of the Company, in addition to her role as Chief Financial Officer of the Company, effective July 1, 2022.</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(6)Dr. Lieu was promoted to Executive Vice President of the Company, in addition to his role as Chief Medical Officer of the Company, effective March 8, 2023.</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(7)Ms. Pierce was not a named executive officer in 2020 and, thus, only 2021 and 2022 compensation information is shown for Ms. Pierce in this table.</w:t>
      </w:r>
    </w:p>
    <w:p>
      <w:pPr>
        <w:pStyle w:val="TextBody"/>
        <w:spacing w:before="0" w:after="240"/>
        <w:ind w:left="0" w:right="0" w:hanging="36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Grants of Plan-Based Awards in 2022</w:t>
      </w:r>
    </w:p>
    <w:tbl>
      <w:tblPr>
        <w:tblW w:w="10205" w:type="dxa"/>
        <w:jc w:val="left"/>
        <w:tblInd w:w="0" w:type="dxa"/>
        <w:tblCellMar>
          <w:top w:w="28" w:type="dxa"/>
          <w:left w:w="28" w:type="dxa"/>
          <w:bottom w:w="28" w:type="dxa"/>
          <w:right w:w="28" w:type="dxa"/>
        </w:tblCellMar>
      </w:tblPr>
      <w:tblGrid>
        <w:gridCol w:w="439"/>
        <w:gridCol w:w="388"/>
        <w:gridCol w:w="392"/>
        <w:gridCol w:w="267"/>
        <w:gridCol w:w="222"/>
        <w:gridCol w:w="223"/>
        <w:gridCol w:w="109"/>
        <w:gridCol w:w="109"/>
        <w:gridCol w:w="109"/>
        <w:gridCol w:w="197"/>
        <w:gridCol w:w="197"/>
        <w:gridCol w:w="198"/>
        <w:gridCol w:w="109"/>
        <w:gridCol w:w="109"/>
        <w:gridCol w:w="109"/>
        <w:gridCol w:w="297"/>
        <w:gridCol w:w="297"/>
        <w:gridCol w:w="298"/>
        <w:gridCol w:w="109"/>
        <w:gridCol w:w="109"/>
        <w:gridCol w:w="109"/>
        <w:gridCol w:w="225"/>
        <w:gridCol w:w="915"/>
        <w:gridCol w:w="116"/>
        <w:gridCol w:w="109"/>
        <w:gridCol w:w="109"/>
        <w:gridCol w:w="109"/>
        <w:gridCol w:w="532"/>
        <w:gridCol w:w="368"/>
        <w:gridCol w:w="369"/>
        <w:gridCol w:w="109"/>
        <w:gridCol w:w="109"/>
        <w:gridCol w:w="109"/>
        <w:gridCol w:w="299"/>
        <w:gridCol w:w="299"/>
        <w:gridCol w:w="300"/>
        <w:gridCol w:w="109"/>
        <w:gridCol w:w="109"/>
        <w:gridCol w:w="109"/>
        <w:gridCol w:w="789"/>
        <w:gridCol w:w="250"/>
        <w:gridCol w:w="366"/>
      </w:tblGrid>
      <w:tr>
        <w:trPr/>
        <w:tc>
          <w:tcPr>
            <w:tcW w:w="43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Award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Approval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Estimated Future Payouts Under Non-Equity Incentive Plan Awards Target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All Other Option Awards: Number of Securities Underlying Options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Exercise Price of Option Awards </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Grant Date Fair Value of Option Awards ($)</w:t>
            </w:r>
            <w:r>
              <w:rPr>
                <w:rFonts w:ascii="Arial;sans-serif" w:hAnsi="Arial;sans-serif"/>
                <w:b/>
                <w:color w:val="000000"/>
                <w:sz w:val="12"/>
              </w:rPr>
              <w:t>(2)</w:t>
            </w:r>
          </w:p>
        </w:tc>
      </w:tr>
      <w:tr>
        <w:trPr/>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5,072,750 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3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2,029,100 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(5)</w:t>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3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(5)</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873,930 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204,000 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Jin-Long Chen, Ph.D.</w:t>
            </w:r>
          </w:p>
        </w:tc>
        <w:tc>
          <w:tcPr>
            <w:tcW w:w="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8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1,775,463 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3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1,521,825 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(6)</w:t>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3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(6)</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584,835 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190,000 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8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1,521,825 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(1)This column sets forth the target amount for each named executive officer for the year ended December 31, 2022 under annual performance-based bonus program. There are no threshold or maximum values applicable. For a description of the Company’s annual performance-based bonus program for 2022, see “Compensation Discussion and Analysis—2022 Compensation Decisions for Our Named Executive Officers—Annual Cash Performance-Based Bonus Program” in this Proxy Statement.</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(2)Amounts represent the grant date fair value of stock options granted to our named executive officers during 2022 computed in accordance with ASC Topic 718. Assumptions used in the calculation of these amounts are included in “Note 7 — Stockholders’ Equity” to our consolidated financial statements included in our Annual Report on Form 10-K for the year ended December 31, 2022. These amounts do not necessarily correspond to the actual value recognized or that may be recognized by the named executive officers.</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(3)Consistent with the Company’s historical annual grant practices, the grant date is the second business day following the day on which the Company’s Annual Report on Form 10-K for the year ended December 31, 2021 was filed.</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(4)Annual options awarded under the Restated 2018 Plan. Options vest as to 1/48th of the shares subject to the option each month from January 1, 2022, subject to each executive’s continued service to us on each applicable vesting date. Options may be exercised when vested following the grant date.</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(5)Awarded in connection with Ms. Nolan Mangini’s promotion to President of the Company, in addition to her role as Chief Financial Officer of the Company, effective July 1, 2022. Options vest as to 1/48th of the shares subject to the option each month from July 1, 2022, subject to Ms. Nolan Mangini’s continued service to us on each applicable vesting date. Options may be exercised when vested following the grant date.</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(6)Awarded in recognition of Dr. Lieu’s criticality to the Company’s business and strategy. Options vest as to 50% of the shares subject to the option on each of November 4, 2023 and November 4, 2024, subject to Dr. Lieu’s continued service to us on each applicable vesting date. Options may be exercised when vested following the grant date.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240"/>
        <w:jc w:val="both"/>
        <w:rPr/>
      </w:pPr>
      <w:r>
        <w:rPr/>
      </w:r>
    </w:p>
    <w:p>
      <w:pPr>
        <w:pStyle w:val="TextBody"/>
        <w:spacing w:lineRule="auto" w:line="268" w:before="20" w:after="283"/>
        <w:jc w:val="both"/>
        <w:rPr>
          <w:rFonts w:ascii="Arial;sans-serif" w:hAnsi="Arial;sans-serif"/>
          <w:b/>
          <w:color w:val="000000"/>
          <w:sz w:val="20"/>
        </w:rPr>
      </w:pPr>
      <w:r>
        <w:rPr>
          <w:rFonts w:ascii="Arial;sans-serif" w:hAnsi="Arial;sans-serif"/>
          <w:b/>
          <w:color w:val="000000"/>
          <w:sz w:val="20"/>
        </w:rPr>
        <w:t>Outstanding Equity Awards at December 31, 2022</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certain information regarding outstanding equity awards at December 31, 2022 for our named executive officers.</w:t>
      </w:r>
    </w:p>
    <w:tbl>
      <w:tblPr>
        <w:tblW w:w="10205" w:type="dxa"/>
        <w:jc w:val="left"/>
        <w:tblInd w:w="0" w:type="dxa"/>
        <w:tblCellMar>
          <w:top w:w="28" w:type="dxa"/>
          <w:left w:w="28" w:type="dxa"/>
          <w:bottom w:w="28" w:type="dxa"/>
          <w:right w:w="28" w:type="dxa"/>
        </w:tblCellMar>
      </w:tblPr>
      <w:tblGrid>
        <w:gridCol w:w="479"/>
        <w:gridCol w:w="422"/>
        <w:gridCol w:w="427"/>
        <w:gridCol w:w="109"/>
        <w:gridCol w:w="109"/>
        <w:gridCol w:w="109"/>
        <w:gridCol w:w="206"/>
        <w:gridCol w:w="206"/>
        <w:gridCol w:w="207"/>
        <w:gridCol w:w="125"/>
        <w:gridCol w:w="125"/>
        <w:gridCol w:w="125"/>
        <w:gridCol w:w="510"/>
        <w:gridCol w:w="510"/>
        <w:gridCol w:w="511"/>
        <w:gridCol w:w="125"/>
        <w:gridCol w:w="125"/>
        <w:gridCol w:w="125"/>
        <w:gridCol w:w="400"/>
        <w:gridCol w:w="400"/>
        <w:gridCol w:w="401"/>
        <w:gridCol w:w="125"/>
        <w:gridCol w:w="125"/>
        <w:gridCol w:w="125"/>
        <w:gridCol w:w="450"/>
        <w:gridCol w:w="450"/>
        <w:gridCol w:w="451"/>
        <w:gridCol w:w="125"/>
        <w:gridCol w:w="125"/>
        <w:gridCol w:w="125"/>
        <w:gridCol w:w="323"/>
        <w:gridCol w:w="323"/>
        <w:gridCol w:w="291"/>
        <w:gridCol w:w="125"/>
        <w:gridCol w:w="125"/>
        <w:gridCol w:w="125"/>
        <w:gridCol w:w="288"/>
        <w:gridCol w:w="288"/>
        <w:gridCol w:w="460"/>
      </w:tblGrid>
      <w:tr>
        <w:trPr/>
        <w:tc>
          <w:tcPr>
            <w:tcW w:w="47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3"/>
            <w:tcBorders/>
            <w:shd w:fill="FFFFFF" w:val="clear"/>
            <w:tcMar>
              <w:top w:w="0" w:type="dxa"/>
              <w:left w:w="0" w:type="dxa"/>
              <w:bottom w:w="0" w:type="dxa"/>
              <w:right w:w="0" w:type="dxa"/>
            </w:tcMar>
            <w:vAlign w:val="center"/>
          </w:tcPr>
          <w:p>
            <w:pPr>
              <w:pStyle w:val="TableContents"/>
              <w:spacing w:lineRule="auto" w:line="288" w:before="0" w:after="240"/>
              <w:jc w:val="both"/>
              <w:rPr/>
            </w:pPr>
            <w:r>
              <w:rPr>
                <w:color w:val="000000"/>
              </w:rPr>
              <w:t>                                                         </w:t>
            </w:r>
            <w:r>
              <w:rPr>
                <w:rFonts w:ascii="Arial;sans-serif" w:hAnsi="Arial;sans-serif"/>
                <w:b/>
                <w:color w:val="000000"/>
                <w:sz w:val="18"/>
              </w:rPr>
              <w:t>Option Awards</w:t>
            </w:r>
            <w:r>
              <w:rPr>
                <w:rFonts w:ascii="Arial;sans-serif" w:hAnsi="Arial;sans-serif"/>
                <w:b/>
                <w:color w:val="000000"/>
                <w:sz w:val="12"/>
              </w:rPr>
              <w:t>(1)(2)</w:t>
            </w:r>
          </w:p>
        </w:tc>
      </w:tr>
      <w:tr>
        <w:trPr/>
        <w:tc>
          <w:tcPr>
            <w:tcW w:w="1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Grant</w:t>
            </w:r>
          </w:p>
          <w:p>
            <w:pPr>
              <w:pStyle w:val="TableContents"/>
              <w:spacing w:lineRule="auto" w:line="288" w:before="0" w:after="240"/>
              <w:jc w:val="center"/>
              <w:rPr>
                <w:rFonts w:ascii="Arial;sans-serif" w:hAnsi="Arial;sans-serif"/>
                <w:b/>
                <w:color w:val="000000"/>
                <w:sz w:val="18"/>
              </w:rPr>
            </w:pPr>
            <w:r>
              <w:rPr>
                <w:rFonts w:ascii="Arial;sans-serif" w:hAnsi="Arial;sans-serif"/>
                <w:b/>
                <w:color w:val="000000"/>
                <w:sz w:val="18"/>
              </w:rPr>
              <w:t>Date</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Vesting</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Commencement</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Date</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Securities</w:t>
              <w:br/>
              <w:t>Underlying</w:t>
              <w:br/>
              <w:t>Unexercised</w:t>
              <w:br/>
              <w:t>Options</w:t>
              <w:br/>
              <w:t>Exercisable</w:t>
              <w:br/>
              <w:t>(#)</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Securities</w:t>
              <w:br/>
              <w:t>Underlying</w:t>
              <w:br/>
              <w:t>Unexercised</w:t>
              <w:br/>
              <w:t>Options</w:t>
              <w:br/>
              <w:t>Unexercisable</w:t>
              <w:br/>
              <w:t>(#)</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Option</w:t>
              <w:br/>
              <w:t>Exercise</w:t>
              <w:br/>
              <w:t>Price ($)</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Option</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Expiration</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Date</w:t>
            </w:r>
          </w:p>
        </w:tc>
      </w:tr>
      <w:tr>
        <w:trPr/>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4/22/2015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3/2/2015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255,000</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4/21/2025</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1/20/2017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87,013</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1/19/2027</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57,833</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1/30/2028</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7/24/2028</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2/6/2029</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2/4/2020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2/3/2030</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215,625</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234,375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3/16/2031</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114,583</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r>
      <w:tr>
        <w:trPr/>
        <w:tc>
          <w:tcPr>
            <w:tcW w:w="13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8/3/2020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7/13/2020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8/2/2030</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3/17/2021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23,958</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3/16/2031</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154,167</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10,416</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89,584</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6/30/2032</w:t>
            </w:r>
          </w:p>
        </w:tc>
      </w:tr>
      <w:tr>
        <w:trPr/>
        <w:tc>
          <w:tcPr>
            <w:tcW w:w="1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1/24/2013</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1/1/2013</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85,082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1/23/2023</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1/24/2014</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1/1/2014</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1/23/2024</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1/31/2015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1/30/2025</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1/27/2016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1/26/2026</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1/20/2017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1/19/2027</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1/30/2028</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2/6/2029</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2/4/2020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175,000</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2/3/2030</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83,854</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91,146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3/16/2031</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40,104</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134,896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r>
      <w:tr>
        <w:trPr/>
        <w:tc>
          <w:tcPr>
            <w:tcW w:w="13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3/19/2019</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3/19/2019</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190,000</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3/18/2029</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2/4/2020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2/3/2030</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3/17/2021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47,916</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52,084</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3/16/2031</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34,375</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115,625</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(4)(5)</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11/3/2032</w:t>
            </w:r>
          </w:p>
        </w:tc>
      </w:tr>
      <w:tr>
        <w:trPr/>
        <w:tc>
          <w:tcPr>
            <w:tcW w:w="1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9/30/2019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(3)</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9/30/2029</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47,916</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52,084</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3/16/2031</w:t>
            </w:r>
          </w:p>
        </w:tc>
      </w:tr>
      <w:tr>
        <w:trPr/>
        <w:tc>
          <w:tcPr>
            <w:tcW w:w="13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1/1/2022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34,375</w:t>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3/2/2032</w:t>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(1)Except as otherwise noted, option may be exercised at any time following the date of grant (including early exercise of unvested options), with any acquired shares that remain unvested as of the officer’s termination date subject to the Company’s right of repurchase.</w:t>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(2)Except as otherwise noted, option vests in substantially equal monthly installments over 48 months of continuous service following the vesting commencement date set forth above.</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240"/>
        <w:jc w:val="both"/>
        <w:rPr/>
      </w:pPr>
      <w:r>
        <w:rPr/>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(3)Option vests over four years of continuous service following the vesting commencement date set forth above, with 25% of the option vesting after completion of 12 months of continuous service and the remainder vesting in substantially equal monthly installments following the completion of each month of continuous service thereafter.</w:t>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(4)Option may be exercised when vested following the date of grant.</w:t>
      </w:r>
    </w:p>
    <w:p>
      <w:pPr>
        <w:pStyle w:val="TextBody"/>
        <w:spacing w:lineRule="auto" w:line="288" w:before="0" w:after="60"/>
        <w:ind w:left="0" w:right="0" w:hanging="720"/>
        <w:rPr>
          <w:rFonts w:ascii="Arial;sans-serif" w:hAnsi="Arial;sans-serif"/>
          <w:b w:val="false"/>
          <w:color w:val="000000"/>
          <w:sz w:val="16"/>
        </w:rPr>
      </w:pPr>
      <w:r>
        <w:rPr>
          <w:rFonts w:ascii="Arial;sans-serif" w:hAnsi="Arial;sans-serif"/>
          <w:b w:val="false"/>
          <w:color w:val="000000"/>
          <w:sz w:val="16"/>
        </w:rPr>
        <w:t xml:space="preserve">(5)50% of the shares subject to this option vest on each of November 4, 2023 and November 4, 2024. </w:t>
      </w:r>
    </w:p>
    <w:p>
      <w:pPr>
        <w:pStyle w:val="TextBody"/>
        <w:spacing w:before="0" w:after="60"/>
        <w:ind w:left="0" w:right="0" w:hanging="36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Option Exercises in 2022</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 were no option exercises by our named executive officers in 2022.</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Employment, Severance and Change-in-Control Arrangements</w:t>
      </w:r>
    </w:p>
    <w:p>
      <w:pPr>
        <w:pStyle w:val="TextBody"/>
        <w:spacing w:lineRule="auto" w:line="288" w:before="0" w:after="240"/>
        <w:jc w:val="both"/>
        <w:rPr/>
      </w:pPr>
      <w:r>
        <w:rPr>
          <w:rFonts w:ascii="Arial;sans-serif" w:hAnsi="Arial;sans-serif"/>
          <w:b w:val="false"/>
          <w:color w:val="000000"/>
          <w:sz w:val="20"/>
        </w:rPr>
        <w:t>We have entered into employment agreements or offer letters with each of our named executive officers.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he or she brings to the Company. Each of our named executive officers is an at-will employee. In addition, Dr. Woodhouse’s employment agreement and Ms. Nolan Mangini’s, Dr. Lieu’s and Ms. Pierce’s respective offer letters provide for double-trigger change-in-control benefits. Each named executive officer is also eligible to participate in our employee benefit plans on the same terms as other regular, full-time employees. The key terms of the offer letters or employment agreements are described below. See also “</w:t>
      </w:r>
      <w:r>
        <w:rPr>
          <w:color w:val="000000"/>
        </w:rPr>
        <w:t>—</w:t>
      </w:r>
      <w:r>
        <w:rPr>
          <w:rFonts w:ascii="Arial;sans-serif" w:hAnsi="Arial;sans-serif"/>
          <w:b w:val="false"/>
          <w:color w:val="000000"/>
          <w:sz w:val="20"/>
        </w:rPr>
        <w:t>Equity Compensation Plans” below for a description of certain vesting acceleration and extended post-termination exercise period benefits in connection with certain termination events and corporate transactions.</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David J. Woodhouse, Ph.D.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entered into an employment agreement with Dr. Woodhouse on July 25, 2018. Pursuant to Dr. Woodhouse’s employment agreement, he is entitled to an annual base salary, which was $610,000 in 2022. Pursuant to Dr. Woodhouse’s employment agreement,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Woodhouse will be entitled to (i) continued payment of his base salary for 12 months; (ii) payment or reimbursement of COBRA premiums for him and his eligible dependents for up to 12 months; and (iii) full vesting of any unvested equity awards held by Dr. Woodhouse.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Dr. Woodhouse’s employment agreement, “cause” means: (a) conviction of any felony or any crime involving moral turpitude or dishonesty; (b) participation in a fraud or act of dishonesty against the Company; (c) willful and material breach of executive’s duties that has not been cured within 30 days after written notice from the Board of Directors of such breach; (d) intentional and material damage to the Company’s property; (e) material breach of the proprietary information and inventions agreement between the Company and Dr. Woodhouse; or (f) death, severe physical or mental disability.</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Dr. Woodhouse’s employment agreement, Dr. Woodhouse has “good reason” to resign from all positions held with the Company if any of the following actions are taken by the Company or a successor corporation or entity without Dr. Woodhouse’s consent, and Dr. Woodhouse notifies the Company in writing, within ten days after the occurrence of one of the following actions, that he intends to terminate his employment no earlier than 30 days after providing such notice, and the Company fails to cure such actions within 30 days after receipt of such notice, and such resignation is effective not later than 30 days after the Company fails to cure the issue: (a) a substantial reduction of Dr. Woodhouse’s rate of compensation; (b) a material reduction in Dr. Woodhouse’s duties; (c) a material failure or refusal of a successor to the Company to assume the Company’s obligations under Dr. Woodhouse’s employment agreement in the event of a change in control; or (d) a relocation of Dr. Woodhouse’s principal place of employment to a place greater than 50 miles from his then-current principal place of employment, which relocation results in a material increase in Dr. Woodhouse’s commute.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Under Dr. Woodhouse’s employment agreement, “change in control” means: (a) a sale of substantially all of the assets 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Siobhan Nolan Mangini</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entered into an employment offer letter with Ms. Nolan Mangini on May 20, 2020. Pursuant to Ms. Nolan Mangini’s employment offer letter, she is entitled to an annual base salary, which was $460,000 from January 1, 2022 through June 30, 2022 and $500,000 starting July 1, 2022 in connection with her promotion to President as further described below.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July 1, 2022, Ms. Nolan Mangini was promoted to President of the Company, in addition to her role as Chief Financial Officer of the Company, effective July 1, 2022. In connection with her promotion, our Board of Directors approved changes to Ms. Nolan Mangini’s compensation, including changes to her severance package provided in her employment offer letter described below and changes to her annual base salary, annual bonus target and equity compensation, as further described in “Compensation Discussion and Analysis—2022 Compensation Decisions for Our Named Executive Officers.”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Ms. Nolan Mangini’s employment offer letter, as updated in connection with her promotion on July 1, 2022,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Ms. Nolan Mangini will be entitled to (i) continued payment of her base salary for nine months; (ii) payment or reimbursement of COBRA premiums for her and her eligible dependents for up to nine months; and (iii) full vesting of any unvested equity awards held by Ms. Nolan Mangini.</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Jin-Long Chen, Ph.D.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entered into an employment offer letter with Dr. Chen on January 7, 2008. Pursuant to Dr. Chen’s employment offer letter, he is entitled to an annual base salary, which was $550,000 in 2022.</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Hsiao D. Lieu, M.D.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entered into an employment offer letter with Dr. Lieu on January 16, 2019. Pursuant to Dr. Lieu’s employment offer letter, he is entitled to an annual base salary, which was $475,000 in 2022.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February 27, 2023, the Compensation Committee approved certain changes to Dr. Lieu’s employment offer letter to provide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Lieu will be entitled to (i) continued payment of his base salary for six months; (ii) payment or reimbursement of COBRA premiums for him and his eligible dependents for up to six months; and (iii) full vesting of any unvested equity awards held by Dr. Lieu.</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Valerie Pierce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entered into an employment offer letter with Ms. Pierce on August 6, 2019. Pursuant to Ms. Pierce’s employment offer letter, she is entitled to an annual base salary, which was $440,000 in 2022. In May 2020, the Compensation Committee approved certain changes to Ms. Pierce’s employment offer letter to provide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Ms. Pierce will be entitled to (i) continued payment of her base salary for six months; (ii) payment or reimbursement of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COBRA premiums for her and her eligible dependents for up to six months; and (iii) full vesting of any unvested equity awards held by Ms. Pierce.</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Equity Compensation Plans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features of our equity compensation plans are summarized below.</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Amended and Restated 2018 Equity Incentive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January 2018, our Board of Directors adopted, and in May 2018, our stockholders approved, our 2018 Equity Incentive Plan. In March 2019, our Board of Directors and our stockholders approved the Restated 2018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Restated 2018 Plan provides for the grant of incentive stock options, nonstatutory stock options, stock appreciation rights, restricted stock awards, RSU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 To date, only stock options and RSU awards have been granted under the Restated 2018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as otherwise provided in the applicable award agreement, upon a participant’s termination of continuous service, stock options that have not vested will be forfeited. Except as otherwise provided in the Restated 2018 Plan and applicable award agreement, options will remain exercisable for a three-month period following a participant’s termination of services, except that, in general, (i) options terminate immediately upon a termination for cause, (ii) options remain exercisable for 12 months following a termination due to disability, (iii) options remain exercisable for 18 months following a termination due to death and (iv) if a participant dies during the three-month period or the 12-month period described in (ii), options shall not expire until the earlier of 18 months after the participant’s death, any termination in connection with a change in control, the expiration date of the option or the day before the tenth anniversary of the grant date. The equity awards held by certain of our named executive officers are also subject to the double-trigger vesting acceleration benefits described above under “Employment, Severance and Change-in-Control Arrangements.”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Restated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2008 Equity Incentive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 Only stock options were granted under the 2008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their terms. Our Board of Directors, or a duly authorized committee thereof, has the authority to administer the 2008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as otherwise provided in the 2008 Plan and applicable award agreement, options granted under the 2008 Plan will remain exercisable for a three-month period following a participant’s termination of services, except that, in general, (i) options terminate immediately upon a termination for cause, (ii) options remain exercisable for 12 months following a termination due to disability and (iii) options remain exercisable for 18 months following a termination due to death.</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2019 Employee Stock Purchase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March 2019, our Board of Directors adopted, and our stockholders approved, the 2019 Employee Stock Purchase Plan, or the ESPP. The purpose of the ESPP is to enable our eligible employees, through payroll deductions or cash contributions, to purchase shares of our common stock, to increase our employees’ interest in our growth and success and encourage employees to remain in our employment.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ESPP is intended to qualify as an “employee stock purchase plan” within the meaning of Section 423 of the Internal Revenue Code, or the Code, for our U.S. employees. In addition, the ESPP authorizes grants of purchase rights that do not comply with Section 423 of the Code under a separate non-Section 423 component. In particular, where such purchase rights are granted to employees who are employed or located outside the United States, our Board of Directors may adopt rules that are beyond the scope of Section 423 of the Code.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Generally, all regular employees, including executive officers, employed by us or by any of our designated affiliates, may participate in the ESPP and may contribute, normally through payroll deductions, up to 15% of their earnings for the purchase of our common stock under the ESPP.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401(k) Plan and Matching Plan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maintain a defined contribution employee retirement plan for our employees, including our named executive officers.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$20,500 for 2022. Participants who are at least 50 years old can also make “catch-up” contributions, which in 2022 may be up to an additional $6,500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beginning in the year ended December 31, 2022 was generally equal to 50% of the participant’s plan contribution up to a maximum employer contribution of $3,500 worth of our common stock per year. In 2022, we merged the 401(k) Matching Plan into our 401(k) plan for ease of administration. In the future,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tables below show estimates of the compensation payable to each of our named executive officers upon their termination of employment with the Company and/or upon a change in control, calculated as if the triggering event had occurred effective December 31, 2022. The actual amounts due to any one of the named executive officers upon termination of employment can only be determined at the time of the termination. There can be no assurance that a termination or change in control would produce the same or similar results as those described below if it occurs on any other date or at any other stock price, or if any assumption is not, in fact, correct.</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562"/>
        <w:gridCol w:w="496"/>
        <w:gridCol w:w="501"/>
        <w:gridCol w:w="109"/>
        <w:gridCol w:w="109"/>
        <w:gridCol w:w="109"/>
        <w:gridCol w:w="578"/>
        <w:gridCol w:w="436"/>
        <w:gridCol w:w="441"/>
        <w:gridCol w:w="109"/>
        <w:gridCol w:w="109"/>
        <w:gridCol w:w="109"/>
        <w:gridCol w:w="636"/>
        <w:gridCol w:w="2582"/>
        <w:gridCol w:w="328"/>
        <w:gridCol w:w="109"/>
        <w:gridCol w:w="109"/>
        <w:gridCol w:w="109"/>
        <w:gridCol w:w="726"/>
        <w:gridCol w:w="1397"/>
        <w:gridCol w:w="541"/>
      </w:tblGrid>
      <w:tr>
        <w:trPr/>
        <w:tc>
          <w:tcPr>
            <w:tcW w:w="56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258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color w:val="000000"/>
                <w:sz w:val="18"/>
              </w:rPr>
              <w:t>Involuntary Termination Without Cause or Resignation for Good Reason in Connection with a Change of Control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color w:val="000000"/>
                <w:sz w:val="18"/>
              </w:rPr>
              <w:t>Restated 2018 Plan and 2008 Plan – Certain Corporate Transactions ($)</w:t>
            </w:r>
            <w:r>
              <w:rPr>
                <w:rFonts w:ascii="Arial;sans-serif" w:hAnsi="Arial;sans-serif"/>
                <w:b/>
                <w:color w:val="000000"/>
                <w:sz w:val="12"/>
              </w:rPr>
              <w:t>(2)</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Cash Severance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610,000 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COBRA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37,692 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r>
              <w:rPr>
                <w:rFonts w:ascii="Arial;sans-serif" w:hAnsi="Arial;sans-serif"/>
                <w:b w:val="false"/>
                <w:color w:val="000000"/>
                <w:sz w:val="20"/>
              </w:rPr>
              <w:t>Vesting Acceleration</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647,692 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Cash Severance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375,000 </w:t>
            </w:r>
          </w:p>
        </w:tc>
        <w:tc>
          <w:tcPr>
            <w:tcW w:w="3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COBRA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28,269 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r>
              <w:rPr>
                <w:rFonts w:ascii="Arial;sans-serif" w:hAnsi="Arial;sans-serif"/>
                <w:b w:val="false"/>
                <w:color w:val="000000"/>
                <w:sz w:val="20"/>
              </w:rPr>
              <w:t>Vesting Acceleration</w:t>
            </w:r>
            <w:r>
              <w:rPr>
                <w:rFonts w:ascii="Arial;sans-serif" w:hAnsi="Arial;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403,269 </w:t>
            </w:r>
          </w:p>
        </w:tc>
        <w:tc>
          <w:tcPr>
            <w:tcW w:w="3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Jin-Long Chen,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Cash Severance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COBRA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r>
              <w:rPr>
                <w:rFonts w:ascii="Arial;sans-serif" w:hAnsi="Arial;sans-serif"/>
                <w:b w:val="false"/>
                <w:color w:val="000000"/>
                <w:sz w:val="20"/>
              </w:rPr>
              <w:t>Vesting Acceleration</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Cash Severance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COBRA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pPr>
            <w:r>
              <w:rPr>
                <w:rFonts w:ascii="Arial;sans-serif" w:hAnsi="Arial;sans-serif"/>
                <w:b w:val="false"/>
                <w:color w:val="000000"/>
                <w:sz w:val="20"/>
              </w:rPr>
              <w:t>Vesting Acceleration</w:t>
            </w:r>
            <w:r>
              <w:rPr>
                <w:rFonts w:ascii="Arial;sans-serif" w:hAnsi="Arial;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Cash Severance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220,000 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COBRA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18,846 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r>
              <w:rPr>
                <w:rFonts w:ascii="Arial;sans-serif" w:hAnsi="Arial;sans-serif"/>
                <w:b w:val="false"/>
                <w:color w:val="000000"/>
                <w:sz w:val="20"/>
              </w:rPr>
              <w:t>Vesting Acceleration</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5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238,846 </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hanging="9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 xml:space="preserve">(1)These benefits would be payable under the terms of the employment agreements or offer letters, as applicable, if the termination without cause or termination for good reason occurring within 18 months following a change in control and assuming such termination took place on December 31, 2022. With respect to Dr. Lieu, the addendum regarding his severance benefits was added to his employment offer letter subsequent to December 31, 2022 and, thus, is not reflected in this table. See “Employment, Severance and Change-in-Control Agreements” above for further information. </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(2)These benefits would be payable under the Restated 2018 Plan and 2008 Plan upon a corporate transaction event in which the successor corporation elects not to assume or substitute for each outstanding award and such named executive officer’s employment continues, assuming the vesting acceleration took place on December 31, 2022. See “Equity Compensation Plans” above for further information.</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(3)The value of stock option acceleration is based on the closing price of $5.02 on December 30, 2022 (given that December 31, 2022 was not a business day), minus the exercise price of the unvested stock option shares subject to acceleration. No amounts are included as of December 31, 2022 because all unvested stock options were out-of-the-money based on such closing price.</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Other Elements of Compensation</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Health, Welfare and Retirement Benefits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named executive officers are eligible to participate in all of our employee benefit plans on the same basis as other employees, as described in “Compensation Discussion and Analysis—2022 Compensation Decisions for Our Named Executive Officers—Other Features of Our Executive Compensation Program—Other Benefits and Perquisites.” We do not provide a pension plan for our employees, and none of our named executive officers participated in a nonqualified deferred compensation plan in 2022.</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Perquisites and Other Personal Benefits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provide perquisites or other personal benefits to our named executive officers.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No Tax Gross-Ups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2022, we did not make gross-up payments to cover our named executive officers’ personal income taxes that pertained to any of the compensation or perquisites paid or provided by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240"/>
        <w:jc w:val="both"/>
        <w:rPr/>
      </w:pPr>
      <w:r>
        <w:rPr/>
      </w:r>
    </w:p>
    <w:p>
      <w:pPr>
        <w:pStyle w:val="TextBody"/>
        <w:spacing w:lineRule="auto" w:line="288" w:before="120" w:after="240"/>
        <w:jc w:val="center"/>
        <w:rPr>
          <w:rFonts w:ascii="Arial;sans-serif" w:hAnsi="Arial;sans-serif"/>
          <w:b/>
          <w:color w:val="000000"/>
          <w:sz w:val="20"/>
        </w:rPr>
      </w:pPr>
      <w:r>
        <w:rPr>
          <w:rFonts w:ascii="Arial;sans-serif" w:hAnsi="Arial;sans-serif"/>
          <w:b/>
          <w:color w:val="000000"/>
          <w:sz w:val="20"/>
        </w:rPr>
        <w:t>EQUITY COMPENSATION PLANS AT DECEMBER 31, 2022</w:t>
      </w:r>
    </w:p>
    <w:p>
      <w:pPr>
        <w:pStyle w:val="TextBody"/>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The following table shows certain information with respect to all of our equity compensation plans in effect as of December 31, 2022.</w:t>
      </w:r>
    </w:p>
    <w:tbl>
      <w:tblPr>
        <w:tblW w:w="10205" w:type="dxa"/>
        <w:jc w:val="left"/>
        <w:tblInd w:w="0" w:type="dxa"/>
        <w:tblCellMar>
          <w:top w:w="28" w:type="dxa"/>
          <w:left w:w="28" w:type="dxa"/>
          <w:bottom w:w="28" w:type="dxa"/>
          <w:right w:w="28" w:type="dxa"/>
        </w:tblCellMar>
      </w:tblPr>
      <w:tblGrid>
        <w:gridCol w:w="799"/>
        <w:gridCol w:w="700"/>
        <w:gridCol w:w="706"/>
        <w:gridCol w:w="109"/>
        <w:gridCol w:w="109"/>
        <w:gridCol w:w="109"/>
        <w:gridCol w:w="677"/>
        <w:gridCol w:w="619"/>
        <w:gridCol w:w="620"/>
        <w:gridCol w:w="109"/>
        <w:gridCol w:w="109"/>
        <w:gridCol w:w="109"/>
        <w:gridCol w:w="249"/>
        <w:gridCol w:w="763"/>
        <w:gridCol w:w="129"/>
        <w:gridCol w:w="109"/>
        <w:gridCol w:w="109"/>
        <w:gridCol w:w="109"/>
        <w:gridCol w:w="1269"/>
        <w:gridCol w:w="1113"/>
        <w:gridCol w:w="1580"/>
      </w:tblGrid>
      <w:tr>
        <w:trPr/>
        <w:tc>
          <w:tcPr>
            <w:tcW w:w="79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Plan Category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Number of</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Securities to be</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Issued Upon</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Exercise of</w:t>
            </w:r>
          </w:p>
          <w:p>
            <w:pPr>
              <w:pStyle w:val="TableContents"/>
              <w:spacing w:lineRule="auto" w:line="288" w:before="0" w:after="0"/>
              <w:jc w:val="center"/>
              <w:rPr/>
            </w:pPr>
            <w:r>
              <w:rPr>
                <w:rFonts w:ascii="Arial;sans-serif" w:hAnsi="Arial;sans-serif"/>
                <w:b/>
                <w:color w:val="000000"/>
                <w:sz w:val="18"/>
              </w:rPr>
              <w:t>Outstanding Stock Options (a)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Weighted-</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Average</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Exercise</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Price of</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Outstanding</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Stock</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Options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Number of Securities Remaining Available for Issuance Under Equity Compensation Plans (Excluding Securities Reflected in Column (a))</w:t>
            </w:r>
          </w:p>
        </w:tc>
      </w:tr>
      <w:tr>
        <w:trPr/>
        <w:tc>
          <w:tcPr>
            <w:tcW w:w="220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stockholders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2"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2008 Equity Incentive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2,282,016 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i/>
                <w:color w:val="000000"/>
                <w:sz w:val="20"/>
              </w:rPr>
              <w:t>Restated 2018 Plan</w:t>
            </w:r>
            <w:r>
              <w:rPr>
                <w:rFonts w:ascii="Arial;sans-serif" w:hAnsi="Arial;sans-serif"/>
                <w:b w:val="false"/>
                <w:i/>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11,933,405 </w:t>
            </w:r>
          </w:p>
        </w:tc>
        <w:tc>
          <w:tcPr>
            <w:tcW w:w="6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16.43 </w:t>
            </w:r>
          </w:p>
        </w:tc>
        <w:tc>
          <w:tcPr>
            <w:tcW w:w="1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5,660,466 </w:t>
            </w:r>
          </w:p>
        </w:tc>
        <w:tc>
          <w:tcPr>
            <w:tcW w:w="15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i/>
                <w:color w:val="000000"/>
                <w:sz w:val="20"/>
              </w:rPr>
              <w:t>2019 Employee Stock Purchase Plan</w:t>
            </w:r>
            <w:r>
              <w:rPr>
                <w:rFonts w:ascii="Arial;sans-serif" w:hAnsi="Arial;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263,830 </w:t>
            </w:r>
          </w:p>
        </w:tc>
        <w:tc>
          <w:tcPr>
            <w:tcW w:w="1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stockholders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14,215,421 </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5,924,296 </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(1)The table does not include information regarding the 401(k) Matching Plan. Under the 401(k) Matching Plan, all participating employees may contribute up to the annual Internal Revenue Service contribution limit. The 401(k) Matching Plan permits us to make matching contributions on behalf of plan participants, which matching contributions can be made in common stock. As of December 31, 2022, there were 192,385 shares of common stock reserved under this plan.</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(2)The number of shares remaining available for future issuance under the Restated 2018 Plan automatically increases on January 1st each year, through and including January 1, 2029, in an amount equal to 4% of the total number of shares of our capital stock outstanding on the last day of the preceding fiscal year, or a lesser number of shares as determined by the Board of Directors. On January 1, 2023, the number of shares available for issuance under the Restated 2018 Plan automatically increased by 3,275,416 shares.</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(3)The number of shares remaining available for future issuance under the ESPP automatically increases on January 1st of each year through and including January 1, 2029, in an amount equal to the lesser of (i) 1% of the total number of shares of common stock outstanding on such December 31, (ii) 1,000,000 shares of common stock or (iii) a number of shares as determined by the Board of Directors prior to the beginning of each year, which shall be the lesser of (i) or (ii) above unless the Board of Directors determines not to increase the number of shares available for issuance under the ESPP. On January 1, 2023, the number of shares available for issuance under the ESPP automatically increased by 818,854 shares.</w:t>
      </w:r>
    </w:p>
    <w:p>
      <w:pPr>
        <w:pStyle w:val="TextBody"/>
        <w:spacing w:before="0" w:after="24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0" w:after="24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CEO PAY RATIO</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CEO Pay Ratio Disclosure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rules adopted pursuant to the Dodd-Frank Act, we are required to calculate and disclose the total compensation paid to our median employee, as well as the ratio of the total compensation paid to our Chief Executive Officer as compared to the total compensation paid to the median employee, or the CEO Pay Ratio. The paragraphs that follow describe our methodology and the resulting CEO Pay Ratio.</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Determination Date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identified the median employee using our employee population as of December 1, 2022 (including all employees, whether employed on a full-time, part-time, seasonal or temporary basis).</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Consistently Applied Compensation Measure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Under the relevant rules, we are required to identify the median employee by use of a consistently applied compensation measure, or CACM. We chose a CACM that closely approximates the annual target total compensation of our employees. Specifically, we identified the median employee by aggregating, for each employee: (1) annual base pay (using a reasonable estimate of the hours worked for hourly employees and expected annual salary for the remaining employees), (2) the target annual performance-based bonus amount and (3) the grant date fair value of equity awards granted in 2022. In identifying the median employee, we annualized the compensation values of individuals that joined our Company during 2022. </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Methodology and Pay Ratio</w:t>
      </w:r>
    </w:p>
    <w:p>
      <w:pPr>
        <w:pStyle w:val="TextBody"/>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After applying our CACM methodology, we identified the median employee. Once the median employee was identified, we calculated the median employee's annual total compensation in accordance with the requirements of the Summary Compensation Table. Our median employee compensation for 2022 as calculated using Summary Compensation Table requirements was $251,078. Our Chief Executive Officer's compensation for 2022 as reported in the Summary Compensation Table was $5,933,500. Therefore, our CEO Pay Ratio for 2022 is approximately 24:1.</w:t>
      </w:r>
    </w:p>
    <w:p>
      <w:pPr>
        <w:pStyle w:val="TextBody"/>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before="0" w:after="240"/>
        <w:jc w:val="both"/>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PAY VERSUS PERFORMANCE</w:t>
      </w:r>
    </w:p>
    <w:p>
      <w:pPr>
        <w:pStyle w:val="TextBody"/>
        <w:spacing w:before="0" w:after="0"/>
        <w:rPr/>
      </w:pPr>
      <w:r>
        <w:rPr/>
      </w:r>
    </w:p>
    <w:p>
      <w:pPr>
        <w:pStyle w:val="TextBody"/>
        <w:spacing w:lineRule="auto" w:line="288" w:before="0" w:after="240"/>
        <w:jc w:val="both"/>
        <w:rPr/>
      </w:pPr>
      <w:r>
        <w:rPr>
          <w:rFonts w:ascii="Arial;sans-serif" w:hAnsi="Arial;sans-serif"/>
          <w:b w:val="false"/>
          <w:color w:val="000000"/>
          <w:sz w:val="20"/>
        </w:rPr>
        <w:t>The disclosure included in this section is prescribed by SEC rules and does not necessarily align with how the Company or the Compensation Committee view the link between the Company’s performance and named executive officer pay.</w:t>
      </w:r>
      <w:r>
        <w:rPr>
          <w:color w:val="000000"/>
        </w:rPr>
        <w:t xml:space="preserve"> </w:t>
      </w:r>
      <w:r>
        <w:rPr>
          <w:rFonts w:ascii="Arial;sans-serif" w:hAnsi="Arial;sans-serif"/>
          <w:b w:val="false"/>
          <w:color w:val="000000"/>
          <w:sz w:val="20"/>
        </w:rPr>
        <w:t>For additional information about our pay-for-performance philosophy and how we align executive compensation with Company performance, refer to “Compensation Discussion and Analysis” in this Proxy Statement, beginning on page 19.</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Required Tabular Disclosure of Pay Versus Performance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and the compensation decisions described in “Compensation Discussion and Analysis.”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2022, the Company did not use any “financial performance measures” as defined Item 402(v) of Regulation S</w:t>
        <w:noBreakHyphen/>
        <w:t>K to link compensation paid to the named executive officers, which are referred to as NEOs in the headers to the following tables. Accordingly, we have omitted the tabular list of financial performance measures and the table below does not include a column for a “Company-Selected Measure” as defined in Item 402(v) of Regulation S-K. Our Chief Executive Officer is our principal executive officer and is referred to as PEO in the headers to the following tables.</w:t>
      </w:r>
    </w:p>
    <w:tbl>
      <w:tblPr>
        <w:tblW w:w="12156" w:type="dxa"/>
        <w:jc w:val="left"/>
        <w:tblInd w:w="0" w:type="dxa"/>
        <w:tblCellMar>
          <w:top w:w="28" w:type="dxa"/>
          <w:left w:w="28" w:type="dxa"/>
          <w:bottom w:w="28" w:type="dxa"/>
          <w:right w:w="28" w:type="dxa"/>
        </w:tblCellMar>
      </w:tblPr>
      <w:tblGrid>
        <w:gridCol w:w="195"/>
        <w:gridCol w:w="171"/>
        <w:gridCol w:w="175"/>
        <w:gridCol w:w="109"/>
        <w:gridCol w:w="109"/>
        <w:gridCol w:w="109"/>
        <w:gridCol w:w="596"/>
        <w:gridCol w:w="425"/>
        <w:gridCol w:w="426"/>
        <w:gridCol w:w="109"/>
        <w:gridCol w:w="109"/>
        <w:gridCol w:w="109"/>
        <w:gridCol w:w="701"/>
        <w:gridCol w:w="425"/>
        <w:gridCol w:w="426"/>
        <w:gridCol w:w="109"/>
        <w:gridCol w:w="109"/>
        <w:gridCol w:w="109"/>
        <w:gridCol w:w="596"/>
        <w:gridCol w:w="425"/>
        <w:gridCol w:w="426"/>
        <w:gridCol w:w="109"/>
        <w:gridCol w:w="109"/>
        <w:gridCol w:w="109"/>
        <w:gridCol w:w="596"/>
        <w:gridCol w:w="425"/>
        <w:gridCol w:w="426"/>
        <w:gridCol w:w="109"/>
        <w:gridCol w:w="109"/>
        <w:gridCol w:w="109"/>
        <w:gridCol w:w="436"/>
        <w:gridCol w:w="436"/>
        <w:gridCol w:w="194"/>
        <w:gridCol w:w="110"/>
        <w:gridCol w:w="110"/>
        <w:gridCol w:w="110"/>
        <w:gridCol w:w="436"/>
        <w:gridCol w:w="436"/>
        <w:gridCol w:w="194"/>
        <w:gridCol w:w="109"/>
        <w:gridCol w:w="109"/>
        <w:gridCol w:w="109"/>
        <w:gridCol w:w="434"/>
        <w:gridCol w:w="422"/>
        <w:gridCol w:w="442"/>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Summary Compensation Table Total for PEO</w:t>
            </w:r>
            <w:r>
              <w:rPr>
                <w:rFonts w:ascii="Arial;sans-serif" w:hAnsi="Arial;sans-serif"/>
                <w:b/>
                <w:color w:val="000000"/>
                <w:sz w:val="10"/>
              </w:rPr>
              <w:t xml:space="preserve">(1) </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Compensation Actually Paid to PEO</w:t>
            </w:r>
            <w:r>
              <w:rPr>
                <w:rFonts w:ascii="Arial;sans-serif" w:hAnsi="Arial;sans-serif"/>
                <w:b/>
                <w:color w:val="000000"/>
                <w:sz w:val="10"/>
              </w:rPr>
              <w:t xml:space="preserve">(2) </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Average Summary Compensation Table Total for Non-PEO NEOs</w:t>
            </w:r>
            <w:r>
              <w:rPr>
                <w:rFonts w:ascii="Arial;sans-serif" w:hAnsi="Arial;sans-serif"/>
                <w:b/>
                <w:color w:val="000000"/>
                <w:sz w:val="10"/>
              </w:rPr>
              <w:t>(3)</w:t>
            </w:r>
          </w:p>
          <w:p>
            <w:pPr>
              <w:pStyle w:val="TableContents"/>
              <w:spacing w:lineRule="auto" w:line="240" w:before="0" w:after="0"/>
              <w:jc w:val="center"/>
              <w:rPr>
                <w:color w:val="000000"/>
              </w:rPr>
            </w:pPr>
            <w:r>
              <w:rPr>
                <w:color w:val="000000"/>
              </w:rPr>
              <w:t> </w:t>
            </w: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Average Compensation Actually Paid to Non-PEO</w:t>
            </w:r>
          </w:p>
          <w:p>
            <w:pPr>
              <w:pStyle w:val="TableContents"/>
              <w:spacing w:lineRule="auto" w:line="240" w:before="0" w:after="0"/>
              <w:jc w:val="center"/>
              <w:rPr/>
            </w:pPr>
            <w:r>
              <w:rPr>
                <w:color w:val="000000"/>
              </w:rPr>
              <w:t> </w:t>
            </w:r>
            <w:r>
              <w:rPr>
                <w:rFonts w:ascii="Arial;sans-serif" w:hAnsi="Arial;sans-serif"/>
                <w:b/>
                <w:color w:val="000000"/>
                <w:sz w:val="16"/>
              </w:rPr>
              <w:t>NEOs</w:t>
            </w:r>
            <w:r>
              <w:rPr>
                <w:rFonts w:ascii="Arial;sans-serif" w:hAnsi="Arial;sans-serif"/>
                <w:b/>
                <w:color w:val="000000"/>
                <w:sz w:val="10"/>
              </w:rPr>
              <w:t>(4)</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Total Shareholder Return</w:t>
            </w:r>
            <w:r>
              <w:rPr>
                <w:rFonts w:ascii="Arial;sans-serif" w:hAnsi="Arial;sans-serif"/>
                <w:b/>
                <w:color w:val="000000"/>
                <w:sz w:val="10"/>
              </w:rPr>
              <w:t>(5)</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Peer Group Total Shareholder Return</w:t>
            </w:r>
            <w:r>
              <w:rPr>
                <w:rFonts w:ascii="Arial;sans-serif" w:hAnsi="Arial;sans-serif"/>
                <w:b/>
                <w:color w:val="000000"/>
                <w:sz w:val="10"/>
              </w:rPr>
              <w:t>(6)</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Net Loss </w:t>
            </w:r>
          </w:p>
          <w:p>
            <w:pPr>
              <w:pStyle w:val="TableContents"/>
              <w:spacing w:lineRule="auto" w:line="240" w:before="0" w:after="0"/>
              <w:jc w:val="center"/>
              <w:rPr/>
            </w:pPr>
            <w:r>
              <w:rPr>
                <w:rFonts w:ascii="Arial;sans-serif" w:hAnsi="Arial;sans-serif"/>
                <w:b/>
                <w:color w:val="000000"/>
                <w:sz w:val="16"/>
              </w:rPr>
              <w:t xml:space="preserve">(in thousands) </w:t>
            </w:r>
            <w:r>
              <w:rPr>
                <w:rFonts w:ascii="Arial;sans-serif" w:hAnsi="Arial;sans-serif"/>
                <w:b/>
                <w:color w:val="000000"/>
                <w:sz w:val="10"/>
              </w:rPr>
              <w:t>(7)</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5,933,500 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(736,553)</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2,718,744 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9,911,980 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(325,199)</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2,769,874 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(314,657)</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120.48</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4,559,630 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10,775,804 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3,091,019 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5,857,903 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206.09</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(102,487)</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720"/>
        <w:jc w:val="both"/>
        <w:rPr/>
      </w:pPr>
      <w:r>
        <w:rPr>
          <w:rFonts w:ascii="Arial;sans-serif" w:hAnsi="Arial;sans-serif"/>
          <w:b w:val="false"/>
          <w:color w:val="000000"/>
          <w:sz w:val="16"/>
        </w:rPr>
        <w:t>(1)</w:t>
      </w:r>
      <w:r>
        <w:rPr>
          <w:rFonts w:ascii="Arial;sans-serif" w:hAnsi="Arial;sans-serif"/>
          <w:b w:val="false"/>
          <w:color w:val="202124"/>
          <w:sz w:val="16"/>
          <w:highlight w:val="white"/>
        </w:rPr>
        <w:t>Represents</w:t>
      </w:r>
      <w:r>
        <w:rPr>
          <w:color w:val="000000"/>
        </w:rPr>
        <w:t xml:space="preserve"> </w:t>
      </w:r>
      <w:r>
        <w:rPr>
          <w:rFonts w:ascii="Arial;sans-serif" w:hAnsi="Arial;sans-serif"/>
          <w:b w:val="false"/>
          <w:color w:val="000000"/>
          <w:sz w:val="16"/>
        </w:rPr>
        <w:t xml:space="preserve">the amount of total compensation reported for Dr. Woodhouse (our Chief Executive Officer) for each corresponding year in the “Total” column of the Summary Compensation Table in the “Executive Compensation—Summary Compensation Table” section of this Proxy Statement. </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(2)Represents the amount of “compensation actually paid” to Dr. Woodhouse, as computed in accordance with Item 402(v) of Regulation S-K. The dollar amounts do not reflect the actual amount of compensation earned by or paid to Dr. Woodhouse during the applicable year. In accordance with the requirements of Item 402(v) of Regulation S-K, the following adjustments were made to Dr. Woodhouse’s total compensation for each year to determine the compensation actually paid:</w:t>
      </w:r>
    </w:p>
    <w:tbl>
      <w:tblPr>
        <w:tblW w:w="10205" w:type="dxa"/>
        <w:jc w:val="left"/>
        <w:tblInd w:w="0" w:type="dxa"/>
        <w:tblCellMar>
          <w:top w:w="28" w:type="dxa"/>
          <w:left w:w="28" w:type="dxa"/>
          <w:bottom w:w="28" w:type="dxa"/>
          <w:right w:w="28" w:type="dxa"/>
        </w:tblCellMar>
      </w:tblPr>
      <w:tblGrid>
        <w:gridCol w:w="195"/>
        <w:gridCol w:w="171"/>
        <w:gridCol w:w="175"/>
        <w:gridCol w:w="109"/>
        <w:gridCol w:w="109"/>
        <w:gridCol w:w="109"/>
        <w:gridCol w:w="680"/>
        <w:gridCol w:w="680"/>
        <w:gridCol w:w="681"/>
        <w:gridCol w:w="109"/>
        <w:gridCol w:w="109"/>
        <w:gridCol w:w="109"/>
        <w:gridCol w:w="650"/>
        <w:gridCol w:w="615"/>
        <w:gridCol w:w="617"/>
        <w:gridCol w:w="109"/>
        <w:gridCol w:w="109"/>
        <w:gridCol w:w="109"/>
        <w:gridCol w:w="584"/>
        <w:gridCol w:w="584"/>
        <w:gridCol w:w="586"/>
        <w:gridCol w:w="109"/>
        <w:gridCol w:w="109"/>
        <w:gridCol w:w="109"/>
        <w:gridCol w:w="783"/>
        <w:gridCol w:w="783"/>
        <w:gridCol w:w="1113"/>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Reported</w:t>
              <w:br/>
              <w:t xml:space="preserve"> Summary Compensation </w:t>
              <w:br/>
              <w:t>Table Total for PEO</w:t>
              <w:b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 xml:space="preserve">Reported </w:t>
            </w:r>
          </w:p>
          <w:p>
            <w:pPr>
              <w:pStyle w:val="TableContents"/>
              <w:spacing w:lineRule="auto" w:line="288" w:before="0" w:after="0"/>
              <w:jc w:val="center"/>
              <w:rPr/>
            </w:pPr>
            <w:r>
              <w:rPr>
                <w:rFonts w:ascii="Arial;sans-serif" w:hAnsi="Arial;sans-serif"/>
                <w:b/>
                <w:color w:val="000000"/>
                <w:sz w:val="18"/>
              </w:rPr>
              <w:t>Value of Equity Awards</w:t>
            </w:r>
            <w:r>
              <w:rPr>
                <w:rFonts w:ascii="Arial;sans-serif" w:hAnsi="Arial;sans-serif"/>
                <w:b/>
                <w:color w:val="000000"/>
                <w:sz w:val="12"/>
              </w:rPr>
              <w:t>(a)</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 xml:space="preserve">Equity </w:t>
            </w:r>
          </w:p>
          <w:p>
            <w:pPr>
              <w:pStyle w:val="TableContents"/>
              <w:spacing w:lineRule="auto" w:line="288" w:before="0" w:after="0"/>
              <w:jc w:val="center"/>
              <w:rPr/>
            </w:pPr>
            <w:r>
              <w:rPr>
                <w:rFonts w:ascii="Arial;sans-serif" w:hAnsi="Arial;sans-serif"/>
                <w:b/>
                <w:color w:val="000000"/>
                <w:sz w:val="18"/>
              </w:rPr>
              <w:t>Award Adjustments</w:t>
            </w:r>
            <w:r>
              <w:rPr>
                <w:rFonts w:ascii="Arial;sans-serif" w:hAnsi="Arial;sans-serif"/>
                <w:b/>
                <w:color w:val="000000"/>
                <w:sz w:val="12"/>
              </w:rPr>
              <w:t>(b)</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Compensation Actually Paid to PEO</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5,933,500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(5,072,750)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(1,597,303)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(736,553)</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9,911,980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(9,031,230)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(1,205,949)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(325,199)</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4,559,630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(3,833,880)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10,050,054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10,775,804</w:t>
            </w:r>
          </w:p>
        </w:tc>
      </w:tr>
    </w:tbl>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(a)The grant date fair value of equity awards represents the total of the amounts reported in the “Stock Awards” and “Option Awards” columns in the Summary Compensation Table in the “Executive Compensation—Summary Compensation Table” section of this Proxy Statement for the applicable year.</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 xml:space="preserve">(b)The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before="0" w:after="240"/>
        <w:jc w:val="both"/>
        <w:rPr/>
      </w:pPr>
      <w:r>
        <w:rPr/>
      </w:r>
    </w:p>
    <w:p>
      <w:pPr>
        <w:pStyle w:val="TextBody"/>
        <w:spacing w:lineRule="auto" w:line="288" w:before="0" w:after="120"/>
        <w:jc w:val="both"/>
        <w:rPr>
          <w:rFonts w:ascii="Arial;sans-serif" w:hAnsi="Arial;sans-serif"/>
          <w:b w:val="false"/>
          <w:color w:val="000000"/>
          <w:sz w:val="16"/>
        </w:rPr>
      </w:pPr>
      <w:r>
        <w:rPr>
          <w:rFonts w:ascii="Arial;sans-serif" w:hAnsi="Arial;sans-serif"/>
          <w:b w:val="false"/>
          <w:color w:val="000000"/>
          <w:sz w:val="16"/>
        </w:rPr>
        <w:t>prior fiscal year) in fair value; and (v) for awards granted in prior years that are determined to fail to meet the applicable vesting conditions during the applicable year, a deduction for the amount equal to the fair value at the end of the prior fiscal year. The amounts deducted or added in calculating the equity award adjustments are as follows:</w:t>
      </w:r>
    </w:p>
    <w:p>
      <w:pPr>
        <w:pStyle w:val="TextBody"/>
        <w:spacing w:before="0" w:after="120"/>
        <w:ind w:left="0" w:right="0" w:hanging="360"/>
        <w:rPr/>
      </w:pPr>
      <w:r>
        <w:rPr/>
      </w:r>
    </w:p>
    <w:tbl>
      <w:tblPr>
        <w:tblW w:w="10205" w:type="dxa"/>
        <w:jc w:val="left"/>
        <w:tblInd w:w="0" w:type="dxa"/>
        <w:tblCellMar>
          <w:top w:w="28" w:type="dxa"/>
          <w:left w:w="28" w:type="dxa"/>
          <w:bottom w:w="28" w:type="dxa"/>
          <w:right w:w="28" w:type="dxa"/>
        </w:tblCellMar>
      </w:tblPr>
      <w:tblGrid>
        <w:gridCol w:w="195"/>
        <w:gridCol w:w="171"/>
        <w:gridCol w:w="175"/>
        <w:gridCol w:w="109"/>
        <w:gridCol w:w="109"/>
        <w:gridCol w:w="109"/>
        <w:gridCol w:w="478"/>
        <w:gridCol w:w="379"/>
        <w:gridCol w:w="380"/>
        <w:gridCol w:w="109"/>
        <w:gridCol w:w="109"/>
        <w:gridCol w:w="109"/>
        <w:gridCol w:w="473"/>
        <w:gridCol w:w="473"/>
        <w:gridCol w:w="474"/>
        <w:gridCol w:w="109"/>
        <w:gridCol w:w="109"/>
        <w:gridCol w:w="109"/>
        <w:gridCol w:w="554"/>
        <w:gridCol w:w="356"/>
        <w:gridCol w:w="357"/>
        <w:gridCol w:w="109"/>
        <w:gridCol w:w="109"/>
        <w:gridCol w:w="109"/>
        <w:gridCol w:w="642"/>
        <w:gridCol w:w="387"/>
        <w:gridCol w:w="389"/>
        <w:gridCol w:w="473"/>
        <w:gridCol w:w="473"/>
        <w:gridCol w:w="474"/>
        <w:gridCol w:w="109"/>
        <w:gridCol w:w="109"/>
        <w:gridCol w:w="109"/>
        <w:gridCol w:w="369"/>
        <w:gridCol w:w="369"/>
        <w:gridCol w:w="529"/>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Year End Fair Value of Equity Awards Granted and Unvested in the Year</w:t>
              <w:b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Year over Year Change in Fair Value of Outstanding and Unvested Equity Awards</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Fair Value as of Vesting Date of Equity Awards Granted and Vested in the Year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Year over Year Change in Fair Value of Equity Awards Granted in Prior Years that Vested in the Year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14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Fair Value at the End of the Prior Year of Equity Awards that Failed to Meet Vesting Conditions in the Year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Total Equity Award Adjustments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1,111,103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(2,629,286)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922,601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(1,001,721)</w:t>
            </w:r>
          </w:p>
        </w:tc>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(1,597,303)</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3,320,587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(3,613,487)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1,351,292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(2,264,341)</w:t>
            </w:r>
          </w:p>
        </w:tc>
        <w:tc>
          <w:tcPr>
            <w:tcW w:w="14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(1,205,949)</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6,347,279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3,124,409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876,747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(298,381)</w:t>
            </w:r>
          </w:p>
        </w:tc>
        <w:tc>
          <w:tcPr>
            <w:tcW w:w="14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10,050,054</w:t>
            </w:r>
          </w:p>
        </w:tc>
      </w:tr>
    </w:tbl>
    <w:p>
      <w:pPr>
        <w:pStyle w:val="TextBody"/>
        <w:spacing w:lineRule="auto" w:line="288" w:before="0" w:after="120"/>
        <w:ind w:left="0" w:right="0" w:hanging="450"/>
        <w:jc w:val="both"/>
        <w:rPr>
          <w:rFonts w:ascii="Arial;sans-serif" w:hAnsi="Arial;sans-serif"/>
          <w:b w:val="false"/>
          <w:color w:val="000000"/>
          <w:sz w:val="16"/>
        </w:rPr>
      </w:pPr>
      <w:r>
        <w:rPr>
          <w:rFonts w:ascii="Arial;sans-serif" w:hAnsi="Arial;sans-serif"/>
          <w:b w:val="false"/>
          <w:color w:val="000000"/>
          <w:sz w:val="16"/>
        </w:rPr>
        <w:t>(i)The fair values of the equity awards as of the applicable vest dates and fiscal year-end dates were calculated using the Lattice option pricing model with the assumptions in the table below, while the assumptions used for estimating the grant date fair value as reported in the “Option Awards” column in the Summary Compensation Table in the “Executive Compensation—Summary Compensation Table” section of this Proxy Statement were calculated using the Black-Scholes option pricing model. The change in our stock price was also a key driver of change in the fair value of the equity awards.</w:t>
      </w:r>
    </w:p>
    <w:tbl>
      <w:tblPr>
        <w:tblW w:w="10205" w:type="dxa"/>
        <w:jc w:val="left"/>
        <w:tblInd w:w="0" w:type="dxa"/>
        <w:tblCellMar>
          <w:top w:w="28" w:type="dxa"/>
          <w:left w:w="28" w:type="dxa"/>
          <w:bottom w:w="28" w:type="dxa"/>
          <w:right w:w="28" w:type="dxa"/>
        </w:tblCellMar>
      </w:tblPr>
      <w:tblGrid>
        <w:gridCol w:w="671"/>
        <w:gridCol w:w="589"/>
        <w:gridCol w:w="592"/>
        <w:gridCol w:w="109"/>
        <w:gridCol w:w="109"/>
        <w:gridCol w:w="109"/>
        <w:gridCol w:w="813"/>
        <w:gridCol w:w="813"/>
        <w:gridCol w:w="815"/>
        <w:gridCol w:w="109"/>
        <w:gridCol w:w="109"/>
        <w:gridCol w:w="109"/>
        <w:gridCol w:w="813"/>
        <w:gridCol w:w="813"/>
        <w:gridCol w:w="815"/>
        <w:gridCol w:w="109"/>
        <w:gridCol w:w="109"/>
        <w:gridCol w:w="109"/>
        <w:gridCol w:w="728"/>
        <w:gridCol w:w="728"/>
        <w:gridCol w:w="1034"/>
      </w:tblGrid>
      <w:tr>
        <w:trPr/>
        <w:tc>
          <w:tcPr>
            <w:tcW w:w="671"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r>
      <w:tr>
        <w:trPr/>
        <w:tc>
          <w:tcPr>
            <w:tcW w:w="1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Assumptions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Dates in Fiscal Year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Dates in Fiscal Year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Measurement Dates in Fiscal Year 2020</w:t>
            </w:r>
          </w:p>
        </w:tc>
      </w:tr>
      <w:tr>
        <w:trPr/>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75.1% - 81.8%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72.3% - 78.1%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66.2% - 78.1%</w:t>
            </w:r>
          </w:p>
        </w:tc>
      </w:tr>
      <w:tr>
        <w:trPr/>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Expiration 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6.03 – 9.92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6.05 – 9.96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6.05 – 9.93</w:t>
            </w:r>
          </w:p>
        </w:tc>
      </w:tr>
      <w:tr>
        <w:trPr/>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 - 4.2%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 - 1.7%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 - 1.9%</w:t>
            </w:r>
          </w:p>
        </w:tc>
      </w:tr>
      <w:tr>
        <w:trPr/>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(3)Represent the average of the amounts reported for the named executive officers as a group (excluding our principal executive officer) in the “Total” column of the Summary Compensation Table in the “Executive Compensation—Summary Compensation Table” section of this Proxy Statement in each applicable year. The named executive officers (excluding our principal executive officer) included for purposes of calculating the average amounts in each applicable year are as follows: (i) for 2022 and 2021, Ms. Nolan Mangini, Drs. Chen and Lieu and Ms. Pierce; and (ii) for 2020, Ms. Nolan Mangini and Dr. Chen.</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(4)Represent the average amount of “compensation actually paid” to the named executive officers as a group (excluding our principal executive officer), as computed in accordance with Item 402(v) of Regulation S-K. The dollar amounts do not reflect the actual average amount of compensation earned by or paid to the named executive officers as a group (excluding our principal executive officer) during the applicable year. In accordance with the requirements of Item 402(v) of Regulation S-K, the following adjustments were made to average total compensation for the named executive officers as a group (excluding our principal executive officer) for each year to determine the compensation actually paid, using the same methodology described above in footnote (2):</w:t>
      </w:r>
    </w:p>
    <w:tbl>
      <w:tblPr>
        <w:tblW w:w="10205" w:type="dxa"/>
        <w:jc w:val="left"/>
        <w:tblInd w:w="0" w:type="dxa"/>
        <w:tblCellMar>
          <w:top w:w="28" w:type="dxa"/>
          <w:left w:w="28" w:type="dxa"/>
          <w:bottom w:w="28" w:type="dxa"/>
          <w:right w:w="28" w:type="dxa"/>
        </w:tblCellMar>
      </w:tblPr>
      <w:tblGrid>
        <w:gridCol w:w="195"/>
        <w:gridCol w:w="171"/>
        <w:gridCol w:w="175"/>
        <w:gridCol w:w="109"/>
        <w:gridCol w:w="109"/>
        <w:gridCol w:w="109"/>
        <w:gridCol w:w="884"/>
        <w:gridCol w:w="884"/>
        <w:gridCol w:w="886"/>
        <w:gridCol w:w="109"/>
        <w:gridCol w:w="109"/>
        <w:gridCol w:w="109"/>
        <w:gridCol w:w="576"/>
        <w:gridCol w:w="525"/>
        <w:gridCol w:w="526"/>
        <w:gridCol w:w="109"/>
        <w:gridCol w:w="109"/>
        <w:gridCol w:w="109"/>
        <w:gridCol w:w="548"/>
        <w:gridCol w:w="548"/>
        <w:gridCol w:w="550"/>
        <w:gridCol w:w="109"/>
        <w:gridCol w:w="109"/>
        <w:gridCol w:w="109"/>
        <w:gridCol w:w="710"/>
        <w:gridCol w:w="710"/>
        <w:gridCol w:w="1009"/>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Average </w:t>
              <w:br/>
              <w:t xml:space="preserve">Reported Summary Compensation Table </w:t>
              <w:br/>
              <w:t>Total for Non-PEO NEOs</w:t>
              <w:b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 xml:space="preserve">Average Reported </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Value of Equity Awards</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 xml:space="preserve">Average Equity </w:t>
            </w:r>
          </w:p>
          <w:p>
            <w:pPr>
              <w:pStyle w:val="TableContents"/>
              <w:spacing w:lineRule="auto" w:line="288" w:before="0" w:after="0"/>
              <w:jc w:val="center"/>
              <w:rPr/>
            </w:pPr>
            <w:r>
              <w:rPr>
                <w:rFonts w:ascii="Arial;sans-serif" w:hAnsi="Arial;sans-serif"/>
                <w:b/>
                <w:color w:val="000000"/>
                <w:sz w:val="18"/>
              </w:rPr>
              <w:t>Award Adjustments</w:t>
            </w:r>
            <w:r>
              <w:rPr>
                <w:rFonts w:ascii="Arial;sans-serif" w:hAnsi="Arial;sans-serif"/>
                <w:b/>
                <w:color w:val="000000"/>
                <w:sz w:val="12"/>
              </w:rPr>
              <w:t>(a)</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Compensation Actually Paid to PEO</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2,718,744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(2,076,744)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(405,200)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236,800</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2,769,874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(2,132,374)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(952,157)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(314,657)</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3,091,019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(2,567,922)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5,334,806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5,857,903</w:t>
            </w:r>
          </w:p>
        </w:tc>
      </w:tr>
    </w:tbl>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(a)The amounts deducted or added in calculating the total average equity award adjustments are as follows: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195"/>
        <w:gridCol w:w="171"/>
        <w:gridCol w:w="175"/>
        <w:gridCol w:w="109"/>
        <w:gridCol w:w="109"/>
        <w:gridCol w:w="109"/>
        <w:gridCol w:w="484"/>
        <w:gridCol w:w="385"/>
        <w:gridCol w:w="386"/>
        <w:gridCol w:w="109"/>
        <w:gridCol w:w="109"/>
        <w:gridCol w:w="109"/>
        <w:gridCol w:w="494"/>
        <w:gridCol w:w="494"/>
        <w:gridCol w:w="496"/>
        <w:gridCol w:w="109"/>
        <w:gridCol w:w="109"/>
        <w:gridCol w:w="109"/>
        <w:gridCol w:w="419"/>
        <w:gridCol w:w="377"/>
        <w:gridCol w:w="379"/>
        <w:gridCol w:w="109"/>
        <w:gridCol w:w="109"/>
        <w:gridCol w:w="109"/>
        <w:gridCol w:w="510"/>
        <w:gridCol w:w="411"/>
        <w:gridCol w:w="413"/>
        <w:gridCol w:w="497"/>
        <w:gridCol w:w="497"/>
        <w:gridCol w:w="498"/>
        <w:gridCol w:w="109"/>
        <w:gridCol w:w="109"/>
        <w:gridCol w:w="109"/>
        <w:gridCol w:w="375"/>
        <w:gridCol w:w="375"/>
        <w:gridCol w:w="539"/>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Year End Fair Value of Equity Awards Granted and Unvested in the Year</w:t>
              <w:b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Year over Year Average Change in Fair Value of Outstanding and Unvested Equity Awards</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Average Fair Value as of Vesting Date of Equity Awards Granted and Vested in the Year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Year over Year Average Change in Fair Value of Equity Awards Granted in Prior Years that Vested in the Year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149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Average Fair Value at the End of the Prior Year of Equity Awards that Failed to Meet Vesting Conditions in the Year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 xml:space="preserve">Total </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Average Equity Award Adjustments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442,099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(862,839)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328,644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(313,104)</w:t>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(405,200)</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784,032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(1,344,371)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319,047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(710,865)</w:t>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(952,157)</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4,503,893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745,133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191,790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(106,010)</w:t>
            </w:r>
          </w:p>
        </w:tc>
        <w:tc>
          <w:tcPr>
            <w:tcW w:w="14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5,334,806</w:t>
            </w:r>
          </w:p>
        </w:tc>
      </w:tr>
    </w:tbl>
    <w:p>
      <w:pPr>
        <w:pStyle w:val="TextBody"/>
        <w:spacing w:lineRule="auto" w:line="288" w:before="120" w:after="120"/>
        <w:ind w:left="0" w:right="0" w:hanging="720"/>
        <w:rPr/>
      </w:pPr>
      <w:r>
        <w:rPr>
          <w:rFonts w:ascii="Arial;sans-serif" w:hAnsi="Arial;sans-serif"/>
          <w:b w:val="false"/>
          <w:color w:val="000000"/>
          <w:sz w:val="16"/>
        </w:rPr>
        <w:t xml:space="preserve">(5)Total shareholder return, or TSR, </w:t>
      </w:r>
      <w:r>
        <w:rPr>
          <w:rFonts w:ascii="Arial;sans-serif" w:hAnsi="Arial;sans-serif"/>
          <w:b w:val="false"/>
          <w:color w:val="202124"/>
          <w:sz w:val="16"/>
          <w:highlight w:val="white"/>
        </w:rPr>
        <w:t>is determined based on the value of an initial fixed investment of $100 on December 31, 2019. C</w:t>
      </w:r>
      <w:r>
        <w:rPr>
          <w:rFonts w:ascii="Arial;sans-serif" w:hAnsi="Arial;sans-serif"/>
          <w:b w:val="false"/>
          <w:color w:val="000000"/>
          <w:sz w:val="16"/>
        </w:rPr>
        <w:t>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spacing w:lineRule="auto" w:line="288" w:before="120" w:after="120"/>
        <w:ind w:left="0" w:right="0" w:hanging="720"/>
        <w:rPr>
          <w:rFonts w:ascii="Arial;sans-serif" w:hAnsi="Arial;sans-serif"/>
          <w:b w:val="false"/>
          <w:color w:val="000000"/>
          <w:sz w:val="16"/>
        </w:rPr>
      </w:pPr>
      <w:r>
        <w:rPr>
          <w:rFonts w:ascii="Arial;sans-serif" w:hAnsi="Arial;sans-serif"/>
          <w:b w:val="false"/>
          <w:color w:val="000000"/>
          <w:sz w:val="16"/>
        </w:rPr>
        <w:t>(6)Represents the weighted peer group TSR, weighted according to the respective companies’ stock market capitalization at the beginning of each period for which a return is indicated. As permitted by SEC rules, the peer group used for this purpose is the group of companies included in the NASDAQ Biotechnology Index, which is the industry peer group used in our Annual Report on Form 10-K pursuant to Item 201(e) of Regulation S-K for the fiscal year ended December 31, 2022. The separate peer group used by the Compensation Committee for purposes of determining compensation paid to our executive officers is described on page 19.</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(7)The dollar amounts reported represent the amount of net loss reflected in the Company’s audited financial statements for the applicable year included in our 2022 Annual Report on Form 10-K. Due to the fact that the Company is not a commercial-stage company, the Company did not have any revenue during the periods presented, other than revenue associated with research and development payments under the Company’s amended and restated research collaboration, product development and license agreement, or the Amended Collaboration Agreement, with Merck Sharpe &amp; Dohme LLC, or Merck. Consequently, the Company did not use net loss as a performance measure in its executive compensation program.</w:t>
      </w:r>
    </w:p>
    <w:p>
      <w:pPr>
        <w:pStyle w:val="TextBody"/>
        <w:spacing w:before="0" w:after="120"/>
        <w:ind w:left="0" w:right="0" w:hanging="360"/>
        <w:rPr/>
      </w:pPr>
      <w:r>
        <w:rPr/>
      </w:r>
    </w:p>
    <w:p>
      <w:pPr>
        <w:pStyle w:val="TextBody"/>
        <w:spacing w:lineRule="auto" w:line="288" w:before="0" w:after="240"/>
        <w:ind w:left="0" w:right="0" w:hanging="360"/>
        <w:jc w:val="both"/>
        <w:rPr>
          <w:rFonts w:ascii="Arial;sans-serif" w:hAnsi="Arial;sans-serif"/>
          <w:b/>
          <w:color w:val="000000"/>
          <w:sz w:val="20"/>
        </w:rPr>
      </w:pPr>
      <w:r>
        <w:rPr>
          <w:rFonts w:ascii="Arial;sans-serif" w:hAnsi="Arial;sans-serif"/>
          <w:b/>
          <w:color w:val="000000"/>
          <w:sz w:val="20"/>
        </w:rPr>
        <w:t>Narrative to Pay Versus Performance Table</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Analysis of the Information Presented in the Pay Versus Performance Table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described in more detail above in “Compensation Discussion and Analysis” in this Proxy Statement, the Company’s executive compensation program reflects a performance-driven compensation philosophy. While the Company utilizes several performance measures to align executive compensation with Company performance, those Company measures are not financial performance measures and are therefore not presented in the Pay Versus Performance table. Moreover, the Company generally seeks to incentivize long-term performance, and therefore does not specifically align the Company’s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above.</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Compensation Actually Paid and Net Loss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Because the Company is a pre-commercial stage company, we had no revenue during the periods presented, other than revenue associated with research and development payments under the Amended Collaboration Agreement. Consequently, we do not use net loss as a performance measure in our executive compensation program. Moreover, as a pre-commercial stage company with only limited, nonrecurring revenue associated with our Amended Collaboration Agreement, we do not believe there is any meaningful relationship between our net loss and compensation actually paid to our named executive officers during the periods presented.</w:t>
      </w:r>
    </w:p>
    <w:p>
      <w:pPr>
        <w:pStyle w:val="TextBody"/>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Compensation Actually Paid and Cumulative TSR</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The chart below shows the relationship between the compensation actually paid to our principal executive officer and the average compensation actually paid to our non-principal executive officer named executive officers, on the one hand, to the Company’s cumulative TSR over the three years presented in the table, on the other. As described in more detail above in “Compensation Discussion and Analysis” of this Proxy Statement, the Company structures a significant portion of target total compensation of our named executive officers to be comprised of equity awards.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before="0" w:after="240"/>
        <w:jc w:val="both"/>
        <w:rPr/>
      </w:pPr>
      <w:r>
        <w:rPr/>
      </w:r>
    </w:p>
    <w:p>
      <w:pPr>
        <w:pStyle w:val="TextBody"/>
        <w:spacing w:before="0" w:after="0"/>
        <w:jc w:val="center"/>
        <w:rPr/>
      </w:pPr>
      <w:r>
        <w:rPr/>
        <w:drawing>
          <wp:inline distT="0" distB="63500" distL="0" distR="0">
            <wp:extent cx="6515100" cy="461010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6515100" cy="4610100"/>
                    </a:xfrm>
                    <a:prstGeom prst="rect">
                      <a:avLst/>
                    </a:prstGeom>
                  </pic:spPr>
                </pic:pic>
              </a:graphicData>
            </a:graphic>
          </wp:inline>
        </w:drawing>
      </w:r>
    </w:p>
    <w:p>
      <w:pPr>
        <w:pStyle w:val="TextBody"/>
        <w:spacing w:before="0" w:after="0"/>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Cumulative TSR of the Company and Cumulative TSR of the Peer Group</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chart below shows the relationship between the Company’s three-year cumulative TSR to the three-year cumulative TSR of the companies in the NASDAQ Biotechnology Index. For more information regarding the Company’s performance and the companies that we consider when determining compensation, refer to “Compensation Discussion and Analysis” in this Proxy Statement.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before="0" w:after="240"/>
        <w:jc w:val="both"/>
        <w:rPr/>
      </w:pPr>
      <w:r>
        <w:rPr/>
      </w:r>
    </w:p>
    <w:p>
      <w:pPr>
        <w:pStyle w:val="TextBody"/>
        <w:spacing w:before="0" w:after="0"/>
        <w:jc w:val="center"/>
        <w:rPr/>
      </w:pPr>
      <w:r>
        <w:rPr/>
        <w:drawing>
          <wp:inline distT="0" distB="63500" distL="0" distR="0">
            <wp:extent cx="6515100" cy="3181350"/>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6515100" cy="3181350"/>
                    </a:xfrm>
                    <a:prstGeom prst="rect">
                      <a:avLst/>
                    </a:prstGeom>
                  </pic:spPr>
                </pic:pic>
              </a:graphicData>
            </a:graphic>
          </wp:inline>
        </w:drawing>
      </w:r>
    </w:p>
    <w:p>
      <w:pPr>
        <w:pStyle w:val="TextBody"/>
        <w:spacing w:before="0" w:after="0"/>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DIRECTOR COMPENSATION</w:t>
      </w:r>
    </w:p>
    <w:p>
      <w:pPr>
        <w:pStyle w:val="TextBody"/>
        <w:spacing w:lineRule="auto" w:line="288" w:before="200" w:after="240"/>
        <w:jc w:val="both"/>
        <w:rPr>
          <w:rFonts w:ascii="Arial;sans-serif" w:hAnsi="Arial;sans-serif"/>
          <w:b w:val="false"/>
          <w:color w:val="000000"/>
          <w:sz w:val="20"/>
        </w:rPr>
      </w:pPr>
      <w:r>
        <w:rPr>
          <w:rFonts w:ascii="Arial;sans-serif" w:hAnsi="Arial;sans-serif"/>
          <w:b w:val="false"/>
          <w:color w:val="000000"/>
          <w:sz w:val="20"/>
        </w:rPr>
        <w:t>The following table shows for the year ended December 31, 2022 certain information with respect to the compensation of our non-employee directors:</w:t>
      </w:r>
    </w:p>
    <w:tbl>
      <w:tblPr>
        <w:tblW w:w="10205" w:type="dxa"/>
        <w:jc w:val="left"/>
        <w:tblInd w:w="0" w:type="dxa"/>
        <w:tblCellMar>
          <w:top w:w="28" w:type="dxa"/>
          <w:left w:w="28" w:type="dxa"/>
          <w:bottom w:w="28" w:type="dxa"/>
          <w:right w:w="28" w:type="dxa"/>
        </w:tblCellMar>
      </w:tblPr>
      <w:tblGrid>
        <w:gridCol w:w="951"/>
        <w:gridCol w:w="801"/>
        <w:gridCol w:w="807"/>
        <w:gridCol w:w="109"/>
        <w:gridCol w:w="109"/>
        <w:gridCol w:w="109"/>
        <w:gridCol w:w="409"/>
        <w:gridCol w:w="392"/>
        <w:gridCol w:w="369"/>
        <w:gridCol w:w="109"/>
        <w:gridCol w:w="109"/>
        <w:gridCol w:w="109"/>
        <w:gridCol w:w="633"/>
        <w:gridCol w:w="550"/>
        <w:gridCol w:w="552"/>
        <w:gridCol w:w="109"/>
        <w:gridCol w:w="109"/>
        <w:gridCol w:w="109"/>
        <w:gridCol w:w="718"/>
        <w:gridCol w:w="718"/>
        <w:gridCol w:w="720"/>
        <w:gridCol w:w="109"/>
        <w:gridCol w:w="109"/>
        <w:gridCol w:w="109"/>
        <w:gridCol w:w="510"/>
        <w:gridCol w:w="511"/>
        <w:gridCol w:w="256"/>
      </w:tblGrid>
      <w:tr>
        <w:trPr/>
        <w:tc>
          <w:tcPr>
            <w:tcW w:w="95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 xml:space="preserve">Fees Earned </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or</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 xml:space="preserve">Paid in Cash </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Option Awards ($)</w:t>
            </w:r>
            <w:r>
              <w:rPr>
                <w:rFonts w:ascii="Arial;sans-serif" w:hAnsi="Arial;sans-serif"/>
                <w:b/>
                <w:color w:val="000000"/>
                <w:sz w:val="12"/>
              </w:rPr>
              <w:t>(1)(2)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All Other Compensation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w:t>
              <w:br/>
              <w:t>($)</w:t>
            </w:r>
          </w:p>
        </w:tc>
      </w:tr>
      <w:tr>
        <w:trPr/>
        <w:tc>
          <w:tcPr>
            <w:tcW w:w="25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V. Goeddel,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70,233 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200,001 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270,234 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Shelly D. Guyer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73,091 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200,001 </w:t>
            </w:r>
          </w:p>
        </w:tc>
        <w:tc>
          <w:tcPr>
            <w:tcW w:w="5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273,092 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Carole Ho,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52,181 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200,001 </w:t>
            </w:r>
          </w:p>
        </w:tc>
        <w:tc>
          <w:tcPr>
            <w:tcW w:w="5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252,182 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Suzanne Sawochka Hooper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200,001 </w:t>
            </w:r>
          </w:p>
        </w:tc>
        <w:tc>
          <w:tcPr>
            <w:tcW w:w="5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265,001 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Mark Leschly</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19,094 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Roger M. Perlmutter, M.D.,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200,001 </w:t>
            </w:r>
          </w:p>
        </w:tc>
        <w:tc>
          <w:tcPr>
            <w:tcW w:w="5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William J. Rieflin</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1,067,350</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1,104,850 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_________________________________</w:t>
      </w:r>
    </w:p>
    <w:p>
      <w:pPr>
        <w:pStyle w:val="TextBody"/>
        <w:spacing w:lineRule="auto" w:line="288" w:before="120" w:after="120"/>
        <w:ind w:left="0" w:right="0" w:hanging="720"/>
        <w:jc w:val="both"/>
        <w:rPr>
          <w:rFonts w:ascii="Arial;sans-serif" w:hAnsi="Arial;sans-serif"/>
          <w:b w:val="false"/>
          <w:color w:val="000000"/>
          <w:sz w:val="16"/>
        </w:rPr>
      </w:pPr>
      <w:r>
        <w:rPr>
          <w:rFonts w:ascii="Arial;sans-serif" w:hAnsi="Arial;sans-serif"/>
          <w:b w:val="false"/>
          <w:color w:val="000000"/>
          <w:sz w:val="16"/>
        </w:rPr>
        <w:t>(1)Amounts represent the aggregate grant date fair value of annual stock option awards of 24,222 options granted to each of our non-employee directors during 2022, computed in accordance with ASC Topic 718. Assumptions used in the calculation of these amounts are included in “Note 7 — Stockholders’ Equity” to our consolidated financial statements included in our Annual Report on Form 10-K for the year ended December 31, 2022. These amounts do not necessarily correspond to the actual value recognized or that may be recognized by the non-employee directors.</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(2)The aggregate number of shares outstanding under all options held by our non-employee directors as of December 31, 2022 are set forth in the table below. As of December 31, 2022, none of our non-employee directors held unvested stock awards other than options.</w:t>
      </w:r>
    </w:p>
    <w:tbl>
      <w:tblPr>
        <w:tblW w:w="5067" w:type="dxa"/>
        <w:jc w:val="left"/>
        <w:tblInd w:w="0" w:type="dxa"/>
        <w:tblCellMar>
          <w:top w:w="28" w:type="dxa"/>
          <w:left w:w="28" w:type="dxa"/>
          <w:bottom w:w="28" w:type="dxa"/>
          <w:right w:w="28" w:type="dxa"/>
        </w:tblCellMar>
      </w:tblPr>
      <w:tblGrid>
        <w:gridCol w:w="1093"/>
        <w:gridCol w:w="965"/>
        <w:gridCol w:w="972"/>
        <w:gridCol w:w="109"/>
        <w:gridCol w:w="109"/>
        <w:gridCol w:w="109"/>
        <w:gridCol w:w="500"/>
        <w:gridCol w:w="500"/>
        <w:gridCol w:w="710"/>
      </w:tblGrid>
      <w:tr>
        <w:trPr/>
        <w:tc>
          <w:tcPr>
            <w:tcW w:w="1093"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Number of Shares</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Underlying Option</w:t>
            </w:r>
          </w:p>
          <w:p>
            <w:pPr>
              <w:pStyle w:val="TableContents"/>
              <w:spacing w:lineRule="auto" w:line="288" w:before="0" w:after="0"/>
              <w:jc w:val="center"/>
              <w:rPr>
                <w:rFonts w:ascii="Arial;sans-serif" w:hAnsi="Arial;sans-serif"/>
                <w:b/>
                <w:color w:val="000000"/>
                <w:sz w:val="18"/>
              </w:rPr>
            </w:pPr>
            <w:r>
              <w:rPr>
                <w:rFonts w:ascii="Arial;sans-serif" w:hAnsi="Arial;sans-serif"/>
                <w:b/>
                <w:color w:val="000000"/>
                <w:sz w:val="18"/>
              </w:rPr>
              <w:t>Awards</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V. Goeddel,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84,647</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Shelly D. Guyer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109,844</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Carole Ho,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83,356</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Suzanne Sawochka Hooper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147,647</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Leschly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Roger M. Perlmutter, M.D.,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70,460</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Rieflin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510,000</w:t>
            </w:r>
          </w:p>
        </w:tc>
      </w:tr>
    </w:tbl>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(3)Mr. Leschly ceased to be a director upon the expiration of his term in May 2022.</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(4)Effective as of July 1, 2022, Mr. Rieflin was appointed by the Company’s Board to the position of Chairman of the Board, following Mr. Rieflin’s retirement from his position as the Company’s Executive Chairman, after which he only earned compensation in his capacity as a non-employee director pursuant to our non-employee director compensation policy.</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(5)Amounts represent compensation paid and options granted to Mr. Rieflin for services as an employee of the Company. Specifically, these amounts include Mr. Rieflin’s compensation through June 29, 2022 as Executive Chairman, which consisted of $255,710 in cash compensation and 80,000 options granted to Mr. Rieflin during 2022 with an aggregate grant date fair value of $811,640, computed in accordance with ASC Topic 718. Assumptions used in the calculation of these amounts are included in “Note 7 — Stockholders’ Equity” to our consolidated financial statements included in our Annual Report on Form 10-K for the year ended December 31, 2022. These amounts do not necessarily correspond to the actual value recognized or that may be recognized by Mr. Rieflin. Because Mr. Rieflin provided services in his capacity as an employee, these amounts were not paid under the non-employee director compensation policy.</w:t>
      </w:r>
    </w:p>
    <w:p>
      <w:pPr>
        <w:pStyle w:val="TextBody"/>
        <w:spacing w:lineRule="auto" w:line="288" w:before="200" w:after="240"/>
        <w:jc w:val="both"/>
        <w:rPr>
          <w:rFonts w:ascii="Arial;sans-serif" w:hAnsi="Arial;sans-serif"/>
          <w:b w:val="false"/>
          <w:color w:val="000000"/>
          <w:sz w:val="20"/>
        </w:rPr>
      </w:pPr>
      <w:r>
        <w:rPr>
          <w:rFonts w:ascii="Arial;sans-serif" w:hAnsi="Arial;sans-serif"/>
          <w:b w:val="false"/>
          <w:color w:val="000000"/>
          <w:sz w:val="20"/>
        </w:rPr>
        <w:t>While cash fees are earned by the individual directors, in some instances the directors request that such compensation be paid to bank accounts of their respective funds.</w:t>
      </w:r>
    </w:p>
    <w:p>
      <w:pPr>
        <w:pStyle w:val="TextBody"/>
        <w:spacing w:lineRule="auto" w:line="288" w:before="200" w:after="240"/>
        <w:jc w:val="both"/>
        <w:rPr>
          <w:rFonts w:ascii="Arial;sans-serif" w:hAnsi="Arial;sans-serif"/>
          <w:b w:val="false"/>
          <w:color w:val="000000"/>
          <w:sz w:val="20"/>
        </w:rPr>
      </w:pPr>
      <w:r>
        <w:rPr>
          <w:rFonts w:ascii="Arial;sans-serif" w:hAnsi="Arial;sans-serif"/>
          <w:b w:val="false"/>
          <w:color w:val="000000"/>
          <w:sz w:val="20"/>
        </w:rPr>
        <w:t>The tables above do not include Dr. Woodhouse or Dr. Chen because neither Dr. Woodhouse nor Dr. Chen receive additional compensation for services provided as a director. Drs. Woodhouse and Chen are named executive officers and their compensation information is included under “Compensation Discussion and Analysis” and “Executive Compensation” in this Proxy Statement.</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before="0" w:after="240"/>
        <w:jc w:val="both"/>
        <w:rPr/>
      </w:pPr>
      <w:r>
        <w:rPr/>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Non-Employee Director Compensation Policy</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non-employee directors receive cash and equity compensation for service on our Board of Directors and committees of our Board of Directors. The Board of Directors approves changes to the compensation of our non-employee directors after carefully considering recommendations from the Compensation Committee. The Compensation Committee periodically reviews our non-employee director compensation practices and recommends changes that it determines appropriate. It is the practice of the Compensation Committee to seek input from Aon, its independent compensation consultant, on our non-employee director compensation program. Aon provides comprehensive assessments and recommendations based on an analysis of director compensation at the same peer companies we use for executive compensation decision-making, as well as related governance considerations.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non-employee director compensation policy was originally adopted in 2019. We amended our non-employee director compensation policy in June 2022, after carefully considering market data analysis and recommendations from Aon. The terms of our non-employee director compensation policy, as in effect for 2022, are provided below.</w:t>
      </w:r>
    </w:p>
    <w:p>
      <w:pPr>
        <w:pStyle w:val="TextBody"/>
        <w:spacing w:before="0" w:after="0"/>
        <w:ind w:left="0" w:right="0" w:firstLine="72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non-employee director receives an annual cash retainer of $40,000 for serving on our Board of Directors.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Lead Independent Director is entitled to an additional annual cash retainer of $25,000 in addition to the annual retainer received by other non-employee directors for serving as our Lead Independent Director. Following the June 2022 amendment, the Non-Executive Chairperson is entitled to an additional annual cash retainer of $35,000 in addition to the annual retainer received by other non-employee directors for serving as our Non-Executive Chairperson.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Chairs and members of the three committees of our Board of Directors are entitled to the following additional annual cash retainers:</w:t>
      </w:r>
    </w:p>
    <w:tbl>
      <w:tblPr>
        <w:tblW w:w="7491" w:type="dxa"/>
        <w:jc w:val="left"/>
        <w:tblInd w:w="0" w:type="dxa"/>
        <w:tblCellMar>
          <w:top w:w="28" w:type="dxa"/>
          <w:left w:w="28" w:type="dxa"/>
          <w:bottom w:w="28" w:type="dxa"/>
          <w:right w:w="28" w:type="dxa"/>
        </w:tblCellMar>
      </w:tblPr>
      <w:tblGrid>
        <w:gridCol w:w="1624"/>
        <w:gridCol w:w="1427"/>
        <w:gridCol w:w="1434"/>
        <w:gridCol w:w="109"/>
        <w:gridCol w:w="109"/>
        <w:gridCol w:w="109"/>
        <w:gridCol w:w="375"/>
        <w:gridCol w:w="376"/>
        <w:gridCol w:w="326"/>
        <w:gridCol w:w="109"/>
        <w:gridCol w:w="109"/>
        <w:gridCol w:w="109"/>
        <w:gridCol w:w="375"/>
        <w:gridCol w:w="376"/>
        <w:gridCol w:w="524"/>
      </w:tblGrid>
      <w:tr>
        <w:trPr/>
        <w:tc>
          <w:tcPr>
            <w:tcW w:w="1624"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Board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Chair Fee </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Member Fee </w:t>
              <w:br/>
              <w:t>($)</w:t>
            </w:r>
          </w:p>
        </w:tc>
      </w:tr>
      <w:tr>
        <w:trPr/>
        <w:tc>
          <w:tcPr>
            <w:tcW w:w="448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32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52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3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52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annual cash compensation amounts are payable in equal quarterly installments in advance within the first 30 days of each fiscal quarter in which the service will occur, prorated based on the days remaining in the calendar quarter.</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Newly appointed non-employee directors will receive a one-time initial award of options with a grant date fair value of approximately $500,000, which will vest one-third after the first year, with the remaining options vesting quarterly in years two and three following the grant date, such that the options will be fully vested on the third anniversary of the date of grant, subject to the director’s continued service on the Board of Directors. Thereafter, each non-employee director will receive an annual award of options on the date of each annual meeting of stockholders with a grant date fair value of approximately $200,000, which will vest quarterly over one year from the grant date, such that the options will be fully vested on the earlier of the first anniversary of the date of grant and the day prior to the next annual meeting of stockholders, subject to the director’s continued service on the Board of Directors. In addition, in the event of a change in control (as defined in the Restated 2018 Plan) of the Company, the options underlying such grants will vest and become exercisable immediately prior to the effectiveness of such change in control.</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exercise price per share of each stock option granted under the non-employee director compensation policy will be equal to 100% of the fair market value of the underlying common stock on the date of grant. Each stock option will have a term of ten years from the date of grant, subject to earlier termination in connection with a termination of the non-employee director’s continuous service with us or a corporate transaction, each as provided under the Restated 2018 Plan.</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before="0" w:after="24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PROPOSAL NO. 2 </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ADVISORY VOTE ON EXECUTIVE COMPENSATION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Under the Dodd-Frank Act and Section 14A of the Exchange Act, our stockholders are entitled to vote to approve, on an advisory basis, the compensation of our named executive officers as disclosed in this Proxy Statement in accordance with SEC rules. This is referred to as a “say-on-pay” vote. Currently, consistent with the preference expressed by the shareholders at the Company’s 2022 Annual Meeting of Stockholders, the policy of the Board of Directors is to solicit a non-binding advisory vote on the compensation of the named executive officers every year.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“Compensation Discussion and Analysis” in this Proxy Statement,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Accordingly, the Board of Directors is asking the stockholders to indicate their support for the compensation of our named executive officers as described in this Proxy Statement by casting a non-binding advisory vote “FOR” the following resolution:</w:t>
      </w:r>
    </w:p>
    <w:p>
      <w:pPr>
        <w:pStyle w:val="TextBody"/>
        <w:spacing w:lineRule="auto" w:line="288" w:before="0" w:after="240"/>
        <w:jc w:val="both"/>
        <w:rPr>
          <w:color w:val="000000"/>
        </w:rPr>
      </w:pPr>
      <w:r>
        <w:rPr>
          <w:color w:val="000000"/>
        </w:rPr>
        <w:t>“</w:t>
      </w:r>
      <w:r>
        <w:rPr>
          <w:rFonts w:ascii="Arial;sans-serif" w:hAnsi="Arial;sans-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included in this Proxy Statement, is hereby APPROVED.”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Because the vote is advisory, it is not binding on the Board of Directors or the Company. Nevertheless, the views expressed by the stockholders, whether through this vote or otherwise, are important to management and the Board of Directors and, accordingly, the Board of Directors and the Compensation Committee intend to consider the results of this vote in making determinations in the future regarding executive compensation arrangements.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Advisory approval of this proposal requires the vote of the holders of a majority of the voting power of the shares present or represented by proxy and entitled to vote on the matter at the Annual Meeting.</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The Board of Directors Recommends </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a Vote “For” Proposal No. 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before="0" w:after="240"/>
        <w:jc w:val="both"/>
        <w:rPr/>
      </w:pPr>
      <w:r>
        <w:rPr/>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PROPOSAL NO. 3</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RATIFICATION OF SELECTION OF INDEPENDENT REGISTERED PUBLIC ACCOUNTING FIRM</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Audit Committee of the Board of Directors has selected Ernst &amp; Young LLP as our independent registered public accounting firm for the fiscal year ending December 31, 2023 and has directed that management submit the selection of its independent registered public accounting firm for ratification by the stockholders at the Annual Meeting. Ernst &amp; Young LLP was engaged in 2008 and has audited our consolidated financial statements since 2008. Representatives of Ernst &amp; Young LLP are expected to be present at the Annual Meeting. They will have an opportunity to make a statement if they so desire and will be available to respond to appropriate questions.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Neither our bylaws nor other governing documents or law require stockholder ratification of the selection of Ernst &amp; Young LLP as our independent registered public accounting firm. However, the Audit Committee of the Board of Directors is submitting the selection of Ernst &amp; Young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affirmative vote of the holders of a majority of the voting power of the shares present or represented by proxy and entitled to vote on the matter at the Annual Meeting will be required to approve this Proposal No. 3.</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The Board of Directors Recommends</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a Vote “For” Proposal No. 3.</w:t>
      </w:r>
    </w:p>
    <w:p>
      <w:pPr>
        <w:pStyle w:val="TextBody"/>
        <w:spacing w:lineRule="auto" w:line="288" w:before="200" w:after="240"/>
        <w:jc w:val="both"/>
        <w:rPr/>
      </w:pPr>
      <w:r>
        <w:rPr>
          <w:rFonts w:ascii="Arial;sans-serif" w:hAnsi="Arial;sans-serif"/>
          <w:b/>
          <w:i/>
          <w:color w:val="000000"/>
          <w:sz w:val="20"/>
        </w:rPr>
        <w:t>Principal Accountant Fees and Services</w:t>
      </w:r>
      <w:r>
        <w:rPr>
          <w:color w:val="000000"/>
        </w:rPr>
        <w:t xml:space="preserv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represents aggregate fees billed to NGM by Ernst &amp; Young LLP, our independent registered public accounting firm, for the years ended December 31, 2021 and 2022:</w:t>
      </w:r>
    </w:p>
    <w:tbl>
      <w:tblPr>
        <w:tblW w:w="5004" w:type="dxa"/>
        <w:jc w:val="left"/>
        <w:tblInd w:w="0" w:type="dxa"/>
        <w:tblCellMar>
          <w:top w:w="28" w:type="dxa"/>
          <w:left w:w="28" w:type="dxa"/>
          <w:bottom w:w="28" w:type="dxa"/>
          <w:right w:w="28" w:type="dxa"/>
        </w:tblCellMar>
      </w:tblPr>
      <w:tblGrid>
        <w:gridCol w:w="704"/>
        <w:gridCol w:w="619"/>
        <w:gridCol w:w="627"/>
        <w:gridCol w:w="211"/>
        <w:gridCol w:w="1021"/>
        <w:gridCol w:w="109"/>
        <w:gridCol w:w="109"/>
        <w:gridCol w:w="109"/>
        <w:gridCol w:w="109"/>
        <w:gridCol w:w="211"/>
        <w:gridCol w:w="1021"/>
        <w:gridCol w:w="154"/>
      </w:tblGrid>
      <w:tr>
        <w:trPr/>
        <w:tc>
          <w:tcPr>
            <w:tcW w:w="704"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Audit Fees</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Audit-Related Fees</w:t>
            </w:r>
            <w:r>
              <w:rPr>
                <w:rFonts w:ascii="Arial;sans-serif" w:hAnsi="Arial;sans-serif"/>
                <w:b w:val="false"/>
                <w:color w:val="000000"/>
                <w:sz w:val="13"/>
              </w:rPr>
              <w:t>(2)</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Tax Fees</w:t>
            </w:r>
            <w:r>
              <w:rPr>
                <w:rFonts w:ascii="Arial;sans-serif" w:hAnsi="Arial;sans-serif"/>
                <w:b w:val="false"/>
                <w:color w:val="000000"/>
                <w:sz w:val="13"/>
              </w:rPr>
              <w:t>(3)</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All Other Fees</w:t>
            </w:r>
            <w:r>
              <w:rPr>
                <w:rFonts w:ascii="Arial;sans-serif" w:hAnsi="Arial;sans-serif"/>
                <w:b w:val="false"/>
                <w:color w:val="000000"/>
                <w:sz w:val="13"/>
              </w:rPr>
              <w:t>(4)</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(1)Audit Fees consisted of fees for professional services billed for the audit of our annual consolidated financial statements and the effectiveness of our internal control over financial reporting, the review of interim financial statements, and related services, and services provided in connection with regulatory filings with the SEC.</w:t>
      </w:r>
    </w:p>
    <w:p>
      <w:pPr>
        <w:pStyle w:val="TextBody"/>
        <w:spacing w:lineRule="auto" w:line="288" w:before="0" w:after="60"/>
        <w:ind w:left="0" w:right="0" w:hanging="720"/>
        <w:jc w:val="both"/>
        <w:rPr>
          <w:rFonts w:ascii="Arial;sans-serif" w:hAnsi="Arial;sans-serif"/>
          <w:b w:val="false"/>
          <w:color w:val="000000"/>
          <w:sz w:val="16"/>
        </w:rPr>
      </w:pPr>
      <w:r>
        <w:rPr>
          <w:rFonts w:ascii="Arial;sans-serif" w:hAnsi="Arial;sans-serif"/>
          <w:b w:val="false"/>
          <w:color w:val="000000"/>
          <w:sz w:val="16"/>
        </w:rPr>
        <w:t>(2)Audit-Related Fees consisted of fees for accounting consultations and professional services that are reasonably related to the performance of the audit or review of our consolidated financial statements and are not reported under “Audit Fees”.</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(3)Tax Fees consisted of fees billed for professional services for tax compliance and tax advice.</w:t>
      </w:r>
    </w:p>
    <w:p>
      <w:pPr>
        <w:pStyle w:val="TextBody"/>
        <w:spacing w:lineRule="auto" w:line="288" w:before="0" w:after="240"/>
        <w:ind w:left="0" w:right="0" w:hanging="720"/>
        <w:jc w:val="both"/>
        <w:rPr>
          <w:rFonts w:ascii="Arial;sans-serif" w:hAnsi="Arial;sans-serif"/>
          <w:b w:val="false"/>
          <w:color w:val="000000"/>
          <w:sz w:val="16"/>
        </w:rPr>
      </w:pPr>
      <w:r>
        <w:rPr>
          <w:rFonts w:ascii="Arial;sans-serif" w:hAnsi="Arial;sans-serif"/>
          <w:b w:val="false"/>
          <w:color w:val="000000"/>
          <w:sz w:val="16"/>
        </w:rPr>
        <w:t>(4)All other fees for services that are not included under the “Audit” or “Audit-Related” categories were associated with fees related to an online subscription to an Ernst &amp; Young LLP database.</w:t>
      </w:r>
    </w:p>
    <w:p>
      <w:pPr>
        <w:pStyle w:val="TextBody"/>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All services performed for us by Ernst &amp; Young LLP, our independent registered public accounting firm, and related fees incurred, were pre-approved by our Audit Committee.</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Pre-Approval Procedures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Audit Committee has procedures in place for the pre-approval of audit and non-audit services rendered by the Company’s independent registered public accounting firm, Ernst &amp; Young LLP. The Audit Committee generally pre-approves specified services in the defined categories of audit services, audit-related services and tax services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Audit Committee has determined that the rendering of services other than audit services by Ernst &amp; Young LLP is compatible with maintaining the principal accountant’s independence.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TRANSACTIONS WITH RELATED PERSONS AND INDEMNIFICATION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is a summary of transactions since January 1, 2022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that are described in “Compensation Discussion and Analysis,” “Executive Compensation” and “Director Compensation” in this Proxy Statement.</w:t>
      </w:r>
    </w:p>
    <w:p>
      <w:pPr>
        <w:pStyle w:val="TextBody"/>
        <w:spacing w:lineRule="auto" w:line="288" w:before="200" w:after="240"/>
        <w:jc w:val="both"/>
        <w:rPr>
          <w:rFonts w:ascii="Arial;sans-serif" w:hAnsi="Arial;sans-serif"/>
          <w:b/>
          <w:color w:val="000000"/>
          <w:sz w:val="20"/>
        </w:rPr>
      </w:pPr>
      <w:r>
        <w:rPr>
          <w:rFonts w:ascii="Arial;sans-serif" w:hAnsi="Arial;sans-serif"/>
          <w:b/>
          <w:color w:val="000000"/>
          <w:sz w:val="20"/>
        </w:rPr>
        <w:t>Related-Person Transactions Policy</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our initial public offering, we adopted a written Related-Person Transactions that sets forth our policies and procedures regarding the identification, review, consideration and approval or ratification of “related-person transactions,” which was subsequently amended in November 2022. For purposes of our policy only, a “related-person transaction” is a transaction, arrangement or relationship (or any series of similar transactions, arrangements or relationships) in which we and any “related person” are, were or will be participants and in which any related person had, has or will have a direct or indirect interest and involving an amount that exceeds $120,000, other than those transactions specifically excluded under Item 404 of Regulation S-K, including transactions involving compensation for service provided to us as an employee, director, consultant or similar capacity by a related person. A related person is any executive officer, director or holder of 5% or more of our capital stock, including any of their immediate family members, and any entity owned or controlled by such persons.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Related-Person Transactions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persons, the benefits to us of the transaction and whether any alternative transactions were available. To identify related-person transactions in advance, we rely on information supplied by our executive officers, directors and certain significant stockholders. In considering related-person transactions, the Audit Committee takes into account the relevant available facts and circumstances including, but not limited to (a) the risks, costs and benefits to us,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us and our stockholders, as the Audit Committee determines in the good faith exercise of its discretion.</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Certain Transactions With or Involving Related Persons</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Merck Collaboration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2015, we entered into a research collaboration, product development and license agreement with Merck Sharp &amp; Dohme Corp., or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research and development efforts each year consistent with the initial five-year research term and, in lieu of a $20.0 million extension fee payable to us, Merck agreed to make additional payments totaling up to $20.0 million in support of our research and development activities through the first quarter of 2022. </w:t>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before="0" w:after="24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or the Lab Programs. Currently, the only ongoing research activities funded under the Amended Collaboration Agreement are certain CVM-related activities and remaining activities under the Lab Programs.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and its related compounds upon completion of the Phase 2 CATALINA trial. In December 2022, Merck notified us that it would not exercise its option to license NGM621 and its related compounds, nor would Merck exercise the related ophthalmology bundle option; accordingly, these options expired unexercised in January 2023 and the programs are now wholly-owned by us. Further, Merck did not elect for us to continue to conduct research and development on any compounds from our other ophthalmology programs that were subject to the collaboration, which are preclinical and directed to undisclosed targets. Such an election would have resulted in an extended tail period in which Merck would continue to fund our research and development of such ophthalmology compounds. Because Merck did not exercise its ophthalmology license options or make such a tail period election, we do not have any funding from Merck to pursue such ophthalmology programs.</w: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year ended December 31, 2022, we recognized collaboration and license revenue of $55.3 million under our collaboration with Merck. See “Business—Licensing and Collaboration Arrangements—Merck Collaboration” in Part I, Item 1, “Management’s Discussion and Analysis of Financial Condition and Results of Operations - Overview” in Part II, Item 7 and “Research Collaboration and License Agreements,” in Note 5 to the consolidated financial statements in Part II, Item 8 in our Annual Report on Form 10-K for the fiscal year ended December 31, 2022 for additional information on our collaboration with Merck.</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Indemnification Agreements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entered into separate indemnification agreements with our directors and executive officers in addition to the indemnification provided for in our bylaws. These indemnification agreements provide, among other things, that we will indemnify our directors and executive officers for certain expenses, including damages, judgments, fines, penalties, settlements and costs and attorneys’ fees and disbursements, incurred by a director or executive officer in any claim, action or proceeding arising in his or her capacity as a director or executive officer of the Company or in connection with service at our request for another corporation or entity. The indemnification agreements also provide for procedures that will apply in the event that a director or executive officer makes a claim for indemnification.</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SECURITY OWNERSHIP OF CERTAIN BENEFICIAL OWNERS AND MANAGEMENT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regarding the ownership of our common stock as of March 2, 2023 (except as noted) by:</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each director and nominee for director;</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each of the named executive officers;</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all current executive officers and directors as a group; and</w:t>
      </w:r>
    </w:p>
    <w:p>
      <w:pPr>
        <w:pStyle w:val="TextBody"/>
        <w:spacing w:lineRule="auto" w:line="288" w:before="0" w:after="240"/>
        <w:ind w:left="0" w:right="0" w:hanging="360"/>
        <w:jc w:val="both"/>
        <w:rPr/>
      </w:pPr>
      <w:r>
        <w:rPr>
          <w:color w:val="000000"/>
        </w:rPr>
        <w:t>•</w:t>
      </w:r>
      <w:r>
        <w:rPr>
          <w:rFonts w:ascii="Arial;sans-serif" w:hAnsi="Arial;sans-serif"/>
          <w:b w:val="false"/>
          <w:color w:val="000000"/>
          <w:sz w:val="20"/>
        </w:rPr>
        <w:t>all those known by us to be beneficial owners of more than five percent of our outstanding common stock.</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Unless otherwise indicated in the footnotes, 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82,046,499 shares outstanding on March 2, 2023, adjusted as required by rules promulgated by the SEC.</w:t>
      </w:r>
    </w:p>
    <w:tbl>
      <w:tblPr>
        <w:tblW w:w="8541" w:type="dxa"/>
        <w:jc w:val="left"/>
        <w:tblInd w:w="0" w:type="dxa"/>
        <w:tblCellMar>
          <w:top w:w="28" w:type="dxa"/>
          <w:left w:w="28" w:type="dxa"/>
          <w:bottom w:w="28" w:type="dxa"/>
          <w:right w:w="28" w:type="dxa"/>
        </w:tblCellMar>
      </w:tblPr>
      <w:tblGrid>
        <w:gridCol w:w="1986"/>
        <w:gridCol w:w="1750"/>
        <w:gridCol w:w="1753"/>
        <w:gridCol w:w="109"/>
        <w:gridCol w:w="109"/>
        <w:gridCol w:w="109"/>
        <w:gridCol w:w="354"/>
        <w:gridCol w:w="354"/>
        <w:gridCol w:w="358"/>
        <w:gridCol w:w="208"/>
        <w:gridCol w:w="208"/>
        <w:gridCol w:w="208"/>
        <w:gridCol w:w="301"/>
        <w:gridCol w:w="301"/>
        <w:gridCol w:w="433"/>
      </w:tblGrid>
      <w:tr>
        <w:trPr/>
        <w:tc>
          <w:tcPr>
            <w:tcW w:w="1986"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Beneficial Ownership</w:t>
            </w:r>
          </w:p>
        </w:tc>
      </w:tr>
      <w:tr>
        <w:trPr/>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Number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Shares</w:t>
            </w:r>
          </w:p>
        </w:tc>
        <w:tc>
          <w:tcPr>
            <w:tcW w:w="6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Percent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Entities affiliated with The Column Group</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21,661,782</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26.4%</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Merck Sharp &amp; Dohme Corp.</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12,955,016</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240"/>
              <w:jc w:val="left"/>
              <w:rPr/>
            </w:pPr>
            <w:r>
              <w:rPr>
                <w:rFonts w:ascii="Arial;sans-serif" w:hAnsi="Arial;sans-serif"/>
                <w:b w:val="false"/>
                <w:color w:val="000000"/>
                <w:sz w:val="20"/>
              </w:rPr>
              <w:t>EcoR1 Capital, LLC</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6,435,518</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240"/>
              <w:jc w:val="left"/>
              <w:rPr/>
            </w:pPr>
            <w:r>
              <w:rPr>
                <w:rFonts w:ascii="Arial;sans-serif" w:hAnsi="Arial;sans-serif"/>
                <w:b w:val="false"/>
                <w:color w:val="000000"/>
                <w:sz w:val="20"/>
              </w:rPr>
              <w:t xml:space="preserve">The Vanguard Group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4,489,149</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240"/>
              <w:jc w:val="left"/>
              <w:rPr/>
            </w:pPr>
            <w:r>
              <w:rPr>
                <w:rFonts w:ascii="Arial;sans-serif" w:hAnsi="Arial;sans-serif"/>
                <w:b w:val="false"/>
                <w:color w:val="000000"/>
                <w:sz w:val="20"/>
              </w:rPr>
              <w:t>Blackrock Inc.</w:t>
            </w:r>
            <w:r>
              <w:rPr>
                <w:color w:val="000000"/>
              </w:rPr>
              <w:t xml:space="preserve">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4,158,643</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Jin-Long Chen, Ph.D.</w:t>
            </w:r>
            <w:r>
              <w:rPr>
                <w:rFonts w:ascii="Arial;sans-serif" w:hAnsi="Arial;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2,669,309</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David V. Goeddel, Ph.D.</w:t>
            </w:r>
            <w:r>
              <w:rPr>
                <w:rFonts w:ascii="Arial;sans-serif" w:hAnsi="Arial;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22,060,373</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26.9%</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Shelly D. Guyer</w:t>
            </w:r>
            <w:r>
              <w:rPr>
                <w:rFonts w:ascii="Arial;sans-serif" w:hAnsi="Arial;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103,788</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Carole Ho, M.D.</w:t>
            </w:r>
            <w:r>
              <w:rPr>
                <w:rFonts w:ascii="Arial;sans-serif" w:hAnsi="Arial;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77,300</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Suzanne Sawochka Hooper</w:t>
            </w:r>
            <w:r>
              <w:rPr>
                <w:rFonts w:ascii="Arial;sans-serif" w:hAnsi="Arial;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148,591</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Hsiao D. Lieu, M.D.</w:t>
            </w:r>
            <w:r>
              <w:rPr>
                <w:rFonts w:ascii="Arial;sans-serif" w:hAnsi="Arial;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325,938</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Siobhan Nolan Mangini</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416,665</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240"/>
              <w:jc w:val="left"/>
              <w:rPr/>
            </w:pPr>
            <w:r>
              <w:rPr>
                <w:rFonts w:ascii="Arial;sans-serif" w:hAnsi="Arial;sans-serif"/>
                <w:b w:val="false"/>
                <w:color w:val="000000"/>
                <w:sz w:val="20"/>
              </w:rPr>
              <w:t>Roger M. Perlmutter, M.D., Ph.D.</w:t>
            </w:r>
            <w:r>
              <w:rPr>
                <w:rFonts w:ascii="Arial;sans-serif" w:hAnsi="Arial;sans-serif"/>
                <w:b w:val="false"/>
                <w:color w:val="000000"/>
                <w:sz w:val="13"/>
              </w:rPr>
              <w:t xml:space="preserve">(13)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45,137</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Valerie Pierce</w:t>
            </w:r>
            <w:r>
              <w:rPr>
                <w:rFonts w:ascii="Arial;sans-serif" w:hAnsi="Arial;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315,000</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William J. Rieflin</w:t>
            </w:r>
            <w:r>
              <w:rPr>
                <w:rFonts w:ascii="Arial;sans-serif" w:hAnsi="Arial;sans-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3,197,672</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David J. Woodhouse, Ph.D.</w:t>
            </w:r>
            <w:r>
              <w:rPr>
                <w:rFonts w:ascii="Arial;sans-serif" w:hAnsi="Arial;sans-serif"/>
                <w:b w:val="false"/>
                <w:color w:val="000000"/>
                <w:sz w:val="13"/>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2,026,666</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All executive officers and directors as a group (11 persons)</w:t>
            </w:r>
            <w:r>
              <w:rPr>
                <w:rFonts w:ascii="Arial;sans-serif" w:hAnsi="Arial;sans-serif"/>
                <w:b w:val="false"/>
                <w:color w:val="000000"/>
                <w:sz w:val="13"/>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31,386,439</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35.9%</w:t>
            </w:r>
          </w:p>
        </w:tc>
      </w:tr>
    </w:tbl>
    <w:p>
      <w:pPr>
        <w:pStyle w:val="TextBody"/>
        <w:spacing w:lineRule="auto" w:line="288" w:before="20" w:after="24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*Represents beneficial ownership of less than 1%.</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 xml:space="preserve">(1)The indicated ownership is based solely on a Form 4 filed with the SEC by the reporting person on February 1, 2023. The Form 4 provides information as of January 31, 2023. Consists of (i) 11,103,333 shares held of record by The Column Group, LP, (ii) 100,000 shares held of record by The Column Group GP, LP, (iii) 2,265,758 shares held of record by The Column Group II, LP, (iv) 100,000 shares held of record by The Column Group Management, LP, (v) 1,298,908 shares held of record by Ponoi Capital, LP, (vi) 1,298,908 shares held of record by Ponoi Capital II, LP, (vii) 858,035 shares held of record by The Column Group III, LP, (viii) 968,990 shares held of record by The Column Group III-A, LP, (ix) 927,231 shares held of record by The Column Group Opportunity III, LP, (x) 2,650,177 shares held of record by The Column Group IV, LP and (xi) 90,442 shares held of record by The Column Group IV-A, LP. Mr. Svennilson and Dr. Goeddel are managing partners of The Column Group GP, LP and The Column Group II GP, LP, which are the general partners of The Column Group, LP and The Column Group II, LP, respectively, and the Column Group Management, LP and may be deemed to share voting, investment and dispositive power with respect to such shares. Mr. Svennilson, Dr. Goeddel and Dr. Tim Kutzkey are managing members of Ponoi Management, LLC and Ponoi II Management, LLC, which are the general partners of Ponoi Capital, LP and Ponoi Capital II, LP, respectively, and may be deemed to share voting, investment and dispositive power with respect to such shares. Mr. Svennilson, Dr. Goeddel and Dr. Kutzkey are managing partners of The Column Group III GP, LP, which is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6"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before="0" w:after="240"/>
        <w:jc w:val="both"/>
        <w:rPr/>
      </w:pPr>
      <w:r>
        <w:rPr/>
      </w:r>
    </w:p>
    <w:p>
      <w:pPr>
        <w:pStyle w:val="TextBody"/>
        <w:spacing w:lineRule="auto" w:line="288" w:before="0" w:after="120"/>
        <w:jc w:val="both"/>
        <w:rPr>
          <w:rFonts w:ascii="Arial;sans-serif" w:hAnsi="Arial;sans-serif"/>
          <w:b w:val="false"/>
          <w:color w:val="000000"/>
          <w:sz w:val="16"/>
        </w:rPr>
      </w:pPr>
      <w:r>
        <w:rPr>
          <w:rFonts w:ascii="Arial;sans-serif" w:hAnsi="Arial;sans-serif"/>
          <w:b w:val="false"/>
          <w:color w:val="000000"/>
          <w:sz w:val="16"/>
        </w:rPr>
        <w:t>the general partner of The Column Group III, LP and The Column Group III-A, LP, and may be deemed to share voting, investment and dispositive power with respect to such shares. The Column Group Opportunity III GP, LP is the general partner of The Column Group Opportunity III, LP and may be deemed to share voting, investment and dispositive power with respect to such shares. Mr. Svennilson, Dr. Goeddel and Dr. Kutzkey are managing members of TCG Opportunity III GP, LLC, which is the general partner of The Column Group Opportunity III GP, LP and the ultimate general partner of The Column Group Opportunity III, LP and may be deemed to have voting, investment and dispositive power with respect to such shares. Mr. Svennilson, Dr. Goeddel and Dr. Kutzkey are managing partners of The Column Group IV GP, LP, which is the general partner of The Column Group IV, LP and The Column Group IV-A, LP, and may be deemed to share voting, investment and dispositive power with respect to such shares. The principal address of The Column Group, LP is 1 Letterman Drive, Building D, Suite DM-900, San Francisco, California 94129.</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(2)The indicated ownership is based solely on a Schedule 13G filed with the SEC by the reporting person on April 9, 2019. The Schedule 13G provides information as of April 8, 2019. The principal address of Merck Sharp &amp; Dohme Corp. is One Merck Drive, Whitehouse Station, New Jersey 08889.</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(3)The indicated ownership is based solely on a Schedule 13G filed with the SEC by the reporting person on October 28, 2022. The Schedule 13G provides information as of October 18, 2022. EcoR1 Capital, LLC has shared voting and dispositive power over all shares held by it. The principal address of EcoR1 Capital, LLC is 357 Tehama Street #3, San Francisco, CA 94103.</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(4)The indicated ownership is based solely on a Schedule 13G filed with the SEC by the reporting person on February 9, 2023. The Schedule 13G provides information as of December 30, 2022. The Vanguard Group has (i) shared voting power over 50,562 shares, (ii) sole dispositive power over 4,411,444 shares and (iii) share dispositive power over 77,705 shares. The principal address of The Vanguard Group is 100 Vanguard Blvd., Malvern, PA 19355.</w:t>
      </w:r>
    </w:p>
    <w:p>
      <w:pPr>
        <w:pStyle w:val="TextBody"/>
        <w:spacing w:lineRule="auto" w:line="288" w:before="0" w:after="120"/>
        <w:ind w:left="0" w:right="0" w:hanging="720"/>
        <w:rPr/>
      </w:pPr>
      <w:r>
        <w:rPr>
          <w:rFonts w:ascii="Arial;sans-serif" w:hAnsi="Arial;sans-serif"/>
          <w:b w:val="false"/>
          <w:color w:val="000000"/>
          <w:sz w:val="16"/>
        </w:rPr>
        <w:t>(5)The indicated ownership is based solely on a Schedule 13G filed with the SEC by the reporting person on February 3, 2023. The Schedule 13G provides information as of December 31, 2022. Blackrock Inc. has sole voting power over 3,953,380 shares and sole dispositive power over 4,158,643 shares. The principal address of BlackRock Inc. is 55 East 52</w:t>
      </w:r>
      <w:r>
        <w:rPr>
          <w:rFonts w:ascii="Arial;sans-serif" w:hAnsi="Arial;sans-serif"/>
          <w:b w:val="false"/>
          <w:color w:val="000000"/>
          <w:sz w:val="10"/>
        </w:rPr>
        <w:t>nd</w:t>
      </w:r>
      <w:r>
        <w:rPr>
          <w:color w:val="000000"/>
        </w:rPr>
        <w:t xml:space="preserve"> </w:t>
      </w:r>
      <w:r>
        <w:rPr>
          <w:rFonts w:ascii="Arial;sans-serif" w:hAnsi="Arial;sans-serif"/>
          <w:b w:val="false"/>
          <w:color w:val="000000"/>
          <w:sz w:val="16"/>
        </w:rPr>
        <w:t>Street, New York, NY 10055.</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(6)Consists of (i) 908,893 shares held directly, (ii) 225,000 shares held in trust and (iii) 1,535,416 shares issuable pursuant to options exercisable within 60 days of March 2, 2023, of which 1,484,373 shares have vested as of March 2, 2023.</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(7)Consists of (i) 130,000 common shares held directly, (ii) 110,000 shares held in the Alena Z. Goeddel Irrevocable Trust, (iii) 80,000 shares held in the David V. Goeddel and Alena Z. Goeddel 2004 Trust, (iv) 78,591 shares issuable pursuant to options exercisable within 60 days of March 2, 2023, of which 78,591 shares have vested as of March 2, 2023 and (v) the shares described in footnote (1) above.</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(8)Consists of 103,788 shares issuable pursuant to options exercisable within 60 days of March 2, 2023, of which 103,788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(9)Consists of 77,300 shares issuable pursuant to options exercisable within 60 days of March 2, 2023, of which 70,713 shares have vested as of March 2, 2023.</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(10)Consists of (i) 7,000 shares held directly and (ii) 141,591 shares issuable pursuant to options exercisable within 60 days of March 2, 2023, of which 141,591 shares have vested as of March 2, 2023.</w:t>
      </w:r>
    </w:p>
    <w:p>
      <w:pPr>
        <w:pStyle w:val="TextBody"/>
        <w:spacing w:lineRule="auto" w:line="288" w:before="0" w:after="120"/>
        <w:ind w:left="0" w:right="0" w:hanging="720"/>
        <w:rPr>
          <w:rFonts w:ascii="Arial;sans-serif" w:hAnsi="Arial;sans-serif"/>
          <w:b w:val="false"/>
          <w:color w:val="000000"/>
          <w:sz w:val="16"/>
        </w:rPr>
      </w:pPr>
      <w:r>
        <w:rPr>
          <w:rFonts w:ascii="Arial;sans-serif" w:hAnsi="Arial;sans-serif"/>
          <w:b w:val="false"/>
          <w:color w:val="000000"/>
          <w:sz w:val="16"/>
        </w:rPr>
        <w:t>(11)Consists of (i) 2,605 shares held directly and (ii) 323,333 shares issuable pursuant to options exercisable within 60 days of March 2, 2023, of which 303,540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(12)Consists of 416,665 shares issuable pursuant to options exercisable within 60 days of March 2, 2023, of which 295,832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(13)Consists of 45,137 shares issuable pursuant to options exercisable within 60 days of March 2, 2023, of which 41,283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(14)Consists of (i) 6,667 shares held directly and (ii) 308,333 shares issuable pursuant to options exercisable within 60 days of March 2, 2023, of which 268,749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(15)Consists of (i) 2,769,168 shares held in trust for which Mr. Rieflin serves as trustee and shares voting and investment control, (ii) 5,172 shares held directly and (iii) 423,332 shares issuable pursuant to options exercisable within 60 days of March 2, 2023, of which 401,041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(16)Consists of (i) 17,654 shares held directly, (ii) 80,000 shares held in trust for which Dr. Woodhouse serves as trustee and shares voting and investment control and (iii) 1,929,012 shares issuable pursuant to options exercisable within 60 days of March 2, 2023, of which 1,806,095 shares have vested as of March 2, 2023.</w:t>
      </w:r>
    </w:p>
    <w:p>
      <w:pPr>
        <w:pStyle w:val="TextBody"/>
        <w:spacing w:lineRule="auto" w:line="288" w:before="0" w:after="120"/>
        <w:ind w:left="0" w:right="0" w:hanging="720"/>
        <w:jc w:val="both"/>
        <w:rPr>
          <w:rFonts w:ascii="Arial;sans-serif" w:hAnsi="Arial;sans-serif"/>
          <w:b w:val="false"/>
          <w:color w:val="000000"/>
          <w:sz w:val="16"/>
        </w:rPr>
      </w:pPr>
      <w:r>
        <w:rPr>
          <w:rFonts w:ascii="Arial;sans-serif" w:hAnsi="Arial;sans-serif"/>
          <w:b w:val="false"/>
          <w:color w:val="000000"/>
          <w:sz w:val="16"/>
        </w:rPr>
        <w:t>(17)Consists of (i) 26,003,941 shares held of record or beneficially owned by our executive officers and directors as a group and (ii) 5,382,498 shares issuable pursuant to options exercisable by our executive officers and directors as a group within 60 days of March 2, 2023, of which 4,995,596 shares have vested as of March 2,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7"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before="0" w:after="240"/>
        <w:jc w:val="both"/>
        <w:rPr/>
      </w:pPr>
      <w:r>
        <w:rPr/>
      </w:r>
    </w:p>
    <w:p>
      <w:pPr>
        <w:pStyle w:val="TextBody"/>
        <w:spacing w:lineRule="auto" w:line="288" w:before="200" w:after="240"/>
        <w:jc w:val="center"/>
        <w:rPr>
          <w:rFonts w:ascii="Arial;sans-serif" w:hAnsi="Arial;sans-serif"/>
          <w:b/>
          <w:color w:val="000000"/>
          <w:sz w:val="20"/>
        </w:rPr>
      </w:pPr>
      <w:r>
        <w:rPr>
          <w:rFonts w:ascii="Arial;sans-serif" w:hAnsi="Arial;sans-serif"/>
          <w:b/>
          <w:color w:val="000000"/>
          <w:sz w:val="20"/>
        </w:rPr>
        <w:t>HOUSEHOLDING OF PROXY MATERIALS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adopted a procedure commonly referred to as “householding.” Under this procedure, we may deliver a single copy of the Notice of Internet Availability and, if you requested printed versions by mail, this Proxy Statement and the Annual Report on Form 10-K for the year ended December 31, 2022 to multiple stockholders who share the same mailing address. This delivery method will not be used if we receive contrary instructions from one or more of the stockholders sharing a mailing address. This procedure reduces the environmental impact of our annual meetings, reduces our printing and mailing costs and potentially means extra convenience for stockholders. Upon written or oral request, we will deliver promptly a separate copy of the Notice of Internet Availability and, if you requested printed versions by mail, this Proxy Statement and the Annual Report on Form 10-K for the year ended December 31, 2022 to any stockholder that elects not to participate in householding.</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receive, free of charge, a separate copy of the Notice of Internet Availability and, if you requested printed versions by mail, this Proxy Statement or the Annual Report on Form 10-K for the year ended December 31, 2022, or separate copies of any future notice, proxy statement or annual report, you may write or call us at the following mailing address or phone number:</w:t>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Secretary</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NGM Biopharmaceuticals, Inc.</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333 Oyster Point Boulevard</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South San Francisco</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California 94080</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Phone: (650) 392-1768</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you are receiving more than one copy of the proxy materials at a single mailing address and would like to participate in householding, please contact the bank, broker or other nominee that holds your shares to request information about eliminating duplicate mailings.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before="0" w:after="24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 xml:space="preserve">STOCKHOLDER PROPOSALS AND NOMINATIONS FOR THE 2024 ANNUAL MEETING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be considered for inclusion in our proxy materials for our 2024 annual meeting of stockholders, your proposal must be submitted in writing by November 30, 2023 to our Secretary at 333 Oyster Point Boulevard, South San Francisco, California 94080, and you must comply with all applicable requirements of Rule 14a-8 promulgated under the Securities Exchange Act of 1934, as amended, or the Exchange Act. However, if the 2024 annual meeting of stockholders is advanced by more than 30 days prior to or delayed by more than 30 days after May 10, 2024, then the deadline will be a reasonable time prior to the time we begin to print and send our proxy materials.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our bylaws, if you wish to submit a proposal (including a director nomination) at the 2024 annual meeting of stockholders that is not to be included in next year’s proxy materials, you must do so not later than the close of business on February 10, 2024 and no earlier than the close of business on January 11, 2024; provided, however, that if next year’s annual meeting is advanced by more than 30 days prior to or delayed by more than 30 days after May 10, 2024 your proposal must be submitted not earlier than the close of business on the 120th day prior to such annual meeting and not later than the close of business on the 90th day prior to such annual meeting or the 10th day following the day on which public announcement of the date of such meeting is first made. You are advised to review our bylaws, which contain additional requirements about advance notice of stockholder proposals and director nominations. In addition, as to any proposal that a stockholder intends to present at the 2024 annual meeting other than by inclusion in our proxy statement for the 2024 annual meeting of stockholders, the proxy solicited by our Board of Directors for the 2024 annual meeting will confer discretionary voting authority with respect to (i) any proposal for which we have not been provided with timely notice pursuant to the bylaws and (ii) any proposal for which we have been provided with timely notice pursuant to the bylaws, unless the stockholder solicits proxies with respect to the proposal to the extent required by Rule 14a-4(c)(2) promulgated under the Exchange Act.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satisfying the foregoing requirements under our bylaws, to comply with the universal proxy rules, stockholders who intend to solicit proxies in support of director nominees other than our Board of Director’s nominees must provide in their notice any additional information required by Rule 14a-19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OTHER MATTERS</w:t>
      </w:r>
    </w:p>
    <w:p>
      <w:pPr>
        <w:pStyle w:val="TextBody"/>
        <w:spacing w:lineRule="auto" w:line="288" w:before="200" w:after="240"/>
        <w:jc w:val="both"/>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7511" w:type="dxa"/>
        <w:jc w:val="left"/>
        <w:tblInd w:w="0" w:type="dxa"/>
        <w:tblCellMar>
          <w:top w:w="28" w:type="dxa"/>
          <w:left w:w="28" w:type="dxa"/>
          <w:bottom w:w="28" w:type="dxa"/>
          <w:right w:w="28" w:type="dxa"/>
        </w:tblCellMar>
      </w:tblPr>
      <w:tblGrid>
        <w:gridCol w:w="2584"/>
        <w:gridCol w:w="2273"/>
        <w:gridCol w:w="2282"/>
        <w:gridCol w:w="109"/>
        <w:gridCol w:w="109"/>
        <w:gridCol w:w="154"/>
      </w:tblGrid>
      <w:tr>
        <w:trPr/>
        <w:tc>
          <w:tcPr>
            <w:tcW w:w="2584"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Valerie Pierce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Pierce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Chief Compliance Officer and Secretary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29,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40"/>
        <w:jc w:val="both"/>
        <w:rPr>
          <w:rFonts w:ascii="Arial;sans-serif" w:hAnsi="Arial;sans-serif"/>
          <w:b/>
          <w:i/>
          <w:color w:val="000000"/>
          <w:sz w:val="20"/>
        </w:rPr>
      </w:pPr>
      <w:r>
        <w:rPr>
          <w:rFonts w:ascii="Arial;sans-serif" w:hAnsi="Arial;sans-serif"/>
          <w:b/>
          <w:i/>
          <w:color w:val="000000"/>
          <w:sz w:val="20"/>
        </w:rPr>
        <w:t>A copy of our Annual Report on Form 10-K for the year ended December 31, 2022 is available without charge upon written request to: Secretary, NGM Biopharmaceuticals, Inc., 333 Oyster Point Boulevard, South San Francisco, California 94080.</w:t>
      </w:r>
    </w:p>
    <w:p>
      <w:pPr>
        <w:pStyle w:val="TextBody"/>
        <w:spacing w:before="0" w:after="0"/>
        <w:jc w:val="center"/>
        <w:rPr/>
      </w:pPr>
      <w:r>
        <w:rPr/>
      </w:r>
    </w:p>
    <w:p>
      <w:pPr>
        <w:pStyle w:val="TextBody"/>
        <w:spacing w:lineRule="auto" w:line="288" w:before="0" w:after="240"/>
        <w:jc w:val="both"/>
        <w:rPr>
          <w:rFonts w:ascii="Arial;sans-serif" w:hAnsi="Arial;sans-serif"/>
          <w:b w:val="false"/>
          <w:color w:val="FFFFFF"/>
          <w:sz w:val="2"/>
        </w:rPr>
      </w:pPr>
      <w:r>
        <w:rPr>
          <w:rFonts w:ascii="Arial;sans-serif" w:hAnsi="Arial;sans-serif"/>
          <w:b w:val="false"/>
          <w:color w:val="FFFFFF"/>
          <w:sz w:val="2"/>
        </w:rPr>
        <w:t>ch. Joint owners should each sign personally. All holders must sign. If a corporation or partnership, please sign in full corporate or partnership name by authorized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drawing>
          <wp:inline distT="0" distB="63500" distL="0" distR="0">
            <wp:extent cx="13392150" cy="17335500"/>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5"/>
                    <a:stretch>
                      <a:fillRect/>
                    </a:stretch>
                  </pic:blipFill>
                  <pic:spPr bwMode="auto">
                    <a:xfrm>
                      <a:off x="0" y="0"/>
                      <a:ext cx="13392150" cy="17335500"/>
                    </a:xfrm>
                    <a:prstGeom prst="rect">
                      <a:avLst/>
                    </a:prstGeom>
                  </pic:spPr>
                </pic:pic>
              </a:graphicData>
            </a:graphic>
          </wp:inline>
        </w:drawing>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lineRule="auto" w:line="288" w:before="0" w:after="0"/>
        <w:rPr>
          <w:rFonts w:ascii="Arial;sans-serif" w:hAnsi="Arial;sans-serif"/>
          <w:b w:val="false"/>
          <w:color w:val="FFFFFF"/>
          <w:sz w:val="2"/>
        </w:rPr>
      </w:pPr>
      <w:r>
        <w:rPr>
          <w:rFonts w:ascii="Arial;sans-serif" w:hAnsi="Arial;sans-serif"/>
          <w:b w:val="false"/>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V03765-P83776 3. Ratification of the selection of Ernst &amp;amp; Young LLP as our independent registered public accounting firm for our fiscal year ending December 31, 2023. 2. Approval, on an advisory basis, of the compensation of the Company's named executive officers, as disclosed in the accompanying proxy statement. For Withhold For Against Abstain For Against Abstain !! !! NGM BIOPHARMACEUTICALS, INC. The Board of Directors recommends you vote FOR the following nominees: The Board of Directors recommends you vote FOR proposal 3. The Board of Directors recommends you vote FOR proposal 2. NGM BIOPHARMACEUTICALS, INC. 333 OYSTER POINT BLVD. SOUTH SAN FRANCISCO, CA 94080 1. Election of Directors 1b. Carole Ho, M.D. 1c. William J. Rieflin 1a. Shelly D. Guyer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 ! !! ! !! VOTE BY INTERNET Before The Meeting - Go to www.proxyvote.com or scan the QR Barcode above Use the Internet to transmit your voting instructions and for electronic delivery of information. Vote by 11:59 p.m. Eastern Time on May 9, 2023. Have your proxy card in hand when you access the website and follow the instructions to obtain your records and to create an electronic voting instruction form. During The Meeting - Go to www.virtualshareholdermeeting.com/NGM2023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9, 2023.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&amp;amp; VOTEw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rPr/>
      </w:pPr>
      <w:r>
        <w:rPr/>
        <w:drawing>
          <wp:inline distT="0" distB="63500" distL="0" distR="0">
            <wp:extent cx="13392150" cy="17335500"/>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6"/>
                    <a:stretch>
                      <a:fillRect/>
                    </a:stretch>
                  </pic:blipFill>
                  <pic:spPr bwMode="auto">
                    <a:xfrm>
                      <a:off x="0" y="0"/>
                      <a:ext cx="13392150" cy="17335500"/>
                    </a:xfrm>
                    <a:prstGeom prst="rect">
                      <a:avLst/>
                    </a:prstGeom>
                  </pic:spPr>
                </pic:pic>
              </a:graphicData>
            </a:graphic>
          </wp:inline>
        </w:drawing>
      </w:r>
    </w:p>
    <w:p>
      <w:pPr>
        <w:pStyle w:val="TextBody"/>
        <w:spacing w:lineRule="auto" w:line="288" w:before="0" w:after="283"/>
        <w:rPr>
          <w:rFonts w:ascii="Arial;sans-serif" w:hAnsi="Arial;sans-serif"/>
          <w:b w:val="false"/>
          <w:color w:val="FFFFFF"/>
          <w:sz w:val="2"/>
        </w:rPr>
      </w:pPr>
      <w:r>
        <w:rPr>
          <w:rFonts w:ascii="Arial;sans-serif" w:hAnsi="Arial;sans-serif"/>
          <w:b w:val="false"/>
          <w:color w:val="FFFFFF"/>
          <w:sz w:val="2"/>
        </w:rPr>
        <w:t xml:space="preserve">Important Notice Regarding the Availability of Proxy Materials for the Annual Meeting: The Notice and Proxy Statement and Annual Report are available at www.proxyvote.com. V03766-P83776 NGM Biopharmaceuticals, Inc. Annual Meeting of Stockholders May 10, 2023 7:30 AM PDT This proxy is solicited by the Board of Directors The stockholders hereby appoint William J. Rieflin and David J. Woodhouse, Ph.D., or either of them, as proxies, each with the power of substitution, and hereby authorize them to represent and to vote, as designated on the reverse side of this ballot, all of the shares of Common Stock of NGM Biopharmaceuticals, Inc. that the stockholders are entitled to vote at the Annual Meeting of Stockholders to be held at 7:30 AM PDT on May 10, 2023, virtually at www.virtualshareholdermeeting.com/NGM2023,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36787</Words>
  <CharactersWithSpaces>237884</CharactersWithSpaces>
  <Paragraphs>1924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