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59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593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RIEFLIN WILLIAM JL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2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04/03/2019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OYSTER POINT BOULEVARD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7"/>
              </w:rPr>
              <w:t>SOUTH SAN</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7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6"/>
        <w:spacing w:after="0"/>
        <w:rPr>
          <w:sz w:val="20"/>
          <w:szCs w:val="20"/>
          <w:color w:val="auto"/>
        </w:rPr>
      </w:pPr>
      <w:r>
        <w:rPr>
          <w:rFonts w:ascii="Arial" w:cs="Arial" w:eastAsia="Arial" w:hAnsi="Arial"/>
          <w:sz w:val="18"/>
          <w:szCs w:val="18"/>
          <w:color w:val="0000FF"/>
        </w:rPr>
        <w:t>Executive Chairman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4"/>
                <w:szCs w:val="14"/>
                <w:b w:val="1"/>
                <w:bCs w:val="1"/>
                <w:color w:val="auto"/>
              </w:rPr>
              <w:t>2. Amount of Securities</w:t>
            </w:r>
          </w:p>
        </w:tc>
        <w:tc>
          <w:tcPr>
            <w:tcW w:w="128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60" w:type="dxa"/>
            <w:vAlign w:val="bottom"/>
            <w:gridSpan w:val="4"/>
          </w:tcPr>
          <w:p>
            <w:pPr>
              <w:ind w:left="16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8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9"/>
              </w:rPr>
              <w:t>Form: Direct (D)</w:t>
            </w:r>
          </w:p>
        </w:tc>
        <w:tc>
          <w:tcPr>
            <w:tcW w:w="14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3"/>
              </w:rPr>
              <w:t>or Indirect (I)</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2,712,500</w:t>
            </w:r>
            <w:r>
              <w:rPr>
                <w:rFonts w:ascii="Arial" w:cs="Arial" w:eastAsia="Arial" w:hAnsi="Arial"/>
                <w:sz w:val="22"/>
                <w:szCs w:val="22"/>
                <w:color w:val="008000"/>
                <w:vertAlign w:val="superscript"/>
              </w:rPr>
              <w:t>(1)(2)</w:t>
            </w:r>
          </w:p>
        </w:tc>
        <w:tc>
          <w:tcPr>
            <w:tcW w:w="10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I</w:t>
            </w:r>
          </w:p>
        </w:tc>
        <w:tc>
          <w:tcPr>
            <w:tcW w:w="26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w w:val="99"/>
              </w:rPr>
              <w:t>See Footnote</w:t>
            </w:r>
            <w:r>
              <w:rPr>
                <w:rFonts w:ascii="Arial" w:cs="Arial" w:eastAsia="Arial" w:hAnsi="Arial"/>
                <w:sz w:val="22"/>
                <w:szCs w:val="22"/>
                <w:color w:val="008000"/>
                <w:w w:val="99"/>
                <w:vertAlign w:val="superscript"/>
              </w:rPr>
              <w:t>(3)</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620" w:type="dxa"/>
            <w:vAlign w:val="bottom"/>
            <w:tcBorders>
              <w:top w:val="single" w:sz="8" w:color="2C2C2C"/>
            </w:tcBorders>
            <w:gridSpan w:val="5"/>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360" w:type="dxa"/>
            <w:vAlign w:val="bottom"/>
            <w:gridSpan w:val="7"/>
          </w:tcPr>
          <w:p>
            <w:pPr>
              <w:ind w:left="3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9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2. Date Exercisable and</w:t>
            </w:r>
          </w:p>
        </w:tc>
        <w:tc>
          <w:tcPr>
            <w:tcW w:w="3000" w:type="dxa"/>
            <w:vAlign w:val="bottom"/>
            <w:gridSpan w:val="3"/>
          </w:tcPr>
          <w:p>
            <w:pPr>
              <w:ind w:left="140"/>
              <w:spacing w:after="0"/>
              <w:rPr>
                <w:sz w:val="20"/>
                <w:szCs w:val="20"/>
                <w:color w:val="auto"/>
              </w:rPr>
            </w:pPr>
            <w:r>
              <w:rPr>
                <w:rFonts w:ascii="Arial" w:cs="Arial" w:eastAsia="Arial" w:hAnsi="Arial"/>
                <w:sz w:val="14"/>
                <w:szCs w:val="14"/>
                <w:b w:val="1"/>
                <w:bCs w:val="1"/>
                <w:color w:val="auto"/>
              </w:rPr>
              <w:t>3. Title and Amount of Securities</w:t>
            </w:r>
          </w:p>
        </w:tc>
        <w:tc>
          <w:tcPr>
            <w:tcW w:w="260" w:type="dxa"/>
            <w:vAlign w:val="bottom"/>
          </w:tcPr>
          <w:p>
            <w:pPr>
              <w:spacing w:after="0"/>
              <w:rPr>
                <w:sz w:val="20"/>
                <w:szCs w:val="20"/>
                <w:color w:val="auto"/>
              </w:rPr>
            </w:pPr>
            <w:r>
              <w:rPr>
                <w:rFonts w:ascii="Arial" w:cs="Arial" w:eastAsia="Arial" w:hAnsi="Arial"/>
                <w:sz w:val="14"/>
                <w:szCs w:val="14"/>
                <w:b w:val="1"/>
                <w:bCs w:val="1"/>
                <w:color w:val="auto"/>
              </w:rPr>
              <w:t>4.</w:t>
            </w:r>
          </w:p>
        </w:tc>
        <w:tc>
          <w:tcPr>
            <w:tcW w:w="5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30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 or</w:t>
            </w:r>
          </w:p>
        </w:tc>
        <w:tc>
          <w:tcPr>
            <w:tcW w:w="82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4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Title</w:t>
            </w: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Number of</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vMerge w:val="continue"/>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3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(4)</w:t>
            </w:r>
          </w:p>
        </w:tc>
        <w:tc>
          <w:tcPr>
            <w:tcW w:w="740" w:type="dxa"/>
            <w:vAlign w:val="bottom"/>
            <w:tcBorders>
              <w:bottom w:val="single" w:sz="8" w:color="2C2C2C"/>
            </w:tcBorders>
          </w:tcPr>
          <w:p>
            <w:pPr>
              <w:jc w:val="center"/>
              <w:ind w:left="16"/>
              <w:spacing w:after="0"/>
              <w:rPr>
                <w:sz w:val="20"/>
                <w:szCs w:val="20"/>
                <w:color w:val="auto"/>
              </w:rPr>
            </w:pPr>
            <w:r>
              <w:rPr>
                <w:rFonts w:ascii="Arial" w:cs="Arial" w:eastAsia="Arial" w:hAnsi="Arial"/>
                <w:sz w:val="14"/>
                <w:szCs w:val="14"/>
                <w:color w:val="0000FF"/>
                <w:w w:val="88"/>
              </w:rPr>
              <w:t>01/30/2028</w:t>
            </w:r>
          </w:p>
        </w:tc>
        <w:tc>
          <w:tcPr>
            <w:tcW w:w="198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Borders>
              <w:bottom w:val="single" w:sz="8" w:color="2C2C2C"/>
            </w:tcBorders>
          </w:tcPr>
          <w:p>
            <w:pPr>
              <w:jc w:val="center"/>
              <w:ind w:left="24"/>
              <w:spacing w:after="0"/>
              <w:rPr>
                <w:sz w:val="20"/>
                <w:szCs w:val="20"/>
                <w:color w:val="auto"/>
              </w:rPr>
            </w:pPr>
            <w:r>
              <w:rPr>
                <w:rFonts w:ascii="Arial" w:cs="Arial" w:eastAsia="Arial" w:hAnsi="Arial"/>
                <w:sz w:val="18"/>
                <w:szCs w:val="18"/>
                <w:color w:val="0000FF"/>
                <w:w w:val="84"/>
              </w:rPr>
              <w:t>225,000</w:t>
            </w:r>
            <w:r>
              <w:rPr>
                <w:rFonts w:ascii="Arial" w:cs="Arial" w:eastAsia="Arial" w:hAnsi="Arial"/>
                <w:sz w:val="22"/>
                <w:szCs w:val="22"/>
                <w:color w:val="008000"/>
                <w:w w:val="84"/>
                <w:vertAlign w:val="superscript"/>
              </w:rPr>
              <w:t>(1)</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8.14</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3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(5)</w:t>
            </w:r>
          </w:p>
        </w:tc>
        <w:tc>
          <w:tcPr>
            <w:tcW w:w="740" w:type="dxa"/>
            <w:vAlign w:val="bottom"/>
            <w:tcBorders>
              <w:bottom w:val="single" w:sz="8" w:color="2C2C2C"/>
            </w:tcBorders>
          </w:tcPr>
          <w:p>
            <w:pPr>
              <w:jc w:val="center"/>
              <w:ind w:left="16"/>
              <w:spacing w:after="0"/>
              <w:rPr>
                <w:sz w:val="20"/>
                <w:szCs w:val="20"/>
                <w:color w:val="auto"/>
              </w:rPr>
            </w:pPr>
            <w:r>
              <w:rPr>
                <w:rFonts w:ascii="Arial" w:cs="Arial" w:eastAsia="Arial" w:hAnsi="Arial"/>
                <w:sz w:val="14"/>
                <w:szCs w:val="14"/>
                <w:color w:val="0000FF"/>
                <w:w w:val="88"/>
              </w:rPr>
              <w:t>02/06/2029</w:t>
            </w:r>
          </w:p>
        </w:tc>
        <w:tc>
          <w:tcPr>
            <w:tcW w:w="198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Borders>
              <w:bottom w:val="single" w:sz="8" w:color="2C2C2C"/>
            </w:tcBorders>
          </w:tcPr>
          <w:p>
            <w:pPr>
              <w:jc w:val="center"/>
              <w:ind w:left="24"/>
              <w:spacing w:after="0"/>
              <w:rPr>
                <w:sz w:val="20"/>
                <w:szCs w:val="20"/>
                <w:color w:val="auto"/>
              </w:rPr>
            </w:pPr>
            <w:r>
              <w:rPr>
                <w:rFonts w:ascii="Arial" w:cs="Arial" w:eastAsia="Arial" w:hAnsi="Arial"/>
                <w:sz w:val="18"/>
                <w:szCs w:val="18"/>
                <w:color w:val="0000FF"/>
                <w:w w:val="84"/>
              </w:rPr>
              <w:t>50,000</w:t>
            </w:r>
            <w:r>
              <w:rPr>
                <w:rFonts w:ascii="Arial" w:cs="Arial" w:eastAsia="Arial" w:hAnsi="Arial"/>
                <w:sz w:val="22"/>
                <w:szCs w:val="22"/>
                <w:color w:val="008000"/>
                <w:w w:val="84"/>
                <w:vertAlign w:val="superscript"/>
              </w:rPr>
              <w:t>(1)</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12.06</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A Convertible Preferred Stock</w:t>
            </w:r>
          </w:p>
        </w:tc>
        <w:tc>
          <w:tcPr>
            <w:tcW w:w="13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(6)</w:t>
            </w:r>
          </w:p>
        </w:tc>
        <w:tc>
          <w:tcPr>
            <w:tcW w:w="740" w:type="dxa"/>
            <w:vAlign w:val="bottom"/>
            <w:tcBorders>
              <w:bottom w:val="single" w:sz="8" w:color="2C2C2C"/>
            </w:tcBorders>
          </w:tcPr>
          <w:p>
            <w:pPr>
              <w:jc w:val="center"/>
              <w:ind w:left="16"/>
              <w:spacing w:after="0"/>
              <w:rPr>
                <w:sz w:val="20"/>
                <w:szCs w:val="20"/>
                <w:color w:val="auto"/>
              </w:rPr>
            </w:pPr>
            <w:r>
              <w:rPr>
                <w:rFonts w:ascii="Arial" w:cs="Arial" w:eastAsia="Arial" w:hAnsi="Arial"/>
                <w:sz w:val="11"/>
                <w:szCs w:val="11"/>
                <w:color w:val="008000"/>
              </w:rPr>
              <w:t>(6)</w:t>
            </w:r>
          </w:p>
        </w:tc>
        <w:tc>
          <w:tcPr>
            <w:tcW w:w="198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Borders>
              <w:bottom w:val="single" w:sz="8" w:color="2C2C2C"/>
            </w:tcBorders>
          </w:tcPr>
          <w:p>
            <w:pPr>
              <w:jc w:val="center"/>
              <w:ind w:left="24"/>
              <w:spacing w:after="0"/>
              <w:rPr>
                <w:sz w:val="20"/>
                <w:szCs w:val="20"/>
                <w:color w:val="auto"/>
              </w:rPr>
            </w:pPr>
            <w:r>
              <w:rPr>
                <w:rFonts w:ascii="Arial" w:cs="Arial" w:eastAsia="Arial" w:hAnsi="Arial"/>
                <w:sz w:val="18"/>
                <w:szCs w:val="18"/>
                <w:color w:val="0000FF"/>
                <w:w w:val="84"/>
              </w:rPr>
              <w:t>50,000</w:t>
            </w:r>
            <w:r>
              <w:rPr>
                <w:rFonts w:ascii="Arial" w:cs="Arial" w:eastAsia="Arial" w:hAnsi="Arial"/>
                <w:sz w:val="22"/>
                <w:szCs w:val="22"/>
                <w:color w:val="008000"/>
                <w:w w:val="84"/>
                <w:vertAlign w:val="superscript"/>
              </w:rPr>
              <w:t>(6)</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53"/>
              <w:spacing w:after="0"/>
              <w:rPr>
                <w:sz w:val="20"/>
                <w:szCs w:val="20"/>
                <w:color w:val="auto"/>
              </w:rPr>
            </w:pPr>
            <w:r>
              <w:rPr>
                <w:rFonts w:ascii="Arial" w:cs="Arial" w:eastAsia="Arial" w:hAnsi="Arial"/>
                <w:sz w:val="11"/>
                <w:szCs w:val="11"/>
                <w:color w:val="008000"/>
                <w:w w:val="88"/>
              </w:rPr>
              <w:t>(6)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B Convertible Preferred Stock</w:t>
            </w:r>
          </w:p>
        </w:tc>
        <w:tc>
          <w:tcPr>
            <w:tcW w:w="13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(6)</w:t>
            </w:r>
          </w:p>
        </w:tc>
        <w:tc>
          <w:tcPr>
            <w:tcW w:w="740" w:type="dxa"/>
            <w:vAlign w:val="bottom"/>
            <w:tcBorders>
              <w:bottom w:val="single" w:sz="8" w:color="2C2C2C"/>
            </w:tcBorders>
          </w:tcPr>
          <w:p>
            <w:pPr>
              <w:jc w:val="center"/>
              <w:ind w:left="16"/>
              <w:spacing w:after="0"/>
              <w:rPr>
                <w:sz w:val="20"/>
                <w:szCs w:val="20"/>
                <w:color w:val="auto"/>
              </w:rPr>
            </w:pPr>
            <w:r>
              <w:rPr>
                <w:rFonts w:ascii="Arial" w:cs="Arial" w:eastAsia="Arial" w:hAnsi="Arial"/>
                <w:sz w:val="11"/>
                <w:szCs w:val="11"/>
                <w:color w:val="008000"/>
              </w:rPr>
              <w:t>(6)</w:t>
            </w:r>
          </w:p>
        </w:tc>
        <w:tc>
          <w:tcPr>
            <w:tcW w:w="198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Borders>
              <w:bottom w:val="single" w:sz="8" w:color="2C2C2C"/>
            </w:tcBorders>
          </w:tcPr>
          <w:p>
            <w:pPr>
              <w:jc w:val="center"/>
              <w:ind w:left="24"/>
              <w:spacing w:after="0"/>
              <w:rPr>
                <w:sz w:val="20"/>
                <w:szCs w:val="20"/>
                <w:color w:val="auto"/>
              </w:rPr>
            </w:pPr>
            <w:r>
              <w:rPr>
                <w:rFonts w:ascii="Arial" w:cs="Arial" w:eastAsia="Arial" w:hAnsi="Arial"/>
                <w:sz w:val="18"/>
                <w:szCs w:val="18"/>
                <w:color w:val="0000FF"/>
                <w:w w:val="85"/>
              </w:rPr>
              <w:t>6,668</w:t>
            </w:r>
            <w:r>
              <w:rPr>
                <w:rFonts w:ascii="Arial" w:cs="Arial" w:eastAsia="Arial" w:hAnsi="Arial"/>
                <w:sz w:val="22"/>
                <w:szCs w:val="22"/>
                <w:color w:val="008000"/>
                <w:w w:val="85"/>
                <w:vertAlign w:val="superscript"/>
              </w:rPr>
              <w:t>(6)</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53"/>
              <w:spacing w:after="0"/>
              <w:rPr>
                <w:sz w:val="20"/>
                <w:szCs w:val="20"/>
                <w:color w:val="auto"/>
              </w:rPr>
            </w:pPr>
            <w:r>
              <w:rPr>
                <w:rFonts w:ascii="Arial" w:cs="Arial" w:eastAsia="Arial" w:hAnsi="Arial"/>
                <w:sz w:val="11"/>
                <w:szCs w:val="11"/>
                <w:color w:val="008000"/>
                <w:w w:val="88"/>
              </w:rPr>
              <w:t>(6)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 1-for-2 reverse stock split of the Company's issued and outstanding securities effective March 22, 2019.</w:t>
      </w:r>
    </w:p>
    <w:p>
      <w:pPr>
        <w:spacing w:after="0" w:line="41"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the number of shares of common stock that Mr. Rieflin early exercised, of which (i) 44,531 shares of common stock granted on January 27, 2016 remain unvested and (ii) 103,906 shares of common stock granted on January 20, 2017 remain unvested.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held by the Rieflin Family Trust U/A 4/3/00.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January 1, 2018, with 1/48th of the shares vesting on a monthly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stock option are early exercisable and vest over a four-year period commencing January 1, 2019, with 1/48th of the shares vesting on a monthly basis.</w:t>
      </w:r>
    </w:p>
    <w:p>
      <w:pPr>
        <w:spacing w:after="0" w:line="41" w:lineRule="exact"/>
        <w:rPr>
          <w:rFonts w:ascii="Arial" w:cs="Arial" w:eastAsia="Arial" w:hAnsi="Arial"/>
          <w:sz w:val="14"/>
          <w:szCs w:val="14"/>
          <w:color w:val="008000"/>
        </w:rPr>
      </w:pPr>
    </w:p>
    <w:p>
      <w:pPr>
        <w:ind w:left="40" w:right="6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number of shares of common stock reflects a 1-for-2 reverse stock split, which became effective March 22, 2019. Each share of the Issuer's Series A Preferred Stock and Series B Preferred Stock is convertible into the Issuer's common stock on a 1-for-2 basis and has no expiration date. The number of underlying shares of common stock reported in Column 3 reflects the 1-for-2 reverse stock split pursuant to which every 2 shares of Preferred Stock will convert into one share of common stock of the Issuer, effective upon the closing of the Issuer's initial public offering, for no additional consideration.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0000FF"/>
                <w:w w:val="93"/>
              </w:rPr>
              <w:t>/s/ William J. Rieflin</w:t>
            </w:r>
          </w:p>
        </w:tc>
        <w:tc>
          <w:tcPr>
            <w:tcW w:w="6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04/03/2019</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William J. Rieflin, David Woodhouse, or Aetna Wun Trombley, or any of them signing singly, and with full power of substitution, the undersigned's true and lawful attorney-in-fact to:</w:t>
      </w:r>
    </w:p>
    <w:p>
      <w:pPr>
        <w:spacing w:after="0" w:line="5"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4" w:lineRule="exact"/>
        <w:rPr>
          <w:rFonts w:ascii="Courier New" w:cs="Courier New" w:eastAsia="Courier New" w:hAnsi="Courier New"/>
          <w:sz w:val="18"/>
          <w:szCs w:val="18"/>
          <w:color w:val="auto"/>
        </w:rPr>
      </w:pPr>
    </w:p>
    <w:p>
      <w:pPr>
        <w:ind w:right="739" w:firstLine="8"/>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with the SEC and any stock exchange or similar authority; and</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August 16,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J. Rieflin</w:t>
      </w:r>
    </w:p>
    <w:p>
      <w:pPr>
        <w:spacing w:after="0" w:line="238" w:lineRule="auto"/>
        <w:rPr>
          <w:sz w:val="20"/>
          <w:szCs w:val="20"/>
          <w:color w:val="auto"/>
        </w:rPr>
      </w:pPr>
      <w:r>
        <w:rPr>
          <w:rFonts w:ascii="Courier New" w:cs="Courier New" w:eastAsia="Courier New" w:hAnsi="Courier New"/>
          <w:sz w:val="18"/>
          <w:szCs w:val="18"/>
          <w:color w:val="auto"/>
        </w:rPr>
        <w:t>William J. Rieflin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2471" TargetMode="External"/><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2019-12-24T04:29:37Z</dcterms:created>
  <dcterms:modified xsi:type="dcterms:W3CDTF">2019-12-24T04:29:37Z</dcterms:modified>
</cp:coreProperties>
</file>