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799"/>
              <w:spacing w:after="0"/>
              <w:rPr>
                <w:sz w:val="20"/>
                <w:szCs w:val="20"/>
                <w:color w:val="auto"/>
              </w:rPr>
            </w:pPr>
            <w:r>
              <w:rPr>
                <w:rFonts w:ascii="Arial" w:cs="Arial" w:eastAsia="Arial" w:hAnsi="Arial"/>
                <w:sz w:val="18"/>
                <w:szCs w:val="18"/>
                <w:b w:val="1"/>
                <w:bCs w:val="1"/>
                <w:color w:val="auto"/>
                <w:w w:val="93"/>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001-38853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26-1679911</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333 Oyster Point Boulevard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South San Francisco, California</w:t>
            </w:r>
          </w:p>
        </w:tc>
        <w:tc>
          <w:tcPr>
            <w:tcW w:w="2420" w:type="dxa"/>
            <w:vAlign w:val="bottom"/>
          </w:tcPr>
          <w:p>
            <w:pPr>
              <w:spacing w:after="0"/>
              <w:rPr>
                <w:sz w:val="20"/>
                <w:szCs w:val="20"/>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94080</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(650) 243-5555</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4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9"/>
              </w:rPr>
              <w:t>NGM</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On May 10, 2023, NGM Biopharmaceuticals,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held its 2023 annual meeting of stockholders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The following is a brief description of each matter voted on at the Annual Meeting, as well as the votes cast with respect to each matter, and if applicable, the number of abstentions and broker non-votes with respect to each matter. A more complete description of each matter can be found in the Company’s definitive proxy statement filed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March 29, 2023, as supplemented by the proxy supplement filed with the SEC on April 7, 2023.</w:t>
      </w:r>
    </w:p>
    <w:p>
      <w:pPr>
        <w:spacing w:after="0" w:line="336"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1.</w:t>
            </w:r>
          </w:p>
        </w:tc>
        <w:tc>
          <w:tcPr>
            <w:tcW w:w="68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Election of Directors</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9"/>
        </w:trPr>
        <w:tc>
          <w:tcPr>
            <w:tcW w:w="2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Votes</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Broker</w:t>
            </w:r>
          </w:p>
        </w:tc>
      </w:tr>
      <w:tr>
        <w:trPr>
          <w:trHeight w:val="171"/>
        </w:trPr>
        <w:tc>
          <w:tcPr>
            <w:tcW w:w="280" w:type="dxa"/>
            <w:vAlign w:val="bottom"/>
          </w:tcPr>
          <w:p>
            <w:pPr>
              <w:spacing w:after="0"/>
              <w:rPr>
                <w:sz w:val="14"/>
                <w:szCs w:val="14"/>
                <w:color w:val="auto"/>
              </w:rPr>
            </w:pPr>
          </w:p>
        </w:tc>
        <w:tc>
          <w:tcPr>
            <w:tcW w:w="6800" w:type="dxa"/>
            <w:vAlign w:val="bottom"/>
          </w:tcPr>
          <w:p>
            <w:pPr>
              <w:ind w:left="600"/>
              <w:spacing w:after="0"/>
              <w:rPr>
                <w:sz w:val="20"/>
                <w:szCs w:val="20"/>
                <w:color w:val="auto"/>
              </w:rPr>
            </w:pPr>
            <w:r>
              <w:rPr>
                <w:rFonts w:ascii="Arial" w:cs="Arial" w:eastAsia="Arial" w:hAnsi="Arial"/>
                <w:sz w:val="14"/>
                <w:szCs w:val="14"/>
                <w:b w:val="1"/>
                <w:bCs w:val="1"/>
                <w:color w:val="auto"/>
              </w:rPr>
              <w:t>Director Name</w:t>
            </w:r>
          </w:p>
        </w:tc>
        <w:tc>
          <w:tcPr>
            <w:tcW w:w="880" w:type="dxa"/>
            <w:vAlign w:val="bottom"/>
          </w:tcPr>
          <w:p>
            <w:pPr>
              <w:jc w:val="right"/>
              <w:ind w:right="55"/>
              <w:spacing w:after="0"/>
              <w:rPr>
                <w:sz w:val="20"/>
                <w:szCs w:val="20"/>
                <w:color w:val="auto"/>
              </w:rPr>
            </w:pPr>
            <w:r>
              <w:rPr>
                <w:rFonts w:ascii="Arial" w:cs="Arial" w:eastAsia="Arial" w:hAnsi="Arial"/>
                <w:sz w:val="14"/>
                <w:szCs w:val="14"/>
                <w:b w:val="1"/>
                <w:bCs w:val="1"/>
                <w:color w:val="auto"/>
              </w:rPr>
              <w:t>Votes For</w:t>
            </w:r>
          </w:p>
        </w:tc>
        <w:tc>
          <w:tcPr>
            <w:tcW w:w="2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Withheld</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Non-Votes</w:t>
            </w:r>
          </w:p>
        </w:tc>
      </w:tr>
      <w:tr>
        <w:trPr>
          <w:trHeight w:val="195"/>
        </w:trPr>
        <w:tc>
          <w:tcPr>
            <w:tcW w:w="280" w:type="dxa"/>
            <w:vAlign w:val="bottom"/>
          </w:tcPr>
          <w:p>
            <w:pPr>
              <w:spacing w:after="0"/>
              <w:rPr>
                <w:sz w:val="16"/>
                <w:szCs w:val="16"/>
                <w:color w:val="auto"/>
              </w:rPr>
            </w:pPr>
          </w:p>
        </w:tc>
        <w:tc>
          <w:tcPr>
            <w:tcW w:w="6800" w:type="dxa"/>
            <w:vAlign w:val="bottom"/>
          </w:tcPr>
          <w:p>
            <w:pPr>
              <w:ind w:left="600"/>
              <w:spacing w:after="0" w:line="195" w:lineRule="exact"/>
              <w:rPr>
                <w:sz w:val="20"/>
                <w:szCs w:val="20"/>
                <w:color w:val="auto"/>
              </w:rPr>
            </w:pPr>
            <w:r>
              <w:rPr>
                <w:rFonts w:ascii="Arial" w:cs="Arial" w:eastAsia="Arial" w:hAnsi="Arial"/>
                <w:sz w:val="18"/>
                <w:szCs w:val="18"/>
                <w:color w:val="auto"/>
              </w:rPr>
              <w:t>Shelly D. Guyer</w:t>
            </w: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52,955,436</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8,853,649</w:t>
            </w:r>
          </w:p>
        </w:tc>
        <w:tc>
          <w:tcPr>
            <w:tcW w:w="220" w:type="dxa"/>
            <w:vAlign w:val="bottom"/>
          </w:tcPr>
          <w:p>
            <w:pPr>
              <w:spacing w:after="0"/>
              <w:rPr>
                <w:sz w:val="16"/>
                <w:szCs w:val="16"/>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10,394,149</w:t>
            </w:r>
          </w:p>
        </w:tc>
        <w:tc>
          <w:tcPr>
            <w:tcW w:w="20" w:type="dxa"/>
            <w:vAlign w:val="bottom"/>
          </w:tcPr>
          <w:p>
            <w:pPr>
              <w:spacing w:after="0"/>
              <w:rPr>
                <w:sz w:val="16"/>
                <w:szCs w:val="16"/>
                <w:color w:val="auto"/>
              </w:rPr>
            </w:pPr>
          </w:p>
        </w:tc>
      </w:tr>
      <w:tr>
        <w:trPr>
          <w:trHeight w:val="216"/>
        </w:trPr>
        <w:tc>
          <w:tcPr>
            <w:tcW w:w="280" w:type="dxa"/>
            <w:vAlign w:val="bottom"/>
          </w:tcPr>
          <w:p>
            <w:pPr>
              <w:spacing w:after="0"/>
              <w:rPr>
                <w:sz w:val="18"/>
                <w:szCs w:val="18"/>
                <w:color w:val="auto"/>
              </w:rPr>
            </w:pPr>
          </w:p>
        </w:tc>
        <w:tc>
          <w:tcPr>
            <w:tcW w:w="6800" w:type="dxa"/>
            <w:vAlign w:val="bottom"/>
          </w:tcPr>
          <w:p>
            <w:pPr>
              <w:ind w:left="600"/>
              <w:spacing w:after="0"/>
              <w:rPr>
                <w:sz w:val="20"/>
                <w:szCs w:val="20"/>
                <w:color w:val="auto"/>
              </w:rPr>
            </w:pPr>
            <w:r>
              <w:rPr>
                <w:rFonts w:ascii="Arial" w:cs="Arial" w:eastAsia="Arial" w:hAnsi="Arial"/>
                <w:sz w:val="18"/>
                <w:szCs w:val="18"/>
                <w:color w:val="auto"/>
              </w:rPr>
              <w:t>Carole Ho, M.D.</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60,601,671</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1,207,414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10,394,149</w:t>
            </w:r>
          </w:p>
        </w:tc>
      </w:tr>
      <w:tr>
        <w:trPr>
          <w:trHeight w:val="230"/>
        </w:trPr>
        <w:tc>
          <w:tcPr>
            <w:tcW w:w="280" w:type="dxa"/>
            <w:vAlign w:val="bottom"/>
          </w:tcPr>
          <w:p>
            <w:pPr>
              <w:spacing w:after="0"/>
              <w:rPr>
                <w:sz w:val="20"/>
                <w:szCs w:val="20"/>
                <w:color w:val="auto"/>
              </w:rPr>
            </w:pPr>
          </w:p>
        </w:tc>
        <w:tc>
          <w:tcPr>
            <w:tcW w:w="6800" w:type="dxa"/>
            <w:vAlign w:val="bottom"/>
          </w:tcPr>
          <w:p>
            <w:pPr>
              <w:ind w:left="600"/>
              <w:spacing w:after="0"/>
              <w:rPr>
                <w:sz w:val="20"/>
                <w:szCs w:val="20"/>
                <w:color w:val="auto"/>
              </w:rPr>
            </w:pPr>
            <w:r>
              <w:rPr>
                <w:rFonts w:ascii="Arial" w:cs="Arial" w:eastAsia="Arial" w:hAnsi="Arial"/>
                <w:sz w:val="18"/>
                <w:szCs w:val="18"/>
                <w:color w:val="auto"/>
              </w:rPr>
              <w:t>William J. Rieflin</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60,233,209</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1,575,876</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10,394,149</w:t>
            </w:r>
          </w:p>
        </w:tc>
      </w:tr>
    </w:tbl>
    <w:p>
      <w:pPr>
        <w:spacing w:after="0" w:line="202"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The Class I director nominees were elected to hold office until the Company’s 2026 annual meeting of stockholders and until their successors are duly elected and qualified.</w:t>
      </w:r>
    </w:p>
    <w:p>
      <w:pPr>
        <w:spacing w:after="0" w:line="319" w:lineRule="exact"/>
        <w:rPr>
          <w:sz w:val="20"/>
          <w:szCs w:val="20"/>
          <w:color w:val="auto"/>
        </w:rPr>
      </w:pPr>
    </w:p>
    <w:p>
      <w:pPr>
        <w:ind w:left="444" w:hanging="444"/>
        <w:spacing w:after="0"/>
        <w:tabs>
          <w:tab w:leader="none" w:pos="444"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Advisory Vote on Executive Compensation</w:t>
      </w:r>
    </w:p>
    <w:p>
      <w:pPr>
        <w:spacing w:after="0" w:line="244" w:lineRule="exact"/>
        <w:rPr>
          <w:sz w:val="20"/>
          <w:szCs w:val="20"/>
          <w:color w:val="auto"/>
        </w:rPr>
      </w:pPr>
    </w:p>
    <w:tbl>
      <w:tblPr>
        <w:tblLayout w:type="fixed"/>
        <w:tblInd w:w="1584"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1580" w:type="dxa"/>
            <w:vAlign w:val="bottom"/>
            <w:gridSpan w:val="2"/>
          </w:tcPr>
          <w:p>
            <w:pPr>
              <w:jc w:val="center"/>
              <w:ind w:left="668"/>
              <w:spacing w:after="0"/>
              <w:rPr>
                <w:sz w:val="20"/>
                <w:szCs w:val="20"/>
                <w:color w:val="auto"/>
              </w:rPr>
            </w:pPr>
            <w:r>
              <w:rPr>
                <w:rFonts w:ascii="Arial" w:cs="Arial" w:eastAsia="Arial" w:hAnsi="Arial"/>
                <w:sz w:val="14"/>
                <w:szCs w:val="14"/>
                <w:b w:val="1"/>
                <w:bCs w:val="1"/>
                <w:color w:val="auto"/>
                <w:w w:val="89"/>
              </w:rPr>
              <w:t>Votes Against</w:t>
            </w:r>
          </w:p>
        </w:tc>
        <w:tc>
          <w:tcPr>
            <w:tcW w:w="2300" w:type="dxa"/>
            <w:vAlign w:val="bottom"/>
            <w:gridSpan w:val="2"/>
          </w:tcPr>
          <w:p>
            <w:pPr>
              <w:jc w:val="center"/>
              <w:ind w:left="1508"/>
              <w:spacing w:after="0"/>
              <w:rPr>
                <w:sz w:val="20"/>
                <w:szCs w:val="20"/>
                <w:color w:val="auto"/>
              </w:rPr>
            </w:pPr>
            <w:r>
              <w:rPr>
                <w:rFonts w:ascii="Arial" w:cs="Arial" w:eastAsia="Arial" w:hAnsi="Arial"/>
                <w:sz w:val="14"/>
                <w:szCs w:val="14"/>
                <w:b w:val="1"/>
                <w:bCs w:val="1"/>
                <w:color w:val="auto"/>
                <w:w w:val="88"/>
              </w:rPr>
              <w:t>Abstentions</w:t>
            </w:r>
          </w:p>
        </w:tc>
        <w:tc>
          <w:tcPr>
            <w:tcW w:w="14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24"/>
        </w:trPr>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4"/>
              </w:rPr>
              <w:t>60,368,696</w:t>
            </w: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1,409,151</w:t>
            </w:r>
          </w:p>
        </w:tc>
        <w:tc>
          <w:tcPr>
            <w:tcW w:w="1580" w:type="dxa"/>
            <w:vAlign w:val="bottom"/>
          </w:tcPr>
          <w:p>
            <w:pPr>
              <w:spacing w:after="0"/>
              <w:rPr>
                <w:sz w:val="19"/>
                <w:szCs w:val="19"/>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31,238</w:t>
            </w:r>
          </w:p>
        </w:tc>
        <w:tc>
          <w:tcPr>
            <w:tcW w:w="1440" w:type="dxa"/>
            <w:vAlign w:val="bottom"/>
          </w:tcPr>
          <w:p>
            <w:pPr>
              <w:spacing w:after="0"/>
              <w:rPr>
                <w:sz w:val="19"/>
                <w:szCs w:val="19"/>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10,394,149</w:t>
            </w:r>
          </w:p>
        </w:tc>
        <w:tc>
          <w:tcPr>
            <w:tcW w:w="20" w:type="dxa"/>
            <w:vAlign w:val="bottom"/>
          </w:tcPr>
          <w:p>
            <w:pPr>
              <w:spacing w:after="0"/>
              <w:rPr>
                <w:sz w:val="19"/>
                <w:szCs w:val="19"/>
                <w:color w:val="auto"/>
              </w:rPr>
            </w:pPr>
          </w:p>
        </w:tc>
      </w:tr>
    </w:tbl>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stockholders of the Company approved, on an advisory basis, the compensation of the Company’s named executive officers.</w:t>
      </w:r>
    </w:p>
    <w:p>
      <w:pPr>
        <w:spacing w:after="0" w:line="374" w:lineRule="exact"/>
        <w:rPr>
          <w:sz w:val="20"/>
          <w:szCs w:val="20"/>
          <w:color w:val="auto"/>
        </w:rPr>
      </w:pPr>
    </w:p>
    <w:p>
      <w:pPr>
        <w:ind w:left="444" w:hanging="444"/>
        <w:spacing w:after="0"/>
        <w:tabs>
          <w:tab w:leader="none" w:pos="444"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Ratification of Selection of Independent Registered Public Accounting Firm</w:t>
      </w:r>
    </w:p>
    <w:p>
      <w:pPr>
        <w:spacing w:after="0" w:line="244"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6000" w:type="dxa"/>
            <w:vAlign w:val="bottom"/>
          </w:tcPr>
          <w:p>
            <w:pPr>
              <w:spacing w:after="0"/>
              <w:rPr>
                <w:sz w:val="20"/>
                <w:szCs w:val="20"/>
                <w:color w:val="auto"/>
              </w:rPr>
            </w:pPr>
            <w:r>
              <w:rPr>
                <w:rFonts w:ascii="Arial" w:cs="Arial" w:eastAsia="Arial" w:hAnsi="Arial"/>
                <w:sz w:val="14"/>
                <w:szCs w:val="14"/>
                <w:b w:val="1"/>
                <w:bCs w:val="1"/>
                <w:color w:val="auto"/>
              </w:rPr>
              <w:t>Firm</w:t>
            </w: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Votes For</w:t>
            </w: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Votes Against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Abstentions</w:t>
            </w:r>
          </w:p>
        </w:tc>
      </w:tr>
      <w:tr>
        <w:trPr>
          <w:trHeight w:val="224"/>
        </w:trPr>
        <w:tc>
          <w:tcPr>
            <w:tcW w:w="6000" w:type="dxa"/>
            <w:vAlign w:val="bottom"/>
          </w:tcPr>
          <w:p>
            <w:pPr>
              <w:spacing w:after="0"/>
              <w:rPr>
                <w:sz w:val="20"/>
                <w:szCs w:val="20"/>
                <w:color w:val="auto"/>
              </w:rPr>
            </w:pPr>
            <w:r>
              <w:rPr>
                <w:rFonts w:ascii="Arial" w:cs="Arial" w:eastAsia="Arial" w:hAnsi="Arial"/>
                <w:sz w:val="18"/>
                <w:szCs w:val="18"/>
                <w:color w:val="auto"/>
              </w:rPr>
              <w:t>Ernst &amp; Young LLP</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72,140,866</w:t>
            </w:r>
          </w:p>
        </w:tc>
        <w:tc>
          <w:tcPr>
            <w:tcW w:w="3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45,858</w:t>
            </w:r>
          </w:p>
        </w:tc>
        <w:tc>
          <w:tcPr>
            <w:tcW w:w="4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16,510</w:t>
            </w:r>
          </w:p>
        </w:tc>
        <w:tc>
          <w:tcPr>
            <w:tcW w:w="20" w:type="dxa"/>
            <w:vAlign w:val="bottom"/>
          </w:tcPr>
          <w:p>
            <w:pPr>
              <w:spacing w:after="0"/>
              <w:rPr>
                <w:sz w:val="19"/>
                <w:szCs w:val="19"/>
                <w:color w:val="auto"/>
              </w:rPr>
            </w:pPr>
          </w:p>
        </w:tc>
      </w:tr>
    </w:tbl>
    <w:p>
      <w:pPr>
        <w:spacing w:after="0" w:line="187"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The Company’s stockholders ratified the selection of Ernst &amp; Young LLP as the Company’s independent registered public accounting firm for the fiscal year ending December 31, 2023.</w:t>
      </w:r>
    </w:p>
    <w:p>
      <w:pPr>
        <w:sectPr>
          <w:pgSz w:w="11900" w:h="16838" w:orient="portrait"/>
          <w:cols w:equalWidth="0" w:num="1">
            <w:col w:w="10984"/>
          </w:cols>
          <w:pgMar w:left="436" w:top="513" w:right="4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tabs>
          <w:tab w:leader="none" w:pos="2400" w:val="left"/>
          <w:tab w:leader="none" w:pos="2840" w:val="left"/>
        </w:tabs>
        <w:rPr>
          <w:sz w:val="20"/>
          <w:szCs w:val="20"/>
          <w:color w:val="auto"/>
        </w:rPr>
      </w:pPr>
      <w:r>
        <w:rPr>
          <w:rFonts w:ascii="Arial" w:cs="Arial" w:eastAsia="Arial" w:hAnsi="Arial"/>
          <w:sz w:val="18"/>
          <w:szCs w:val="18"/>
          <w:color w:val="auto"/>
        </w:rPr>
        <w:t>Dated: May 12,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Valerie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14605</wp:posOffset>
            </wp:positionV>
            <wp:extent cx="5177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pacing w:after="0" w:line="30"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Valerie Pierce</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Secretary, Senior Vice President, General Counsel and Chief Compliance Officer</w:t>
      </w:r>
    </w:p>
    <w:sectPr>
      <w:pgSz w:w="11900" w:h="16838" w:orient="portrait"/>
      <w:cols w:equalWidth="0" w:num="1">
        <w:col w:w="10980"/>
      </w:cols>
      <w:pgMar w:left="440" w:top="51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2023-05-12T15:22:22Z</dcterms:created>
  <dcterms:modified xsi:type="dcterms:W3CDTF">2023-05-12T15:22:22Z</dcterms:modified>
</cp:coreProperties>
</file>