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24" w:right="80" w:hanging="424"/>
        <w:spacing w:after="0" w:line="262" w:lineRule="auto"/>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4"/>
        <w:spacing w:after="0"/>
        <w:tabs>
          <w:tab w:leader="none" w:pos="6624"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26-1679911</w:t>
      </w:r>
    </w:p>
    <w:p>
      <w:pPr>
        <w:spacing w:after="0" w:line="24" w:lineRule="exact"/>
        <w:rPr>
          <w:sz w:val="24"/>
          <w:szCs w:val="24"/>
          <w:color w:val="auto"/>
        </w:rPr>
      </w:pPr>
    </w:p>
    <w:p>
      <w:pPr>
        <w:sectPr>
          <w:pgSz w:w="11900" w:h="16838" w:orient="portrait"/>
          <w:cols w:equalWidth="0" w:num="2">
            <w:col w:w="7184" w:space="720"/>
            <w:col w:w="3120"/>
          </w:cols>
          <w:pgMar w:left="436" w:top="376" w:right="439" w:bottom="0" w:gutter="0" w:footer="0" w:header="0"/>
          <w:type w:val="continuous"/>
        </w:sectPr>
      </w:pPr>
    </w:p>
    <w:p>
      <w:pPr>
        <w:ind w:left="188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4" w:space="720"/>
            <w:col w:w="3240"/>
          </w:cols>
          <w:pgMar w:left="436" w:top="376" w:right="439" w:bottom="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024"/>
          </w:cols>
          <w:pgMar w:left="436" w:top="376" w:right="439" w:bottom="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243-5555</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3"/>
                <w:szCs w:val="13"/>
                <w:color w:val="auto"/>
              </w:rPr>
            </w:pPr>
          </w:p>
        </w:tc>
        <w:tc>
          <w:tcPr>
            <w:tcW w:w="364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040" w:type="dxa"/>
            <w:vAlign w:val="bottom"/>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Securities Registered</w:t>
            </w:r>
          </w:p>
        </w:tc>
        <w:tc>
          <w:tcPr>
            <w:tcW w:w="480" w:type="dxa"/>
            <w:vAlign w:val="bottom"/>
          </w:tcPr>
          <w:p>
            <w:pPr>
              <w:spacing w:after="0"/>
              <w:rPr>
                <w:sz w:val="16"/>
                <w:szCs w:val="16"/>
                <w:color w:val="auto"/>
              </w:rPr>
            </w:pPr>
          </w:p>
        </w:tc>
        <w:tc>
          <w:tcPr>
            <w:tcW w:w="364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620" w:type="dxa"/>
            <w:vAlign w:val="bottom"/>
          </w:tcPr>
          <w:p>
            <w:pPr>
              <w:spacing w:after="0"/>
              <w:rPr>
                <w:sz w:val="16"/>
                <w:szCs w:val="16"/>
                <w:color w:val="auto"/>
              </w:rPr>
            </w:pPr>
          </w:p>
        </w:tc>
        <w:tc>
          <w:tcPr>
            <w:tcW w:w="2420" w:type="dxa"/>
            <w:vAlign w:val="bottom"/>
            <w:gridSpan w:val="2"/>
          </w:tcPr>
          <w:p>
            <w:pPr>
              <w:jc w:val="center"/>
              <w:ind w:right="103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410"/>
        </w:trPr>
        <w:tc>
          <w:tcPr>
            <w:tcW w:w="7980" w:type="dxa"/>
            <w:vAlign w:val="bottom"/>
            <w:gridSpan w:val="7"/>
          </w:tcPr>
          <w:p>
            <w:pPr>
              <w:ind w:left="30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40" w:type="dxa"/>
            <w:vAlign w:val="bottom"/>
            <w:gridSpan w:val="4"/>
          </w:tcPr>
          <w:p>
            <w:pPr>
              <w:spacing w:after="0"/>
              <w:rPr>
                <w:sz w:val="24"/>
                <w:szCs w:val="24"/>
                <w:color w:val="auto"/>
              </w:rPr>
            </w:pPr>
          </w:p>
        </w:tc>
        <w:tc>
          <w:tcPr>
            <w:tcW w:w="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8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4"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4"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4"/>
          </w:cols>
          <w:pgMar w:left="436" w:top="376" w:right="439" w:bottom="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4" w:space="720"/>
            <w:col w:w="5420" w:space="720"/>
            <w:col w:w="1600" w:space="720"/>
            <w:col w:w="220"/>
          </w:cols>
          <w:pgMar w:left="436" w:top="376" w:right="439" w:bottom="0" w:gutter="0" w:footer="0" w:header="0"/>
          <w:type w:val="continuous"/>
        </w:sectPr>
      </w:pPr>
    </w:p>
    <w:p>
      <w:pPr>
        <w:spacing w:after="0" w:line="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24" w:space="720"/>
            <w:col w:w="5420" w:space="720"/>
            <w:col w:w="1980" w:space="340"/>
            <w:col w:w="220"/>
          </w:cols>
          <w:pgMar w:left="436" w:top="376" w:right="439" w:bottom="0" w:gutter="0" w:footer="0" w:header="0"/>
          <w:type w:val="continuous"/>
        </w:sectPr>
      </w:pPr>
    </w:p>
    <w:bookmarkStart w:id="1" w:name="page2"/>
    <w:bookmarkEnd w:id="1"/>
    <w:p>
      <w:pPr>
        <w:spacing w:after="0" w:line="207" w:lineRule="exact"/>
        <w:tabs>
          <w:tab w:leader="none" w:pos="23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2021, the last business day of the registrant’s most recently completed second fiscal quarter, was approximately $755 million, calculated based on the closing price of the registrant’s common stock as reported by the Nasdaq Global Select Market. Excludes an aggregate of 39,014,460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2022, the number of outstanding shares of the registrant’s common stock, par value $0.001 per share, was 78,049,340.</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Firm ID</w:t>
            </w:r>
          </w:p>
        </w:tc>
        <w:tc>
          <w:tcPr>
            <w:tcW w:w="37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Auditor Name</w:t>
            </w:r>
          </w:p>
        </w:tc>
        <w:tc>
          <w:tcPr>
            <w:tcW w:w="46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Auditor Location</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PCAOB ID No. 42</w:t>
            </w:r>
          </w:p>
        </w:tc>
        <w:tc>
          <w:tcPr>
            <w:tcW w:w="37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Ernst &amp; Young LLP</w:t>
            </w:r>
          </w:p>
        </w:tc>
        <w:tc>
          <w:tcPr>
            <w:tcW w:w="4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Redwood City, California</w:t>
            </w:r>
          </w:p>
        </w:tc>
      </w:tr>
      <w:tr>
        <w:trPr>
          <w:trHeight w:val="230"/>
        </w:trPr>
        <w:tc>
          <w:tcPr>
            <w:tcW w:w="26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47"/>
        </w:trPr>
        <w:tc>
          <w:tcPr>
            <w:tcW w:w="262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06" w:right="439" w:bottom="1440" w:gutter="0" w:footer="0" w:header="0"/>
        </w:sectPr>
      </w:pPr>
    </w:p>
    <w:bookmarkStart w:id="2" w:name="page3"/>
    <w:bookmarkEnd w:id="2"/>
    <w:p>
      <w:pPr>
        <w:ind w:left="3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2022 Annual Meeting of Stockholders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ectPr>
          <w:pgSz w:w="11900" w:h="16838" w:orient="portrait"/>
          <w:cols w:equalWidth="0" w:num="1">
            <w:col w:w="10420"/>
          </w:cols>
          <w:pgMar w:left="440" w:top="293" w:right="1039" w:bottom="1440" w:gutter="0" w:footer="0" w:header="0"/>
        </w:sectPr>
      </w:pPr>
    </w:p>
    <w:bookmarkStart w:id="3" w:name="page4"/>
    <w:bookmarkEnd w:id="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NGM Biopharmaceuticals, Inc. (the “Company”) is filing this Amendment No. 1 (this “Amendment”) to its Annual Report on Form 10-K for the fiscal year ended December 31, 2021, as filed with the Securities and Exchange Commission (the “SEC”) on March 1, 2022 (the “Original Filing”) to correct an inadvertent error that was included in Exhibit 31.2 to the Original Filing. In the version of Exhibit 31.2 filed with the Original Filing, the phrase “and internal control over financial reporting (as defined in Exchange Act Rules 13a-15(f) and 15d-15(f))” was inadvertently omitted from the introductory language in Section 4 of such exhibit. The Company is filing this Amendment solely for the purpose of correcting the text of the certification contained in Exhibit 31.2 of the Original Filing.</w:t>
      </w:r>
    </w:p>
    <w:p>
      <w:pPr>
        <w:spacing w:after="0" w:line="187" w:lineRule="exact"/>
        <w:rPr>
          <w:sz w:val="20"/>
          <w:szCs w:val="20"/>
          <w:color w:val="auto"/>
        </w:rPr>
      </w:pPr>
    </w:p>
    <w:p>
      <w:pPr>
        <w:jc w:val="both"/>
        <w:ind w:left="4" w:right="140"/>
        <w:spacing w:after="0" w:line="261" w:lineRule="auto"/>
        <w:rPr>
          <w:sz w:val="20"/>
          <w:szCs w:val="20"/>
          <w:color w:val="auto"/>
        </w:rPr>
      </w:pPr>
      <w:r>
        <w:rPr>
          <w:rFonts w:ascii="Times New Roman" w:cs="Times New Roman" w:eastAsia="Times New Roman" w:hAnsi="Times New Roman"/>
          <w:sz w:val="18"/>
          <w:szCs w:val="18"/>
          <w:color w:val="auto"/>
        </w:rPr>
        <w:t>No attempt has been made in this Amendment to otherwise modify or update the other disclosures presented in the Original Filing. This Amendment does not reflect events occurring after the Original Filing (i.e., those events occurring after March 1, 2022) or modify or update those disclosures that may be affected by subsequent events. Such subsequent matters are addressed in subsequent reports filed with the SEC. Accordingly, this Amendment should be read in conjunction with the Original Filing and the Company’s other filings with the SEC.</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15. Exhibits, Consolidated Financial Statement Schedules.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exhibits are filed as part of this Amendment.</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964"/>
          </w:cols>
          <w:pgMar w:left="436" w:top="29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60" w:type="dxa"/>
            <w:vAlign w:val="bottom"/>
            <w:gridSpan w:val="4"/>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13a-14(a)/15d-14(a), as adopted</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13a-14(a)/15d-14(a), as adopted</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64" w:hanging="864"/>
        <w:spacing w:after="0"/>
        <w:tabs>
          <w:tab w:leader="none" w:pos="8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49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420" w:type="dxa"/>
            <w:vAlign w:val="bottom"/>
            <w:tcBorders>
              <w:top w:val="single" w:sz="8" w:color="auto"/>
            </w:tcBorders>
            <w:vMerge w:val="restart"/>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Borders>
              <w:top w:val="single" w:sz="8" w:color="auto"/>
            </w:tcBorders>
            <w:vMerge w:val="restart"/>
          </w:tcPr>
          <w:p>
            <w:pPr>
              <w:spacing w:after="0"/>
              <w:rPr>
                <w:sz w:val="10"/>
                <w:szCs w:val="10"/>
                <w:color w:val="auto"/>
              </w:rPr>
            </w:pPr>
          </w:p>
        </w:tc>
        <w:tc>
          <w:tcPr>
            <w:tcW w:w="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2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207" w:lineRule="exact"/>
        <w:rPr>
          <w:sz w:val="20"/>
          <w:szCs w:val="20"/>
          <w:color w:val="auto"/>
        </w:rPr>
      </w:pPr>
    </w:p>
    <w:p>
      <w:pPr>
        <w:sectPr>
          <w:pgSz w:w="11900" w:h="16838" w:orient="portrait"/>
          <w:cols w:equalWidth="0" w:num="2">
            <w:col w:w="7924" w:space="360"/>
            <w:col w:w="2680"/>
          </w:cols>
          <w:pgMar w:left="436" w:top="293" w:right="499" w:bottom="1440" w:gutter="0" w:footer="0" w:header="0"/>
          <w:type w:val="continuous"/>
        </w:sectPr>
      </w:pPr>
    </w:p>
    <w:p>
      <w:pPr>
        <w:spacing w:after="0" w:line="29"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May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May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Siobhan Nolan Mangini</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964"/>
          </w:cols>
          <w:pgMar w:left="436" w:top="293" w:right="49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David J. Woodhouse,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NGM Biopharmaceuticals,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20, 2022</w:t>
      </w:r>
    </w:p>
    <w:p>
      <w:pPr>
        <w:spacing w:after="0" w:line="252" w:lineRule="exact"/>
        <w:rPr>
          <w:sz w:val="20"/>
          <w:szCs w:val="20"/>
          <w:color w:val="auto"/>
        </w:rPr>
      </w:pPr>
    </w:p>
    <w:p>
      <w:pPr>
        <w:ind w:left="6624"/>
        <w:spacing w:after="0"/>
        <w:tabs>
          <w:tab w:leader="none" w:pos="812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024"/>
          </w:cols>
          <w:pgMar w:left="436"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Siobhan Nolan Mangini, certify that:</w:t>
      </w:r>
    </w:p>
    <w:p>
      <w:pPr>
        <w:spacing w:after="0" w:line="13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NGM Biopharmaceuticals,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20, 2022</w:t>
      </w:r>
    </w:p>
    <w:p>
      <w:pPr>
        <w:spacing w:after="0" w:line="225" w:lineRule="exact"/>
        <w:rPr>
          <w:sz w:val="20"/>
          <w:szCs w:val="20"/>
          <w:color w:val="auto"/>
        </w:rPr>
      </w:pPr>
    </w:p>
    <w:p>
      <w:pPr>
        <w:ind w:left="5624"/>
        <w:spacing w:after="0"/>
        <w:tabs>
          <w:tab w:leader="none" w:pos="754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Siobhan Nolan Mangini</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2022-05-20T15:52:36Z</dcterms:created>
  <dcterms:modified xsi:type="dcterms:W3CDTF">2022-05-20T15:52:36Z</dcterms:modified>
</cp:coreProperties>
</file>