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09" w:lineRule="exact"/>
        <w:rPr>
          <w:sz w:val="24"/>
          <w:szCs w:val="24"/>
          <w:color w:val="auto"/>
        </w:rPr>
      </w:pPr>
    </w:p>
    <w:p>
      <w:pPr>
        <w:ind w:left="3260"/>
        <w:spacing w:after="0"/>
        <w:rPr>
          <w:sz w:val="20"/>
          <w:szCs w:val="20"/>
          <w:color w:val="auto"/>
        </w:rPr>
      </w:pPr>
      <w:r>
        <w:rPr>
          <w:rFonts w:ascii="Arial" w:cs="Arial" w:eastAsia="Arial" w:hAnsi="Arial"/>
          <w:sz w:val="14"/>
          <w:szCs w:val="14"/>
          <w:b w:val="1"/>
          <w:bCs w:val="1"/>
          <w:color w:val="auto"/>
        </w:rPr>
        <w:t>As filed with the Securities and Exchange Commission on March 25, 2019.</w:t>
      </w:r>
    </w:p>
    <w:p>
      <w:pPr>
        <w:spacing w:after="0" w:line="12"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333-227608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235585</wp:posOffset>
            </wp:positionH>
            <wp:positionV relativeFrom="paragraph">
              <wp:posOffset>52705</wp:posOffset>
            </wp:positionV>
            <wp:extent cx="67849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84975" cy="8255"/>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94615</wp:posOffset>
            </wp:positionV>
            <wp:extent cx="67849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84975" cy="8255"/>
                    </a:xfrm>
                    <a:prstGeom prst="rect">
                      <a:avLst/>
                    </a:prstGeom>
                    <a:noFill/>
                  </pic:spPr>
                </pic:pic>
              </a:graphicData>
            </a:graphic>
          </wp:anchor>
        </w:drawing>
      </w:r>
    </w:p>
    <w:p>
      <w:pPr>
        <w:spacing w:after="0" w:line="187" w:lineRule="exact"/>
        <w:rPr>
          <w:sz w:val="24"/>
          <w:szCs w:val="24"/>
          <w:color w:val="auto"/>
        </w:rPr>
      </w:pPr>
    </w:p>
    <w:p>
      <w:pPr>
        <w:jc w:val="center"/>
        <w:ind w:right="-359"/>
        <w:spacing w:after="0"/>
        <w:rPr>
          <w:sz w:val="20"/>
          <w:szCs w:val="20"/>
          <w:color w:val="auto"/>
        </w:rPr>
      </w:pPr>
      <w:r>
        <w:rPr>
          <w:rFonts w:ascii="Arial" w:cs="Arial" w:eastAsia="Arial" w:hAnsi="Arial"/>
          <w:sz w:val="26"/>
          <w:szCs w:val="26"/>
          <w:b w:val="1"/>
          <w:bCs w:val="1"/>
          <w:color w:val="auto"/>
        </w:rPr>
        <w:t>UNITED STATES</w:t>
      </w:r>
    </w:p>
    <w:p>
      <w:pPr>
        <w:spacing w:after="0" w:line="34" w:lineRule="exact"/>
        <w:rPr>
          <w:sz w:val="24"/>
          <w:szCs w:val="24"/>
          <w:color w:val="auto"/>
        </w:rPr>
      </w:pPr>
    </w:p>
    <w:p>
      <w:pPr>
        <w:jc w:val="center"/>
        <w:ind w:right="-359"/>
        <w:spacing w:after="0"/>
        <w:rPr>
          <w:sz w:val="20"/>
          <w:szCs w:val="20"/>
          <w:color w:val="auto"/>
        </w:rPr>
      </w:pPr>
      <w:r>
        <w:rPr>
          <w:rFonts w:ascii="Arial" w:cs="Arial" w:eastAsia="Arial" w:hAnsi="Arial"/>
          <w:sz w:val="26"/>
          <w:szCs w:val="26"/>
          <w:b w:val="1"/>
          <w:bCs w:val="1"/>
          <w:color w:val="auto"/>
        </w:rPr>
        <w:t>SECURITIES AND EXCHANGE COMMISSION</w:t>
      </w:r>
    </w:p>
    <w:p>
      <w:pPr>
        <w:spacing w:after="0" w:line="5" w:lineRule="exact"/>
        <w:rPr>
          <w:sz w:val="24"/>
          <w:szCs w:val="24"/>
          <w:color w:val="auto"/>
        </w:rPr>
      </w:pPr>
    </w:p>
    <w:p>
      <w:pPr>
        <w:jc w:val="center"/>
        <w:ind w:right="-3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2913380</wp:posOffset>
            </wp:positionH>
            <wp:positionV relativeFrom="paragraph">
              <wp:posOffset>106680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80" w:lineRule="exact"/>
        <w:rPr>
          <w:sz w:val="24"/>
          <w:szCs w:val="24"/>
          <w:color w:val="auto"/>
        </w:rPr>
      </w:pPr>
    </w:p>
    <w:p>
      <w:pPr>
        <w:jc w:val="center"/>
        <w:ind w:right="-359"/>
        <w:spacing w:after="0"/>
        <w:rPr>
          <w:sz w:val="20"/>
          <w:szCs w:val="20"/>
          <w:color w:val="auto"/>
        </w:rPr>
      </w:pPr>
      <w:r>
        <w:rPr>
          <w:rFonts w:ascii="Arial" w:cs="Arial" w:eastAsia="Arial" w:hAnsi="Arial"/>
          <w:sz w:val="26"/>
          <w:szCs w:val="26"/>
          <w:b w:val="1"/>
          <w:bCs w:val="1"/>
          <w:color w:val="auto"/>
        </w:rPr>
        <w:t>AMENDMENT NO. 1</w:t>
      </w:r>
    </w:p>
    <w:p>
      <w:pPr>
        <w:spacing w:after="0" w:line="34" w:lineRule="exact"/>
        <w:rPr>
          <w:sz w:val="24"/>
          <w:szCs w:val="24"/>
          <w:color w:val="auto"/>
        </w:rPr>
      </w:pPr>
    </w:p>
    <w:p>
      <w:pPr>
        <w:jc w:val="center"/>
        <w:ind w:right="-359"/>
        <w:spacing w:after="0"/>
        <w:rPr>
          <w:sz w:val="20"/>
          <w:szCs w:val="20"/>
          <w:color w:val="auto"/>
        </w:rPr>
      </w:pPr>
      <w:r>
        <w:rPr>
          <w:rFonts w:ascii="Arial" w:cs="Arial" w:eastAsia="Arial" w:hAnsi="Arial"/>
          <w:sz w:val="26"/>
          <w:szCs w:val="26"/>
          <w:b w:val="1"/>
          <w:bCs w:val="1"/>
          <w:color w:val="auto"/>
        </w:rPr>
        <w:t>TO</w:t>
      </w:r>
    </w:p>
    <w:p>
      <w:pPr>
        <w:spacing w:after="0" w:line="2" w:lineRule="exact"/>
        <w:rPr>
          <w:sz w:val="24"/>
          <w:szCs w:val="24"/>
          <w:color w:val="auto"/>
        </w:rPr>
      </w:pPr>
    </w:p>
    <w:p>
      <w:pPr>
        <w:jc w:val="center"/>
        <w:ind w:right="-359"/>
        <w:spacing w:after="0"/>
        <w:rPr>
          <w:sz w:val="20"/>
          <w:szCs w:val="20"/>
          <w:color w:val="auto"/>
        </w:rPr>
      </w:pPr>
      <w:r>
        <w:rPr>
          <w:rFonts w:ascii="Arial" w:cs="Arial" w:eastAsia="Arial" w:hAnsi="Arial"/>
          <w:sz w:val="26"/>
          <w:szCs w:val="26"/>
          <w:b w:val="1"/>
          <w:bCs w:val="1"/>
          <w:color w:val="auto"/>
        </w:rPr>
        <w:t>FORM S-1</w:t>
      </w:r>
    </w:p>
    <w:p>
      <w:pPr>
        <w:spacing w:after="0" w:line="2" w:lineRule="exact"/>
        <w:rPr>
          <w:sz w:val="24"/>
          <w:szCs w:val="24"/>
          <w:color w:val="auto"/>
        </w:rPr>
      </w:pPr>
    </w:p>
    <w:p>
      <w:pPr>
        <w:jc w:val="center"/>
        <w:ind w:right="-359"/>
        <w:spacing w:after="0"/>
        <w:rPr>
          <w:sz w:val="20"/>
          <w:szCs w:val="20"/>
          <w:color w:val="auto"/>
        </w:rPr>
      </w:pPr>
      <w:r>
        <w:rPr>
          <w:rFonts w:ascii="Arial" w:cs="Arial" w:eastAsia="Arial" w:hAnsi="Arial"/>
          <w:sz w:val="26"/>
          <w:szCs w:val="26"/>
          <w:b w:val="1"/>
          <w:bCs w:val="1"/>
          <w:color w:val="auto"/>
        </w:rPr>
        <w:t>REGISTRATION STATEMENT</w:t>
      </w:r>
    </w:p>
    <w:p>
      <w:pPr>
        <w:spacing w:after="0" w:line="5" w:lineRule="exact"/>
        <w:rPr>
          <w:sz w:val="24"/>
          <w:szCs w:val="24"/>
          <w:color w:val="auto"/>
        </w:rPr>
      </w:pPr>
    </w:p>
    <w:p>
      <w:pPr>
        <w:jc w:val="center"/>
        <w:ind w:right="-359"/>
        <w:spacing w:after="0"/>
        <w:rPr>
          <w:sz w:val="20"/>
          <w:szCs w:val="20"/>
          <w:color w:val="auto"/>
        </w:rPr>
      </w:pPr>
      <w:r>
        <w:rPr>
          <w:rFonts w:ascii="Arial" w:cs="Arial" w:eastAsia="Arial" w:hAnsi="Arial"/>
          <w:sz w:val="16"/>
          <w:szCs w:val="16"/>
          <w:b w:val="1"/>
          <w:bCs w:val="1"/>
          <w:i w:val="1"/>
          <w:iCs w:val="1"/>
          <w:color w:val="auto"/>
        </w:rPr>
        <w:t>UNDER</w:t>
      </w:r>
    </w:p>
    <w:p>
      <w:pPr>
        <w:jc w:val="center"/>
        <w:ind w:right="-35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2913380</wp:posOffset>
            </wp:positionH>
            <wp:positionV relativeFrom="paragraph">
              <wp:posOffset>106680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68" w:lineRule="exact"/>
        <w:rPr>
          <w:sz w:val="24"/>
          <w:szCs w:val="24"/>
          <w:color w:val="auto"/>
        </w:rPr>
      </w:pPr>
    </w:p>
    <w:p>
      <w:pPr>
        <w:jc w:val="center"/>
        <w:ind w:right="-359"/>
        <w:spacing w:after="0"/>
        <w:rPr>
          <w:sz w:val="20"/>
          <w:szCs w:val="20"/>
          <w:color w:val="auto"/>
        </w:rPr>
      </w:pPr>
      <w:r>
        <w:rPr>
          <w:rFonts w:ascii="Arial" w:cs="Arial" w:eastAsia="Arial" w:hAnsi="Arial"/>
          <w:sz w:val="35"/>
          <w:szCs w:val="35"/>
          <w:b w:val="1"/>
          <w:bCs w:val="1"/>
          <w:color w:val="auto"/>
        </w:rPr>
        <w:t>NGM BIOPHARMACEUTICALS, INC.</w:t>
      </w:r>
    </w:p>
    <w:p>
      <w:pPr>
        <w:spacing w:after="0" w:line="54" w:lineRule="exact"/>
        <w:rPr>
          <w:sz w:val="24"/>
          <w:szCs w:val="24"/>
          <w:color w:val="auto"/>
        </w:rPr>
      </w:pPr>
    </w:p>
    <w:p>
      <w:pPr>
        <w:jc w:val="center"/>
        <w:ind w:right="-3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2913380</wp:posOffset>
            </wp:positionH>
            <wp:positionV relativeFrom="paragraph">
              <wp:posOffset>102870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36" w:lineRule="exact"/>
        <w:rPr>
          <w:sz w:val="24"/>
          <w:szCs w:val="24"/>
          <w:color w:val="auto"/>
        </w:rPr>
      </w:pPr>
    </w:p>
    <w:tbl>
      <w:tblPr>
        <w:tblLayout w:type="fixed"/>
        <w:tblInd w:w="1320" w:type="dxa"/>
        <w:tblCellMar>
          <w:top w:w="0" w:type="dxa"/>
          <w:left w:w="0" w:type="dxa"/>
          <w:bottom w:w="0" w:type="dxa"/>
          <w:right w:w="0" w:type="dxa"/>
        </w:tblCellMar>
      </w:tblPr>
      <w:tr>
        <w:trPr>
          <w:trHeight w:val="161"/>
        </w:trPr>
        <w:tc>
          <w:tcPr>
            <w:tcW w:w="2700" w:type="dxa"/>
            <w:vAlign w:val="bottom"/>
          </w:tcPr>
          <w:p>
            <w:pPr>
              <w:jc w:val="center"/>
              <w:ind w:right="896"/>
              <w:spacing w:after="0"/>
              <w:rPr>
                <w:sz w:val="20"/>
                <w:szCs w:val="20"/>
                <w:color w:val="auto"/>
              </w:rPr>
            </w:pPr>
            <w:r>
              <w:rPr>
                <w:rFonts w:ascii="Arial" w:cs="Arial" w:eastAsia="Arial" w:hAnsi="Arial"/>
                <w:sz w:val="14"/>
                <w:szCs w:val="14"/>
                <w:b w:val="1"/>
                <w:bCs w:val="1"/>
                <w:color w:val="auto"/>
              </w:rPr>
              <w:t>Delaware</w:t>
            </w:r>
          </w:p>
        </w:tc>
        <w:tc>
          <w:tcPr>
            <w:tcW w:w="3720" w:type="dxa"/>
            <w:vAlign w:val="bottom"/>
          </w:tcPr>
          <w:p>
            <w:pPr>
              <w:jc w:val="center"/>
              <w:ind w:right="36"/>
              <w:spacing w:after="0"/>
              <w:rPr>
                <w:sz w:val="20"/>
                <w:szCs w:val="20"/>
                <w:color w:val="auto"/>
              </w:rPr>
            </w:pPr>
            <w:r>
              <w:rPr>
                <w:rFonts w:ascii="Arial" w:cs="Arial" w:eastAsia="Arial" w:hAnsi="Arial"/>
                <w:sz w:val="14"/>
                <w:szCs w:val="14"/>
                <w:b w:val="1"/>
                <w:bCs w:val="1"/>
                <w:color w:val="auto"/>
                <w:w w:val="96"/>
              </w:rPr>
              <w:t>2834</w:t>
            </w:r>
          </w:p>
        </w:tc>
        <w:tc>
          <w:tcPr>
            <w:tcW w:w="2120" w:type="dxa"/>
            <w:vAlign w:val="bottom"/>
          </w:tcPr>
          <w:p>
            <w:pPr>
              <w:jc w:val="center"/>
              <w:ind w:left="1036"/>
              <w:spacing w:after="0"/>
              <w:rPr>
                <w:sz w:val="20"/>
                <w:szCs w:val="20"/>
                <w:color w:val="auto"/>
              </w:rPr>
            </w:pPr>
            <w:r>
              <w:rPr>
                <w:rFonts w:ascii="Arial" w:cs="Arial" w:eastAsia="Arial" w:hAnsi="Arial"/>
                <w:sz w:val="14"/>
                <w:szCs w:val="14"/>
                <w:b w:val="1"/>
                <w:bCs w:val="1"/>
                <w:color w:val="auto"/>
                <w:w w:val="98"/>
              </w:rPr>
              <w:t>26-1679911</w:t>
            </w:r>
          </w:p>
        </w:tc>
      </w:tr>
      <w:tr>
        <w:trPr>
          <w:trHeight w:val="131"/>
        </w:trPr>
        <w:tc>
          <w:tcPr>
            <w:tcW w:w="2700" w:type="dxa"/>
            <w:vAlign w:val="bottom"/>
          </w:tcPr>
          <w:p>
            <w:pPr>
              <w:jc w:val="center"/>
              <w:ind w:right="916"/>
              <w:spacing w:after="0" w:line="131" w:lineRule="exact"/>
              <w:rPr>
                <w:sz w:val="20"/>
                <w:szCs w:val="20"/>
                <w:color w:val="auto"/>
              </w:rPr>
            </w:pPr>
            <w:r>
              <w:rPr>
                <w:rFonts w:ascii="Arial" w:cs="Arial" w:eastAsia="Arial" w:hAnsi="Arial"/>
                <w:sz w:val="12"/>
                <w:szCs w:val="12"/>
                <w:b w:val="1"/>
                <w:bCs w:val="1"/>
                <w:color w:val="auto"/>
              </w:rPr>
              <w:t>(State or other jurisdiction of</w:t>
            </w:r>
          </w:p>
        </w:tc>
        <w:tc>
          <w:tcPr>
            <w:tcW w:w="3720" w:type="dxa"/>
            <w:vAlign w:val="bottom"/>
          </w:tcPr>
          <w:p>
            <w:pPr>
              <w:jc w:val="center"/>
              <w:ind w:right="56"/>
              <w:spacing w:after="0" w:line="131" w:lineRule="exact"/>
              <w:rPr>
                <w:sz w:val="20"/>
                <w:szCs w:val="20"/>
                <w:color w:val="auto"/>
              </w:rPr>
            </w:pPr>
            <w:r>
              <w:rPr>
                <w:rFonts w:ascii="Arial" w:cs="Arial" w:eastAsia="Arial" w:hAnsi="Arial"/>
                <w:sz w:val="12"/>
                <w:szCs w:val="12"/>
                <w:b w:val="1"/>
                <w:bCs w:val="1"/>
                <w:color w:val="auto"/>
              </w:rPr>
              <w:t>(Primary Standard Industrial</w:t>
            </w:r>
          </w:p>
        </w:tc>
        <w:tc>
          <w:tcPr>
            <w:tcW w:w="2120" w:type="dxa"/>
            <w:vAlign w:val="bottom"/>
          </w:tcPr>
          <w:p>
            <w:pPr>
              <w:jc w:val="center"/>
              <w:ind w:left="1036"/>
              <w:spacing w:after="0" w:line="131" w:lineRule="exact"/>
              <w:rPr>
                <w:sz w:val="20"/>
                <w:szCs w:val="20"/>
                <w:color w:val="auto"/>
              </w:rPr>
            </w:pPr>
            <w:r>
              <w:rPr>
                <w:rFonts w:ascii="Arial" w:cs="Arial" w:eastAsia="Arial" w:hAnsi="Arial"/>
                <w:sz w:val="12"/>
                <w:szCs w:val="12"/>
                <w:b w:val="1"/>
                <w:bCs w:val="1"/>
                <w:color w:val="auto"/>
              </w:rPr>
              <w:t>(I.R.S. Employer</w:t>
            </w:r>
          </w:p>
        </w:tc>
      </w:tr>
      <w:tr>
        <w:trPr>
          <w:trHeight w:val="161"/>
        </w:trPr>
        <w:tc>
          <w:tcPr>
            <w:tcW w:w="2700" w:type="dxa"/>
            <w:vAlign w:val="bottom"/>
          </w:tcPr>
          <w:p>
            <w:pPr>
              <w:jc w:val="center"/>
              <w:ind w:right="896"/>
              <w:spacing w:after="0"/>
              <w:rPr>
                <w:sz w:val="20"/>
                <w:szCs w:val="20"/>
                <w:color w:val="auto"/>
              </w:rPr>
            </w:pPr>
            <w:r>
              <w:rPr>
                <w:rFonts w:ascii="Arial" w:cs="Arial" w:eastAsia="Arial" w:hAnsi="Arial"/>
                <w:sz w:val="12"/>
                <w:szCs w:val="12"/>
                <w:b w:val="1"/>
                <w:bCs w:val="1"/>
                <w:color w:val="auto"/>
              </w:rPr>
              <w:t>incorporation or organization)</w:t>
            </w:r>
          </w:p>
        </w:tc>
        <w:tc>
          <w:tcPr>
            <w:tcW w:w="3720" w:type="dxa"/>
            <w:vAlign w:val="bottom"/>
          </w:tcPr>
          <w:p>
            <w:pPr>
              <w:jc w:val="center"/>
              <w:ind w:right="36"/>
              <w:spacing w:after="0"/>
              <w:rPr>
                <w:sz w:val="20"/>
                <w:szCs w:val="20"/>
                <w:color w:val="auto"/>
              </w:rPr>
            </w:pPr>
            <w:r>
              <w:rPr>
                <w:rFonts w:ascii="Arial" w:cs="Arial" w:eastAsia="Arial" w:hAnsi="Arial"/>
                <w:sz w:val="12"/>
                <w:szCs w:val="12"/>
                <w:b w:val="1"/>
                <w:bCs w:val="1"/>
                <w:color w:val="auto"/>
              </w:rPr>
              <w:t>Classification Code Number)</w:t>
            </w:r>
          </w:p>
        </w:tc>
        <w:tc>
          <w:tcPr>
            <w:tcW w:w="2120" w:type="dxa"/>
            <w:vAlign w:val="bottom"/>
          </w:tcPr>
          <w:p>
            <w:pPr>
              <w:jc w:val="center"/>
              <w:ind w:left="1036"/>
              <w:spacing w:after="0"/>
              <w:rPr>
                <w:sz w:val="20"/>
                <w:szCs w:val="20"/>
                <w:color w:val="auto"/>
              </w:rPr>
            </w:pPr>
            <w:r>
              <w:rPr>
                <w:rFonts w:ascii="Arial" w:cs="Arial" w:eastAsia="Arial" w:hAnsi="Arial"/>
                <w:sz w:val="12"/>
                <w:szCs w:val="12"/>
                <w:b w:val="1"/>
                <w:bCs w:val="1"/>
                <w:color w:val="auto"/>
              </w:rPr>
              <w:t>Identification No.)</w:t>
            </w:r>
          </w:p>
        </w:tc>
      </w:tr>
    </w:tbl>
    <w:p>
      <w:pPr>
        <w:spacing w:after="0" w:line="44" w:lineRule="exact"/>
        <w:rPr>
          <w:sz w:val="24"/>
          <w:szCs w:val="24"/>
          <w:color w:val="auto"/>
        </w:rPr>
      </w:pPr>
    </w:p>
    <w:p>
      <w:pPr>
        <w:jc w:val="center"/>
        <w:ind w:right="-359"/>
        <w:spacing w:after="0"/>
        <w:rPr>
          <w:sz w:val="20"/>
          <w:szCs w:val="20"/>
          <w:color w:val="auto"/>
        </w:rPr>
      </w:pPr>
      <w:r>
        <w:rPr>
          <w:rFonts w:ascii="Arial" w:cs="Arial" w:eastAsia="Arial" w:hAnsi="Arial"/>
          <w:sz w:val="14"/>
          <w:szCs w:val="14"/>
          <w:b w:val="1"/>
          <w:bCs w:val="1"/>
          <w:color w:val="auto"/>
        </w:rPr>
        <w:t>333 Oyster Point Boulevard</w:t>
      </w:r>
    </w:p>
    <w:p>
      <w:pPr>
        <w:spacing w:after="0" w:line="8" w:lineRule="exact"/>
        <w:rPr>
          <w:sz w:val="24"/>
          <w:szCs w:val="24"/>
          <w:color w:val="auto"/>
        </w:rPr>
      </w:pPr>
    </w:p>
    <w:p>
      <w:pPr>
        <w:jc w:val="center"/>
        <w:ind w:right="-359"/>
        <w:spacing w:after="0"/>
        <w:rPr>
          <w:sz w:val="20"/>
          <w:szCs w:val="20"/>
          <w:color w:val="auto"/>
        </w:rPr>
      </w:pPr>
      <w:r>
        <w:rPr>
          <w:rFonts w:ascii="Arial" w:cs="Arial" w:eastAsia="Arial" w:hAnsi="Arial"/>
          <w:sz w:val="14"/>
          <w:szCs w:val="14"/>
          <w:b w:val="1"/>
          <w:bCs w:val="1"/>
          <w:color w:val="auto"/>
        </w:rPr>
        <w:t>South San Francisco, CA 94080</w:t>
      </w:r>
    </w:p>
    <w:p>
      <w:pPr>
        <w:jc w:val="center"/>
        <w:ind w:right="-359"/>
        <w:spacing w:after="0" w:line="218" w:lineRule="auto"/>
        <w:rPr>
          <w:sz w:val="20"/>
          <w:szCs w:val="20"/>
          <w:color w:val="auto"/>
        </w:rPr>
      </w:pPr>
      <w:r>
        <w:rPr>
          <w:rFonts w:ascii="Arial" w:cs="Arial" w:eastAsia="Arial" w:hAnsi="Arial"/>
          <w:sz w:val="14"/>
          <w:szCs w:val="14"/>
          <w:b w:val="1"/>
          <w:bCs w:val="1"/>
          <w:color w:val="auto"/>
        </w:rPr>
        <w:t>(650) 243-5555</w:t>
      </w:r>
    </w:p>
    <w:p>
      <w:pPr>
        <w:ind w:left="2360"/>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2913380</wp:posOffset>
            </wp:positionH>
            <wp:positionV relativeFrom="paragraph">
              <wp:posOffset>107315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3" w:lineRule="exact"/>
        <w:rPr>
          <w:sz w:val="24"/>
          <w:szCs w:val="24"/>
          <w:color w:val="auto"/>
        </w:rPr>
      </w:pPr>
    </w:p>
    <w:p>
      <w:pPr>
        <w:jc w:val="center"/>
        <w:ind w:right="-359"/>
        <w:spacing w:after="0"/>
        <w:rPr>
          <w:sz w:val="20"/>
          <w:szCs w:val="20"/>
          <w:color w:val="auto"/>
        </w:rPr>
      </w:pPr>
      <w:r>
        <w:rPr>
          <w:rFonts w:ascii="Arial" w:cs="Arial" w:eastAsia="Arial" w:hAnsi="Arial"/>
          <w:sz w:val="14"/>
          <w:szCs w:val="14"/>
          <w:b w:val="1"/>
          <w:bCs w:val="1"/>
          <w:color w:val="auto"/>
        </w:rPr>
        <w:t>David J. Woodhouse, Ph.D.</w:t>
      </w:r>
    </w:p>
    <w:p>
      <w:pPr>
        <w:spacing w:after="0" w:line="8" w:lineRule="exact"/>
        <w:rPr>
          <w:sz w:val="24"/>
          <w:szCs w:val="24"/>
          <w:color w:val="auto"/>
        </w:rPr>
      </w:pPr>
    </w:p>
    <w:p>
      <w:pPr>
        <w:jc w:val="center"/>
        <w:ind w:right="-359"/>
        <w:spacing w:after="0"/>
        <w:rPr>
          <w:sz w:val="20"/>
          <w:szCs w:val="20"/>
          <w:color w:val="auto"/>
        </w:rPr>
      </w:pPr>
      <w:r>
        <w:rPr>
          <w:rFonts w:ascii="Arial" w:cs="Arial" w:eastAsia="Arial" w:hAnsi="Arial"/>
          <w:sz w:val="14"/>
          <w:szCs w:val="14"/>
          <w:b w:val="1"/>
          <w:bCs w:val="1"/>
          <w:color w:val="auto"/>
        </w:rPr>
        <w:t>Chief Executive Officer and Acting Chief Financial Officer</w:t>
      </w:r>
    </w:p>
    <w:p>
      <w:pPr>
        <w:jc w:val="center"/>
        <w:ind w:right="-359"/>
        <w:spacing w:after="0" w:line="234" w:lineRule="auto"/>
        <w:rPr>
          <w:sz w:val="20"/>
          <w:szCs w:val="20"/>
          <w:color w:val="auto"/>
        </w:rPr>
      </w:pPr>
      <w:r>
        <w:rPr>
          <w:rFonts w:ascii="Arial" w:cs="Arial" w:eastAsia="Arial" w:hAnsi="Arial"/>
          <w:sz w:val="14"/>
          <w:szCs w:val="14"/>
          <w:b w:val="1"/>
          <w:bCs w:val="1"/>
          <w:color w:val="auto"/>
        </w:rPr>
        <w:t>NGM Biopharmaceuticals, Inc.</w:t>
      </w:r>
    </w:p>
    <w:p>
      <w:pPr>
        <w:jc w:val="center"/>
        <w:ind w:right="-359"/>
        <w:spacing w:after="0" w:line="234" w:lineRule="auto"/>
        <w:rPr>
          <w:sz w:val="20"/>
          <w:szCs w:val="20"/>
          <w:color w:val="auto"/>
        </w:rPr>
      </w:pPr>
      <w:r>
        <w:rPr>
          <w:rFonts w:ascii="Arial" w:cs="Arial" w:eastAsia="Arial" w:hAnsi="Arial"/>
          <w:sz w:val="14"/>
          <w:szCs w:val="14"/>
          <w:b w:val="1"/>
          <w:bCs w:val="1"/>
          <w:color w:val="auto"/>
        </w:rPr>
        <w:t>333 Oyster Point Boulevard</w:t>
      </w:r>
    </w:p>
    <w:p>
      <w:pPr>
        <w:jc w:val="center"/>
        <w:ind w:right="-359"/>
        <w:spacing w:after="0" w:line="234" w:lineRule="auto"/>
        <w:rPr>
          <w:sz w:val="20"/>
          <w:szCs w:val="20"/>
          <w:color w:val="auto"/>
        </w:rPr>
      </w:pPr>
      <w:r>
        <w:rPr>
          <w:rFonts w:ascii="Arial" w:cs="Arial" w:eastAsia="Arial" w:hAnsi="Arial"/>
          <w:sz w:val="14"/>
          <w:szCs w:val="14"/>
          <w:b w:val="1"/>
          <w:bCs w:val="1"/>
          <w:color w:val="auto"/>
        </w:rPr>
        <w:t>South San Francisco, CA 94080</w:t>
      </w:r>
    </w:p>
    <w:p>
      <w:pPr>
        <w:jc w:val="center"/>
        <w:ind w:right="-359"/>
        <w:spacing w:after="0" w:line="219" w:lineRule="auto"/>
        <w:rPr>
          <w:sz w:val="20"/>
          <w:szCs w:val="20"/>
          <w:color w:val="auto"/>
        </w:rPr>
      </w:pPr>
      <w:r>
        <w:rPr>
          <w:rFonts w:ascii="Arial" w:cs="Arial" w:eastAsia="Arial" w:hAnsi="Arial"/>
          <w:sz w:val="14"/>
          <w:szCs w:val="14"/>
          <w:b w:val="1"/>
          <w:bCs w:val="1"/>
          <w:color w:val="auto"/>
        </w:rPr>
        <w:t>(650) 243-5555</w:t>
      </w:r>
    </w:p>
    <w:p>
      <w:pPr>
        <w:ind w:left="2800"/>
        <w:spacing w:after="0"/>
        <w:rPr>
          <w:sz w:val="20"/>
          <w:szCs w:val="20"/>
          <w:color w:val="auto"/>
        </w:rPr>
      </w:pPr>
      <w:r>
        <w:rPr>
          <w:rFonts w:ascii="Arial" w:cs="Arial" w:eastAsia="Arial" w:hAnsi="Arial"/>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2913380</wp:posOffset>
            </wp:positionH>
            <wp:positionV relativeFrom="paragraph">
              <wp:posOffset>115570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16" w:lineRule="exact"/>
        <w:rPr>
          <w:sz w:val="24"/>
          <w:szCs w:val="24"/>
          <w:color w:val="auto"/>
        </w:rPr>
      </w:pPr>
    </w:p>
    <w:tbl>
      <w:tblPr>
        <w:tblLayout w:type="fixed"/>
        <w:tblInd w:w="2340" w:type="dxa"/>
        <w:tblCellMar>
          <w:top w:w="0" w:type="dxa"/>
          <w:left w:w="0" w:type="dxa"/>
          <w:bottom w:w="0" w:type="dxa"/>
          <w:right w:w="0" w:type="dxa"/>
        </w:tblCellMar>
      </w:tblPr>
      <w:tr>
        <w:trPr>
          <w:trHeight w:val="184"/>
        </w:trPr>
        <w:tc>
          <w:tcPr>
            <w:tcW w:w="2240" w:type="dxa"/>
            <w:vAlign w:val="bottom"/>
          </w:tcPr>
          <w:p>
            <w:pPr>
              <w:spacing w:after="0"/>
              <w:rPr>
                <w:sz w:val="16"/>
                <w:szCs w:val="16"/>
                <w:color w:val="auto"/>
              </w:rPr>
            </w:pPr>
          </w:p>
        </w:tc>
        <w:tc>
          <w:tcPr>
            <w:tcW w:w="4780" w:type="dxa"/>
            <w:vAlign w:val="bottom"/>
          </w:tcPr>
          <w:p>
            <w:pPr>
              <w:ind w:left="800"/>
              <w:spacing w:after="0"/>
              <w:rPr>
                <w:sz w:val="20"/>
                <w:szCs w:val="20"/>
                <w:color w:val="auto"/>
              </w:rPr>
            </w:pPr>
            <w:r>
              <w:rPr>
                <w:rFonts w:ascii="Arial" w:cs="Arial" w:eastAsia="Arial" w:hAnsi="Arial"/>
                <w:sz w:val="14"/>
                <w:szCs w:val="14"/>
                <w:b w:val="1"/>
                <w:bCs w:val="1"/>
                <w:i w:val="1"/>
                <w:iCs w:val="1"/>
                <w:color w:val="auto"/>
              </w:rPr>
              <w:t>Copies to:</w:t>
            </w:r>
          </w:p>
        </w:tc>
      </w:tr>
      <w:tr>
        <w:trPr>
          <w:trHeight w:val="195"/>
        </w:trPr>
        <w:tc>
          <w:tcPr>
            <w:tcW w:w="2240" w:type="dxa"/>
            <w:vAlign w:val="bottom"/>
          </w:tcPr>
          <w:p>
            <w:pPr>
              <w:jc w:val="center"/>
              <w:ind w:right="710"/>
              <w:spacing w:after="0"/>
              <w:rPr>
                <w:sz w:val="20"/>
                <w:szCs w:val="20"/>
                <w:color w:val="auto"/>
              </w:rPr>
            </w:pPr>
            <w:r>
              <w:rPr>
                <w:rFonts w:ascii="Arial" w:cs="Arial" w:eastAsia="Arial" w:hAnsi="Arial"/>
                <w:sz w:val="14"/>
                <w:szCs w:val="14"/>
                <w:b w:val="1"/>
                <w:bCs w:val="1"/>
                <w:color w:val="auto"/>
              </w:rPr>
              <w:t>Kenneth L. Guernsey</w:t>
            </w:r>
          </w:p>
        </w:tc>
        <w:tc>
          <w:tcPr>
            <w:tcW w:w="4780" w:type="dxa"/>
            <w:vAlign w:val="bottom"/>
          </w:tcPr>
          <w:p>
            <w:pPr>
              <w:jc w:val="center"/>
              <w:ind w:left="2930"/>
              <w:spacing w:after="0"/>
              <w:rPr>
                <w:sz w:val="20"/>
                <w:szCs w:val="20"/>
                <w:color w:val="auto"/>
              </w:rPr>
            </w:pPr>
            <w:r>
              <w:rPr>
                <w:rFonts w:ascii="Arial" w:cs="Arial" w:eastAsia="Arial" w:hAnsi="Arial"/>
                <w:sz w:val="14"/>
                <w:szCs w:val="14"/>
                <w:b w:val="1"/>
                <w:bCs w:val="1"/>
                <w:color w:val="auto"/>
                <w:w w:val="99"/>
              </w:rPr>
              <w:t>Bruce K. Dallas</w:t>
            </w:r>
          </w:p>
        </w:tc>
      </w:tr>
      <w:tr>
        <w:trPr>
          <w:trHeight w:val="157"/>
        </w:trPr>
        <w:tc>
          <w:tcPr>
            <w:tcW w:w="2240" w:type="dxa"/>
            <w:vAlign w:val="bottom"/>
          </w:tcPr>
          <w:p>
            <w:pPr>
              <w:jc w:val="center"/>
              <w:ind w:right="710"/>
              <w:spacing w:after="0" w:line="157" w:lineRule="exact"/>
              <w:rPr>
                <w:sz w:val="20"/>
                <w:szCs w:val="20"/>
                <w:color w:val="auto"/>
              </w:rPr>
            </w:pPr>
            <w:r>
              <w:rPr>
                <w:rFonts w:ascii="Arial" w:cs="Arial" w:eastAsia="Arial" w:hAnsi="Arial"/>
                <w:sz w:val="14"/>
                <w:szCs w:val="14"/>
                <w:b w:val="1"/>
                <w:bCs w:val="1"/>
                <w:color w:val="auto"/>
              </w:rPr>
              <w:t>Michael E. Tenta</w:t>
            </w:r>
          </w:p>
        </w:tc>
        <w:tc>
          <w:tcPr>
            <w:tcW w:w="4780" w:type="dxa"/>
            <w:vAlign w:val="bottom"/>
          </w:tcPr>
          <w:p>
            <w:pPr>
              <w:jc w:val="center"/>
              <w:ind w:left="2910"/>
              <w:spacing w:after="0" w:line="157" w:lineRule="exact"/>
              <w:rPr>
                <w:sz w:val="20"/>
                <w:szCs w:val="20"/>
                <w:color w:val="auto"/>
              </w:rPr>
            </w:pPr>
            <w:r>
              <w:rPr>
                <w:rFonts w:ascii="Arial" w:cs="Arial" w:eastAsia="Arial" w:hAnsi="Arial"/>
                <w:sz w:val="14"/>
                <w:szCs w:val="14"/>
                <w:b w:val="1"/>
                <w:bCs w:val="1"/>
                <w:color w:val="auto"/>
              </w:rPr>
              <w:t>Sarah K. Solum</w:t>
            </w:r>
          </w:p>
        </w:tc>
      </w:tr>
      <w:tr>
        <w:trPr>
          <w:trHeight w:val="157"/>
        </w:trPr>
        <w:tc>
          <w:tcPr>
            <w:tcW w:w="2240" w:type="dxa"/>
            <w:vAlign w:val="bottom"/>
          </w:tcPr>
          <w:p>
            <w:pPr>
              <w:jc w:val="center"/>
              <w:ind w:right="710"/>
              <w:spacing w:after="0" w:line="157" w:lineRule="exact"/>
              <w:rPr>
                <w:sz w:val="20"/>
                <w:szCs w:val="20"/>
                <w:color w:val="auto"/>
              </w:rPr>
            </w:pPr>
            <w:r>
              <w:rPr>
                <w:rFonts w:ascii="Arial" w:cs="Arial" w:eastAsia="Arial" w:hAnsi="Arial"/>
                <w:sz w:val="14"/>
                <w:szCs w:val="14"/>
                <w:b w:val="1"/>
                <w:bCs w:val="1"/>
                <w:color w:val="auto"/>
                <w:w w:val="99"/>
              </w:rPr>
              <w:t>J. Carlton Fleming</w:t>
            </w:r>
          </w:p>
        </w:tc>
        <w:tc>
          <w:tcPr>
            <w:tcW w:w="4780" w:type="dxa"/>
            <w:vAlign w:val="bottom"/>
          </w:tcPr>
          <w:p>
            <w:pPr>
              <w:jc w:val="center"/>
              <w:ind w:left="2910"/>
              <w:spacing w:after="0" w:line="157" w:lineRule="exact"/>
              <w:rPr>
                <w:sz w:val="20"/>
                <w:szCs w:val="20"/>
                <w:color w:val="auto"/>
              </w:rPr>
            </w:pPr>
            <w:r>
              <w:rPr>
                <w:rFonts w:ascii="Arial" w:cs="Arial" w:eastAsia="Arial" w:hAnsi="Arial"/>
                <w:sz w:val="14"/>
                <w:szCs w:val="14"/>
                <w:b w:val="1"/>
                <w:bCs w:val="1"/>
                <w:color w:val="auto"/>
                <w:w w:val="99"/>
              </w:rPr>
              <w:t>Davis Polk &amp; Wardwell LLP</w:t>
            </w:r>
          </w:p>
        </w:tc>
      </w:tr>
      <w:tr>
        <w:trPr>
          <w:trHeight w:val="157"/>
        </w:trPr>
        <w:tc>
          <w:tcPr>
            <w:tcW w:w="2240" w:type="dxa"/>
            <w:vAlign w:val="bottom"/>
          </w:tcPr>
          <w:p>
            <w:pPr>
              <w:jc w:val="center"/>
              <w:ind w:right="710"/>
              <w:spacing w:after="0" w:line="157" w:lineRule="exact"/>
              <w:rPr>
                <w:sz w:val="20"/>
                <w:szCs w:val="20"/>
                <w:color w:val="auto"/>
              </w:rPr>
            </w:pPr>
            <w:r>
              <w:rPr>
                <w:rFonts w:ascii="Arial" w:cs="Arial" w:eastAsia="Arial" w:hAnsi="Arial"/>
                <w:sz w:val="14"/>
                <w:szCs w:val="14"/>
                <w:b w:val="1"/>
                <w:bCs w:val="1"/>
                <w:color w:val="auto"/>
              </w:rPr>
              <w:t>Cooley LLP</w:t>
            </w:r>
          </w:p>
        </w:tc>
        <w:tc>
          <w:tcPr>
            <w:tcW w:w="4780" w:type="dxa"/>
            <w:vAlign w:val="bottom"/>
          </w:tcPr>
          <w:p>
            <w:pPr>
              <w:jc w:val="center"/>
              <w:ind w:left="2910"/>
              <w:spacing w:after="0" w:line="157" w:lineRule="exact"/>
              <w:rPr>
                <w:sz w:val="20"/>
                <w:szCs w:val="20"/>
                <w:color w:val="auto"/>
              </w:rPr>
            </w:pPr>
            <w:r>
              <w:rPr>
                <w:rFonts w:ascii="Arial" w:cs="Arial" w:eastAsia="Arial" w:hAnsi="Arial"/>
                <w:sz w:val="14"/>
                <w:szCs w:val="14"/>
                <w:b w:val="1"/>
                <w:bCs w:val="1"/>
                <w:color w:val="auto"/>
                <w:w w:val="99"/>
              </w:rPr>
              <w:t>1600 El Camino Real</w:t>
            </w:r>
          </w:p>
        </w:tc>
      </w:tr>
      <w:tr>
        <w:trPr>
          <w:trHeight w:val="157"/>
        </w:trPr>
        <w:tc>
          <w:tcPr>
            <w:tcW w:w="2240" w:type="dxa"/>
            <w:vAlign w:val="bottom"/>
          </w:tcPr>
          <w:p>
            <w:pPr>
              <w:jc w:val="center"/>
              <w:ind w:right="710"/>
              <w:spacing w:after="0" w:line="157" w:lineRule="exact"/>
              <w:rPr>
                <w:sz w:val="20"/>
                <w:szCs w:val="20"/>
                <w:color w:val="auto"/>
              </w:rPr>
            </w:pPr>
            <w:r>
              <w:rPr>
                <w:rFonts w:ascii="Arial" w:cs="Arial" w:eastAsia="Arial" w:hAnsi="Arial"/>
                <w:sz w:val="14"/>
                <w:szCs w:val="14"/>
                <w:b w:val="1"/>
                <w:bCs w:val="1"/>
                <w:color w:val="auto"/>
                <w:w w:val="99"/>
              </w:rPr>
              <w:t>3175 Hanover Street</w:t>
            </w:r>
          </w:p>
        </w:tc>
        <w:tc>
          <w:tcPr>
            <w:tcW w:w="4780" w:type="dxa"/>
            <w:vAlign w:val="bottom"/>
          </w:tcPr>
          <w:p>
            <w:pPr>
              <w:jc w:val="center"/>
              <w:ind w:left="2910"/>
              <w:spacing w:after="0" w:line="157" w:lineRule="exact"/>
              <w:rPr>
                <w:sz w:val="20"/>
                <w:szCs w:val="20"/>
                <w:color w:val="auto"/>
              </w:rPr>
            </w:pPr>
            <w:r>
              <w:rPr>
                <w:rFonts w:ascii="Arial" w:cs="Arial" w:eastAsia="Arial" w:hAnsi="Arial"/>
                <w:sz w:val="14"/>
                <w:szCs w:val="14"/>
                <w:b w:val="1"/>
                <w:bCs w:val="1"/>
                <w:color w:val="auto"/>
                <w:w w:val="98"/>
              </w:rPr>
              <w:t>Menlo Park, CA 94025</w:t>
            </w:r>
          </w:p>
        </w:tc>
      </w:tr>
      <w:tr>
        <w:trPr>
          <w:trHeight w:val="157"/>
        </w:trPr>
        <w:tc>
          <w:tcPr>
            <w:tcW w:w="2240" w:type="dxa"/>
            <w:vAlign w:val="bottom"/>
          </w:tcPr>
          <w:p>
            <w:pPr>
              <w:jc w:val="center"/>
              <w:ind w:right="710"/>
              <w:spacing w:after="0" w:line="157" w:lineRule="exact"/>
              <w:rPr>
                <w:sz w:val="20"/>
                <w:szCs w:val="20"/>
                <w:color w:val="auto"/>
              </w:rPr>
            </w:pPr>
            <w:r>
              <w:rPr>
                <w:rFonts w:ascii="Arial" w:cs="Arial" w:eastAsia="Arial" w:hAnsi="Arial"/>
                <w:sz w:val="14"/>
                <w:szCs w:val="14"/>
                <w:b w:val="1"/>
                <w:bCs w:val="1"/>
                <w:color w:val="auto"/>
                <w:w w:val="98"/>
              </w:rPr>
              <w:t>Palo Alto, CA 94304</w:t>
            </w:r>
          </w:p>
        </w:tc>
        <w:tc>
          <w:tcPr>
            <w:tcW w:w="4780" w:type="dxa"/>
            <w:vAlign w:val="bottom"/>
          </w:tcPr>
          <w:p>
            <w:pPr>
              <w:jc w:val="center"/>
              <w:ind w:left="2930"/>
              <w:spacing w:after="0" w:line="157" w:lineRule="exact"/>
              <w:rPr>
                <w:sz w:val="20"/>
                <w:szCs w:val="20"/>
                <w:color w:val="auto"/>
              </w:rPr>
            </w:pPr>
            <w:r>
              <w:rPr>
                <w:rFonts w:ascii="Arial" w:cs="Arial" w:eastAsia="Arial" w:hAnsi="Arial"/>
                <w:sz w:val="14"/>
                <w:szCs w:val="14"/>
                <w:b w:val="1"/>
                <w:bCs w:val="1"/>
                <w:color w:val="auto"/>
                <w:w w:val="99"/>
              </w:rPr>
              <w:t>Phone: (650) 752-2000</w:t>
            </w:r>
          </w:p>
        </w:tc>
      </w:tr>
      <w:tr>
        <w:trPr>
          <w:trHeight w:val="184"/>
        </w:trPr>
        <w:tc>
          <w:tcPr>
            <w:tcW w:w="2240" w:type="dxa"/>
            <w:vAlign w:val="bottom"/>
          </w:tcPr>
          <w:p>
            <w:pPr>
              <w:jc w:val="center"/>
              <w:ind w:right="710"/>
              <w:spacing w:after="0"/>
              <w:rPr>
                <w:sz w:val="20"/>
                <w:szCs w:val="20"/>
                <w:color w:val="auto"/>
              </w:rPr>
            </w:pPr>
            <w:r>
              <w:rPr>
                <w:rFonts w:ascii="Arial" w:cs="Arial" w:eastAsia="Arial" w:hAnsi="Arial"/>
                <w:sz w:val="14"/>
                <w:szCs w:val="14"/>
                <w:b w:val="1"/>
                <w:bCs w:val="1"/>
                <w:color w:val="auto"/>
                <w:w w:val="99"/>
              </w:rPr>
              <w:t>Phone: (650) 843-5000</w:t>
            </w:r>
          </w:p>
        </w:tc>
        <w:tc>
          <w:tcPr>
            <w:tcW w:w="47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2913380</wp:posOffset>
            </wp:positionH>
            <wp:positionV relativeFrom="paragraph">
              <wp:posOffset>106680</wp:posOffset>
            </wp:positionV>
            <wp:extent cx="1430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2" w:lineRule="exact"/>
        <w:rPr>
          <w:sz w:val="24"/>
          <w:szCs w:val="24"/>
          <w:color w:val="auto"/>
        </w:rPr>
      </w:pPr>
    </w:p>
    <w:p>
      <w:pPr>
        <w:ind w:left="900"/>
        <w:spacing w:after="0"/>
        <w:rPr>
          <w:sz w:val="20"/>
          <w:szCs w:val="20"/>
          <w:color w:val="auto"/>
        </w:rPr>
      </w:pPr>
      <w:r>
        <w:rPr>
          <w:rFonts w:ascii="Arial" w:cs="Arial" w:eastAsia="Arial" w:hAnsi="Arial"/>
          <w:sz w:val="14"/>
          <w:szCs w:val="14"/>
          <w:b w:val="1"/>
          <w:bCs w:val="1"/>
          <w:color w:val="auto"/>
        </w:rPr>
        <w:t xml:space="preserve">Approximate date of commencement of proposed sale to public: </w:t>
      </w:r>
      <w:r>
        <w:rPr>
          <w:rFonts w:ascii="Arial" w:cs="Arial" w:eastAsia="Arial" w:hAnsi="Arial"/>
          <w:sz w:val="14"/>
          <w:szCs w:val="14"/>
          <w:color w:val="auto"/>
        </w:rPr>
        <w:t>As soon as practicable after this registration statement becomes effective.</w:t>
      </w:r>
    </w:p>
    <w:p>
      <w:pPr>
        <w:spacing w:after="0" w:line="65" w:lineRule="exact"/>
        <w:rPr>
          <w:sz w:val="24"/>
          <w:szCs w:val="24"/>
          <w:color w:val="auto"/>
        </w:rPr>
      </w:pPr>
    </w:p>
    <w:p>
      <w:pPr>
        <w:ind w:left="380" w:right="40" w:firstLine="534"/>
        <w:spacing w:after="0" w:line="17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0" w:lineRule="exact"/>
        <w:rPr>
          <w:sz w:val="24"/>
          <w:szCs w:val="24"/>
          <w:color w:val="auto"/>
        </w:rPr>
      </w:pPr>
    </w:p>
    <w:p>
      <w:pPr>
        <w:ind w:left="380" w:right="500" w:firstLine="534"/>
        <w:spacing w:after="0" w:line="17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0" w:lineRule="exact"/>
        <w:rPr>
          <w:sz w:val="24"/>
          <w:szCs w:val="24"/>
          <w:color w:val="auto"/>
        </w:rPr>
      </w:pPr>
    </w:p>
    <w:p>
      <w:pPr>
        <w:ind w:left="380" w:right="400" w:firstLine="534"/>
        <w:spacing w:after="0" w:line="17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0" w:lineRule="exact"/>
        <w:rPr>
          <w:sz w:val="24"/>
          <w:szCs w:val="24"/>
          <w:color w:val="auto"/>
        </w:rPr>
      </w:pPr>
    </w:p>
    <w:p>
      <w:pPr>
        <w:ind w:left="380" w:right="380" w:firstLine="534"/>
        <w:spacing w:after="0" w:line="17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0" w:lineRule="exact"/>
        <w:rPr>
          <w:sz w:val="24"/>
          <w:szCs w:val="24"/>
          <w:color w:val="auto"/>
        </w:rPr>
      </w:pPr>
    </w:p>
    <w:p>
      <w:pPr>
        <w:ind w:left="380" w:right="320" w:firstLine="534"/>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380" w:type="dxa"/>
        <w:tblCellMar>
          <w:top w:w="0" w:type="dxa"/>
          <w:left w:w="0" w:type="dxa"/>
          <w:bottom w:w="0" w:type="dxa"/>
          <w:right w:w="0" w:type="dxa"/>
        </w:tblCellMar>
      </w:tblPr>
      <w:tr>
        <w:trPr>
          <w:trHeight w:val="196"/>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0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460"/>
              <w:spacing w:after="0"/>
              <w:rPr>
                <w:sz w:val="20"/>
                <w:szCs w:val="20"/>
                <w:color w:val="auto"/>
              </w:rPr>
            </w:pPr>
            <w:r>
              <w:rPr>
                <w:rFonts w:ascii="Arial" w:cs="Arial" w:eastAsia="Arial" w:hAnsi="Arial"/>
                <w:sz w:val="14"/>
                <w:szCs w:val="14"/>
                <w:color w:val="auto"/>
              </w:rPr>
              <w:t>Accelerated filer</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96"/>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0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460"/>
              <w:spacing w:after="0"/>
              <w:rPr>
                <w:sz w:val="20"/>
                <w:szCs w:val="20"/>
                <w:color w:val="auto"/>
              </w:rPr>
            </w:pPr>
            <w:r>
              <w:rPr>
                <w:rFonts w:ascii="Arial" w:cs="Arial" w:eastAsia="Arial" w:hAnsi="Arial"/>
                <w:sz w:val="14"/>
                <w:szCs w:val="14"/>
                <w:color w:val="auto"/>
              </w:rPr>
              <w:t>Smaller reporting company</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8"/>
        </w:trPr>
        <w:tc>
          <w:tcPr>
            <w:tcW w:w="14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5240" w:type="dxa"/>
            <w:vAlign w:val="bottom"/>
          </w:tcPr>
          <w:p>
            <w:pPr>
              <w:ind w:left="3460"/>
              <w:spacing w:after="0"/>
              <w:rPr>
                <w:sz w:val="20"/>
                <w:szCs w:val="20"/>
                <w:color w:val="auto"/>
              </w:rPr>
            </w:pPr>
            <w:r>
              <w:rPr>
                <w:rFonts w:ascii="Arial" w:cs="Arial" w:eastAsia="Arial" w:hAnsi="Arial"/>
                <w:sz w:val="14"/>
                <w:szCs w:val="14"/>
                <w:color w:val="auto"/>
              </w:rPr>
              <w:t>Emerging growth company</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0" w:lineRule="exact"/>
        <w:rPr>
          <w:sz w:val="24"/>
          <w:szCs w:val="24"/>
          <w:color w:val="auto"/>
        </w:rPr>
      </w:pPr>
    </w:p>
    <w:p>
      <w:pPr>
        <w:ind w:left="380" w:right="100" w:firstLine="534"/>
        <w:spacing w:after="0" w:line="17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2913380</wp:posOffset>
            </wp:positionH>
            <wp:positionV relativeFrom="paragraph">
              <wp:posOffset>97790</wp:posOffset>
            </wp:positionV>
            <wp:extent cx="1430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88" w:lineRule="exact"/>
        <w:rPr>
          <w:sz w:val="24"/>
          <w:szCs w:val="24"/>
          <w:color w:val="auto"/>
        </w:rPr>
      </w:pPr>
    </w:p>
    <w:p>
      <w:pPr>
        <w:jc w:val="center"/>
        <w:ind w:right="-359"/>
        <w:spacing w:after="0"/>
        <w:rPr>
          <w:sz w:val="20"/>
          <w:szCs w:val="20"/>
          <w:color w:val="auto"/>
        </w:rPr>
      </w:pPr>
      <w:r>
        <w:rPr>
          <w:rFonts w:ascii="Arial" w:cs="Arial" w:eastAsia="Arial" w:hAnsi="Arial"/>
          <w:sz w:val="14"/>
          <w:szCs w:val="14"/>
          <w:b w:val="1"/>
          <w:bCs w:val="1"/>
          <w:color w:val="auto"/>
        </w:rPr>
        <w:t>CALCULATION OF REGISTRATION FEE</w:t>
      </w:r>
    </w:p>
    <w:p>
      <w:pPr>
        <w:spacing w:after="0" w:line="66" w:lineRule="exact"/>
        <w:rPr>
          <w:sz w:val="24"/>
          <w:szCs w:val="24"/>
          <w:color w:val="auto"/>
        </w:rPr>
      </w:pPr>
    </w:p>
    <w:tbl>
      <w:tblPr>
        <w:tblLayout w:type="fixed"/>
        <w:tblInd w:w="380" w:type="dxa"/>
        <w:tblCellMar>
          <w:top w:w="0" w:type="dxa"/>
          <w:left w:w="0" w:type="dxa"/>
          <w:bottom w:w="0" w:type="dxa"/>
          <w:right w:w="0" w:type="dxa"/>
        </w:tblCellMar>
      </w:tblPr>
      <w:tr>
        <w:trPr>
          <w:trHeight w:val="40"/>
        </w:trPr>
        <w:tc>
          <w:tcPr>
            <w:tcW w:w="44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r>
      <w:tr>
        <w:trPr>
          <w:trHeight w:val="90"/>
        </w:trPr>
        <w:tc>
          <w:tcPr>
            <w:tcW w:w="4400" w:type="dxa"/>
            <w:vAlign w:val="bottom"/>
            <w:tcBorders>
              <w:right w:val="single" w:sz="8" w:color="auto"/>
            </w:tcBorders>
          </w:tcPr>
          <w:p>
            <w:pPr>
              <w:spacing w:after="0"/>
              <w:rPr>
                <w:sz w:val="7"/>
                <w:szCs w:val="7"/>
                <w:color w:val="auto"/>
              </w:rPr>
            </w:pPr>
          </w:p>
        </w:tc>
        <w:tc>
          <w:tcPr>
            <w:tcW w:w="1600" w:type="dxa"/>
            <w:vAlign w:val="bottom"/>
            <w:tcBorders>
              <w:right w:val="single" w:sz="8" w:color="auto"/>
            </w:tcBorders>
          </w:tcPr>
          <w:p>
            <w:pPr>
              <w:spacing w:after="0"/>
              <w:rPr>
                <w:sz w:val="7"/>
                <w:szCs w:val="7"/>
                <w:color w:val="auto"/>
              </w:rPr>
            </w:pPr>
          </w:p>
        </w:tc>
        <w:tc>
          <w:tcPr>
            <w:tcW w:w="1600" w:type="dxa"/>
            <w:vAlign w:val="bottom"/>
            <w:tcBorders>
              <w:right w:val="single" w:sz="8" w:color="auto"/>
            </w:tcBorders>
          </w:tcPr>
          <w:p>
            <w:pPr>
              <w:jc w:val="center"/>
              <w:ind w:left="19"/>
              <w:spacing w:after="0" w:line="91" w:lineRule="exact"/>
              <w:rPr>
                <w:sz w:val="20"/>
                <w:szCs w:val="20"/>
                <w:color w:val="auto"/>
              </w:rPr>
            </w:pPr>
            <w:r>
              <w:rPr>
                <w:rFonts w:ascii="Arial" w:cs="Arial" w:eastAsia="Arial" w:hAnsi="Arial"/>
                <w:sz w:val="10"/>
                <w:szCs w:val="10"/>
                <w:b w:val="1"/>
                <w:bCs w:val="1"/>
                <w:color w:val="auto"/>
              </w:rPr>
              <w:t>Proposed</w:t>
            </w:r>
          </w:p>
        </w:tc>
        <w:tc>
          <w:tcPr>
            <w:tcW w:w="1600" w:type="dxa"/>
            <w:vAlign w:val="bottom"/>
            <w:tcBorders>
              <w:right w:val="single" w:sz="8" w:color="auto"/>
            </w:tcBorders>
          </w:tcPr>
          <w:p>
            <w:pPr>
              <w:jc w:val="center"/>
              <w:ind w:left="19"/>
              <w:spacing w:after="0" w:line="91" w:lineRule="exact"/>
              <w:rPr>
                <w:sz w:val="20"/>
                <w:szCs w:val="20"/>
                <w:color w:val="auto"/>
              </w:rPr>
            </w:pPr>
            <w:r>
              <w:rPr>
                <w:rFonts w:ascii="Arial" w:cs="Arial" w:eastAsia="Arial" w:hAnsi="Arial"/>
                <w:sz w:val="10"/>
                <w:szCs w:val="10"/>
                <w:b w:val="1"/>
                <w:bCs w:val="1"/>
                <w:color w:val="auto"/>
              </w:rPr>
              <w:t>Proposed</w:t>
            </w:r>
          </w:p>
        </w:tc>
        <w:tc>
          <w:tcPr>
            <w:tcW w:w="1480" w:type="dxa"/>
            <w:vAlign w:val="bottom"/>
          </w:tcPr>
          <w:p>
            <w:pPr>
              <w:spacing w:after="0"/>
              <w:rPr>
                <w:sz w:val="7"/>
                <w:szCs w:val="7"/>
                <w:color w:val="auto"/>
              </w:rPr>
            </w:pPr>
          </w:p>
        </w:tc>
      </w:tr>
      <w:tr>
        <w:trPr>
          <w:trHeight w:val="131"/>
        </w:trPr>
        <w:tc>
          <w:tcPr>
            <w:tcW w:w="440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jc w:val="center"/>
              <w:ind w:left="19"/>
              <w:spacing w:after="0" w:line="131" w:lineRule="exact"/>
              <w:rPr>
                <w:sz w:val="20"/>
                <w:szCs w:val="20"/>
                <w:color w:val="auto"/>
              </w:rPr>
            </w:pPr>
            <w:r>
              <w:rPr>
                <w:rFonts w:ascii="Arial" w:cs="Arial" w:eastAsia="Arial" w:hAnsi="Arial"/>
                <w:sz w:val="12"/>
                <w:szCs w:val="12"/>
                <w:b w:val="1"/>
                <w:bCs w:val="1"/>
                <w:color w:val="auto"/>
              </w:rPr>
              <w:t>Maximum</w:t>
            </w:r>
          </w:p>
        </w:tc>
        <w:tc>
          <w:tcPr>
            <w:tcW w:w="1600" w:type="dxa"/>
            <w:vAlign w:val="bottom"/>
            <w:tcBorders>
              <w:right w:val="single" w:sz="8" w:color="auto"/>
            </w:tcBorders>
          </w:tcPr>
          <w:p>
            <w:pPr>
              <w:jc w:val="center"/>
              <w:ind w:left="19"/>
              <w:spacing w:after="0" w:line="131" w:lineRule="exact"/>
              <w:rPr>
                <w:sz w:val="20"/>
                <w:szCs w:val="20"/>
                <w:color w:val="auto"/>
              </w:rPr>
            </w:pPr>
            <w:r>
              <w:rPr>
                <w:rFonts w:ascii="Arial" w:cs="Arial" w:eastAsia="Arial" w:hAnsi="Arial"/>
                <w:sz w:val="12"/>
                <w:szCs w:val="12"/>
                <w:b w:val="1"/>
                <w:bCs w:val="1"/>
                <w:color w:val="auto"/>
              </w:rPr>
              <w:t>Maximum</w:t>
            </w:r>
          </w:p>
        </w:tc>
        <w:tc>
          <w:tcPr>
            <w:tcW w:w="1480" w:type="dxa"/>
            <w:vAlign w:val="bottom"/>
          </w:tcPr>
          <w:p>
            <w:pPr>
              <w:spacing w:after="0"/>
              <w:rPr>
                <w:sz w:val="11"/>
                <w:szCs w:val="11"/>
                <w:color w:val="auto"/>
              </w:rPr>
            </w:pPr>
          </w:p>
        </w:tc>
      </w:tr>
      <w:tr>
        <w:trPr>
          <w:trHeight w:val="138"/>
        </w:trPr>
        <w:tc>
          <w:tcPr>
            <w:tcW w:w="44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Title of Each Class of</w:t>
            </w:r>
          </w:p>
        </w:tc>
        <w:tc>
          <w:tcPr>
            <w:tcW w:w="1600" w:type="dxa"/>
            <w:vAlign w:val="bottom"/>
            <w:tcBorders>
              <w:right w:val="single" w:sz="8" w:color="auto"/>
            </w:tcBorders>
          </w:tcPr>
          <w:p>
            <w:pPr>
              <w:jc w:val="center"/>
              <w:ind w:left="16"/>
              <w:spacing w:after="0"/>
              <w:rPr>
                <w:sz w:val="20"/>
                <w:szCs w:val="20"/>
                <w:color w:val="auto"/>
              </w:rPr>
            </w:pPr>
            <w:r>
              <w:rPr>
                <w:rFonts w:ascii="Arial" w:cs="Arial" w:eastAsia="Arial" w:hAnsi="Arial"/>
                <w:sz w:val="12"/>
                <w:szCs w:val="12"/>
                <w:b w:val="1"/>
                <w:bCs w:val="1"/>
                <w:color w:val="auto"/>
              </w:rPr>
              <w:t>Amount to be</w:t>
            </w:r>
          </w:p>
        </w:tc>
        <w:tc>
          <w:tcPr>
            <w:tcW w:w="1600" w:type="dxa"/>
            <w:vAlign w:val="bottom"/>
            <w:tcBorders>
              <w:right w:val="single" w:sz="8" w:color="auto"/>
            </w:tcBorders>
          </w:tcPr>
          <w:p>
            <w:pPr>
              <w:jc w:val="center"/>
              <w:ind w:left="19"/>
              <w:spacing w:after="0"/>
              <w:rPr>
                <w:sz w:val="20"/>
                <w:szCs w:val="20"/>
                <w:color w:val="auto"/>
              </w:rPr>
            </w:pPr>
            <w:r>
              <w:rPr>
                <w:rFonts w:ascii="Arial" w:cs="Arial" w:eastAsia="Arial" w:hAnsi="Arial"/>
                <w:sz w:val="12"/>
                <w:szCs w:val="12"/>
                <w:b w:val="1"/>
                <w:bCs w:val="1"/>
                <w:color w:val="auto"/>
              </w:rPr>
              <w:t>Offering Price</w:t>
            </w:r>
          </w:p>
        </w:tc>
        <w:tc>
          <w:tcPr>
            <w:tcW w:w="1600" w:type="dxa"/>
            <w:vAlign w:val="bottom"/>
            <w:tcBorders>
              <w:right w:val="single" w:sz="8" w:color="auto"/>
            </w:tcBorders>
          </w:tcPr>
          <w:p>
            <w:pPr>
              <w:jc w:val="center"/>
              <w:ind w:left="19"/>
              <w:spacing w:after="0"/>
              <w:rPr>
                <w:sz w:val="20"/>
                <w:szCs w:val="20"/>
                <w:color w:val="auto"/>
              </w:rPr>
            </w:pPr>
            <w:r>
              <w:rPr>
                <w:rFonts w:ascii="Arial" w:cs="Arial" w:eastAsia="Arial" w:hAnsi="Arial"/>
                <w:sz w:val="12"/>
                <w:szCs w:val="12"/>
                <w:b w:val="1"/>
                <w:bCs w:val="1"/>
                <w:color w:val="auto"/>
              </w:rPr>
              <w:t>Aggregate</w:t>
            </w:r>
          </w:p>
        </w:tc>
        <w:tc>
          <w:tcPr>
            <w:tcW w:w="1480" w:type="dxa"/>
            <w:vAlign w:val="bottom"/>
          </w:tcPr>
          <w:p>
            <w:pPr>
              <w:jc w:val="center"/>
              <w:ind w:left="16"/>
              <w:spacing w:after="0"/>
              <w:rPr>
                <w:sz w:val="20"/>
                <w:szCs w:val="20"/>
                <w:color w:val="auto"/>
              </w:rPr>
            </w:pPr>
            <w:r>
              <w:rPr>
                <w:rFonts w:ascii="Arial" w:cs="Arial" w:eastAsia="Arial" w:hAnsi="Arial"/>
                <w:sz w:val="12"/>
                <w:szCs w:val="12"/>
                <w:b w:val="1"/>
                <w:bCs w:val="1"/>
                <w:color w:val="auto"/>
                <w:w w:val="99"/>
              </w:rPr>
              <w:t>Amount of</w:t>
            </w:r>
          </w:p>
        </w:tc>
      </w:tr>
      <w:tr>
        <w:trPr>
          <w:trHeight w:val="157"/>
        </w:trPr>
        <w:tc>
          <w:tcPr>
            <w:tcW w:w="4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Securities to be Registered</w:t>
            </w:r>
          </w:p>
        </w:tc>
        <w:tc>
          <w:tcPr>
            <w:tcW w:w="1600" w:type="dxa"/>
            <w:vAlign w:val="bottom"/>
            <w:tcBorders>
              <w:bottom w:val="single" w:sz="8" w:color="auto"/>
              <w:right w:val="single" w:sz="8" w:color="auto"/>
            </w:tcBorders>
          </w:tcPr>
          <w:p>
            <w:pPr>
              <w:jc w:val="center"/>
              <w:ind w:left="16"/>
              <w:spacing w:after="0"/>
              <w:rPr>
                <w:sz w:val="20"/>
                <w:szCs w:val="20"/>
                <w:color w:val="auto"/>
              </w:rPr>
            </w:pPr>
            <w:r>
              <w:rPr>
                <w:rFonts w:ascii="Arial" w:cs="Arial" w:eastAsia="Arial" w:hAnsi="Arial"/>
                <w:sz w:val="12"/>
                <w:szCs w:val="12"/>
                <w:b w:val="1"/>
                <w:bCs w:val="1"/>
                <w:color w:val="auto"/>
              </w:rPr>
              <w:t>Registered</w:t>
            </w:r>
            <w:r>
              <w:rPr>
                <w:rFonts w:ascii="Arial" w:cs="Arial" w:eastAsia="Arial" w:hAnsi="Arial"/>
                <w:sz w:val="10"/>
                <w:szCs w:val="10"/>
                <w:b w:val="1"/>
                <w:bCs w:val="1"/>
                <w:color w:val="auto"/>
              </w:rPr>
              <w:t>(1)</w:t>
            </w:r>
          </w:p>
        </w:tc>
        <w:tc>
          <w:tcPr>
            <w:tcW w:w="1600" w:type="dxa"/>
            <w:vAlign w:val="bottom"/>
            <w:tcBorders>
              <w:bottom w:val="single" w:sz="8" w:color="auto"/>
              <w:right w:val="single" w:sz="8" w:color="auto"/>
            </w:tcBorders>
          </w:tcPr>
          <w:p>
            <w:pPr>
              <w:jc w:val="center"/>
              <w:ind w:left="19"/>
              <w:spacing w:after="0"/>
              <w:rPr>
                <w:sz w:val="20"/>
                <w:szCs w:val="20"/>
                <w:color w:val="auto"/>
              </w:rPr>
            </w:pPr>
            <w:r>
              <w:rPr>
                <w:rFonts w:ascii="Arial" w:cs="Arial" w:eastAsia="Arial" w:hAnsi="Arial"/>
                <w:sz w:val="12"/>
                <w:szCs w:val="12"/>
                <w:b w:val="1"/>
                <w:bCs w:val="1"/>
                <w:color w:val="auto"/>
                <w:w w:val="99"/>
              </w:rPr>
              <w:t>Per Share</w:t>
            </w:r>
            <w:r>
              <w:rPr>
                <w:rFonts w:ascii="Arial" w:cs="Arial" w:eastAsia="Arial" w:hAnsi="Arial"/>
                <w:sz w:val="10"/>
                <w:szCs w:val="10"/>
                <w:b w:val="1"/>
                <w:bCs w:val="1"/>
                <w:color w:val="auto"/>
                <w:w w:val="99"/>
              </w:rPr>
              <w:t>(2)</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Offering Price</w:t>
            </w:r>
            <w:r>
              <w:rPr>
                <w:rFonts w:ascii="Arial" w:cs="Arial" w:eastAsia="Arial" w:hAnsi="Arial"/>
                <w:sz w:val="10"/>
                <w:szCs w:val="10"/>
                <w:b w:val="1"/>
                <w:bCs w:val="1"/>
                <w:color w:val="auto"/>
              </w:rPr>
              <w:t>(1)(2)</w:t>
            </w:r>
          </w:p>
        </w:tc>
        <w:tc>
          <w:tcPr>
            <w:tcW w:w="1480" w:type="dxa"/>
            <w:vAlign w:val="bottom"/>
            <w:tcBorders>
              <w:bottom w:val="single" w:sz="8" w:color="auto"/>
            </w:tcBorders>
          </w:tcPr>
          <w:p>
            <w:pPr>
              <w:jc w:val="center"/>
              <w:ind w:left="16"/>
              <w:spacing w:after="0"/>
              <w:rPr>
                <w:sz w:val="20"/>
                <w:szCs w:val="20"/>
                <w:color w:val="auto"/>
              </w:rPr>
            </w:pPr>
            <w:r>
              <w:rPr>
                <w:rFonts w:ascii="Arial" w:cs="Arial" w:eastAsia="Arial" w:hAnsi="Arial"/>
                <w:sz w:val="12"/>
                <w:szCs w:val="12"/>
                <w:b w:val="1"/>
                <w:bCs w:val="1"/>
                <w:color w:val="auto"/>
              </w:rPr>
              <w:t>Registration Fee</w:t>
            </w:r>
            <w:r>
              <w:rPr>
                <w:rFonts w:ascii="Arial" w:cs="Arial" w:eastAsia="Arial" w:hAnsi="Arial"/>
                <w:sz w:val="10"/>
                <w:szCs w:val="10"/>
                <w:b w:val="1"/>
                <w:bCs w:val="1"/>
                <w:color w:val="auto"/>
              </w:rPr>
              <w:t>(3)</w:t>
            </w:r>
          </w:p>
        </w:tc>
      </w:tr>
      <w:tr>
        <w:trPr>
          <w:trHeight w:val="150"/>
        </w:trPr>
        <w:tc>
          <w:tcPr>
            <w:tcW w:w="4400" w:type="dxa"/>
            <w:vAlign w:val="bottom"/>
            <w:tcBorders>
              <w:bottom w:val="single" w:sz="8" w:color="auto"/>
              <w:right w:val="single" w:sz="8" w:color="auto"/>
            </w:tcBorders>
          </w:tcPr>
          <w:p>
            <w:pPr>
              <w:spacing w:after="0" w:line="150" w:lineRule="exact"/>
              <w:rPr>
                <w:sz w:val="20"/>
                <w:szCs w:val="20"/>
                <w:color w:val="auto"/>
              </w:rPr>
            </w:pPr>
            <w:r>
              <w:rPr>
                <w:rFonts w:ascii="Arial" w:cs="Arial" w:eastAsia="Arial" w:hAnsi="Arial"/>
                <w:sz w:val="14"/>
                <w:szCs w:val="14"/>
                <w:color w:val="auto"/>
              </w:rPr>
              <w:t>Common Stock, par value $0.001 per share</w:t>
            </w:r>
          </w:p>
        </w:tc>
        <w:tc>
          <w:tcPr>
            <w:tcW w:w="1600" w:type="dxa"/>
            <w:vAlign w:val="bottom"/>
            <w:tcBorders>
              <w:bottom w:val="single" w:sz="8" w:color="auto"/>
              <w:right w:val="single" w:sz="8" w:color="auto"/>
            </w:tcBorders>
          </w:tcPr>
          <w:p>
            <w:pPr>
              <w:jc w:val="center"/>
              <w:ind w:left="36"/>
              <w:spacing w:after="0" w:line="150" w:lineRule="exact"/>
              <w:rPr>
                <w:sz w:val="20"/>
                <w:szCs w:val="20"/>
                <w:color w:val="auto"/>
              </w:rPr>
            </w:pPr>
            <w:r>
              <w:rPr>
                <w:rFonts w:ascii="Arial" w:cs="Arial" w:eastAsia="Arial" w:hAnsi="Arial"/>
                <w:sz w:val="14"/>
                <w:szCs w:val="14"/>
                <w:color w:val="auto"/>
                <w:w w:val="99"/>
              </w:rPr>
              <w:t>7,666,667</w:t>
            </w:r>
          </w:p>
        </w:tc>
        <w:tc>
          <w:tcPr>
            <w:tcW w:w="1600" w:type="dxa"/>
            <w:vAlign w:val="bottom"/>
            <w:tcBorders>
              <w:bottom w:val="single" w:sz="8" w:color="auto"/>
              <w:right w:val="single" w:sz="8" w:color="auto"/>
            </w:tcBorders>
          </w:tcPr>
          <w:p>
            <w:pPr>
              <w:jc w:val="center"/>
              <w:ind w:left="19"/>
              <w:spacing w:after="0" w:line="150" w:lineRule="exact"/>
              <w:rPr>
                <w:sz w:val="20"/>
                <w:szCs w:val="20"/>
                <w:color w:val="auto"/>
              </w:rPr>
            </w:pPr>
            <w:r>
              <w:rPr>
                <w:rFonts w:ascii="Arial" w:cs="Arial" w:eastAsia="Arial" w:hAnsi="Arial"/>
                <w:sz w:val="14"/>
                <w:szCs w:val="14"/>
                <w:color w:val="auto"/>
              </w:rPr>
              <w:t>$16.00</w:t>
            </w:r>
          </w:p>
        </w:tc>
        <w:tc>
          <w:tcPr>
            <w:tcW w:w="1600" w:type="dxa"/>
            <w:vAlign w:val="bottom"/>
            <w:tcBorders>
              <w:bottom w:val="single" w:sz="8" w:color="auto"/>
              <w:right w:val="single" w:sz="8" w:color="auto"/>
            </w:tcBorders>
          </w:tcPr>
          <w:p>
            <w:pPr>
              <w:jc w:val="center"/>
              <w:ind w:left="19"/>
              <w:spacing w:after="0" w:line="150" w:lineRule="exact"/>
              <w:rPr>
                <w:sz w:val="20"/>
                <w:szCs w:val="20"/>
                <w:color w:val="auto"/>
              </w:rPr>
            </w:pPr>
            <w:r>
              <w:rPr>
                <w:rFonts w:ascii="Arial" w:cs="Arial" w:eastAsia="Arial" w:hAnsi="Arial"/>
                <w:sz w:val="14"/>
                <w:szCs w:val="14"/>
                <w:color w:val="auto"/>
                <w:w w:val="98"/>
              </w:rPr>
              <w:t>$122,666,672</w:t>
            </w:r>
          </w:p>
        </w:tc>
        <w:tc>
          <w:tcPr>
            <w:tcW w:w="1480" w:type="dxa"/>
            <w:vAlign w:val="bottom"/>
            <w:tcBorders>
              <w:bottom w:val="single" w:sz="8" w:color="auto"/>
            </w:tcBorders>
          </w:tcPr>
          <w:p>
            <w:pPr>
              <w:jc w:val="center"/>
              <w:ind w:left="36"/>
              <w:spacing w:after="0" w:line="150" w:lineRule="exact"/>
              <w:rPr>
                <w:sz w:val="20"/>
                <w:szCs w:val="20"/>
                <w:color w:val="auto"/>
              </w:rPr>
            </w:pPr>
            <w:r>
              <w:rPr>
                <w:rFonts w:ascii="Arial" w:cs="Arial" w:eastAsia="Arial" w:hAnsi="Arial"/>
                <w:sz w:val="14"/>
                <w:szCs w:val="14"/>
                <w:color w:val="auto"/>
                <w:w w:val="98"/>
              </w:rPr>
              <w:t>$14,868</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 w:lineRule="exact"/>
        <w:rPr>
          <w:sz w:val="24"/>
          <w:szCs w:val="24"/>
          <w:color w:val="auto"/>
        </w:rPr>
      </w:pPr>
    </w:p>
    <w:p>
      <w:pPr>
        <w:ind w:left="900" w:hanging="529"/>
        <w:spacing w:after="0"/>
        <w:tabs>
          <w:tab w:leader="none" w:pos="90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1,000,000 shares that the underwriters have the option to purchase.</w:t>
      </w:r>
    </w:p>
    <w:p>
      <w:pPr>
        <w:ind w:left="900" w:hanging="529"/>
        <w:spacing w:after="0" w:line="234" w:lineRule="auto"/>
        <w:tabs>
          <w:tab w:leader="none" w:pos="90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457(a) of the Securities Act of 1933, as amended.</w:t>
      </w:r>
    </w:p>
    <w:p>
      <w:pPr>
        <w:ind w:left="900" w:right="200" w:hanging="529"/>
        <w:spacing w:after="0" w:line="245" w:lineRule="auto"/>
        <w:tabs>
          <w:tab w:leader="none" w:pos="90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Registrant previously paid a registration fee of $9,338 in connection with the initial filing of this Registration Statement on September 28, 2018. In accordance with Rule 457(a), an additional registration fee of $5,777.20 is being paid with this amendment to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2913380</wp:posOffset>
            </wp:positionH>
            <wp:positionV relativeFrom="paragraph">
              <wp:posOffset>104140</wp:posOffset>
            </wp:positionV>
            <wp:extent cx="14300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8" w:lineRule="exact"/>
        <w:rPr>
          <w:sz w:val="24"/>
          <w:szCs w:val="24"/>
          <w:color w:val="auto"/>
        </w:rPr>
      </w:pPr>
    </w:p>
    <w:p>
      <w:pPr>
        <w:ind w:left="380" w:right="140" w:firstLine="534"/>
        <w:spacing w:after="0" w:line="245"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235585</wp:posOffset>
            </wp:positionH>
            <wp:positionV relativeFrom="paragraph">
              <wp:posOffset>46990</wp:posOffset>
            </wp:positionV>
            <wp:extent cx="67849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84975" cy="8255"/>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88900</wp:posOffset>
            </wp:positionV>
            <wp:extent cx="67849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84975" cy="8255"/>
                    </a:xfrm>
                    <a:prstGeom prst="rect">
                      <a:avLst/>
                    </a:prstGeom>
                    <a:noFill/>
                  </pic:spPr>
                </pic:pic>
              </a:graphicData>
            </a:graphic>
          </wp:anchor>
        </w:drawing>
      </w:r>
    </w:p>
    <w:p>
      <w:pPr>
        <w:sectPr>
          <w:pgSz w:w="11900" w:h="16838" w:orient="portrait"/>
          <w:cols w:equalWidth="0" w:num="1">
            <w:col w:w="11060"/>
          </w:cols>
          <w:pgMar w:left="240" w:top="226" w:right="599" w:bottom="1071" w:gutter="0" w:footer="0" w:header="0"/>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380" w:right="120"/>
        <w:spacing w:after="0" w:line="273" w:lineRule="auto"/>
        <w:rPr>
          <w:sz w:val="20"/>
          <w:szCs w:val="20"/>
          <w:color w:val="auto"/>
        </w:rPr>
      </w:pPr>
      <w:r>
        <w:rPr>
          <w:rFonts w:ascii="Arial" w:cs="Arial" w:eastAsia="Arial" w:hAnsi="Arial"/>
          <w:sz w:val="17"/>
          <w:szCs w:val="17"/>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1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DE1A1E"/>
        </w:rPr>
        <w:t>Subject to completion. Dated March 25, 2019</w:t>
      </w:r>
    </w:p>
    <w:p>
      <w:pPr>
        <w:spacing w:after="0" w:line="108" w:lineRule="exact"/>
        <w:rPr>
          <w:sz w:val="20"/>
          <w:szCs w:val="20"/>
          <w:color w:val="auto"/>
        </w:rPr>
      </w:pPr>
    </w:p>
    <w:p>
      <w:pPr>
        <w:jc w:val="center"/>
        <w:ind w:right="-359"/>
        <w:spacing w:after="0"/>
        <w:rPr>
          <w:sz w:val="20"/>
          <w:szCs w:val="20"/>
          <w:color w:val="auto"/>
        </w:rPr>
      </w:pPr>
      <w:r>
        <w:rPr>
          <w:rFonts w:ascii="Arial" w:cs="Arial" w:eastAsia="Arial" w:hAnsi="Arial"/>
          <w:sz w:val="24"/>
          <w:szCs w:val="24"/>
          <w:color w:val="auto"/>
        </w:rPr>
        <w:t>6,666,667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2531110</wp:posOffset>
            </wp:positionH>
            <wp:positionV relativeFrom="paragraph">
              <wp:posOffset>156210</wp:posOffset>
            </wp:positionV>
            <wp:extent cx="2203450" cy="1205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03450" cy="1205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59"/>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214630</wp:posOffset>
            </wp:positionV>
            <wp:extent cx="14300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380" w:right="60" w:firstLine="534"/>
        <w:spacing w:after="0" w:line="258" w:lineRule="auto"/>
        <w:rPr>
          <w:sz w:val="20"/>
          <w:szCs w:val="20"/>
          <w:color w:val="auto"/>
        </w:rPr>
      </w:pPr>
      <w:r>
        <w:rPr>
          <w:rFonts w:ascii="Arial" w:cs="Arial" w:eastAsia="Arial" w:hAnsi="Arial"/>
          <w:sz w:val="17"/>
          <w:szCs w:val="17"/>
          <w:color w:val="auto"/>
        </w:rPr>
        <w:t>This is an initial public offering of shares of common stock of NGM Biopharmaceuticals, Inc. All of the 6,666,667 shares of common stock are being sold by us.</w:t>
      </w:r>
    </w:p>
    <w:p>
      <w:pPr>
        <w:spacing w:after="0" w:line="143" w:lineRule="exact"/>
        <w:rPr>
          <w:sz w:val="20"/>
          <w:szCs w:val="20"/>
          <w:color w:val="auto"/>
        </w:rPr>
      </w:pPr>
    </w:p>
    <w:p>
      <w:pPr>
        <w:ind w:left="380" w:right="220" w:firstLine="534"/>
        <w:spacing w:after="0" w:line="258" w:lineRule="auto"/>
        <w:rPr>
          <w:sz w:val="20"/>
          <w:szCs w:val="20"/>
          <w:color w:val="auto"/>
        </w:rPr>
      </w:pPr>
      <w:r>
        <w:rPr>
          <w:rFonts w:ascii="Arial" w:cs="Arial" w:eastAsia="Arial" w:hAnsi="Arial"/>
          <w:sz w:val="17"/>
          <w:szCs w:val="17"/>
          <w:color w:val="auto"/>
        </w:rPr>
        <w:t>Prior to this offering, there has been no public market for our common stock. It is currently estimated that the initial public offering price per share will be between $14.00 and $16.00.</w:t>
      </w:r>
    </w:p>
    <w:p>
      <w:pPr>
        <w:spacing w:after="0" w:line="15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We have applied to list our common stock on the Nasdaq Global Select Market under the symbol “NGM.”</w:t>
      </w:r>
    </w:p>
    <w:p>
      <w:pPr>
        <w:spacing w:after="0" w:line="171" w:lineRule="exact"/>
        <w:rPr>
          <w:sz w:val="20"/>
          <w:szCs w:val="20"/>
          <w:color w:val="auto"/>
        </w:rPr>
      </w:pPr>
    </w:p>
    <w:p>
      <w:pPr>
        <w:ind w:left="380" w:right="440" w:firstLine="534"/>
        <w:spacing w:after="0" w:line="258" w:lineRule="auto"/>
        <w:rPr>
          <w:sz w:val="20"/>
          <w:szCs w:val="20"/>
          <w:color w:val="auto"/>
        </w:rPr>
      </w:pPr>
      <w:r>
        <w:rPr>
          <w:rFonts w:ascii="Arial" w:cs="Arial" w:eastAsia="Arial" w:hAnsi="Arial"/>
          <w:sz w:val="17"/>
          <w:szCs w:val="17"/>
          <w:color w:val="auto"/>
        </w:rPr>
        <w:t>We are an “emerging growth company” as defined under the federal securities laws and, as such, have elected to comply with certain reduced public company reporting requirements.</w:t>
      </w:r>
    </w:p>
    <w:p>
      <w:pPr>
        <w:spacing w:after="0" w:line="125" w:lineRule="exact"/>
        <w:rPr>
          <w:sz w:val="20"/>
          <w:szCs w:val="20"/>
          <w:color w:val="auto"/>
        </w:rPr>
      </w:pPr>
    </w:p>
    <w:p>
      <w:pPr>
        <w:ind w:left="380" w:right="240" w:firstLine="534"/>
        <w:spacing w:after="0" w:line="281" w:lineRule="auto"/>
        <w:rPr>
          <w:rFonts w:ascii="Arial" w:cs="Arial" w:eastAsia="Arial" w:hAnsi="Arial"/>
          <w:sz w:val="17"/>
          <w:szCs w:val="17"/>
          <w:i w:val="1"/>
          <w:iCs w:val="1"/>
          <w:color w:val="auto"/>
        </w:rPr>
      </w:pPr>
      <w:r>
        <w:rPr>
          <w:rFonts w:ascii="Arial" w:cs="Arial" w:eastAsia="Arial" w:hAnsi="Arial"/>
          <w:sz w:val="17"/>
          <w:szCs w:val="17"/>
          <w:i w:val="1"/>
          <w:iCs w:val="1"/>
          <w:color w:val="auto"/>
        </w:rPr>
        <w:t>Investing in our common stock involves a high degree of risk. See “</w:t>
      </w:r>
      <w:hyperlink w:anchor="page15">
        <w:r>
          <w:rPr>
            <w:rFonts w:ascii="Arial" w:cs="Arial" w:eastAsia="Arial" w:hAnsi="Arial"/>
            <w:sz w:val="17"/>
            <w:szCs w:val="17"/>
            <w:i w:val="1"/>
            <w:iCs w:val="1"/>
            <w:u w:val="single" w:color="auto"/>
            <w:color w:val="0000EE"/>
          </w:rPr>
          <w:t>Risk Factors</w:t>
        </w:r>
      </w:hyperlink>
      <w:r>
        <w:rPr>
          <w:rFonts w:ascii="Arial" w:cs="Arial" w:eastAsia="Arial" w:hAnsi="Arial"/>
          <w:sz w:val="17"/>
          <w:szCs w:val="17"/>
          <w:i w:val="1"/>
          <w:iCs w:val="1"/>
          <w:color w:val="auto"/>
        </w:rPr>
        <w:t>” beginning on page 12 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178435</wp:posOffset>
            </wp:positionV>
            <wp:extent cx="14300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380" w:right="40" w:firstLine="534"/>
        <w:spacing w:after="0" w:line="285" w:lineRule="auto"/>
        <w:rPr>
          <w:sz w:val="20"/>
          <w:szCs w:val="20"/>
          <w:color w:val="auto"/>
        </w:rPr>
      </w:pPr>
      <w:r>
        <w:rPr>
          <w:rFonts w:ascii="Arial" w:cs="Arial" w:eastAsia="Arial" w:hAnsi="Arial"/>
          <w:sz w:val="17"/>
          <w:szCs w:val="17"/>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60" w:lineRule="exact"/>
        <w:rPr>
          <w:sz w:val="20"/>
          <w:szCs w:val="20"/>
          <w:color w:val="auto"/>
        </w:rPr>
      </w:pPr>
    </w:p>
    <w:tbl>
      <w:tblPr>
        <w:tblLayout w:type="fixed"/>
        <w:tblInd w:w="380" w:type="dxa"/>
        <w:tblCellMar>
          <w:top w:w="0" w:type="dxa"/>
          <w:left w:w="0" w:type="dxa"/>
          <w:bottom w:w="0" w:type="dxa"/>
          <w:right w:w="0" w:type="dxa"/>
        </w:tblCellMar>
      </w:tblPr>
      <w:tr>
        <w:trPr>
          <w:trHeight w:val="197"/>
        </w:trPr>
        <w:tc>
          <w:tcPr>
            <w:tcW w:w="60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99"/>
              </w:rPr>
              <w:t>Per Share</w:t>
            </w:r>
          </w:p>
        </w:tc>
        <w:tc>
          <w:tcPr>
            <w:tcW w:w="360" w:type="dxa"/>
            <w:vAlign w:val="bottom"/>
          </w:tcPr>
          <w:p>
            <w:pPr>
              <w:spacing w:after="0"/>
              <w:rPr>
                <w:sz w:val="17"/>
                <w:szCs w:val="17"/>
                <w:color w:val="auto"/>
              </w:rPr>
            </w:pPr>
          </w:p>
        </w:tc>
        <w:tc>
          <w:tcPr>
            <w:tcW w:w="800" w:type="dxa"/>
            <w:vAlign w:val="bottom"/>
            <w:gridSpan w:val="2"/>
          </w:tcPr>
          <w:p>
            <w:pPr>
              <w:ind w:left="180"/>
              <w:spacing w:after="0"/>
              <w:rPr>
                <w:sz w:val="20"/>
                <w:szCs w:val="20"/>
                <w:color w:val="auto"/>
              </w:rPr>
            </w:pPr>
            <w:r>
              <w:rPr>
                <w:rFonts w:ascii="Arial" w:cs="Arial" w:eastAsia="Arial" w:hAnsi="Arial"/>
                <w:sz w:val="17"/>
                <w:szCs w:val="17"/>
                <w:color w:val="auto"/>
              </w:rPr>
              <w:t>Total</w:t>
            </w:r>
          </w:p>
        </w:tc>
      </w:tr>
      <w:tr>
        <w:trPr>
          <w:trHeight w:val="190"/>
        </w:trPr>
        <w:tc>
          <w:tcPr>
            <w:tcW w:w="60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Initial public offering price</w:t>
            </w:r>
          </w:p>
        </w:tc>
        <w:tc>
          <w:tcPr>
            <w:tcW w:w="26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ind w:right="553"/>
              <w:spacing w:after="0" w:line="189" w:lineRule="exact"/>
              <w:rPr>
                <w:sz w:val="20"/>
                <w:szCs w:val="20"/>
                <w:color w:val="auto"/>
              </w:rPr>
            </w:pPr>
            <w:r>
              <w:rPr>
                <w:rFonts w:ascii="Arial" w:cs="Arial" w:eastAsia="Arial" w:hAnsi="Arial"/>
                <w:sz w:val="17"/>
                <w:szCs w:val="17"/>
                <w:color w:val="auto"/>
                <w:w w:val="84"/>
              </w:rPr>
              <w:t>$</w:t>
            </w:r>
          </w:p>
        </w:tc>
        <w:tc>
          <w:tcPr>
            <w:tcW w:w="60" w:type="dxa"/>
            <w:vAlign w:val="bottom"/>
            <w:tcBorders>
              <w:top w:val="single" w:sz="8" w:color="CCEEFF"/>
            </w:tcBorders>
            <w:shd w:val="clear" w:color="auto" w:fill="CCEEFF"/>
          </w:tcPr>
          <w:p>
            <w:pPr>
              <w:spacing w:after="0"/>
              <w:rPr>
                <w:sz w:val="16"/>
                <w:szCs w:val="16"/>
                <w:color w:val="auto"/>
              </w:rPr>
            </w:pPr>
          </w:p>
        </w:tc>
      </w:tr>
      <w:tr>
        <w:trPr>
          <w:trHeight w:val="196"/>
        </w:trPr>
        <w:tc>
          <w:tcPr>
            <w:tcW w:w="6040" w:type="dxa"/>
            <w:vAlign w:val="bottom"/>
          </w:tcPr>
          <w:p>
            <w:pPr>
              <w:spacing w:after="0"/>
              <w:rPr>
                <w:sz w:val="20"/>
                <w:szCs w:val="20"/>
                <w:color w:val="auto"/>
              </w:rPr>
            </w:pPr>
            <w:r>
              <w:rPr>
                <w:rFonts w:ascii="Arial" w:cs="Arial" w:eastAsia="Arial" w:hAnsi="Arial"/>
                <w:sz w:val="17"/>
                <w:szCs w:val="17"/>
                <w:color w:val="auto"/>
              </w:rPr>
              <w:t>Underwriting discounts and commissions(1)</w:t>
            </w:r>
          </w:p>
        </w:tc>
        <w:tc>
          <w:tcPr>
            <w:tcW w:w="3480" w:type="dxa"/>
            <w:vAlign w:val="bottom"/>
            <w:gridSpan w:val="2"/>
          </w:tcPr>
          <w:p>
            <w:pPr>
              <w:jc w:val="right"/>
              <w:ind w:right="638"/>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553"/>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r>
      <w:tr>
        <w:trPr>
          <w:trHeight w:val="196"/>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Proceeds to us, before expenses</w:t>
            </w:r>
          </w:p>
        </w:tc>
        <w:tc>
          <w:tcPr>
            <w:tcW w:w="3480" w:type="dxa"/>
            <w:vAlign w:val="bottom"/>
            <w:gridSpan w:val="2"/>
            <w:shd w:val="clear" w:color="auto" w:fill="CCEEFF"/>
          </w:tcPr>
          <w:p>
            <w:pPr>
              <w:jc w:val="right"/>
              <w:ind w:right="638"/>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553"/>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r>
    </w:tbl>
    <w:p>
      <w:pPr>
        <w:spacing w:after="0" w:line="117" w:lineRule="exact"/>
        <w:rPr>
          <w:sz w:val="20"/>
          <w:szCs w:val="20"/>
          <w:color w:val="auto"/>
        </w:rPr>
      </w:pPr>
    </w:p>
    <w:p>
      <w:pPr>
        <w:ind w:left="900" w:hanging="529"/>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refer you to “Underwriting” beginning on page 203 for additional information regarding total underwriting compensation.</w:t>
      </w:r>
    </w:p>
    <w:p>
      <w:pPr>
        <w:spacing w:after="0" w:line="171" w:lineRule="exact"/>
        <w:rPr>
          <w:sz w:val="20"/>
          <w:szCs w:val="20"/>
          <w:color w:val="auto"/>
        </w:rPr>
      </w:pPr>
    </w:p>
    <w:p>
      <w:pPr>
        <w:ind w:left="380" w:right="80" w:firstLine="534"/>
        <w:spacing w:after="0" w:line="258" w:lineRule="auto"/>
        <w:rPr>
          <w:sz w:val="20"/>
          <w:szCs w:val="20"/>
          <w:color w:val="auto"/>
        </w:rPr>
      </w:pPr>
      <w:r>
        <w:rPr>
          <w:rFonts w:ascii="Arial" w:cs="Arial" w:eastAsia="Arial" w:hAnsi="Arial"/>
          <w:sz w:val="17"/>
          <w:szCs w:val="17"/>
          <w:color w:val="auto"/>
        </w:rPr>
        <w:t>We have granted the underwriters an option to purchase up to an additional 1,000,000 shares at the initial public offering price less the underwriting discounts and commissions.</w:t>
      </w:r>
    </w:p>
    <w:p>
      <w:pPr>
        <w:spacing w:after="0" w:line="156" w:lineRule="exact"/>
        <w:rPr>
          <w:sz w:val="20"/>
          <w:szCs w:val="20"/>
          <w:color w:val="auto"/>
        </w:rPr>
      </w:pPr>
    </w:p>
    <w:p>
      <w:pPr>
        <w:ind w:left="380" w:right="80" w:firstLine="534"/>
        <w:spacing w:after="0" w:line="244" w:lineRule="auto"/>
        <w:rPr>
          <w:sz w:val="20"/>
          <w:szCs w:val="20"/>
          <w:color w:val="auto"/>
        </w:rPr>
      </w:pPr>
      <w:r>
        <w:rPr>
          <w:rFonts w:ascii="Arial" w:cs="Arial" w:eastAsia="Arial" w:hAnsi="Arial"/>
          <w:sz w:val="17"/>
          <w:szCs w:val="17"/>
          <w:color w:val="auto"/>
        </w:rPr>
        <w:t>Merck Sharp &amp; Dohme Corp., a strategic collaborator and existing stockholder, has agreed to purchase, in a separate private placement concurrent with the completion of this offering at a price per share equal to the public offering price, a number of shares of our common stock that would result in Merck owning approximately 19.9% of our outstanding shares of common stock following the completion of this offering. Based upon an assumed offering size of 6,666,667 shares of our common stock, Merck would purchase 4,121,683 shares of our common stock. The sale of such shares will not be registered under the Securities Act of 1933, as amended. The completion of this offering is not contingent upon the completion of such concurrent private placement.</w:t>
      </w:r>
    </w:p>
    <w:p>
      <w:pPr>
        <w:spacing w:after="0" w:line="156" w:lineRule="exact"/>
        <w:rPr>
          <w:sz w:val="20"/>
          <w:szCs w:val="20"/>
          <w:color w:val="auto"/>
        </w:rPr>
      </w:pPr>
    </w:p>
    <w:p>
      <w:pPr>
        <w:ind w:left="380" w:right="220" w:firstLine="534"/>
        <w:spacing w:after="0" w:line="244" w:lineRule="auto"/>
        <w:rPr>
          <w:sz w:val="20"/>
          <w:szCs w:val="20"/>
          <w:color w:val="auto"/>
        </w:rPr>
      </w:pPr>
      <w:r>
        <w:rPr>
          <w:rFonts w:ascii="Arial" w:cs="Arial" w:eastAsia="Arial" w:hAnsi="Arial"/>
          <w:sz w:val="17"/>
          <w:szCs w:val="17"/>
          <w:color w:val="auto"/>
        </w:rPr>
        <w:t>In addition, entities affiliated with The Column Group, an existing stockholder, have indicated an interest in purchasing up to approximately $30.0 million of shares of our common stock in this offering at the initial public offering price. However, because these indications of interest are not binding agreements or commitments to purchase, the underwriters may determine to sell more, less or no shares in this offering to any or all of these entities, or any or all of these entities may determine to purchase more, less or no shares in this offering. The underwriters will receive the same underwriting discount on any shares purchased by these entities as they will on any other shares sold to the public in this offering.</w:t>
      </w:r>
    </w:p>
    <w:p>
      <w:pPr>
        <w:spacing w:after="0" w:line="156" w:lineRule="exact"/>
        <w:rPr>
          <w:sz w:val="20"/>
          <w:szCs w:val="20"/>
          <w:color w:val="auto"/>
        </w:rPr>
      </w:pPr>
    </w:p>
    <w:p>
      <w:pPr>
        <w:ind w:left="900"/>
        <w:spacing w:after="0"/>
        <w:tabs>
          <w:tab w:leader="none" w:pos="8580" w:val="left"/>
        </w:tabs>
        <w:rPr>
          <w:sz w:val="20"/>
          <w:szCs w:val="20"/>
          <w:color w:val="auto"/>
        </w:rPr>
      </w:pPr>
      <w:r>
        <w:rPr>
          <w:rFonts w:ascii="Arial" w:cs="Arial" w:eastAsia="Arial" w:hAnsi="Arial"/>
          <w:sz w:val="17"/>
          <w:szCs w:val="17"/>
          <w:color w:val="auto"/>
        </w:rPr>
        <w:t>The underwriters expect to deliver the shares against payment in New York, New York on</w:t>
      </w:r>
      <w:r>
        <w:rPr>
          <w:sz w:val="20"/>
          <w:szCs w:val="20"/>
          <w:color w:val="auto"/>
        </w:rPr>
        <w:tab/>
      </w:r>
      <w:r>
        <w:rPr>
          <w:rFonts w:ascii="Arial" w:cs="Arial" w:eastAsia="Arial" w:hAnsi="Arial"/>
          <w:sz w:val="17"/>
          <w:szCs w:val="17"/>
          <w:color w:val="auto"/>
        </w:rPr>
        <w:t>, 2019.</w:t>
      </w:r>
    </w:p>
    <w:p>
      <w:pPr>
        <w:spacing w:after="0" w:line="183" w:lineRule="exact"/>
        <w:rPr>
          <w:sz w:val="20"/>
          <w:szCs w:val="20"/>
          <w:color w:val="auto"/>
        </w:rPr>
      </w:pPr>
    </w:p>
    <w:p>
      <w:pPr>
        <w:ind w:left="380"/>
        <w:spacing w:after="0"/>
        <w:tabs>
          <w:tab w:leader="none" w:pos="6760" w:val="left"/>
          <w:tab w:leader="none" w:pos="9680" w:val="left"/>
        </w:tabs>
        <w:rPr>
          <w:sz w:val="20"/>
          <w:szCs w:val="20"/>
          <w:color w:val="auto"/>
        </w:rPr>
      </w:pPr>
      <w:r>
        <w:rPr>
          <w:rFonts w:ascii="Arial" w:cs="Arial" w:eastAsia="Arial" w:hAnsi="Arial"/>
          <w:sz w:val="24"/>
          <w:szCs w:val="24"/>
          <w:b w:val="1"/>
          <w:bCs w:val="1"/>
          <w:color w:val="auto"/>
        </w:rPr>
        <w:t>Goldman Sachs &amp; Co. LLC</w:t>
      </w:r>
      <w:r>
        <w:rPr>
          <w:sz w:val="20"/>
          <w:szCs w:val="20"/>
          <w:color w:val="auto"/>
        </w:rPr>
        <w:tab/>
      </w:r>
      <w:r>
        <w:rPr>
          <w:rFonts w:ascii="Arial" w:cs="Arial" w:eastAsia="Arial" w:hAnsi="Arial"/>
          <w:sz w:val="24"/>
          <w:szCs w:val="24"/>
          <w:b w:val="1"/>
          <w:bCs w:val="1"/>
          <w:color w:val="auto"/>
        </w:rPr>
        <w:t>Citigroup</w:t>
      </w:r>
      <w:r>
        <w:rPr>
          <w:sz w:val="20"/>
          <w:szCs w:val="20"/>
          <w:color w:val="auto"/>
        </w:rPr>
        <w:tab/>
      </w:r>
      <w:r>
        <w:rPr>
          <w:rFonts w:ascii="Arial" w:cs="Arial" w:eastAsia="Arial" w:hAnsi="Arial"/>
          <w:sz w:val="24"/>
          <w:szCs w:val="24"/>
          <w:b w:val="1"/>
          <w:bCs w:val="1"/>
          <w:color w:val="auto"/>
        </w:rPr>
        <w:t>Cowen</w:t>
      </w:r>
    </w:p>
    <w:p>
      <w:pPr>
        <w:sectPr>
          <w:pgSz w:w="11900" w:h="16838" w:orient="portrait"/>
          <w:cols w:equalWidth="0" w:num="1">
            <w:col w:w="11060"/>
          </w:cols>
          <w:pgMar w:left="240" w:top="449" w:right="599" w:bottom="1440" w:gutter="0" w:footer="0" w:header="0"/>
        </w:sectPr>
      </w:pPr>
    </w:p>
    <w:p>
      <w:pPr>
        <w:spacing w:after="0" w:line="223" w:lineRule="exact"/>
        <w:rPr>
          <w:sz w:val="20"/>
          <w:szCs w:val="20"/>
          <w:color w:val="auto"/>
        </w:rPr>
      </w:pPr>
    </w:p>
    <w:p>
      <w:pPr>
        <w:ind w:left="4380"/>
        <w:spacing w:after="0"/>
        <w:tabs>
          <w:tab w:leader="none" w:pos="6540" w:val="left"/>
        </w:tabs>
        <w:rPr>
          <w:sz w:val="20"/>
          <w:szCs w:val="20"/>
          <w:color w:val="auto"/>
        </w:rPr>
      </w:pPr>
      <w:r>
        <w:rPr>
          <w:rFonts w:ascii="Arial" w:cs="Arial" w:eastAsia="Arial" w:hAnsi="Arial"/>
          <w:sz w:val="17"/>
          <w:szCs w:val="17"/>
          <w:color w:val="auto"/>
        </w:rPr>
        <w:t>Prospectus dated</w:t>
      </w:r>
      <w:r>
        <w:rPr>
          <w:sz w:val="20"/>
          <w:szCs w:val="20"/>
          <w:color w:val="auto"/>
        </w:rPr>
        <w:tab/>
      </w:r>
      <w:r>
        <w:rPr>
          <w:rFonts w:ascii="Arial" w:cs="Arial" w:eastAsia="Arial" w:hAnsi="Arial"/>
          <w:sz w:val="17"/>
          <w:szCs w:val="17"/>
          <w:color w:val="auto"/>
        </w:rPr>
        <w:t>, 2019</w:t>
      </w:r>
    </w:p>
    <w:p>
      <w:pPr>
        <w:sectPr>
          <w:pgSz w:w="11900" w:h="16838" w:orient="portrait"/>
          <w:cols w:equalWidth="0" w:num="1">
            <w:col w:w="11060"/>
          </w:cols>
          <w:pgMar w:left="240" w:top="449" w:right="599" w:bottom="1440" w:gutter="0" w:footer="0" w:header="0"/>
          <w:type w:val="continuous"/>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tbl>
      <w:tblPr>
        <w:tblLayout w:type="fixed"/>
        <w:tblInd w:w="380" w:type="dxa"/>
        <w:tblCellMar>
          <w:top w:w="0" w:type="dxa"/>
          <w:left w:w="0" w:type="dxa"/>
          <w:bottom w:w="0" w:type="dxa"/>
          <w:right w:w="0" w:type="dxa"/>
        </w:tblCellMar>
      </w:tblPr>
      <w:tr>
        <w:trPr>
          <w:trHeight w:val="210"/>
        </w:trPr>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0" w:type="dxa"/>
            <w:vAlign w:val="bottom"/>
            <w:gridSpan w:val="3"/>
          </w:tcPr>
          <w:p>
            <w:pPr>
              <w:ind w:left="140"/>
              <w:spacing w:after="0"/>
              <w:rPr>
                <w:sz w:val="20"/>
                <w:szCs w:val="20"/>
                <w:color w:val="auto"/>
              </w:rPr>
            </w:pPr>
            <w:r>
              <w:rPr>
                <w:rFonts w:ascii="Arial" w:cs="Arial" w:eastAsia="Arial" w:hAnsi="Arial"/>
                <w:sz w:val="17"/>
                <w:szCs w:val="17"/>
                <w:color w:val="auto"/>
              </w:rPr>
              <w:t>TABLE OF CONTENTS</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1660" w:type="dxa"/>
            <w:vAlign w:val="bottom"/>
            <w:gridSpan w:val="9"/>
            <w:vMerge w:val="restart"/>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Prospectus Summary</w:t>
              </w:r>
            </w:hyperlink>
          </w:p>
        </w:tc>
        <w:tc>
          <w:tcPr>
            <w:tcW w:w="8620" w:type="dxa"/>
            <w:vAlign w:val="bottom"/>
            <w:gridSpan w:val="13"/>
            <w:vMerge w:val="restart"/>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68"/>
        </w:trPr>
        <w:tc>
          <w:tcPr>
            <w:tcW w:w="1660" w:type="dxa"/>
            <w:vAlign w:val="bottom"/>
            <w:tcBorders>
              <w:bottom w:val="single" w:sz="8" w:color="0000EE"/>
            </w:tcBorders>
            <w:gridSpan w:val="9"/>
            <w:vMerge w:val="continue"/>
          </w:tcPr>
          <w:p>
            <w:pPr>
              <w:spacing w:after="0"/>
              <w:rPr>
                <w:sz w:val="14"/>
                <w:szCs w:val="14"/>
                <w:color w:val="auto"/>
              </w:rPr>
            </w:pPr>
          </w:p>
        </w:tc>
        <w:tc>
          <w:tcPr>
            <w:tcW w:w="8620" w:type="dxa"/>
            <w:vAlign w:val="bottom"/>
            <w:gridSpan w:val="13"/>
            <w:vMerge w:val="continue"/>
          </w:tcPr>
          <w:p>
            <w:pPr>
              <w:spacing w:after="0"/>
              <w:rPr>
                <w:sz w:val="14"/>
                <w:szCs w:val="14"/>
                <w:color w:val="auto"/>
              </w:rPr>
            </w:pPr>
          </w:p>
        </w:tc>
        <w:tc>
          <w:tcPr>
            <w:tcW w:w="340" w:type="dxa"/>
            <w:vAlign w:val="bottom"/>
          </w:tcPr>
          <w:p>
            <w:pPr>
              <w:jc w:val="right"/>
              <w:spacing w:after="0" w:line="163"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76"/>
        </w:trPr>
        <w:tc>
          <w:tcPr>
            <w:tcW w:w="10280" w:type="dxa"/>
            <w:vAlign w:val="bottom"/>
            <w:gridSpan w:val="22"/>
          </w:tcPr>
          <w:p>
            <w:pPr>
              <w:spacing w:after="0" w:line="176" w:lineRule="exact"/>
              <w:rPr>
                <w:rFonts w:ascii="Arial" w:cs="Arial" w:eastAsia="Arial" w:hAnsi="Arial"/>
                <w:sz w:val="17"/>
                <w:szCs w:val="17"/>
                <w:color w:val="0000EE"/>
              </w:rPr>
            </w:pPr>
            <w:hyperlink w:anchor="page15">
              <w:r>
                <w:rPr>
                  <w:rFonts w:ascii="Arial" w:cs="Arial" w:eastAsia="Arial" w:hAnsi="Arial"/>
                  <w:sz w:val="17"/>
                  <w:szCs w:val="17"/>
                  <w:color w:val="0000EE"/>
                </w:rPr>
                <w:t>Risk Factors</w:t>
              </w:r>
            </w:hyperlink>
          </w:p>
        </w:tc>
        <w:tc>
          <w:tcPr>
            <w:tcW w:w="340" w:type="dxa"/>
            <w:vAlign w:val="bottom"/>
          </w:tcPr>
          <w:p>
            <w:pPr>
              <w:jc w:val="right"/>
              <w:spacing w:after="0" w:line="176" w:lineRule="exact"/>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80" w:type="dxa"/>
            <w:vAlign w:val="bottom"/>
            <w:gridSpan w:val="22"/>
          </w:tcPr>
          <w:p>
            <w:pPr>
              <w:spacing w:after="0" w:line="176" w:lineRule="exact"/>
              <w:rPr>
                <w:rFonts w:ascii="Arial" w:cs="Arial" w:eastAsia="Arial" w:hAnsi="Arial"/>
                <w:sz w:val="17"/>
                <w:szCs w:val="17"/>
                <w:color w:val="0000EE"/>
              </w:rPr>
            </w:pPr>
            <w:hyperlink w:anchor="page68">
              <w:r>
                <w:rPr>
                  <w:rFonts w:ascii="Arial" w:cs="Arial" w:eastAsia="Arial" w:hAnsi="Arial"/>
                  <w:sz w:val="17"/>
                  <w:szCs w:val="17"/>
                  <w:color w:val="0000EE"/>
                </w:rPr>
                <w:t>Special Note Regarding Forward-Looking Statements</w:t>
              </w:r>
            </w:hyperlink>
          </w:p>
        </w:tc>
        <w:tc>
          <w:tcPr>
            <w:tcW w:w="340" w:type="dxa"/>
            <w:vAlign w:val="bottom"/>
          </w:tcPr>
          <w:p>
            <w:pPr>
              <w:jc w:val="right"/>
              <w:spacing w:after="0" w:line="176" w:lineRule="exact"/>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176"/>
        </w:trPr>
        <w:tc>
          <w:tcPr>
            <w:tcW w:w="1960" w:type="dxa"/>
            <w:vAlign w:val="bottom"/>
            <w:tcBorders>
              <w:top w:val="single" w:sz="8" w:color="0000EE"/>
              <w:bottom w:val="single" w:sz="8" w:color="0000EE"/>
            </w:tcBorders>
            <w:gridSpan w:val="11"/>
          </w:tcPr>
          <w:p>
            <w:pPr>
              <w:spacing w:after="0" w:line="176" w:lineRule="exact"/>
              <w:rPr>
                <w:rFonts w:ascii="Arial" w:cs="Arial" w:eastAsia="Arial" w:hAnsi="Arial"/>
                <w:sz w:val="17"/>
                <w:szCs w:val="17"/>
                <w:color w:val="0000EE"/>
              </w:rPr>
            </w:pPr>
            <w:hyperlink w:anchor="page70">
              <w:r>
                <w:rPr>
                  <w:rFonts w:ascii="Arial" w:cs="Arial" w:eastAsia="Arial" w:hAnsi="Arial"/>
                  <w:sz w:val="17"/>
                  <w:szCs w:val="17"/>
                  <w:color w:val="0000EE"/>
                </w:rPr>
                <w:t>Industry and Market Data</w:t>
              </w:r>
            </w:hyperlink>
          </w:p>
        </w:tc>
        <w:tc>
          <w:tcPr>
            <w:tcW w:w="2160" w:type="dxa"/>
            <w:vAlign w:val="bottom"/>
            <w:tcBorders>
              <w:top w:val="single" w:sz="8" w:color="0000EE"/>
            </w:tcBorders>
            <w:gridSpan w:val="7"/>
          </w:tcPr>
          <w:p>
            <w:pPr>
              <w:spacing w:after="0"/>
              <w:rPr>
                <w:sz w:val="15"/>
                <w:szCs w:val="15"/>
                <w:color w:val="auto"/>
              </w:rPr>
            </w:pPr>
          </w:p>
        </w:tc>
        <w:tc>
          <w:tcPr>
            <w:tcW w:w="6160" w:type="dxa"/>
            <w:vAlign w:val="bottom"/>
            <w:gridSpan w:val="4"/>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176"/>
        </w:trPr>
        <w:tc>
          <w:tcPr>
            <w:tcW w:w="10280" w:type="dxa"/>
            <w:vAlign w:val="bottom"/>
            <w:gridSpan w:val="22"/>
          </w:tcPr>
          <w:p>
            <w:pPr>
              <w:spacing w:after="0" w:line="176" w:lineRule="exact"/>
              <w:rPr>
                <w:rFonts w:ascii="Arial" w:cs="Arial" w:eastAsia="Arial" w:hAnsi="Arial"/>
                <w:sz w:val="17"/>
                <w:szCs w:val="17"/>
                <w:color w:val="0000EE"/>
              </w:rPr>
            </w:pPr>
            <w:hyperlink w:anchor="page71">
              <w:r>
                <w:rPr>
                  <w:rFonts w:ascii="Arial" w:cs="Arial" w:eastAsia="Arial" w:hAnsi="Arial"/>
                  <w:sz w:val="17"/>
                  <w:szCs w:val="17"/>
                  <w:color w:val="0000EE"/>
                </w:rPr>
                <w:t>Use of Proceeds</w:t>
              </w:r>
            </w:hyperlink>
          </w:p>
        </w:tc>
        <w:tc>
          <w:tcPr>
            <w:tcW w:w="340" w:type="dxa"/>
            <w:vAlign w:val="bottom"/>
          </w:tcPr>
          <w:p>
            <w:pPr>
              <w:jc w:val="right"/>
              <w:spacing w:after="0" w:line="176" w:lineRule="exact"/>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176"/>
        </w:trPr>
        <w:tc>
          <w:tcPr>
            <w:tcW w:w="1280" w:type="dxa"/>
            <w:vAlign w:val="bottom"/>
            <w:tcBorders>
              <w:top w:val="single" w:sz="8" w:color="0000EE"/>
            </w:tcBorders>
            <w:gridSpan w:val="8"/>
          </w:tcPr>
          <w:p>
            <w:pPr>
              <w:spacing w:after="0" w:line="176" w:lineRule="exact"/>
              <w:rPr>
                <w:rFonts w:ascii="Arial" w:cs="Arial" w:eastAsia="Arial" w:hAnsi="Arial"/>
                <w:sz w:val="17"/>
                <w:szCs w:val="17"/>
                <w:color w:val="0000EE"/>
              </w:rPr>
            </w:pPr>
            <w:hyperlink w:anchor="page73">
              <w:r>
                <w:rPr>
                  <w:rFonts w:ascii="Arial" w:cs="Arial" w:eastAsia="Arial" w:hAnsi="Arial"/>
                  <w:sz w:val="17"/>
                  <w:szCs w:val="17"/>
                  <w:color w:val="0000EE"/>
                </w:rPr>
                <w:t>Dividend Policy</w:t>
              </w:r>
            </w:hyperlink>
          </w:p>
        </w:tc>
        <w:tc>
          <w:tcPr>
            <w:tcW w:w="9000" w:type="dxa"/>
            <w:vAlign w:val="bottom"/>
            <w:gridSpan w:val="14"/>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176"/>
        </w:trPr>
        <w:tc>
          <w:tcPr>
            <w:tcW w:w="1040" w:type="dxa"/>
            <w:vAlign w:val="bottom"/>
            <w:tcBorders>
              <w:top w:val="single" w:sz="8" w:color="0000EE"/>
              <w:bottom w:val="single" w:sz="8" w:color="0000EE"/>
            </w:tcBorders>
            <w:gridSpan w:val="6"/>
          </w:tcPr>
          <w:p>
            <w:pPr>
              <w:spacing w:after="0" w:line="176" w:lineRule="exact"/>
              <w:rPr>
                <w:rFonts w:ascii="Arial" w:cs="Arial" w:eastAsia="Arial" w:hAnsi="Arial"/>
                <w:sz w:val="17"/>
                <w:szCs w:val="17"/>
                <w:color w:val="0000EE"/>
                <w:w w:val="99"/>
              </w:rPr>
            </w:pPr>
            <w:hyperlink w:anchor="page74">
              <w:r>
                <w:rPr>
                  <w:rFonts w:ascii="Arial" w:cs="Arial" w:eastAsia="Arial" w:hAnsi="Arial"/>
                  <w:sz w:val="17"/>
                  <w:szCs w:val="17"/>
                  <w:color w:val="0000EE"/>
                  <w:w w:val="99"/>
                </w:rPr>
                <w:t>Capitalization</w:t>
              </w:r>
            </w:hyperlink>
          </w:p>
        </w:tc>
        <w:tc>
          <w:tcPr>
            <w:tcW w:w="140" w:type="dxa"/>
            <w:vAlign w:val="bottom"/>
            <w:tcBorders>
              <w:top w:val="single" w:sz="8" w:color="0000EE"/>
            </w:tcBorders>
          </w:tcPr>
          <w:p>
            <w:pPr>
              <w:spacing w:after="0"/>
              <w:rPr>
                <w:sz w:val="15"/>
                <w:szCs w:val="15"/>
                <w:color w:val="auto"/>
              </w:rPr>
            </w:pPr>
          </w:p>
        </w:tc>
        <w:tc>
          <w:tcPr>
            <w:tcW w:w="9100" w:type="dxa"/>
            <w:vAlign w:val="bottom"/>
            <w:gridSpan w:val="15"/>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176"/>
        </w:trPr>
        <w:tc>
          <w:tcPr>
            <w:tcW w:w="580" w:type="dxa"/>
            <w:vAlign w:val="bottom"/>
            <w:tcBorders>
              <w:bottom w:val="single" w:sz="8" w:color="0000EE"/>
            </w:tcBorders>
          </w:tcPr>
          <w:p>
            <w:pPr>
              <w:spacing w:after="0" w:line="176" w:lineRule="exact"/>
              <w:rPr>
                <w:rFonts w:ascii="Arial" w:cs="Arial" w:eastAsia="Arial" w:hAnsi="Arial"/>
                <w:sz w:val="17"/>
                <w:szCs w:val="17"/>
                <w:color w:val="0000EE"/>
                <w:w w:val="98"/>
              </w:rPr>
            </w:pPr>
            <w:hyperlink w:anchor="page76">
              <w:r>
                <w:rPr>
                  <w:rFonts w:ascii="Arial" w:cs="Arial" w:eastAsia="Arial" w:hAnsi="Arial"/>
                  <w:sz w:val="17"/>
                  <w:szCs w:val="17"/>
                  <w:color w:val="0000EE"/>
                  <w:w w:val="98"/>
                </w:rPr>
                <w:t>Dilution</w:t>
              </w:r>
            </w:hyperlink>
          </w:p>
        </w:tc>
        <w:tc>
          <w:tcPr>
            <w:tcW w:w="9700" w:type="dxa"/>
            <w:vAlign w:val="bottom"/>
            <w:gridSpan w:val="21"/>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176"/>
        </w:trPr>
        <w:tc>
          <w:tcPr>
            <w:tcW w:w="10280" w:type="dxa"/>
            <w:vAlign w:val="bottom"/>
            <w:gridSpan w:val="22"/>
          </w:tcPr>
          <w:p>
            <w:pPr>
              <w:spacing w:after="0" w:line="176" w:lineRule="exact"/>
              <w:rPr>
                <w:rFonts w:ascii="Arial" w:cs="Arial" w:eastAsia="Arial" w:hAnsi="Arial"/>
                <w:sz w:val="17"/>
                <w:szCs w:val="17"/>
                <w:color w:val="0000EE"/>
              </w:rPr>
            </w:pPr>
            <w:hyperlink w:anchor="page79">
              <w:r>
                <w:rPr>
                  <w:rFonts w:ascii="Arial" w:cs="Arial" w:eastAsia="Arial" w:hAnsi="Arial"/>
                  <w:sz w:val="17"/>
                  <w:szCs w:val="17"/>
                  <w:color w:val="0000EE"/>
                </w:rPr>
                <w:t>Selected Consolidated Financial Data</w:t>
              </w:r>
            </w:hyperlink>
          </w:p>
        </w:tc>
        <w:tc>
          <w:tcPr>
            <w:tcW w:w="340" w:type="dxa"/>
            <w:vAlign w:val="bottom"/>
          </w:tcPr>
          <w:p>
            <w:pPr>
              <w:jc w:val="right"/>
              <w:spacing w:after="0" w:line="176" w:lineRule="exact"/>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860" w:type="dxa"/>
            <w:vAlign w:val="bottom"/>
            <w:tcBorders>
              <w:bottom w:val="single" w:sz="8" w:color="0000EE"/>
            </w:tcBorders>
            <w:gridSpan w:val="20"/>
          </w:tcPr>
          <w:p>
            <w:pPr>
              <w:spacing w:after="0" w:line="176" w:lineRule="exact"/>
              <w:rPr>
                <w:rFonts w:ascii="Arial" w:cs="Arial" w:eastAsia="Arial" w:hAnsi="Arial"/>
                <w:sz w:val="17"/>
                <w:szCs w:val="17"/>
                <w:color w:val="0000EE"/>
              </w:rPr>
            </w:pPr>
            <w:hyperlink w:anchor="page80">
              <w:r>
                <w:rPr>
                  <w:rFonts w:ascii="Arial" w:cs="Arial" w:eastAsia="Arial" w:hAnsi="Arial"/>
                  <w:sz w:val="17"/>
                  <w:szCs w:val="17"/>
                  <w:color w:val="0000EE"/>
                </w:rPr>
                <w:t>Management’s Discussion and Analysis of Financial Condition and Results of Operations</w:t>
              </w:r>
            </w:hyperlink>
          </w:p>
        </w:tc>
        <w:tc>
          <w:tcPr>
            <w:tcW w:w="3420" w:type="dxa"/>
            <w:vAlign w:val="bottom"/>
            <w:gridSpan w:val="2"/>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176"/>
        </w:trPr>
        <w:tc>
          <w:tcPr>
            <w:tcW w:w="700" w:type="dxa"/>
            <w:vAlign w:val="bottom"/>
            <w:tcBorders>
              <w:bottom w:val="single" w:sz="8" w:color="0000EE"/>
            </w:tcBorders>
            <w:gridSpan w:val="2"/>
          </w:tcPr>
          <w:p>
            <w:pPr>
              <w:spacing w:after="0" w:line="176" w:lineRule="exact"/>
              <w:rPr>
                <w:rFonts w:ascii="Arial" w:cs="Arial" w:eastAsia="Arial" w:hAnsi="Arial"/>
                <w:sz w:val="17"/>
                <w:szCs w:val="17"/>
                <w:color w:val="0000EE"/>
                <w:w w:val="98"/>
              </w:rPr>
            </w:pPr>
            <w:hyperlink w:anchor="page96">
              <w:r>
                <w:rPr>
                  <w:rFonts w:ascii="Arial" w:cs="Arial" w:eastAsia="Arial" w:hAnsi="Arial"/>
                  <w:sz w:val="17"/>
                  <w:szCs w:val="17"/>
                  <w:color w:val="0000EE"/>
                  <w:w w:val="98"/>
                </w:rPr>
                <w:t>Business</w:t>
              </w:r>
            </w:hyperlink>
          </w:p>
        </w:tc>
        <w:tc>
          <w:tcPr>
            <w:tcW w:w="9580" w:type="dxa"/>
            <w:vAlign w:val="bottom"/>
            <w:gridSpan w:val="20"/>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176"/>
        </w:trPr>
        <w:tc>
          <w:tcPr>
            <w:tcW w:w="1020" w:type="dxa"/>
            <w:vAlign w:val="bottom"/>
            <w:tcBorders>
              <w:bottom w:val="single" w:sz="8" w:color="0000EE"/>
            </w:tcBorders>
            <w:gridSpan w:val="5"/>
          </w:tcPr>
          <w:p>
            <w:pPr>
              <w:spacing w:after="0" w:line="176" w:lineRule="exact"/>
              <w:rPr>
                <w:rFonts w:ascii="Arial" w:cs="Arial" w:eastAsia="Arial" w:hAnsi="Arial"/>
                <w:sz w:val="17"/>
                <w:szCs w:val="17"/>
                <w:color w:val="0000EE"/>
              </w:rPr>
            </w:pPr>
            <w:hyperlink w:anchor="page166">
              <w:r>
                <w:rPr>
                  <w:rFonts w:ascii="Arial" w:cs="Arial" w:eastAsia="Arial" w:hAnsi="Arial"/>
                  <w:sz w:val="17"/>
                  <w:szCs w:val="17"/>
                  <w:color w:val="0000EE"/>
                </w:rPr>
                <w:t>Management</w:t>
              </w:r>
            </w:hyperlink>
          </w:p>
        </w:tc>
        <w:tc>
          <w:tcPr>
            <w:tcW w:w="9260" w:type="dxa"/>
            <w:vAlign w:val="bottom"/>
            <w:gridSpan w:val="17"/>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176"/>
        </w:trPr>
        <w:tc>
          <w:tcPr>
            <w:tcW w:w="10280" w:type="dxa"/>
            <w:vAlign w:val="bottom"/>
            <w:gridSpan w:val="22"/>
          </w:tcPr>
          <w:p>
            <w:pPr>
              <w:spacing w:after="0" w:line="176" w:lineRule="exact"/>
              <w:rPr>
                <w:rFonts w:ascii="Arial" w:cs="Arial" w:eastAsia="Arial" w:hAnsi="Arial"/>
                <w:sz w:val="17"/>
                <w:szCs w:val="17"/>
                <w:color w:val="0000EE"/>
              </w:rPr>
            </w:pPr>
            <w:hyperlink w:anchor="page174">
              <w:r>
                <w:rPr>
                  <w:rFonts w:ascii="Arial" w:cs="Arial" w:eastAsia="Arial" w:hAnsi="Arial"/>
                  <w:sz w:val="17"/>
                  <w:szCs w:val="17"/>
                  <w:color w:val="0000EE"/>
                </w:rPr>
                <w:t>Executive and Director Compensation</w:t>
              </w:r>
            </w:hyperlink>
          </w:p>
        </w:tc>
        <w:tc>
          <w:tcPr>
            <w:tcW w:w="340" w:type="dxa"/>
            <w:vAlign w:val="bottom"/>
          </w:tcPr>
          <w:p>
            <w:pPr>
              <w:jc w:val="right"/>
              <w:spacing w:after="0" w:line="176" w:lineRule="exact"/>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80" w:type="dxa"/>
            <w:vAlign w:val="bottom"/>
            <w:gridSpan w:val="22"/>
          </w:tcPr>
          <w:p>
            <w:pPr>
              <w:spacing w:after="0" w:line="176" w:lineRule="exact"/>
              <w:rPr>
                <w:rFonts w:ascii="Arial" w:cs="Arial" w:eastAsia="Arial" w:hAnsi="Arial"/>
                <w:sz w:val="17"/>
                <w:szCs w:val="17"/>
                <w:color w:val="0000EE"/>
              </w:rPr>
            </w:pPr>
            <w:hyperlink w:anchor="page188">
              <w:r>
                <w:rPr>
                  <w:rFonts w:ascii="Arial" w:cs="Arial" w:eastAsia="Arial" w:hAnsi="Arial"/>
                  <w:sz w:val="17"/>
                  <w:szCs w:val="17"/>
                  <w:color w:val="0000EE"/>
                </w:rPr>
                <w:t>Certain Relationships and Related Person Transactions</w:t>
              </w:r>
            </w:hyperlink>
          </w:p>
        </w:tc>
        <w:tc>
          <w:tcPr>
            <w:tcW w:w="340" w:type="dxa"/>
            <w:vAlign w:val="bottom"/>
          </w:tcPr>
          <w:p>
            <w:pPr>
              <w:jc w:val="right"/>
              <w:spacing w:after="0" w:line="176" w:lineRule="exact"/>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176"/>
        </w:trPr>
        <w:tc>
          <w:tcPr>
            <w:tcW w:w="1720" w:type="dxa"/>
            <w:vAlign w:val="bottom"/>
            <w:tcBorders>
              <w:top w:val="single" w:sz="8" w:color="0000EE"/>
              <w:bottom w:val="single" w:sz="8" w:color="0000EE"/>
            </w:tcBorders>
            <w:gridSpan w:val="10"/>
          </w:tcPr>
          <w:p>
            <w:pPr>
              <w:spacing w:after="0" w:line="176" w:lineRule="exact"/>
              <w:rPr>
                <w:rFonts w:ascii="Arial" w:cs="Arial" w:eastAsia="Arial" w:hAnsi="Arial"/>
                <w:sz w:val="17"/>
                <w:szCs w:val="17"/>
                <w:color w:val="0000EE"/>
              </w:rPr>
            </w:pPr>
            <w:hyperlink w:anchor="page190">
              <w:r>
                <w:rPr>
                  <w:rFonts w:ascii="Arial" w:cs="Arial" w:eastAsia="Arial" w:hAnsi="Arial"/>
                  <w:sz w:val="17"/>
                  <w:szCs w:val="17"/>
                  <w:color w:val="0000EE"/>
                </w:rPr>
                <w:t>Principal Stockholders</w:t>
              </w:r>
            </w:hyperlink>
          </w:p>
        </w:tc>
        <w:tc>
          <w:tcPr>
            <w:tcW w:w="2560" w:type="dxa"/>
            <w:vAlign w:val="bottom"/>
            <w:tcBorders>
              <w:top w:val="single" w:sz="8" w:color="0000EE"/>
            </w:tcBorders>
            <w:gridSpan w:val="9"/>
          </w:tcPr>
          <w:p>
            <w:pPr>
              <w:spacing w:after="0"/>
              <w:rPr>
                <w:sz w:val="15"/>
                <w:szCs w:val="15"/>
                <w:color w:val="auto"/>
              </w:rPr>
            </w:pPr>
          </w:p>
        </w:tc>
        <w:tc>
          <w:tcPr>
            <w:tcW w:w="6000" w:type="dxa"/>
            <w:vAlign w:val="bottom"/>
            <w:gridSpan w:val="3"/>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176"/>
        </w:trPr>
        <w:tc>
          <w:tcPr>
            <w:tcW w:w="2140" w:type="dxa"/>
            <w:vAlign w:val="bottom"/>
            <w:tcBorders>
              <w:bottom w:val="single" w:sz="8" w:color="0000EE"/>
            </w:tcBorders>
            <w:gridSpan w:val="12"/>
          </w:tcPr>
          <w:p>
            <w:pPr>
              <w:spacing w:after="0" w:line="176" w:lineRule="exact"/>
              <w:rPr>
                <w:rFonts w:ascii="Arial" w:cs="Arial" w:eastAsia="Arial" w:hAnsi="Arial"/>
                <w:sz w:val="17"/>
                <w:szCs w:val="17"/>
                <w:color w:val="0000EE"/>
              </w:rPr>
            </w:pPr>
            <w:hyperlink w:anchor="page193">
              <w:r>
                <w:rPr>
                  <w:rFonts w:ascii="Arial" w:cs="Arial" w:eastAsia="Arial" w:hAnsi="Arial"/>
                  <w:sz w:val="17"/>
                  <w:szCs w:val="17"/>
                  <w:color w:val="0000EE"/>
                </w:rPr>
                <w:t>Description of Capital Stock</w:t>
              </w:r>
            </w:hyperlink>
          </w:p>
        </w:tc>
        <w:tc>
          <w:tcPr>
            <w:tcW w:w="8140" w:type="dxa"/>
            <w:vAlign w:val="bottom"/>
            <w:gridSpan w:val="10"/>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176"/>
        </w:trPr>
        <w:tc>
          <w:tcPr>
            <w:tcW w:w="2360" w:type="dxa"/>
            <w:vAlign w:val="bottom"/>
            <w:tcBorders>
              <w:bottom w:val="single" w:sz="8" w:color="0000EE"/>
            </w:tcBorders>
            <w:gridSpan w:val="13"/>
          </w:tcPr>
          <w:p>
            <w:pPr>
              <w:spacing w:after="0" w:line="176" w:lineRule="exact"/>
              <w:rPr>
                <w:rFonts w:ascii="Arial" w:cs="Arial" w:eastAsia="Arial" w:hAnsi="Arial"/>
                <w:sz w:val="17"/>
                <w:szCs w:val="17"/>
                <w:color w:val="0000EE"/>
              </w:rPr>
            </w:pPr>
            <w:hyperlink w:anchor="page199">
              <w:r>
                <w:rPr>
                  <w:rFonts w:ascii="Arial" w:cs="Arial" w:eastAsia="Arial" w:hAnsi="Arial"/>
                  <w:sz w:val="17"/>
                  <w:szCs w:val="17"/>
                  <w:color w:val="0000EE"/>
                </w:rPr>
                <w:t>Shares Eligible for Future Sale</w:t>
              </w:r>
            </w:hyperlink>
          </w:p>
        </w:tc>
        <w:tc>
          <w:tcPr>
            <w:tcW w:w="7920" w:type="dxa"/>
            <w:vAlign w:val="bottom"/>
            <w:gridSpan w:val="9"/>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176"/>
        </w:trPr>
        <w:tc>
          <w:tcPr>
            <w:tcW w:w="10280" w:type="dxa"/>
            <w:vAlign w:val="bottom"/>
            <w:gridSpan w:val="22"/>
          </w:tcPr>
          <w:p>
            <w:pPr>
              <w:spacing w:after="0" w:line="176" w:lineRule="exact"/>
              <w:rPr>
                <w:rFonts w:ascii="Arial" w:cs="Arial" w:eastAsia="Arial" w:hAnsi="Arial"/>
                <w:sz w:val="17"/>
                <w:szCs w:val="17"/>
                <w:color w:val="0000EE"/>
              </w:rPr>
            </w:pPr>
            <w:hyperlink w:anchor="page202">
              <w:r>
                <w:rPr>
                  <w:rFonts w:ascii="Arial" w:cs="Arial" w:eastAsia="Arial" w:hAnsi="Arial"/>
                  <w:sz w:val="17"/>
                  <w:szCs w:val="17"/>
                  <w:color w:val="0000EE"/>
                </w:rPr>
                <w:t>Material United States Federal Income Tax Consequences to Non-U.S. Holders of Our Common Stock</w:t>
              </w:r>
            </w:hyperlink>
          </w:p>
        </w:tc>
        <w:tc>
          <w:tcPr>
            <w:tcW w:w="340" w:type="dxa"/>
            <w:vAlign w:val="bottom"/>
          </w:tcPr>
          <w:p>
            <w:pPr>
              <w:jc w:val="right"/>
              <w:spacing w:after="0" w:line="176" w:lineRule="exact"/>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176"/>
        </w:trPr>
        <w:tc>
          <w:tcPr>
            <w:tcW w:w="980" w:type="dxa"/>
            <w:vAlign w:val="bottom"/>
            <w:tcBorders>
              <w:top w:val="single" w:sz="8" w:color="0000EE"/>
              <w:bottom w:val="single" w:sz="8" w:color="0000EE"/>
            </w:tcBorders>
            <w:gridSpan w:val="4"/>
          </w:tcPr>
          <w:p>
            <w:pPr>
              <w:spacing w:after="0" w:line="176" w:lineRule="exact"/>
              <w:rPr>
                <w:rFonts w:ascii="Arial" w:cs="Arial" w:eastAsia="Arial" w:hAnsi="Arial"/>
                <w:sz w:val="17"/>
                <w:szCs w:val="17"/>
                <w:color w:val="0000EE"/>
              </w:rPr>
            </w:pPr>
            <w:hyperlink w:anchor="page206">
              <w:r>
                <w:rPr>
                  <w:rFonts w:ascii="Arial" w:cs="Arial" w:eastAsia="Arial" w:hAnsi="Arial"/>
                  <w:sz w:val="17"/>
                  <w:szCs w:val="17"/>
                  <w:color w:val="0000EE"/>
                </w:rPr>
                <w:t>Underwriting</w:t>
              </w:r>
            </w:hyperlink>
          </w:p>
        </w:tc>
        <w:tc>
          <w:tcPr>
            <w:tcW w:w="6900" w:type="dxa"/>
            <w:vAlign w:val="bottom"/>
            <w:tcBorders>
              <w:top w:val="single" w:sz="8" w:color="0000EE"/>
            </w:tcBorders>
            <w:gridSpan w:val="17"/>
          </w:tcPr>
          <w:p>
            <w:pPr>
              <w:spacing w:after="0"/>
              <w:rPr>
                <w:sz w:val="15"/>
                <w:szCs w:val="15"/>
                <w:color w:val="auto"/>
              </w:rPr>
            </w:pPr>
          </w:p>
        </w:tc>
        <w:tc>
          <w:tcPr>
            <w:tcW w:w="2400" w:type="dxa"/>
            <w:vAlign w:val="bottom"/>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176"/>
        </w:trPr>
        <w:tc>
          <w:tcPr>
            <w:tcW w:w="10280" w:type="dxa"/>
            <w:vAlign w:val="bottom"/>
            <w:gridSpan w:val="22"/>
          </w:tcPr>
          <w:p>
            <w:pPr>
              <w:spacing w:after="0" w:line="176" w:lineRule="exact"/>
              <w:rPr>
                <w:rFonts w:ascii="Arial" w:cs="Arial" w:eastAsia="Arial" w:hAnsi="Arial"/>
                <w:sz w:val="17"/>
                <w:szCs w:val="17"/>
                <w:color w:val="0000EE"/>
              </w:rPr>
            </w:pPr>
            <w:hyperlink w:anchor="page212">
              <w:r>
                <w:rPr>
                  <w:rFonts w:ascii="Arial" w:cs="Arial" w:eastAsia="Arial" w:hAnsi="Arial"/>
                  <w:sz w:val="17"/>
                  <w:szCs w:val="17"/>
                  <w:color w:val="0000EE"/>
                </w:rPr>
                <w:t>Legal Matters</w:t>
              </w:r>
            </w:hyperlink>
          </w:p>
        </w:tc>
        <w:tc>
          <w:tcPr>
            <w:tcW w:w="340" w:type="dxa"/>
            <w:vAlign w:val="bottom"/>
          </w:tcPr>
          <w:p>
            <w:pPr>
              <w:jc w:val="right"/>
              <w:spacing w:after="0" w:line="176" w:lineRule="exact"/>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176"/>
        </w:trPr>
        <w:tc>
          <w:tcPr>
            <w:tcW w:w="1040" w:type="dxa"/>
            <w:vAlign w:val="bottom"/>
            <w:tcBorders>
              <w:top w:val="single" w:sz="8" w:color="0000EE"/>
            </w:tcBorders>
            <w:gridSpan w:val="6"/>
          </w:tcPr>
          <w:p>
            <w:pPr>
              <w:spacing w:after="0" w:line="176" w:lineRule="exact"/>
              <w:rPr>
                <w:rFonts w:ascii="Arial" w:cs="Arial" w:eastAsia="Arial" w:hAnsi="Arial"/>
                <w:sz w:val="17"/>
                <w:szCs w:val="17"/>
                <w:color w:val="0000EE"/>
              </w:rPr>
            </w:pPr>
            <w:hyperlink w:anchor="page212">
              <w:r>
                <w:rPr>
                  <w:rFonts w:ascii="Arial" w:cs="Arial" w:eastAsia="Arial" w:hAnsi="Arial"/>
                  <w:sz w:val="17"/>
                  <w:szCs w:val="17"/>
                  <w:color w:val="0000EE"/>
                </w:rPr>
                <w:t>Experts</w:t>
              </w:r>
            </w:hyperlink>
          </w:p>
        </w:tc>
        <w:tc>
          <w:tcPr>
            <w:tcW w:w="9240" w:type="dxa"/>
            <w:vAlign w:val="bottom"/>
            <w:gridSpan w:val="16"/>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2400" w:type="dxa"/>
            <w:vAlign w:val="bottom"/>
            <w:gridSpan w:val="1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92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980" w:type="dxa"/>
            <w:vAlign w:val="bottom"/>
            <w:tcBorders>
              <w:bottom w:val="single" w:sz="8" w:color="0000EE"/>
            </w:tcBorders>
            <w:gridSpan w:val="16"/>
          </w:tcPr>
          <w:p>
            <w:pPr>
              <w:spacing w:after="0" w:line="176" w:lineRule="exact"/>
              <w:rPr>
                <w:rFonts w:ascii="Arial" w:cs="Arial" w:eastAsia="Arial" w:hAnsi="Arial"/>
                <w:sz w:val="17"/>
                <w:szCs w:val="17"/>
                <w:color w:val="0000EE"/>
              </w:rPr>
            </w:pPr>
            <w:hyperlink w:anchor="page212">
              <w:r>
                <w:rPr>
                  <w:rFonts w:ascii="Arial" w:cs="Arial" w:eastAsia="Arial" w:hAnsi="Arial"/>
                  <w:sz w:val="17"/>
                  <w:szCs w:val="17"/>
                  <w:color w:val="0000EE"/>
                </w:rPr>
                <w:t>Where You Can Find More Information</w:t>
              </w:r>
            </w:hyperlink>
          </w:p>
        </w:tc>
        <w:tc>
          <w:tcPr>
            <w:tcW w:w="7300" w:type="dxa"/>
            <w:vAlign w:val="bottom"/>
            <w:gridSpan w:val="6"/>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176"/>
        </w:trPr>
        <w:tc>
          <w:tcPr>
            <w:tcW w:w="3360" w:type="dxa"/>
            <w:vAlign w:val="bottom"/>
            <w:tcBorders>
              <w:bottom w:val="single" w:sz="8" w:color="0000EE"/>
            </w:tcBorders>
            <w:gridSpan w:val="17"/>
          </w:tcPr>
          <w:p>
            <w:pPr>
              <w:spacing w:after="0" w:line="176" w:lineRule="exact"/>
              <w:rPr>
                <w:rFonts w:ascii="Arial" w:cs="Arial" w:eastAsia="Arial" w:hAnsi="Arial"/>
                <w:sz w:val="17"/>
                <w:szCs w:val="17"/>
                <w:color w:val="0000EE"/>
              </w:rPr>
            </w:pPr>
            <w:hyperlink w:anchor="page213">
              <w:r>
                <w:rPr>
                  <w:rFonts w:ascii="Arial" w:cs="Arial" w:eastAsia="Arial" w:hAnsi="Arial"/>
                  <w:sz w:val="17"/>
                  <w:szCs w:val="17"/>
                  <w:color w:val="0000EE"/>
                </w:rPr>
                <w:t>Index to Consolidated Financial Statements</w:t>
              </w:r>
            </w:hyperlink>
          </w:p>
        </w:tc>
        <w:tc>
          <w:tcPr>
            <w:tcW w:w="6920" w:type="dxa"/>
            <w:vAlign w:val="bottom"/>
            <w:gridSpan w:val="5"/>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233045</wp:posOffset>
            </wp:positionV>
            <wp:extent cx="14300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380" w:right="100" w:firstLine="534"/>
        <w:spacing w:after="0" w:line="244" w:lineRule="auto"/>
        <w:rPr>
          <w:sz w:val="20"/>
          <w:szCs w:val="20"/>
          <w:color w:val="auto"/>
        </w:rPr>
      </w:pPr>
      <w:r>
        <w:rPr>
          <w:rFonts w:ascii="Arial" w:cs="Arial" w:eastAsia="Arial" w:hAnsi="Arial"/>
          <w:sz w:val="17"/>
          <w:szCs w:val="17"/>
          <w:color w:val="auto"/>
        </w:rPr>
        <w:t>We have not authorized anyone to provide you with any information other than the information contained in this prospectus or any free writing prospectus we have prepared. We take no responsibility for, and provide no assurance as to the reliability of, any other information that others may give you. This prospectus is an offer to sell only the shares offered hereby, but only in circumstances and in jurisdictions where it is lawful to so do. The information contained in this prospectus is accurate only as of its date, regardless of the time of delivery of this prospectus or of any sale of our common stock. Our business, financial condition, results of operations and prospects may have changed since that date.</w:t>
      </w:r>
    </w:p>
    <w:p>
      <w:pPr>
        <w:spacing w:after="0" w:line="196" w:lineRule="exact"/>
        <w:rPr>
          <w:sz w:val="20"/>
          <w:szCs w:val="20"/>
          <w:color w:val="auto"/>
        </w:rPr>
      </w:pPr>
    </w:p>
    <w:p>
      <w:pPr>
        <w:ind w:left="380" w:right="180" w:firstLine="534"/>
        <w:spacing w:after="0" w:line="250" w:lineRule="auto"/>
        <w:rPr>
          <w:sz w:val="20"/>
          <w:szCs w:val="20"/>
          <w:color w:val="auto"/>
        </w:rPr>
      </w:pPr>
      <w:r>
        <w:rPr>
          <w:rFonts w:ascii="Arial" w:cs="Arial" w:eastAsia="Arial" w:hAnsi="Arial"/>
          <w:sz w:val="17"/>
          <w:szCs w:val="17"/>
          <w:color w:val="auto"/>
        </w:rPr>
        <w:t>Neither we nor any of the underwriters have done anything that would permit this offering or possession or distribution of this prospectus in any jurisdiction where action for that purpose is required, other than the United States. You are required to inform yourself about, and to observe any restrictions relating to, this offering and the distribution of this prospectus.</w:t>
      </w:r>
    </w:p>
    <w:p>
      <w:pPr>
        <w:sectPr>
          <w:pgSz w:w="11900" w:h="16838" w:orient="portrait"/>
          <w:cols w:equalWidth="0" w:num="1">
            <w:col w:w="11000"/>
          </w:cols>
          <w:pgMar w:left="240" w:top="449" w:right="65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200660</wp:posOffset>
            </wp:positionV>
            <wp:extent cx="6789420" cy="54425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89420" cy="544258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PROSPECTUS SUMMARY</w:t>
      </w:r>
    </w:p>
    <w:p>
      <w:pPr>
        <w:spacing w:after="0" w:line="214" w:lineRule="exact"/>
        <w:rPr>
          <w:sz w:val="20"/>
          <w:szCs w:val="20"/>
          <w:color w:val="auto"/>
        </w:rPr>
      </w:pPr>
    </w:p>
    <w:p>
      <w:pPr>
        <w:ind w:left="540" w:firstLine="516"/>
        <w:spacing w:after="0" w:line="247"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included elsewhere in this prospectus. You should also consider, among other things, the matters described under the sections titled “Risk Factors” and “Management’s Discussion and Analysis of Financial Condition and Results of Operations,” in each case included elsewhere in this prospectus. Unless otherwise stated, all references to “us,” “our,” “NGM,” “NGM Biopharmaceuticals,” “we,” the “Company” and similar designations refer to NGM Biopharmaceuticals, Inc. and its subsidiary.</w:t>
      </w:r>
    </w:p>
    <w:p>
      <w:pPr>
        <w:spacing w:after="0" w:line="277" w:lineRule="exact"/>
        <w:rPr>
          <w:sz w:val="20"/>
          <w:szCs w:val="20"/>
          <w:color w:val="auto"/>
        </w:rPr>
      </w:pPr>
    </w:p>
    <w:p>
      <w:pPr>
        <w:ind w:left="5320"/>
        <w:spacing w:after="0"/>
        <w:rPr>
          <w:sz w:val="20"/>
          <w:szCs w:val="20"/>
          <w:color w:val="auto"/>
        </w:rPr>
      </w:pPr>
      <w:r>
        <w:rPr>
          <w:rFonts w:ascii="Arial" w:cs="Arial" w:eastAsia="Arial" w:hAnsi="Arial"/>
          <w:sz w:val="17"/>
          <w:szCs w:val="17"/>
          <w:b w:val="1"/>
          <w:bCs w:val="1"/>
          <w:color w:val="auto"/>
        </w:rPr>
        <w:t>Overview</w:t>
      </w:r>
    </w:p>
    <w:p>
      <w:pPr>
        <w:spacing w:after="0" w:line="232" w:lineRule="exact"/>
        <w:rPr>
          <w:sz w:val="20"/>
          <w:szCs w:val="20"/>
          <w:color w:val="auto"/>
        </w:rPr>
      </w:pPr>
    </w:p>
    <w:p>
      <w:pPr>
        <w:ind w:left="540" w:right="20" w:firstLine="516"/>
        <w:spacing w:after="0" w:line="242" w:lineRule="auto"/>
        <w:rPr>
          <w:sz w:val="20"/>
          <w:szCs w:val="20"/>
          <w:color w:val="auto"/>
        </w:rPr>
      </w:pPr>
      <w:r>
        <w:rPr>
          <w:rFonts w:ascii="Arial" w:cs="Arial" w:eastAsia="Arial" w:hAnsi="Arial"/>
          <w:sz w:val="17"/>
          <w:szCs w:val="17"/>
          <w:color w:val="auto"/>
        </w:rPr>
        <w:t xml:space="preserve">We are a clinical-stage biopharmaceutical company developing novel therapeutics based on our scientific understanding of key biological pathways underlying cardio-metabolic, liver, oncologic and ophthalmic diseases. These diseases are among the largest unmet medical needs globally and represent leading causes of morbidity and mortality and a significant burden for healthcare systems. Since the commencement of our operations in 2008, we have generated a robust portfolio of seven product candidates, five of which are in clinical testing. Our most advanced product candidate, NGM282, is wholly-owned and will enter Phase 2b development for the treatment of non-alcoholic steatohepatitis, or NASH, in mid-2019. In an ongoing Phase 2 clinical trial, NGM282 has demonstrated the ability to rapidly improve NASH and reverse liver fibrosis at 12 weeks. We have created this portfolio using our research and drug discovery approach that employs unbiased, </w:t>
      </w:r>
      <w:r>
        <w:rPr>
          <w:rFonts w:ascii="Arial" w:cs="Arial" w:eastAsia="Arial" w:hAnsi="Arial"/>
          <w:sz w:val="17"/>
          <w:szCs w:val="17"/>
          <w:i w:val="1"/>
          <w:iCs w:val="1"/>
          <w:color w:val="auto"/>
        </w:rPr>
        <w:t>in vivo</w:t>
      </w:r>
      <w:r>
        <w:rPr>
          <w:rFonts w:ascii="Arial" w:cs="Arial" w:eastAsia="Arial" w:hAnsi="Arial"/>
          <w:sz w:val="17"/>
          <w:szCs w:val="17"/>
          <w:color w:val="auto"/>
        </w:rPr>
        <w:t>-based discovery to identify proprietary insights into critical biological processes. We combine this approach with our protein and antibody engineering expertise to find the appropriate modality to enhance each product candidate’s therapeutic potential. Our executives, directors and advisors have extensive track records of successfully discovering, developing and delivering to patients first-in-class drugs, which positions us well to maximize the potential of our drug discovery approach.</w:t>
      </w:r>
    </w:p>
    <w:p>
      <w:pPr>
        <w:spacing w:after="0" w:line="200" w:lineRule="exact"/>
        <w:rPr>
          <w:sz w:val="20"/>
          <w:szCs w:val="20"/>
          <w:color w:val="auto"/>
        </w:rPr>
      </w:pPr>
    </w:p>
    <w:p>
      <w:pPr>
        <w:spacing w:after="0" w:line="281" w:lineRule="exact"/>
        <w:rPr>
          <w:sz w:val="20"/>
          <w:szCs w:val="20"/>
          <w:color w:val="auto"/>
        </w:rPr>
      </w:pPr>
    </w:p>
    <w:p>
      <w:pPr>
        <w:jc w:val="center"/>
        <w:ind w:right="-559"/>
        <w:spacing w:after="0"/>
        <w:rPr>
          <w:sz w:val="20"/>
          <w:szCs w:val="20"/>
          <w:color w:val="auto"/>
        </w:rPr>
      </w:pPr>
      <w:r>
        <w:rPr>
          <w:rFonts w:ascii="Arial" w:cs="Arial" w:eastAsia="Arial" w:hAnsi="Arial"/>
          <w:sz w:val="17"/>
          <w:szCs w:val="17"/>
          <w:b w:val="1"/>
          <w:bCs w:val="1"/>
          <w:color w:val="auto"/>
        </w:rPr>
        <w:t>Our Collaboration with Merck</w:t>
      </w:r>
    </w:p>
    <w:p>
      <w:pPr>
        <w:spacing w:after="0" w:line="232" w:lineRule="exact"/>
        <w:rPr>
          <w:sz w:val="20"/>
          <w:szCs w:val="20"/>
          <w:color w:val="auto"/>
        </w:rPr>
      </w:pPr>
    </w:p>
    <w:p>
      <w:pPr>
        <w:ind w:left="540" w:right="140" w:firstLine="516"/>
        <w:spacing w:after="0" w:line="242" w:lineRule="auto"/>
        <w:rPr>
          <w:sz w:val="20"/>
          <w:szCs w:val="20"/>
          <w:color w:val="auto"/>
        </w:rPr>
      </w:pPr>
      <w:r>
        <w:rPr>
          <w:rFonts w:ascii="Arial" w:cs="Arial" w:eastAsia="Arial" w:hAnsi="Arial"/>
          <w:sz w:val="17"/>
          <w:szCs w:val="17"/>
          <w:color w:val="auto"/>
        </w:rPr>
        <w:t>In 2015, we entered into a five-year research collaboration, product development and license agreement with Merck Sharp &amp; Dohme Corp., or Merck. On March 15, 2019, Merck exercised its option to extend the collaboration for two additional years to March 2022. At inception, the collaboration included an exclusive worldwide license to our growth differentiation factor 15, or GDF15, receptor agonist program. On March 1, 2019, Merck notified us of its intent to terminate its license to the GDF15 receptor agonist program, effective May 31, 2019. Upon effectiveness of this termination, we will regain full rights to the GDF15 receptor agonist program, which includes NGM386 and NGM395. We expect to decide whether to advance NGM386 and/or NGM395 following our analysis of the results of the NGM386 Phase 1 study. Under the collaboration agreement, we also granted Merck options to take exclusive, worldwide licenses for the programs in our research and development pipeline on a program-by-program basis. Merck generally has a one-time right to exercise its option when a program completes a human proof-of-concept trial. In November 2018, Merck exercised its option to license NGM313, an agonist antibody selectively activating fibroblast growth factor receptor 1c-beta-klotho, or FGFR1c/KLB, as a potential treatment for NASH and type 2 diabetes. The collaboration enables us to develop more product candidates for major indications than we could likely advance on our own, with Merck bearing a majority of the associated cost and risk. We retain an option, when a candidate has advanced to Phase 3 clinical trials, to participate in up to 50% of the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880"/>
          </w:cols>
          <w:pgMar w:left="240" w:top="449" w:right="77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200660</wp:posOffset>
            </wp:positionV>
            <wp:extent cx="6789420" cy="19831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89420" cy="19831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540" w:right="100"/>
        <w:spacing w:after="0" w:line="247" w:lineRule="auto"/>
        <w:rPr>
          <w:sz w:val="20"/>
          <w:szCs w:val="20"/>
          <w:color w:val="auto"/>
        </w:rPr>
      </w:pPr>
      <w:r>
        <w:rPr>
          <w:rFonts w:ascii="Arial" w:cs="Arial" w:eastAsia="Arial" w:hAnsi="Arial"/>
          <w:sz w:val="17"/>
          <w:szCs w:val="17"/>
          <w:color w:val="auto"/>
        </w:rPr>
        <w:t>economic return from that candidate if it becomes an approved medicine. Overall, the Merck collaboration provides us with robust research and development support, while we retain our research independence and the option to split costs and profits on product candidates Merck elects to advance. We excluded our fibroblast growth factor 19, or FGF19, program, including NGM282, from the agreement and it remains wholly-owned by us.</w:t>
      </w:r>
    </w:p>
    <w:p>
      <w:pPr>
        <w:spacing w:after="0" w:line="273"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Our Approach to Drug Discovery and Development</w:t>
      </w:r>
    </w:p>
    <w:p>
      <w:pPr>
        <w:spacing w:after="0" w:line="232" w:lineRule="exact"/>
        <w:rPr>
          <w:sz w:val="20"/>
          <w:szCs w:val="20"/>
          <w:color w:val="auto"/>
        </w:rPr>
      </w:pPr>
    </w:p>
    <w:p>
      <w:pPr>
        <w:ind w:left="540" w:firstLine="516"/>
        <w:spacing w:after="0" w:line="244" w:lineRule="auto"/>
        <w:rPr>
          <w:sz w:val="20"/>
          <w:szCs w:val="20"/>
          <w:color w:val="auto"/>
        </w:rPr>
      </w:pPr>
      <w:r>
        <w:rPr>
          <w:rFonts w:ascii="Arial" w:cs="Arial" w:eastAsia="Arial" w:hAnsi="Arial"/>
          <w:sz w:val="17"/>
          <w:szCs w:val="17"/>
          <w:color w:val="auto"/>
        </w:rPr>
        <w:t>We pursue drug discovery and development through a multi-step process geared towards translating powerful human biology into first-in-class medicines. Our founding team designed our approach based on many decades of collective experience in successful drug development at other companies, including Amgen, Genentech and Tularik. Our process pairs a research approach that generates novel insights into pathways demonstrating powerful biological effect with the expertise in protein and antibody engineering to transform those insights into product candidates. We then rapidly advance the program to evaluate the effect of these product candidates on biomarkers of disease or target activity in order to enable early demonstration of human proof of concept.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740"/>
          </w:cols>
          <w:pgMar w:left="240" w:top="449" w:right="91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200660</wp:posOffset>
            </wp:positionV>
            <wp:extent cx="6789420" cy="6398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89420" cy="639889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ind w:right="-859"/>
        <w:spacing w:after="0"/>
        <w:rPr>
          <w:sz w:val="20"/>
          <w:szCs w:val="20"/>
          <w:color w:val="auto"/>
        </w:rPr>
      </w:pPr>
      <w:r>
        <w:rPr>
          <w:rFonts w:ascii="Arial" w:cs="Arial" w:eastAsia="Arial" w:hAnsi="Arial"/>
          <w:sz w:val="17"/>
          <w:szCs w:val="17"/>
          <w:b w:val="1"/>
          <w:bCs w:val="1"/>
          <w:color w:val="auto"/>
        </w:rPr>
        <w:t>Our Development Programs</w:t>
      </w:r>
    </w:p>
    <w:p>
      <w:pPr>
        <w:spacing w:after="0" w:line="232" w:lineRule="exact"/>
        <w:rPr>
          <w:sz w:val="20"/>
          <w:szCs w:val="20"/>
          <w:color w:val="auto"/>
        </w:rPr>
      </w:pPr>
    </w:p>
    <w:p>
      <w:pPr>
        <w:ind w:left="540" w:firstLine="516"/>
        <w:spacing w:after="0" w:line="244" w:lineRule="auto"/>
        <w:rPr>
          <w:sz w:val="20"/>
          <w:szCs w:val="20"/>
          <w:color w:val="auto"/>
        </w:rPr>
      </w:pPr>
      <w:r>
        <w:rPr>
          <w:rFonts w:ascii="Arial" w:cs="Arial" w:eastAsia="Arial" w:hAnsi="Arial"/>
          <w:sz w:val="17"/>
          <w:szCs w:val="17"/>
          <w:color w:val="auto"/>
        </w:rPr>
        <w:t>Our most advanced programs have focused on novel discoveries in hormone pathways that regulate cardio-metabolic processes and liver function, including those driving NASH, type 2 diabetes and obesity. We have identified multiple hormone pathways of interest, the most advanced of which are: FGF19, which plays a critical role in controlling bile acid, lipid and glucose metabolism; FGFR1c/KLB, which regulates insulin sensitivity, blood glucose and liver fat; and GDF15, which drives profound metabolic activity by regulating fuel flux and has been considered a challenging therapeutic target. We believe these hormone pathways work through distinct mechanisms and play an important role in metabolic regulation. We are currently advancing seven proprietary product candidates, as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We are currently focused on the following programs:</w:t>
      </w:r>
    </w:p>
    <w:p>
      <w:pPr>
        <w:spacing w:after="0" w:line="119" w:lineRule="exact"/>
        <w:rPr>
          <w:sz w:val="20"/>
          <w:szCs w:val="20"/>
          <w:color w:val="auto"/>
        </w:rPr>
      </w:pPr>
    </w:p>
    <w:p>
      <w:pPr>
        <w:ind w:left="1240" w:hanging="181"/>
        <w:spacing w:after="0" w:line="245"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NGM282 is an engineered variant of the human hormone known as FGF19, which we are developing for the treatment of NASH. Preliminary results from Phase 2 clinical trials have provided clinical proof of concept for a once-daily injection of NGM282 by demonstrating statistically significant reductions in liver fat, liver transaminases and biomarkers of fibrosis, which has translated into improvements on liver histology and fibrosis at 12 weeks. We expect interim data in the second half of 2019 from our ongoing placebo-controlled Phase 2 clinical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60"/>
          </w:cols>
          <w:pgMar w:left="240" w:top="449" w:right="109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200660</wp:posOffset>
            </wp:positionV>
            <wp:extent cx="6789420" cy="46443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89420" cy="46443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260" w:right="340"/>
        <w:spacing w:after="0" w:line="258" w:lineRule="auto"/>
        <w:rPr>
          <w:sz w:val="20"/>
          <w:szCs w:val="20"/>
          <w:color w:val="auto"/>
        </w:rPr>
      </w:pPr>
      <w:r>
        <w:rPr>
          <w:rFonts w:ascii="Arial" w:cs="Arial" w:eastAsia="Arial" w:hAnsi="Arial"/>
          <w:sz w:val="17"/>
          <w:szCs w:val="17"/>
          <w:color w:val="auto"/>
        </w:rPr>
        <w:t>trial cohort assessing the histological effects of NGM282 after 24 weeks of treatment. We excluded our FGF19 program, including NGM282, from our Merck collaboration, and it remains wholly-owned by us.</w:t>
      </w:r>
    </w:p>
    <w:p>
      <w:pPr>
        <w:spacing w:after="0" w:line="90" w:lineRule="exact"/>
        <w:rPr>
          <w:sz w:val="20"/>
          <w:szCs w:val="20"/>
          <w:color w:val="auto"/>
        </w:rPr>
      </w:pPr>
    </w:p>
    <w:p>
      <w:pPr>
        <w:ind w:left="1240" w:right="360" w:hanging="181"/>
        <w:spacing w:after="0" w:line="244"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NGM313 is an agonistic antibody selectively activating FGFR1c/KLB and has the potential as an insulin sensitizer and regulator of lipid homeostasis to be a treatment for NASH and type 2 diabetes. Preliminary data from a Phase 1b proof-of-concept clinical trial in obese, insulin resistant subjects with non-alcoholic fatty liver disease, or NAFLD, demonstrated that a single dose of NGM313 resulted in a statistically significant reduction in liver fat content and improvements in multiple metabolic parameters. Following completion of this proof-of-concept study, Merck exercised its option to license the program in November 2018. We expect Merck to initiate a Phase 2b study of NGM313 in NASH patients in late 2019 or early 2020.</w:t>
      </w:r>
    </w:p>
    <w:p>
      <w:pPr>
        <w:spacing w:after="0" w:line="101" w:lineRule="exact"/>
        <w:rPr>
          <w:rFonts w:ascii="Arial" w:cs="Arial" w:eastAsia="Arial" w:hAnsi="Arial"/>
          <w:sz w:val="17"/>
          <w:szCs w:val="17"/>
          <w:color w:val="auto"/>
        </w:rPr>
      </w:pPr>
    </w:p>
    <w:p>
      <w:pPr>
        <w:ind w:left="1240" w:right="120" w:hanging="181"/>
        <w:spacing w:after="0" w:line="245"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NGM120 is an antagonistic antibody binding glial cell-derived neurotrophic factor receptor alpha-like, or GFRAL, that is designed to inhibit the effects of elevated GDF15 levels on cancer anorexia/cachexia syndrome, or CACS, and, possibly, cancer. We are currently testing NGM120 in healthy volunteers in a Phase 1 clinical trial to assess its safety, tolerability and pharmacokinetic profile. We expect to initiate a Phase 1a/1b clinical trial of NGM120 in cancer patients in the second half of 2019. Merck has a one-time option to license NGM120 upon our completion of a proof-of-concept study in humans.</w:t>
      </w:r>
    </w:p>
    <w:p>
      <w:pPr>
        <w:spacing w:after="0" w:line="102" w:lineRule="exact"/>
        <w:rPr>
          <w:rFonts w:ascii="Arial" w:cs="Arial" w:eastAsia="Arial" w:hAnsi="Arial"/>
          <w:sz w:val="17"/>
          <w:szCs w:val="17"/>
          <w:color w:val="auto"/>
        </w:rPr>
      </w:pPr>
    </w:p>
    <w:p>
      <w:pPr>
        <w:ind w:left="1240" w:right="60" w:hanging="181"/>
        <w:spacing w:after="0" w:line="245"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NGM217 is an antibody binding an undisclosed target that is designed to restore pancreatic islet function and increase insulin production in patients with diabetes. NGM217 is in a Phase 1 study in adults with diabetes, where we are assessing its ability to increase levels of C-peptide, a biomarker of insulin production. We expect to initiate a Phase 1b/2a proof-of-concept clinical trial in adults with diabetes in 2020. Merck has a one-time option to license NGM217 upon our completion of a proof-of-concept study in humans.</w:t>
      </w:r>
    </w:p>
    <w:p>
      <w:pPr>
        <w:spacing w:after="0" w:line="102" w:lineRule="exact"/>
        <w:rPr>
          <w:rFonts w:ascii="Arial" w:cs="Arial" w:eastAsia="Arial" w:hAnsi="Arial"/>
          <w:sz w:val="17"/>
          <w:szCs w:val="17"/>
          <w:color w:val="auto"/>
        </w:rPr>
      </w:pPr>
    </w:p>
    <w:p>
      <w:pPr>
        <w:ind w:left="1240" w:hanging="181"/>
        <w:spacing w:after="0" w:line="245"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NGM621 is an antibody binding an undisclosed target that is designed to decrease levels of a protein implicated in the dry form of age-related macular degeneration, or dry AMD. NGM621 is in investigational new drug, or IND, enabling studies, and we expect to begin a Phase 1 safety, tolerability and pharmacokinetics study in patients with geographic atrophy, or GA, an advanced form of dry AMD, in the second half of 2019. Merck has a one-time option to license NGM621 upon our completion of a proof-of-concept study in humans.</w:t>
      </w:r>
    </w:p>
    <w:p>
      <w:pPr>
        <w:spacing w:after="0" w:line="102" w:lineRule="exact"/>
        <w:rPr>
          <w:rFonts w:ascii="Arial" w:cs="Arial" w:eastAsia="Arial" w:hAnsi="Arial"/>
          <w:sz w:val="17"/>
          <w:szCs w:val="17"/>
          <w:color w:val="auto"/>
        </w:rPr>
      </w:pPr>
    </w:p>
    <w:p>
      <w:pPr>
        <w:ind w:left="1240" w:hanging="181"/>
        <w:spacing w:after="0" w:line="243"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NGM386 and NGM395 are engineered variants of the human hormone known as GDF15, which were being developed with Merck under the collaboration for the treatment of obesity. Merck licensed our GDF15 receptor agonist program in 2015 and completed the conduct of a Phase 1 study of NGM386 in overweight or obese but otherwise healthy adults. Preliminary data from the study indicated that NGM386 treatment for 28 days was generally well-tolerated but did not result in significant body weight loss in obese subjects. On March 1, 2019, Merck notified us of its intent to terminate its license to the program, effective May 31, 2019. Upon effectiveness of this termination, we will regain full rights to the GDF15 receptor agonist program, which includes NGM386 and NGM395. We expect to decide whether to advance NGM386 and/or NGM395 following the completion of our detailed analysis of the results of the NGM386 Phase 1 study.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860"/>
          </w:cols>
          <w:pgMar w:left="240" w:top="449" w:right="79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200660</wp:posOffset>
            </wp:positionV>
            <wp:extent cx="6789420" cy="5857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89420" cy="585787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ind w:right="-579"/>
        <w:spacing w:after="0"/>
        <w:rPr>
          <w:sz w:val="20"/>
          <w:szCs w:val="20"/>
          <w:color w:val="auto"/>
        </w:rPr>
      </w:pPr>
      <w:r>
        <w:rPr>
          <w:rFonts w:ascii="Arial" w:cs="Arial" w:eastAsia="Arial" w:hAnsi="Arial"/>
          <w:sz w:val="17"/>
          <w:szCs w:val="17"/>
          <w:b w:val="1"/>
          <w:bCs w:val="1"/>
          <w:color w:val="auto"/>
        </w:rPr>
        <w:t>Our Strategy</w:t>
      </w:r>
    </w:p>
    <w:p>
      <w:pPr>
        <w:spacing w:after="0" w:line="232" w:lineRule="exact"/>
        <w:rPr>
          <w:sz w:val="20"/>
          <w:szCs w:val="20"/>
          <w:color w:val="auto"/>
        </w:rPr>
      </w:pPr>
    </w:p>
    <w:p>
      <w:pPr>
        <w:ind w:left="540" w:right="160" w:firstLine="516"/>
        <w:spacing w:after="0" w:line="250" w:lineRule="auto"/>
        <w:rPr>
          <w:sz w:val="20"/>
          <w:szCs w:val="20"/>
          <w:color w:val="auto"/>
        </w:rPr>
      </w:pPr>
      <w:r>
        <w:rPr>
          <w:rFonts w:ascii="Arial" w:cs="Arial" w:eastAsia="Arial" w:hAnsi="Arial"/>
          <w:sz w:val="17"/>
          <w:szCs w:val="17"/>
          <w:color w:val="auto"/>
        </w:rPr>
        <w:t>Our strategy is to leverage our biology-centric drug discovery approach to uncover novel mechanisms of action and generate proprietary insights that will enable us to move rapidly into proof-of-concept studies and deliver to patients first-in-class medicines. Key elements of our strategy are:</w:t>
      </w:r>
    </w:p>
    <w:p>
      <w:pPr>
        <w:spacing w:after="0" w:line="78" w:lineRule="exact"/>
        <w:rPr>
          <w:sz w:val="20"/>
          <w:szCs w:val="20"/>
          <w:color w:val="auto"/>
        </w:rPr>
      </w:pPr>
    </w:p>
    <w:p>
      <w:pPr>
        <w:ind w:left="1240" w:right="260" w:hanging="181"/>
        <w:spacing w:after="0" w:line="281"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Establish NGM282, our wholly-owned compound, as the leading treatment for NASH patients with moderate to advanced fibrosis</w:t>
      </w:r>
    </w:p>
    <w:p>
      <w:pPr>
        <w:spacing w:after="0" w:line="52" w:lineRule="exact"/>
        <w:rPr>
          <w:rFonts w:ascii="Arial" w:cs="Arial" w:eastAsia="Arial" w:hAnsi="Arial"/>
          <w:sz w:val="17"/>
          <w:szCs w:val="17"/>
          <w:color w:val="auto"/>
        </w:rPr>
      </w:pPr>
    </w:p>
    <w:p>
      <w:pPr>
        <w:ind w:left="1240" w:hanging="181"/>
        <w:spacing w:after="0"/>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Leverage our collaboration with Merck to advance our pipeline</w:t>
      </w:r>
    </w:p>
    <w:p>
      <w:pPr>
        <w:spacing w:after="0" w:line="118" w:lineRule="exact"/>
        <w:rPr>
          <w:rFonts w:ascii="Arial" w:cs="Arial" w:eastAsia="Arial" w:hAnsi="Arial"/>
          <w:sz w:val="17"/>
          <w:szCs w:val="17"/>
          <w:color w:val="auto"/>
        </w:rPr>
      </w:pPr>
    </w:p>
    <w:p>
      <w:pPr>
        <w:ind w:left="1240" w:hanging="181"/>
        <w:spacing w:after="0"/>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Grow our pipeline and extend our therapeutic areas of focus</w:t>
      </w:r>
    </w:p>
    <w:p>
      <w:pPr>
        <w:spacing w:after="0" w:line="118" w:lineRule="exact"/>
        <w:rPr>
          <w:rFonts w:ascii="Arial" w:cs="Arial" w:eastAsia="Arial" w:hAnsi="Arial"/>
          <w:sz w:val="17"/>
          <w:szCs w:val="17"/>
          <w:color w:val="auto"/>
        </w:rPr>
      </w:pPr>
    </w:p>
    <w:p>
      <w:pPr>
        <w:ind w:left="1240" w:hanging="181"/>
        <w:spacing w:after="0"/>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Build capabilities to deliver medicines to patients in areas of high unmet medical need</w:t>
      </w:r>
    </w:p>
    <w:p>
      <w:pPr>
        <w:spacing w:after="0" w:line="118" w:lineRule="exact"/>
        <w:rPr>
          <w:rFonts w:ascii="Arial" w:cs="Arial" w:eastAsia="Arial" w:hAnsi="Arial"/>
          <w:sz w:val="17"/>
          <w:szCs w:val="17"/>
          <w:color w:val="auto"/>
        </w:rPr>
      </w:pPr>
    </w:p>
    <w:p>
      <w:pPr>
        <w:ind w:left="1240" w:hanging="181"/>
        <w:spacing w:after="0"/>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Strengthen our position as a leading drug discovery and development company</w:t>
      </w:r>
    </w:p>
    <w:p>
      <w:pPr>
        <w:spacing w:after="0" w:line="311" w:lineRule="exact"/>
        <w:rPr>
          <w:sz w:val="20"/>
          <w:szCs w:val="20"/>
          <w:color w:val="auto"/>
        </w:rPr>
      </w:pPr>
    </w:p>
    <w:p>
      <w:pPr>
        <w:jc w:val="center"/>
        <w:ind w:right="-579"/>
        <w:spacing w:after="0"/>
        <w:rPr>
          <w:sz w:val="20"/>
          <w:szCs w:val="20"/>
          <w:color w:val="auto"/>
        </w:rPr>
      </w:pPr>
      <w:r>
        <w:rPr>
          <w:rFonts w:ascii="Arial" w:cs="Arial" w:eastAsia="Arial" w:hAnsi="Arial"/>
          <w:sz w:val="17"/>
          <w:szCs w:val="17"/>
          <w:b w:val="1"/>
          <w:bCs w:val="1"/>
          <w:color w:val="auto"/>
        </w:rPr>
        <w:t>Risks Associated with Our Business</w:t>
      </w:r>
    </w:p>
    <w:p>
      <w:pPr>
        <w:spacing w:after="0" w:line="232" w:lineRule="exact"/>
        <w:rPr>
          <w:sz w:val="20"/>
          <w:szCs w:val="20"/>
          <w:color w:val="auto"/>
        </w:rPr>
      </w:pPr>
    </w:p>
    <w:p>
      <w:pPr>
        <w:ind w:left="540" w:right="380" w:firstLine="516"/>
        <w:spacing w:after="0" w:line="258" w:lineRule="auto"/>
        <w:rPr>
          <w:sz w:val="20"/>
          <w:szCs w:val="20"/>
          <w:color w:val="auto"/>
        </w:rPr>
      </w:pPr>
      <w:r>
        <w:rPr>
          <w:rFonts w:ascii="Arial" w:cs="Arial" w:eastAsia="Arial" w:hAnsi="Arial"/>
          <w:sz w:val="17"/>
          <w:szCs w:val="17"/>
          <w:color w:val="auto"/>
        </w:rPr>
        <w:t>Our business is subject to numerous risks and uncertainties, including those highlighted in the section titled “Risk Factors” immediately following this prospectus summary. Some of those risks are:</w:t>
      </w:r>
    </w:p>
    <w:p>
      <w:pPr>
        <w:spacing w:after="0" w:line="90" w:lineRule="exact"/>
        <w:rPr>
          <w:sz w:val="20"/>
          <w:szCs w:val="20"/>
          <w:color w:val="auto"/>
        </w:rPr>
      </w:pPr>
    </w:p>
    <w:p>
      <w:pPr>
        <w:ind w:left="1240" w:right="160" w:hanging="181"/>
        <w:spacing w:after="0" w:line="258"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incurred net losses every year since our inception, expect to incur significant and increasing operating losses and may never be profitable;</w:t>
      </w:r>
    </w:p>
    <w:p>
      <w:pPr>
        <w:spacing w:after="0" w:line="90" w:lineRule="exact"/>
        <w:rPr>
          <w:rFonts w:ascii="Arial" w:cs="Arial" w:eastAsia="Arial" w:hAnsi="Arial"/>
          <w:sz w:val="17"/>
          <w:szCs w:val="17"/>
          <w:color w:val="auto"/>
        </w:rPr>
      </w:pPr>
    </w:p>
    <w:p>
      <w:pPr>
        <w:ind w:left="1240" w:right="140" w:hanging="181"/>
        <w:spacing w:after="0" w:line="258"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need to acquire additional capital to finance our operations, which may not be available to us on acceptable terms, or at all;</w:t>
      </w:r>
    </w:p>
    <w:p>
      <w:pPr>
        <w:spacing w:after="0" w:line="90" w:lineRule="exact"/>
        <w:rPr>
          <w:rFonts w:ascii="Arial" w:cs="Arial" w:eastAsia="Arial" w:hAnsi="Arial"/>
          <w:sz w:val="17"/>
          <w:szCs w:val="17"/>
          <w:color w:val="auto"/>
        </w:rPr>
      </w:pPr>
    </w:p>
    <w:p>
      <w:pPr>
        <w:ind w:left="1240" w:hanging="181"/>
        <w:spacing w:after="0"/>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substantially all of our revenue for recent periods has been received from a single collaboration partner;</w:t>
      </w:r>
    </w:p>
    <w:p>
      <w:pPr>
        <w:spacing w:after="0" w:line="118" w:lineRule="exact"/>
        <w:rPr>
          <w:rFonts w:ascii="Arial" w:cs="Arial" w:eastAsia="Arial" w:hAnsi="Arial"/>
          <w:sz w:val="17"/>
          <w:szCs w:val="17"/>
          <w:color w:val="auto"/>
        </w:rPr>
      </w:pPr>
    </w:p>
    <w:p>
      <w:pPr>
        <w:ind w:left="1240" w:right="40" w:hanging="181"/>
        <w:spacing w:after="0" w:line="258"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currently have no approved products or product revenue, and we will need to successfully complete preclinical and clinical testing of our product candidates before we can seek regulatory approval and potentially generate commercial sales;</w:t>
      </w:r>
    </w:p>
    <w:p>
      <w:pPr>
        <w:spacing w:after="0" w:line="90" w:lineRule="exact"/>
        <w:rPr>
          <w:rFonts w:ascii="Arial" w:cs="Arial" w:eastAsia="Arial" w:hAnsi="Arial"/>
          <w:sz w:val="17"/>
          <w:szCs w:val="17"/>
          <w:color w:val="auto"/>
        </w:rPr>
      </w:pPr>
    </w:p>
    <w:p>
      <w:pPr>
        <w:ind w:left="1240" w:right="340" w:hanging="181"/>
        <w:spacing w:after="0" w:line="258"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future success depends in part on our ability to attract and retain highly skilled employees, including members of our current senior management team, especially Dr. Jin-Long Chen, and our scientific advisors;</w:t>
      </w:r>
    </w:p>
    <w:p>
      <w:pPr>
        <w:spacing w:after="0" w:line="90" w:lineRule="exact"/>
        <w:rPr>
          <w:rFonts w:ascii="Arial" w:cs="Arial" w:eastAsia="Arial" w:hAnsi="Arial"/>
          <w:sz w:val="17"/>
          <w:szCs w:val="17"/>
          <w:color w:val="auto"/>
        </w:rPr>
      </w:pPr>
    </w:p>
    <w:p>
      <w:pPr>
        <w:ind w:left="1240" w:hanging="181"/>
        <w:spacing w:after="0" w:line="258"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clinical trials of our product candidates may fail to demonstrate safety and efficacy to the satisfaction of regulatory authorities or otherwise produce positive results;</w:t>
      </w:r>
    </w:p>
    <w:p>
      <w:pPr>
        <w:spacing w:after="0" w:line="90" w:lineRule="exact"/>
        <w:rPr>
          <w:rFonts w:ascii="Arial" w:cs="Arial" w:eastAsia="Arial" w:hAnsi="Arial"/>
          <w:sz w:val="17"/>
          <w:szCs w:val="17"/>
          <w:color w:val="auto"/>
        </w:rPr>
      </w:pPr>
    </w:p>
    <w:p>
      <w:pPr>
        <w:ind w:left="1240" w:right="900" w:hanging="181"/>
        <w:spacing w:after="0" w:line="258"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depend on our collaboration with Merck and may depend on collaborations with additional third parties for the development and commercialization of our product candidates;</w:t>
      </w:r>
    </w:p>
    <w:p>
      <w:pPr>
        <w:spacing w:after="0" w:line="90" w:lineRule="exact"/>
        <w:rPr>
          <w:rFonts w:ascii="Arial" w:cs="Arial" w:eastAsia="Arial" w:hAnsi="Arial"/>
          <w:sz w:val="17"/>
          <w:szCs w:val="17"/>
          <w:color w:val="auto"/>
        </w:rPr>
      </w:pPr>
    </w:p>
    <w:p>
      <w:pPr>
        <w:ind w:left="1240" w:right="320" w:hanging="181"/>
        <w:spacing w:after="0" w:line="258"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regulatory approval processes of the U.S. Food and Drug Administration, or FDA, and comparable foreign regulatory authorities are lengthy, time-consuming and inherently unpredictable;</w:t>
      </w:r>
    </w:p>
    <w:p>
      <w:pPr>
        <w:spacing w:after="0" w:line="90" w:lineRule="exact"/>
        <w:rPr>
          <w:rFonts w:ascii="Arial" w:cs="Arial" w:eastAsia="Arial" w:hAnsi="Arial"/>
          <w:sz w:val="17"/>
          <w:szCs w:val="17"/>
          <w:color w:val="auto"/>
        </w:rPr>
      </w:pPr>
    </w:p>
    <w:p>
      <w:pPr>
        <w:ind w:left="1240" w:hanging="181"/>
        <w:spacing w:after="0" w:line="258"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success depends upon our ability to obtain, maintain, defend and enforce intellectual property protection for our products and technologies, and we may not be able to protect our intellectual property rights throughout the world;</w:t>
      </w:r>
    </w:p>
    <w:p>
      <w:pPr>
        <w:spacing w:after="0" w:line="90" w:lineRule="exact"/>
        <w:rPr>
          <w:rFonts w:ascii="Arial" w:cs="Arial" w:eastAsia="Arial" w:hAnsi="Arial"/>
          <w:sz w:val="17"/>
          <w:szCs w:val="17"/>
          <w:color w:val="auto"/>
        </w:rPr>
      </w:pPr>
    </w:p>
    <w:p>
      <w:pPr>
        <w:ind w:left="1240" w:right="200" w:hanging="181"/>
        <w:spacing w:after="0" w:line="258"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principal stockholders, including Merck, and management own a significant percentage of our stock and will be able to exert significant control over matters subject to stockholder approval;</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840"/>
          </w:cols>
          <w:pgMar w:left="240" w:top="449" w:right="81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200660</wp:posOffset>
            </wp:positionV>
            <wp:extent cx="6789420" cy="560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89420" cy="560070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240" w:right="940" w:hanging="181"/>
        <w:spacing w:after="0" w:line="258"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Merck has granted a proxy to the chairman of our board of directors to vote Merck’s shares in favor of any action recommended and approved by our board of directors; and</w:t>
      </w:r>
    </w:p>
    <w:p>
      <w:pPr>
        <w:spacing w:after="0" w:line="90" w:lineRule="exact"/>
        <w:rPr>
          <w:rFonts w:ascii="Arial" w:cs="Arial" w:eastAsia="Arial" w:hAnsi="Arial"/>
          <w:sz w:val="17"/>
          <w:szCs w:val="17"/>
          <w:color w:val="auto"/>
        </w:rPr>
      </w:pPr>
    </w:p>
    <w:p>
      <w:pPr>
        <w:ind w:left="1240" w:right="300" w:hanging="181"/>
        <w:spacing w:after="0" w:line="258"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not be able to obtain and maintain the third-party relationships that are necessary to develop, commercialize and manufacture some or all of our product candidates.</w:t>
      </w:r>
    </w:p>
    <w:p>
      <w:pPr>
        <w:spacing w:after="0" w:line="265" w:lineRule="exact"/>
        <w:rPr>
          <w:sz w:val="20"/>
          <w:szCs w:val="20"/>
          <w:color w:val="auto"/>
        </w:rPr>
      </w:pPr>
    </w:p>
    <w:p>
      <w:pPr>
        <w:jc w:val="center"/>
        <w:ind w:right="-559"/>
        <w:spacing w:after="0"/>
        <w:rPr>
          <w:sz w:val="20"/>
          <w:szCs w:val="20"/>
          <w:color w:val="auto"/>
        </w:rPr>
      </w:pPr>
      <w:r>
        <w:rPr>
          <w:rFonts w:ascii="Arial" w:cs="Arial" w:eastAsia="Arial" w:hAnsi="Arial"/>
          <w:sz w:val="17"/>
          <w:szCs w:val="17"/>
          <w:b w:val="1"/>
          <w:bCs w:val="1"/>
          <w:color w:val="auto"/>
        </w:rPr>
        <w:t>Concurrent Private Placement</w:t>
      </w:r>
    </w:p>
    <w:p>
      <w:pPr>
        <w:spacing w:after="0" w:line="232" w:lineRule="exact"/>
        <w:rPr>
          <w:sz w:val="20"/>
          <w:szCs w:val="20"/>
          <w:color w:val="auto"/>
        </w:rPr>
      </w:pPr>
    </w:p>
    <w:p>
      <w:pPr>
        <w:ind w:left="540" w:firstLine="516"/>
        <w:spacing w:after="0" w:line="244" w:lineRule="auto"/>
        <w:rPr>
          <w:sz w:val="20"/>
          <w:szCs w:val="20"/>
          <w:color w:val="auto"/>
        </w:rPr>
      </w:pPr>
      <w:r>
        <w:rPr>
          <w:rFonts w:ascii="Arial" w:cs="Arial" w:eastAsia="Arial" w:hAnsi="Arial"/>
          <w:sz w:val="17"/>
          <w:szCs w:val="17"/>
          <w:color w:val="auto"/>
        </w:rPr>
        <w:t>Merck, a strategic collaborator and existing stockholder, has agreed to purchase, in a separate private placement concurrent with the completion of this offering at a price per share equal to the public offering price, a number of shares of our common stock that would result in Merck owning approximately 19.9% of our outstanding shares of common stock following the completion of this offering. Based upon an offering size of 6,666,667 shares of our common stock, Merck would purchase 4,121,683 shares of our common stock. The sale of such shares will not be registered under the Securities Act of 1933, as amended, or the Securities Act. The completion of this offering is not contingent upon the completion of such concurrent private placement.</w:t>
      </w:r>
    </w:p>
    <w:p>
      <w:pPr>
        <w:spacing w:after="0" w:line="278"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Corporate History and Information</w:t>
      </w:r>
    </w:p>
    <w:p>
      <w:pPr>
        <w:spacing w:after="0" w:line="232" w:lineRule="exact"/>
        <w:rPr>
          <w:sz w:val="20"/>
          <w:szCs w:val="20"/>
          <w:color w:val="auto"/>
        </w:rPr>
      </w:pPr>
    </w:p>
    <w:p>
      <w:pPr>
        <w:ind w:left="540" w:right="100" w:firstLine="516"/>
        <w:spacing w:after="0" w:line="247" w:lineRule="auto"/>
        <w:rPr>
          <w:sz w:val="20"/>
          <w:szCs w:val="20"/>
          <w:color w:val="auto"/>
        </w:rPr>
      </w:pPr>
      <w:r>
        <w:rPr>
          <w:rFonts w:ascii="Arial" w:cs="Arial" w:eastAsia="Arial" w:hAnsi="Arial"/>
          <w:sz w:val="17"/>
          <w:szCs w:val="17"/>
          <w:color w:val="auto"/>
        </w:rPr>
        <w:t>We were incorporated in Delaware in December 2007 and commenced operations in 2008. Our principal executive offices are located at 333 Oyster Point Blvd., South San Francisco, CA 94080-7014, and our telephone number is (650) 243-5555. Our website address is http://www.ngmbio.com. The information contained in, or that can be accessed through, our website is not part of this prospectus.</w:t>
      </w:r>
    </w:p>
    <w:p>
      <w:pPr>
        <w:spacing w:after="0" w:line="190" w:lineRule="exact"/>
        <w:rPr>
          <w:sz w:val="20"/>
          <w:szCs w:val="20"/>
          <w:color w:val="auto"/>
        </w:rPr>
      </w:pPr>
    </w:p>
    <w:p>
      <w:pPr>
        <w:ind w:left="540" w:right="320" w:firstLine="516"/>
        <w:spacing w:after="0" w:line="258" w:lineRule="auto"/>
        <w:rPr>
          <w:sz w:val="20"/>
          <w:szCs w:val="20"/>
          <w:color w:val="auto"/>
        </w:rPr>
      </w:pPr>
      <w:r>
        <w:rPr>
          <w:rFonts w:ascii="Arial" w:cs="Arial" w:eastAsia="Arial" w:hAnsi="Arial"/>
          <w:sz w:val="17"/>
          <w:szCs w:val="17"/>
          <w:color w:val="auto"/>
        </w:rPr>
        <w:t>NGM and the NGM logo are our trademarks. Each of the other trademarks, trade names or service marks appearing in this prospectus belong to their respective holders.</w:t>
      </w:r>
    </w:p>
    <w:p>
      <w:pPr>
        <w:spacing w:after="0" w:line="265"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232" w:lineRule="exact"/>
        <w:rPr>
          <w:sz w:val="20"/>
          <w:szCs w:val="20"/>
          <w:color w:val="auto"/>
        </w:rPr>
      </w:pPr>
    </w:p>
    <w:p>
      <w:pPr>
        <w:ind w:left="540" w:firstLine="516"/>
        <w:spacing w:after="0" w:line="242" w:lineRule="auto"/>
        <w:rPr>
          <w:sz w:val="20"/>
          <w:szCs w:val="20"/>
          <w:color w:val="auto"/>
        </w:rPr>
      </w:pPr>
      <w:r>
        <w:rPr>
          <w:rFonts w:ascii="Arial" w:cs="Arial" w:eastAsia="Arial" w:hAnsi="Arial"/>
          <w:sz w:val="17"/>
          <w:szCs w:val="17"/>
          <w:color w:val="auto"/>
        </w:rPr>
        <w:t>We are an “emerging growth company” as defined in the Jumpstart Our Business Startups Act of 2012, as amended, or JOBS Act. We will remain an emerging growth company until the earliest to occur of: the last day of the fiscal year in which we have more than $1.07 billion in annual revenue;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our initial public offering. As a result of this status, we have taken advantage of reduced reporting requirements in this prospectus and may elect to take advantage of other reduced reporting requirements in our future filings with the SEC. In particular, in this prospectus, we have provided only two years of audited consolidated financial statements and have not included all of the executive compensation-related information that would be required if we were not an emerging growth company. In addition, the JOBS Act provides that an emerging growth company may take advantage of an extended transition period for complying with new or revised accounting standards, delaying the adoption of these accounting standards until they would apply to private companies. We have elected to avail ourselves of this exemption and, as a result, will not be subject to the same implementation timing for new or revised accounting standards as for other public companies that are not emerging growth companies, which may make comparison of our financials to those of other public companies more difficult.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860"/>
          </w:cols>
          <w:pgMar w:left="240" w:top="449" w:right="79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200660</wp:posOffset>
            </wp:positionV>
            <wp:extent cx="6789420" cy="5142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89420" cy="514286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1060"/>
          </w:cols>
          <w:pgMar w:left="240" w:top="449" w:right="599" w:bottom="1440" w:gutter="0" w:footer="0" w:header="0"/>
        </w:sectPr>
      </w:pPr>
    </w:p>
    <w:p>
      <w:pPr>
        <w:spacing w:after="0" w:line="259" w:lineRule="exact"/>
        <w:rPr>
          <w:sz w:val="20"/>
          <w:szCs w:val="20"/>
          <w:color w:val="auto"/>
        </w:rPr>
      </w:pPr>
    </w:p>
    <w:p>
      <w:pPr>
        <w:ind w:left="560" w:right="1620"/>
        <w:spacing w:after="0" w:line="419" w:lineRule="auto"/>
        <w:rPr>
          <w:sz w:val="20"/>
          <w:szCs w:val="20"/>
          <w:color w:val="auto"/>
        </w:rPr>
      </w:pPr>
      <w:r>
        <w:rPr>
          <w:rFonts w:ascii="Arial" w:cs="Arial" w:eastAsia="Arial" w:hAnsi="Arial"/>
          <w:sz w:val="17"/>
          <w:szCs w:val="17"/>
          <w:color w:val="auto"/>
        </w:rPr>
        <w:t>Common stock offered by us Concurrent private placement to Merck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right="140" w:hanging="104"/>
        <w:spacing w:after="0" w:line="258" w:lineRule="auto"/>
        <w:rPr>
          <w:sz w:val="20"/>
          <w:szCs w:val="20"/>
          <w:color w:val="auto"/>
        </w:rPr>
      </w:pPr>
      <w:r>
        <w:rPr>
          <w:rFonts w:ascii="Arial" w:cs="Arial" w:eastAsia="Arial" w:hAnsi="Arial"/>
          <w:sz w:val="17"/>
          <w:szCs w:val="17"/>
          <w:color w:val="auto"/>
        </w:rPr>
        <w:t>Common stock to be outstanding after the offering and the concurrent private placement to Merck</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6,666,667 shares</w:t>
      </w:r>
    </w:p>
    <w:p>
      <w:pPr>
        <w:spacing w:after="0" w:line="132"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Merck has agreed to purchase, in a separate private placement concurrent with the completion of this offering at a price per share equal to the public offering price, a number of shares of our common stock that would result in Merck owning approximately 19.9% of our outstanding shares of common stock following the completion of this offering. Based upon an offering size of 6,666,667 shares of our common stock, Merck would purchase 4,121,683 shares of our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64,993,706 shares</w:t>
      </w:r>
    </w:p>
    <w:p>
      <w:pPr>
        <w:spacing w:after="0" w:line="328" w:lineRule="exact"/>
        <w:rPr>
          <w:sz w:val="20"/>
          <w:szCs w:val="20"/>
          <w:color w:val="auto"/>
        </w:rPr>
      </w:pPr>
    </w:p>
    <w:p>
      <w:pPr>
        <w:sectPr>
          <w:pgSz w:w="11900" w:h="16838" w:orient="portrait"/>
          <w:cols w:equalWidth="0" w:num="2">
            <w:col w:w="5180" w:space="720"/>
            <w:col w:w="5160"/>
          </w:cols>
          <w:pgMar w:left="240" w:top="449" w:right="599" w:bottom="1440" w:gutter="0" w:footer="0" w:header="0"/>
          <w:type w:val="continuous"/>
        </w:sectPr>
      </w:pPr>
    </w:p>
    <w:tbl>
      <w:tblPr>
        <w:tblLayout w:type="fixed"/>
        <w:tblInd w:w="360" w:type="dxa"/>
        <w:tblCellMar>
          <w:top w:w="0" w:type="dxa"/>
          <w:left w:w="0" w:type="dxa"/>
          <w:bottom w:w="0" w:type="dxa"/>
          <w:right w:w="0" w:type="dxa"/>
        </w:tblCellMar>
      </w:tblPr>
      <w:tr>
        <w:trPr>
          <w:trHeight w:val="210"/>
        </w:trPr>
        <w:tc>
          <w:tcPr>
            <w:tcW w:w="5500" w:type="dxa"/>
            <w:vAlign w:val="bottom"/>
          </w:tcPr>
          <w:p>
            <w:pPr>
              <w:ind w:left="200"/>
              <w:spacing w:after="0"/>
              <w:rPr>
                <w:sz w:val="20"/>
                <w:szCs w:val="20"/>
                <w:color w:val="auto"/>
              </w:rPr>
            </w:pPr>
            <w:r>
              <w:rPr>
                <w:rFonts w:ascii="Arial" w:cs="Arial" w:eastAsia="Arial" w:hAnsi="Arial"/>
                <w:sz w:val="17"/>
                <w:szCs w:val="17"/>
                <w:color w:val="auto"/>
              </w:rPr>
              <w:t>Underwriters’ option to purchase additional shares of common stock</w:t>
            </w:r>
          </w:p>
        </w:tc>
        <w:tc>
          <w:tcPr>
            <w:tcW w:w="5200" w:type="dxa"/>
            <w:vAlign w:val="bottom"/>
          </w:tcPr>
          <w:p>
            <w:pPr>
              <w:ind w:left="40"/>
              <w:spacing w:after="0"/>
              <w:rPr>
                <w:sz w:val="20"/>
                <w:szCs w:val="20"/>
                <w:color w:val="auto"/>
              </w:rPr>
            </w:pPr>
            <w:r>
              <w:rPr>
                <w:rFonts w:ascii="Arial" w:cs="Arial" w:eastAsia="Arial" w:hAnsi="Arial"/>
                <w:sz w:val="17"/>
                <w:szCs w:val="17"/>
                <w:color w:val="auto"/>
              </w:rPr>
              <w:t>1,000,000 shares</w:t>
            </w:r>
          </w:p>
        </w:tc>
      </w:tr>
      <w:tr>
        <w:trPr>
          <w:trHeight w:val="314"/>
        </w:trPr>
        <w:tc>
          <w:tcPr>
            <w:tcW w:w="5500" w:type="dxa"/>
            <w:vAlign w:val="bottom"/>
          </w:tcPr>
          <w:p>
            <w:pPr>
              <w:ind w:left="200"/>
              <w:spacing w:after="0"/>
              <w:rPr>
                <w:sz w:val="20"/>
                <w:szCs w:val="20"/>
                <w:color w:val="auto"/>
              </w:rPr>
            </w:pPr>
            <w:r>
              <w:rPr>
                <w:rFonts w:ascii="Arial" w:cs="Arial" w:eastAsia="Arial" w:hAnsi="Arial"/>
                <w:sz w:val="17"/>
                <w:szCs w:val="17"/>
                <w:color w:val="auto"/>
              </w:rPr>
              <w:t>Use of proceeds</w:t>
            </w:r>
          </w:p>
        </w:tc>
        <w:tc>
          <w:tcPr>
            <w:tcW w:w="5200" w:type="dxa"/>
            <w:vAlign w:val="bottom"/>
          </w:tcPr>
          <w:p>
            <w:pPr>
              <w:ind w:left="40"/>
              <w:spacing w:after="0"/>
              <w:rPr>
                <w:sz w:val="20"/>
                <w:szCs w:val="20"/>
                <w:color w:val="auto"/>
              </w:rPr>
            </w:pPr>
            <w:r>
              <w:rPr>
                <w:rFonts w:ascii="Arial" w:cs="Arial" w:eastAsia="Arial" w:hAnsi="Arial"/>
                <w:sz w:val="17"/>
                <w:szCs w:val="17"/>
                <w:color w:val="auto"/>
              </w:rPr>
              <w:t>We estimate that our net proceeds from this offering, excluding</w:t>
            </w:r>
          </w:p>
        </w:tc>
      </w:tr>
      <w:tr>
        <w:trPr>
          <w:trHeight w:val="196"/>
        </w:trPr>
        <w:tc>
          <w:tcPr>
            <w:tcW w:w="5500" w:type="dxa"/>
            <w:vAlign w:val="bottom"/>
          </w:tcPr>
          <w:p>
            <w:pPr>
              <w:spacing w:after="0"/>
              <w:rPr>
                <w:sz w:val="17"/>
                <w:szCs w:val="17"/>
                <w:color w:val="auto"/>
              </w:rPr>
            </w:pPr>
          </w:p>
        </w:tc>
        <w:tc>
          <w:tcPr>
            <w:tcW w:w="5200" w:type="dxa"/>
            <w:vAlign w:val="bottom"/>
          </w:tcPr>
          <w:p>
            <w:pPr>
              <w:ind w:left="40"/>
              <w:spacing w:after="0"/>
              <w:rPr>
                <w:sz w:val="20"/>
                <w:szCs w:val="20"/>
                <w:color w:val="auto"/>
              </w:rPr>
            </w:pPr>
            <w:r>
              <w:rPr>
                <w:rFonts w:ascii="Arial" w:cs="Arial" w:eastAsia="Arial" w:hAnsi="Arial"/>
                <w:sz w:val="17"/>
                <w:szCs w:val="17"/>
                <w:color w:val="auto"/>
              </w:rPr>
              <w:t>the proceeds from the concurrent private placement to Merck,</w:t>
            </w:r>
          </w:p>
        </w:tc>
      </w:tr>
      <w:tr>
        <w:trPr>
          <w:trHeight w:val="196"/>
        </w:trPr>
        <w:tc>
          <w:tcPr>
            <w:tcW w:w="5500" w:type="dxa"/>
            <w:vAlign w:val="bottom"/>
          </w:tcPr>
          <w:p>
            <w:pPr>
              <w:spacing w:after="0"/>
              <w:rPr>
                <w:sz w:val="17"/>
                <w:szCs w:val="17"/>
                <w:color w:val="auto"/>
              </w:rPr>
            </w:pPr>
          </w:p>
        </w:tc>
        <w:tc>
          <w:tcPr>
            <w:tcW w:w="5200" w:type="dxa"/>
            <w:vAlign w:val="bottom"/>
          </w:tcPr>
          <w:p>
            <w:pPr>
              <w:ind w:left="40"/>
              <w:spacing w:after="0"/>
              <w:rPr>
                <w:sz w:val="20"/>
                <w:szCs w:val="20"/>
                <w:color w:val="auto"/>
              </w:rPr>
            </w:pPr>
            <w:r>
              <w:rPr>
                <w:rFonts w:ascii="Arial" w:cs="Arial" w:eastAsia="Arial" w:hAnsi="Arial"/>
                <w:sz w:val="17"/>
                <w:szCs w:val="17"/>
                <w:color w:val="auto"/>
              </w:rPr>
              <w:t>will be approximately $89.5 million, or approximately $103.5</w:t>
            </w:r>
          </w:p>
        </w:tc>
      </w:tr>
      <w:tr>
        <w:trPr>
          <w:trHeight w:val="196"/>
        </w:trPr>
        <w:tc>
          <w:tcPr>
            <w:tcW w:w="5500" w:type="dxa"/>
            <w:vAlign w:val="bottom"/>
          </w:tcPr>
          <w:p>
            <w:pPr>
              <w:spacing w:after="0"/>
              <w:rPr>
                <w:sz w:val="17"/>
                <w:szCs w:val="17"/>
                <w:color w:val="auto"/>
              </w:rPr>
            </w:pPr>
          </w:p>
        </w:tc>
        <w:tc>
          <w:tcPr>
            <w:tcW w:w="5200" w:type="dxa"/>
            <w:vAlign w:val="bottom"/>
          </w:tcPr>
          <w:p>
            <w:pPr>
              <w:ind w:left="40"/>
              <w:spacing w:after="0"/>
              <w:rPr>
                <w:sz w:val="20"/>
                <w:szCs w:val="20"/>
                <w:color w:val="auto"/>
              </w:rPr>
            </w:pPr>
            <w:r>
              <w:rPr>
                <w:rFonts w:ascii="Arial" w:cs="Arial" w:eastAsia="Arial" w:hAnsi="Arial"/>
                <w:sz w:val="17"/>
                <w:szCs w:val="17"/>
                <w:color w:val="auto"/>
              </w:rPr>
              <w:t>million if the underwriters exercise in full their option to purchase</w:t>
            </w:r>
          </w:p>
        </w:tc>
      </w:tr>
      <w:tr>
        <w:trPr>
          <w:trHeight w:val="196"/>
        </w:trPr>
        <w:tc>
          <w:tcPr>
            <w:tcW w:w="5500" w:type="dxa"/>
            <w:vAlign w:val="bottom"/>
          </w:tcPr>
          <w:p>
            <w:pPr>
              <w:spacing w:after="0"/>
              <w:rPr>
                <w:sz w:val="17"/>
                <w:szCs w:val="17"/>
                <w:color w:val="auto"/>
              </w:rPr>
            </w:pPr>
          </w:p>
        </w:tc>
        <w:tc>
          <w:tcPr>
            <w:tcW w:w="5200" w:type="dxa"/>
            <w:vAlign w:val="bottom"/>
          </w:tcPr>
          <w:p>
            <w:pPr>
              <w:ind w:left="40"/>
              <w:spacing w:after="0"/>
              <w:rPr>
                <w:sz w:val="20"/>
                <w:szCs w:val="20"/>
                <w:color w:val="auto"/>
              </w:rPr>
            </w:pPr>
            <w:r>
              <w:rPr>
                <w:rFonts w:ascii="Arial" w:cs="Arial" w:eastAsia="Arial" w:hAnsi="Arial"/>
                <w:sz w:val="17"/>
                <w:szCs w:val="17"/>
                <w:color w:val="auto"/>
              </w:rPr>
              <w:t>additional shares of our common stock, after deducting</w:t>
            </w:r>
          </w:p>
        </w:tc>
      </w:tr>
      <w:tr>
        <w:trPr>
          <w:trHeight w:val="196"/>
        </w:trPr>
        <w:tc>
          <w:tcPr>
            <w:tcW w:w="5500" w:type="dxa"/>
            <w:vAlign w:val="bottom"/>
          </w:tcPr>
          <w:p>
            <w:pPr>
              <w:spacing w:after="0"/>
              <w:rPr>
                <w:sz w:val="17"/>
                <w:szCs w:val="17"/>
                <w:color w:val="auto"/>
              </w:rPr>
            </w:pPr>
          </w:p>
        </w:tc>
        <w:tc>
          <w:tcPr>
            <w:tcW w:w="5200" w:type="dxa"/>
            <w:vAlign w:val="bottom"/>
          </w:tcPr>
          <w:p>
            <w:pPr>
              <w:ind w:left="40"/>
              <w:spacing w:after="0"/>
              <w:rPr>
                <w:sz w:val="20"/>
                <w:szCs w:val="20"/>
                <w:color w:val="auto"/>
              </w:rPr>
            </w:pPr>
            <w:r>
              <w:rPr>
                <w:rFonts w:ascii="Arial" w:cs="Arial" w:eastAsia="Arial" w:hAnsi="Arial"/>
                <w:sz w:val="17"/>
                <w:szCs w:val="17"/>
                <w:color w:val="auto"/>
              </w:rPr>
              <w:t>underwriting discounts and commissions and estimated offering</w:t>
            </w:r>
          </w:p>
        </w:tc>
      </w:tr>
      <w:tr>
        <w:trPr>
          <w:trHeight w:val="196"/>
        </w:trPr>
        <w:tc>
          <w:tcPr>
            <w:tcW w:w="5500" w:type="dxa"/>
            <w:vAlign w:val="bottom"/>
          </w:tcPr>
          <w:p>
            <w:pPr>
              <w:spacing w:after="0"/>
              <w:rPr>
                <w:sz w:val="17"/>
                <w:szCs w:val="17"/>
                <w:color w:val="auto"/>
              </w:rPr>
            </w:pPr>
          </w:p>
        </w:tc>
        <w:tc>
          <w:tcPr>
            <w:tcW w:w="5200" w:type="dxa"/>
            <w:vAlign w:val="bottom"/>
          </w:tcPr>
          <w:p>
            <w:pPr>
              <w:ind w:left="40"/>
              <w:spacing w:after="0"/>
              <w:rPr>
                <w:sz w:val="20"/>
                <w:szCs w:val="20"/>
                <w:color w:val="auto"/>
              </w:rPr>
            </w:pPr>
            <w:r>
              <w:rPr>
                <w:rFonts w:ascii="Arial" w:cs="Arial" w:eastAsia="Arial" w:hAnsi="Arial"/>
                <w:sz w:val="17"/>
                <w:szCs w:val="17"/>
                <w:color w:val="auto"/>
              </w:rPr>
              <w:t>expenses payable by us. Additionally, we estimate that our net</w:t>
            </w:r>
          </w:p>
        </w:tc>
      </w:tr>
      <w:tr>
        <w:trPr>
          <w:trHeight w:val="196"/>
        </w:trPr>
        <w:tc>
          <w:tcPr>
            <w:tcW w:w="5500" w:type="dxa"/>
            <w:vAlign w:val="bottom"/>
          </w:tcPr>
          <w:p>
            <w:pPr>
              <w:spacing w:after="0"/>
              <w:rPr>
                <w:sz w:val="17"/>
                <w:szCs w:val="17"/>
                <w:color w:val="auto"/>
              </w:rPr>
            </w:pPr>
          </w:p>
        </w:tc>
        <w:tc>
          <w:tcPr>
            <w:tcW w:w="5200" w:type="dxa"/>
            <w:vAlign w:val="bottom"/>
          </w:tcPr>
          <w:p>
            <w:pPr>
              <w:ind w:left="40"/>
              <w:spacing w:after="0"/>
              <w:rPr>
                <w:sz w:val="20"/>
                <w:szCs w:val="20"/>
                <w:color w:val="auto"/>
              </w:rPr>
            </w:pPr>
            <w:r>
              <w:rPr>
                <w:rFonts w:ascii="Arial" w:cs="Arial" w:eastAsia="Arial" w:hAnsi="Arial"/>
                <w:sz w:val="17"/>
                <w:szCs w:val="17"/>
                <w:color w:val="auto"/>
              </w:rPr>
              <w:t>proceeds from the concurrent private placement to Merck will be</w:t>
            </w:r>
          </w:p>
        </w:tc>
      </w:tr>
      <w:tr>
        <w:trPr>
          <w:trHeight w:val="210"/>
        </w:trPr>
        <w:tc>
          <w:tcPr>
            <w:tcW w:w="5500" w:type="dxa"/>
            <w:vAlign w:val="bottom"/>
          </w:tcPr>
          <w:p>
            <w:pPr>
              <w:spacing w:after="0"/>
              <w:rPr>
                <w:sz w:val="18"/>
                <w:szCs w:val="18"/>
                <w:color w:val="auto"/>
              </w:rPr>
            </w:pPr>
          </w:p>
        </w:tc>
        <w:tc>
          <w:tcPr>
            <w:tcW w:w="5200" w:type="dxa"/>
            <w:vAlign w:val="bottom"/>
          </w:tcPr>
          <w:p>
            <w:pPr>
              <w:ind w:left="40"/>
              <w:spacing w:after="0"/>
              <w:rPr>
                <w:sz w:val="20"/>
                <w:szCs w:val="20"/>
                <w:color w:val="auto"/>
              </w:rPr>
            </w:pPr>
            <w:r>
              <w:rPr>
                <w:rFonts w:ascii="Arial" w:cs="Arial" w:eastAsia="Arial" w:hAnsi="Arial"/>
                <w:sz w:val="17"/>
                <w:szCs w:val="17"/>
                <w:color w:val="auto"/>
              </w:rPr>
              <w:t>approximately $61.8 million.</w:t>
            </w:r>
          </w:p>
        </w:tc>
      </w:tr>
      <w:tr>
        <w:trPr>
          <w:trHeight w:val="301"/>
        </w:trPr>
        <w:tc>
          <w:tcPr>
            <w:tcW w:w="5500" w:type="dxa"/>
            <w:vAlign w:val="bottom"/>
          </w:tcPr>
          <w:p>
            <w:pPr>
              <w:spacing w:after="0"/>
              <w:rPr>
                <w:sz w:val="24"/>
                <w:szCs w:val="24"/>
                <w:color w:val="auto"/>
              </w:rPr>
            </w:pPr>
          </w:p>
        </w:tc>
        <w:tc>
          <w:tcPr>
            <w:tcW w:w="5200" w:type="dxa"/>
            <w:vAlign w:val="bottom"/>
          </w:tcPr>
          <w:p>
            <w:pPr>
              <w:ind w:left="40"/>
              <w:spacing w:after="0"/>
              <w:rPr>
                <w:sz w:val="20"/>
                <w:szCs w:val="20"/>
                <w:color w:val="auto"/>
              </w:rPr>
            </w:pPr>
            <w:r>
              <w:rPr>
                <w:rFonts w:ascii="Arial" w:cs="Arial" w:eastAsia="Arial" w:hAnsi="Arial"/>
                <w:sz w:val="17"/>
                <w:szCs w:val="17"/>
                <w:color w:val="auto"/>
              </w:rPr>
              <w:t>We intend to use the net proceeds from this offering to fund</w:t>
            </w:r>
          </w:p>
        </w:tc>
      </w:tr>
      <w:tr>
        <w:trPr>
          <w:trHeight w:val="196"/>
        </w:trPr>
        <w:tc>
          <w:tcPr>
            <w:tcW w:w="5500" w:type="dxa"/>
            <w:vAlign w:val="bottom"/>
          </w:tcPr>
          <w:p>
            <w:pPr>
              <w:spacing w:after="0"/>
              <w:rPr>
                <w:sz w:val="17"/>
                <w:szCs w:val="17"/>
                <w:color w:val="auto"/>
              </w:rPr>
            </w:pPr>
          </w:p>
        </w:tc>
        <w:tc>
          <w:tcPr>
            <w:tcW w:w="5200" w:type="dxa"/>
            <w:vAlign w:val="bottom"/>
          </w:tcPr>
          <w:p>
            <w:pPr>
              <w:ind w:left="40"/>
              <w:spacing w:after="0"/>
              <w:rPr>
                <w:sz w:val="20"/>
                <w:szCs w:val="20"/>
                <w:color w:val="auto"/>
              </w:rPr>
            </w:pPr>
            <w:r>
              <w:rPr>
                <w:rFonts w:ascii="Arial" w:cs="Arial" w:eastAsia="Arial" w:hAnsi="Arial"/>
                <w:sz w:val="17"/>
                <w:szCs w:val="17"/>
                <w:color w:val="auto"/>
              </w:rPr>
              <w:t>development of the NGM282 program and related product</w:t>
            </w:r>
          </w:p>
        </w:tc>
      </w:tr>
      <w:tr>
        <w:trPr>
          <w:trHeight w:val="196"/>
        </w:trPr>
        <w:tc>
          <w:tcPr>
            <w:tcW w:w="5500" w:type="dxa"/>
            <w:vAlign w:val="bottom"/>
          </w:tcPr>
          <w:p>
            <w:pPr>
              <w:spacing w:after="0"/>
              <w:rPr>
                <w:sz w:val="17"/>
                <w:szCs w:val="17"/>
                <w:color w:val="auto"/>
              </w:rPr>
            </w:pPr>
          </w:p>
        </w:tc>
        <w:tc>
          <w:tcPr>
            <w:tcW w:w="5200" w:type="dxa"/>
            <w:vAlign w:val="bottom"/>
          </w:tcPr>
          <w:p>
            <w:pPr>
              <w:ind w:left="40"/>
              <w:spacing w:after="0"/>
              <w:rPr>
                <w:sz w:val="20"/>
                <w:szCs w:val="20"/>
                <w:color w:val="auto"/>
              </w:rPr>
            </w:pPr>
            <w:r>
              <w:rPr>
                <w:rFonts w:ascii="Arial" w:cs="Arial" w:eastAsia="Arial" w:hAnsi="Arial"/>
                <w:sz w:val="17"/>
                <w:szCs w:val="17"/>
                <w:color w:val="auto"/>
              </w:rPr>
              <w:t>candidates, to fund the development of our other programs,</w:t>
            </w:r>
          </w:p>
        </w:tc>
      </w:tr>
      <w:tr>
        <w:trPr>
          <w:trHeight w:val="196"/>
        </w:trPr>
        <w:tc>
          <w:tcPr>
            <w:tcW w:w="5500" w:type="dxa"/>
            <w:vAlign w:val="bottom"/>
          </w:tcPr>
          <w:p>
            <w:pPr>
              <w:spacing w:after="0"/>
              <w:rPr>
                <w:sz w:val="17"/>
                <w:szCs w:val="17"/>
                <w:color w:val="auto"/>
              </w:rPr>
            </w:pPr>
          </w:p>
        </w:tc>
        <w:tc>
          <w:tcPr>
            <w:tcW w:w="5200" w:type="dxa"/>
            <w:vAlign w:val="bottom"/>
          </w:tcPr>
          <w:p>
            <w:pPr>
              <w:ind w:left="40"/>
              <w:spacing w:after="0"/>
              <w:rPr>
                <w:sz w:val="20"/>
                <w:szCs w:val="20"/>
                <w:color w:val="auto"/>
              </w:rPr>
            </w:pPr>
            <w:r>
              <w:rPr>
                <w:rFonts w:ascii="Arial" w:cs="Arial" w:eastAsia="Arial" w:hAnsi="Arial"/>
                <w:sz w:val="17"/>
                <w:szCs w:val="17"/>
                <w:color w:val="auto"/>
              </w:rPr>
              <w:t>including our early-stage drug discovery programs and</w:t>
            </w:r>
          </w:p>
        </w:tc>
      </w:tr>
      <w:tr>
        <w:trPr>
          <w:trHeight w:val="196"/>
        </w:trPr>
        <w:tc>
          <w:tcPr>
            <w:tcW w:w="5500" w:type="dxa"/>
            <w:vAlign w:val="bottom"/>
          </w:tcPr>
          <w:p>
            <w:pPr>
              <w:spacing w:after="0"/>
              <w:rPr>
                <w:sz w:val="17"/>
                <w:szCs w:val="17"/>
                <w:color w:val="auto"/>
              </w:rPr>
            </w:pPr>
          </w:p>
        </w:tc>
        <w:tc>
          <w:tcPr>
            <w:tcW w:w="5200" w:type="dxa"/>
            <w:vAlign w:val="bottom"/>
          </w:tcPr>
          <w:p>
            <w:pPr>
              <w:ind w:left="40"/>
              <w:spacing w:after="0"/>
              <w:rPr>
                <w:sz w:val="20"/>
                <w:szCs w:val="20"/>
                <w:color w:val="auto"/>
              </w:rPr>
            </w:pPr>
            <w:r>
              <w:rPr>
                <w:rFonts w:ascii="Arial" w:cs="Arial" w:eastAsia="Arial" w:hAnsi="Arial"/>
                <w:sz w:val="17"/>
                <w:szCs w:val="17"/>
                <w:color w:val="auto"/>
              </w:rPr>
              <w:t>pre-commercialization activities, and for working capital and</w:t>
            </w:r>
          </w:p>
        </w:tc>
      </w:tr>
      <w:tr>
        <w:trPr>
          <w:trHeight w:val="196"/>
        </w:trPr>
        <w:tc>
          <w:tcPr>
            <w:tcW w:w="5500" w:type="dxa"/>
            <w:vAlign w:val="bottom"/>
          </w:tcPr>
          <w:p>
            <w:pPr>
              <w:spacing w:after="0"/>
              <w:rPr>
                <w:sz w:val="17"/>
                <w:szCs w:val="17"/>
                <w:color w:val="auto"/>
              </w:rPr>
            </w:pPr>
          </w:p>
        </w:tc>
        <w:tc>
          <w:tcPr>
            <w:tcW w:w="5200" w:type="dxa"/>
            <w:vAlign w:val="bottom"/>
          </w:tcPr>
          <w:p>
            <w:pPr>
              <w:ind w:left="40"/>
              <w:spacing w:after="0"/>
              <w:rPr>
                <w:sz w:val="20"/>
                <w:szCs w:val="20"/>
                <w:color w:val="auto"/>
              </w:rPr>
            </w:pPr>
            <w:r>
              <w:rPr>
                <w:rFonts w:ascii="Arial" w:cs="Arial" w:eastAsia="Arial" w:hAnsi="Arial"/>
                <w:sz w:val="17"/>
                <w:szCs w:val="17"/>
                <w:color w:val="auto"/>
              </w:rPr>
              <w:t>other general operating expenses. See “Use of Proceeds” for</w:t>
            </w:r>
          </w:p>
        </w:tc>
      </w:tr>
      <w:tr>
        <w:trPr>
          <w:trHeight w:val="210"/>
        </w:trPr>
        <w:tc>
          <w:tcPr>
            <w:tcW w:w="5500" w:type="dxa"/>
            <w:vAlign w:val="bottom"/>
          </w:tcPr>
          <w:p>
            <w:pPr>
              <w:spacing w:after="0"/>
              <w:rPr>
                <w:sz w:val="18"/>
                <w:szCs w:val="18"/>
                <w:color w:val="auto"/>
              </w:rPr>
            </w:pPr>
          </w:p>
        </w:tc>
        <w:tc>
          <w:tcPr>
            <w:tcW w:w="5200" w:type="dxa"/>
            <w:vAlign w:val="bottom"/>
          </w:tcPr>
          <w:p>
            <w:pPr>
              <w:ind w:left="40"/>
              <w:spacing w:after="0"/>
              <w:rPr>
                <w:sz w:val="20"/>
                <w:szCs w:val="20"/>
                <w:color w:val="auto"/>
              </w:rPr>
            </w:pPr>
            <w:r>
              <w:rPr>
                <w:rFonts w:ascii="Arial" w:cs="Arial" w:eastAsia="Arial" w:hAnsi="Arial"/>
                <w:sz w:val="17"/>
                <w:szCs w:val="17"/>
                <w:color w:val="auto"/>
              </w:rPr>
              <w:t>more detailed information.</w:t>
            </w:r>
          </w:p>
        </w:tc>
      </w:tr>
      <w:tr>
        <w:trPr>
          <w:trHeight w:val="301"/>
        </w:trPr>
        <w:tc>
          <w:tcPr>
            <w:tcW w:w="5500" w:type="dxa"/>
            <w:vAlign w:val="bottom"/>
          </w:tcPr>
          <w:p>
            <w:pPr>
              <w:ind w:left="200"/>
              <w:spacing w:after="0"/>
              <w:rPr>
                <w:sz w:val="20"/>
                <w:szCs w:val="20"/>
                <w:color w:val="auto"/>
              </w:rPr>
            </w:pPr>
            <w:r>
              <w:rPr>
                <w:rFonts w:ascii="Arial" w:cs="Arial" w:eastAsia="Arial" w:hAnsi="Arial"/>
                <w:sz w:val="17"/>
                <w:szCs w:val="17"/>
                <w:color w:val="auto"/>
              </w:rPr>
              <w:t>Directed share program</w:t>
            </w:r>
          </w:p>
        </w:tc>
        <w:tc>
          <w:tcPr>
            <w:tcW w:w="5200" w:type="dxa"/>
            <w:vAlign w:val="bottom"/>
          </w:tcPr>
          <w:p>
            <w:pPr>
              <w:ind w:left="40"/>
              <w:spacing w:after="0"/>
              <w:rPr>
                <w:sz w:val="20"/>
                <w:szCs w:val="20"/>
                <w:color w:val="auto"/>
              </w:rPr>
            </w:pPr>
            <w:r>
              <w:rPr>
                <w:rFonts w:ascii="Arial" w:cs="Arial" w:eastAsia="Arial" w:hAnsi="Arial"/>
                <w:sz w:val="17"/>
                <w:szCs w:val="17"/>
                <w:color w:val="auto"/>
              </w:rPr>
              <w:t>At our request, the underwriters have reserved up to 5% of the</w:t>
            </w:r>
          </w:p>
        </w:tc>
      </w:tr>
      <w:tr>
        <w:trPr>
          <w:trHeight w:val="196"/>
        </w:trPr>
        <w:tc>
          <w:tcPr>
            <w:tcW w:w="5500" w:type="dxa"/>
            <w:vAlign w:val="bottom"/>
          </w:tcPr>
          <w:p>
            <w:pPr>
              <w:spacing w:after="0"/>
              <w:rPr>
                <w:sz w:val="17"/>
                <w:szCs w:val="17"/>
                <w:color w:val="auto"/>
              </w:rPr>
            </w:pPr>
          </w:p>
        </w:tc>
        <w:tc>
          <w:tcPr>
            <w:tcW w:w="5200" w:type="dxa"/>
            <w:vAlign w:val="bottom"/>
          </w:tcPr>
          <w:p>
            <w:pPr>
              <w:ind w:left="40"/>
              <w:spacing w:after="0"/>
              <w:rPr>
                <w:sz w:val="20"/>
                <w:szCs w:val="20"/>
                <w:color w:val="auto"/>
              </w:rPr>
            </w:pPr>
            <w:r>
              <w:rPr>
                <w:rFonts w:ascii="Arial" w:cs="Arial" w:eastAsia="Arial" w:hAnsi="Arial"/>
                <w:sz w:val="17"/>
                <w:szCs w:val="17"/>
                <w:color w:val="auto"/>
              </w:rPr>
              <w:t>shares being offered by this prospectus for sale at the initial</w:t>
            </w:r>
          </w:p>
        </w:tc>
      </w:tr>
      <w:tr>
        <w:trPr>
          <w:trHeight w:val="196"/>
        </w:trPr>
        <w:tc>
          <w:tcPr>
            <w:tcW w:w="5500" w:type="dxa"/>
            <w:vAlign w:val="bottom"/>
          </w:tcPr>
          <w:p>
            <w:pPr>
              <w:spacing w:after="0"/>
              <w:rPr>
                <w:sz w:val="17"/>
                <w:szCs w:val="17"/>
                <w:color w:val="auto"/>
              </w:rPr>
            </w:pPr>
          </w:p>
        </w:tc>
        <w:tc>
          <w:tcPr>
            <w:tcW w:w="5200" w:type="dxa"/>
            <w:vAlign w:val="bottom"/>
          </w:tcPr>
          <w:p>
            <w:pPr>
              <w:ind w:left="40"/>
              <w:spacing w:after="0"/>
              <w:rPr>
                <w:sz w:val="20"/>
                <w:szCs w:val="20"/>
                <w:color w:val="auto"/>
              </w:rPr>
            </w:pPr>
            <w:r>
              <w:rPr>
                <w:rFonts w:ascii="Arial" w:cs="Arial" w:eastAsia="Arial" w:hAnsi="Arial"/>
                <w:sz w:val="17"/>
                <w:szCs w:val="17"/>
                <w:color w:val="auto"/>
              </w:rPr>
              <w:t>public offering price to certain of our directors, officers,</w:t>
            </w:r>
          </w:p>
        </w:tc>
      </w:tr>
      <w:tr>
        <w:trPr>
          <w:trHeight w:val="196"/>
        </w:trPr>
        <w:tc>
          <w:tcPr>
            <w:tcW w:w="5500" w:type="dxa"/>
            <w:vAlign w:val="bottom"/>
          </w:tcPr>
          <w:p>
            <w:pPr>
              <w:spacing w:after="0"/>
              <w:rPr>
                <w:sz w:val="17"/>
                <w:szCs w:val="17"/>
                <w:color w:val="auto"/>
              </w:rPr>
            </w:pPr>
          </w:p>
        </w:tc>
        <w:tc>
          <w:tcPr>
            <w:tcW w:w="5200" w:type="dxa"/>
            <w:vAlign w:val="bottom"/>
          </w:tcPr>
          <w:p>
            <w:pPr>
              <w:ind w:left="40"/>
              <w:spacing w:after="0"/>
              <w:rPr>
                <w:sz w:val="20"/>
                <w:szCs w:val="20"/>
                <w:color w:val="auto"/>
              </w:rPr>
            </w:pPr>
            <w:r>
              <w:rPr>
                <w:rFonts w:ascii="Arial" w:cs="Arial" w:eastAsia="Arial" w:hAnsi="Arial"/>
                <w:sz w:val="17"/>
                <w:szCs w:val="17"/>
                <w:color w:val="auto"/>
              </w:rPr>
              <w:t>employees, business associates and related persons. The</w:t>
            </w:r>
          </w:p>
        </w:tc>
      </w:tr>
      <w:tr>
        <w:trPr>
          <w:trHeight w:val="210"/>
        </w:trPr>
        <w:tc>
          <w:tcPr>
            <w:tcW w:w="5500" w:type="dxa"/>
            <w:vAlign w:val="bottom"/>
          </w:tcPr>
          <w:p>
            <w:pPr>
              <w:spacing w:after="0"/>
              <w:rPr>
                <w:sz w:val="18"/>
                <w:szCs w:val="18"/>
                <w:color w:val="auto"/>
              </w:rPr>
            </w:pPr>
          </w:p>
        </w:tc>
        <w:tc>
          <w:tcPr>
            <w:tcW w:w="5200" w:type="dxa"/>
            <w:vAlign w:val="bottom"/>
          </w:tcPr>
          <w:p>
            <w:pPr>
              <w:ind w:left="40"/>
              <w:spacing w:after="0"/>
              <w:rPr>
                <w:sz w:val="20"/>
                <w:szCs w:val="20"/>
                <w:color w:val="auto"/>
              </w:rPr>
            </w:pPr>
            <w:r>
              <w:rPr>
                <w:rFonts w:ascii="Arial" w:cs="Arial" w:eastAsia="Arial" w:hAnsi="Arial"/>
                <w:sz w:val="17"/>
                <w:szCs w:val="17"/>
                <w:color w:val="auto"/>
              </w:rPr>
              <w:t>number of shares available for sale</w:t>
            </w:r>
          </w:p>
        </w:tc>
      </w:tr>
      <w:tr>
        <w:trPr>
          <w:trHeight w:val="220"/>
        </w:trPr>
        <w:tc>
          <w:tcPr>
            <w:tcW w:w="5500" w:type="dxa"/>
            <w:vAlign w:val="bottom"/>
            <w:tcBorders>
              <w:bottom w:val="single" w:sz="8" w:color="auto"/>
            </w:tcBorders>
          </w:tcPr>
          <w:p>
            <w:pPr>
              <w:spacing w:after="0"/>
              <w:rPr>
                <w:sz w:val="19"/>
                <w:szCs w:val="19"/>
                <w:color w:val="auto"/>
              </w:rPr>
            </w:pPr>
          </w:p>
        </w:tc>
        <w:tc>
          <w:tcPr>
            <w:tcW w:w="5200" w:type="dxa"/>
            <w:vAlign w:val="bottom"/>
            <w:tcBorders>
              <w:bottom w:val="single" w:sz="8" w:color="auto"/>
            </w:tcBorders>
          </w:tcPr>
          <w:p>
            <w:pPr>
              <w:spacing w:after="0"/>
              <w:rPr>
                <w:sz w:val="19"/>
                <w:szCs w:val="19"/>
                <w:color w:val="auto"/>
              </w:rPr>
            </w:pPr>
          </w:p>
        </w:tc>
      </w:tr>
      <w:tr>
        <w:trPr>
          <w:trHeight w:val="585"/>
        </w:trPr>
        <w:tc>
          <w:tcPr>
            <w:tcW w:w="5500" w:type="dxa"/>
            <w:vAlign w:val="bottom"/>
          </w:tcPr>
          <w:p>
            <w:pPr>
              <w:jc w:val="right"/>
              <w:ind w:right="13"/>
              <w:spacing w:after="0"/>
              <w:rPr>
                <w:sz w:val="20"/>
                <w:szCs w:val="20"/>
                <w:color w:val="auto"/>
              </w:rPr>
            </w:pPr>
            <w:r>
              <w:rPr>
                <w:rFonts w:ascii="Arial" w:cs="Arial" w:eastAsia="Arial" w:hAnsi="Arial"/>
                <w:sz w:val="17"/>
                <w:szCs w:val="17"/>
                <w:color w:val="auto"/>
              </w:rPr>
              <w:t>7</w:t>
            </w:r>
          </w:p>
        </w:tc>
        <w:tc>
          <w:tcPr>
            <w:tcW w:w="5200" w:type="dxa"/>
            <w:vAlign w:val="bottom"/>
          </w:tcPr>
          <w:p>
            <w:pPr>
              <w:spacing w:after="0"/>
              <w:rPr>
                <w:sz w:val="24"/>
                <w:szCs w:val="24"/>
                <w:color w:val="auto"/>
              </w:rPr>
            </w:pPr>
          </w:p>
        </w:tc>
      </w:tr>
    </w:tbl>
    <w:p>
      <w:pPr>
        <w:sectPr>
          <w:pgSz w:w="11900" w:h="16838" w:orient="portrait"/>
          <w:cols w:equalWidth="0" w:num="1">
            <w:col w:w="11060"/>
          </w:cols>
          <w:pgMar w:left="240" w:top="449" w:right="599" w:bottom="1440" w:gutter="0" w:footer="0" w:header="0"/>
          <w:type w:val="continuous"/>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200660</wp:posOffset>
            </wp:positionV>
            <wp:extent cx="6789420" cy="5359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89420" cy="535940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to the general public will be reduced by the number of directed</w:t>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shares purchased by participants in the program. Any directed</w:t>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shares not purchased will be offered by the underwriters to the</w:t>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general public on the same basis as all other shares offered.</w:t>
      </w:r>
    </w:p>
    <w:p>
      <w:pPr>
        <w:sectPr>
          <w:pgSz w:w="11900" w:h="16838" w:orient="portrait"/>
          <w:cols w:equalWidth="0" w:num="1">
            <w:col w:w="10860"/>
          </w:cols>
          <w:pgMar w:left="240" w:top="449" w:right="799" w:bottom="1440" w:gutter="0" w:footer="0" w:header="0"/>
        </w:sectPr>
      </w:pPr>
    </w:p>
    <w:p>
      <w:pPr>
        <w:spacing w:after="0" w:line="13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See “Risk Factors” beginning on page 12 and the other information included in this prospectus for a discussion of factors you should carefully consider before deciding to invest in our common stock.</w:t>
      </w:r>
    </w:p>
    <w:p>
      <w:pPr>
        <w:spacing w:after="0" w:line="99" w:lineRule="exact"/>
        <w:rPr>
          <w:sz w:val="20"/>
          <w:szCs w:val="20"/>
          <w:color w:val="auto"/>
        </w:rPr>
      </w:pPr>
    </w:p>
    <w:p>
      <w:pPr>
        <w:sectPr>
          <w:pgSz w:w="11900" w:h="16838" w:orient="portrait"/>
          <w:cols w:equalWidth="0" w:num="2">
            <w:col w:w="5180" w:space="720"/>
            <w:col w:w="4960"/>
          </w:cols>
          <w:pgMar w:left="240" w:top="449" w:right="799" w:bottom="1440" w:gutter="0" w:footer="0" w:header="0"/>
          <w:type w:val="continuous"/>
        </w:sectPr>
      </w:pPr>
    </w:p>
    <w:p>
      <w:pPr>
        <w:ind w:left="560"/>
        <w:spacing w:after="0"/>
        <w:rPr>
          <w:sz w:val="20"/>
          <w:szCs w:val="20"/>
          <w:color w:val="auto"/>
        </w:rPr>
      </w:pPr>
      <w:r>
        <w:rPr>
          <w:rFonts w:ascii="Arial" w:cs="Arial" w:eastAsia="Arial" w:hAnsi="Arial"/>
          <w:sz w:val="17"/>
          <w:szCs w:val="17"/>
          <w:color w:val="auto"/>
        </w:rPr>
        <w:t>Proposed symbol on the Nasdaq Global Select Market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“NGM”</w:t>
      </w:r>
    </w:p>
    <w:p>
      <w:pPr>
        <w:spacing w:after="0" w:line="200" w:lineRule="exact"/>
        <w:rPr>
          <w:sz w:val="20"/>
          <w:szCs w:val="20"/>
          <w:color w:val="auto"/>
        </w:rPr>
      </w:pPr>
    </w:p>
    <w:p>
      <w:pPr>
        <w:sectPr>
          <w:pgSz w:w="11900" w:h="16838" w:orient="portrait"/>
          <w:cols w:equalWidth="0" w:num="2">
            <w:col w:w="5180" w:space="720"/>
            <w:col w:w="4960"/>
          </w:cols>
          <w:pgMar w:left="240" w:top="449" w:right="799" w:bottom="1440" w:gutter="0" w:footer="0" w:header="0"/>
          <w:type w:val="continuous"/>
        </w:sectPr>
      </w:pPr>
    </w:p>
    <w:p>
      <w:pPr>
        <w:spacing w:after="0" w:line="24" w:lineRule="exact"/>
        <w:rPr>
          <w:sz w:val="20"/>
          <w:szCs w:val="20"/>
          <w:color w:val="auto"/>
        </w:rPr>
      </w:pPr>
    </w:p>
    <w:p>
      <w:pPr>
        <w:ind w:left="540" w:right="180" w:firstLine="516"/>
        <w:spacing w:after="0" w:line="250" w:lineRule="auto"/>
        <w:rPr>
          <w:sz w:val="20"/>
          <w:szCs w:val="20"/>
          <w:color w:val="auto"/>
        </w:rPr>
      </w:pPr>
      <w:r>
        <w:rPr>
          <w:rFonts w:ascii="Arial" w:cs="Arial" w:eastAsia="Arial" w:hAnsi="Arial"/>
          <w:sz w:val="17"/>
          <w:szCs w:val="17"/>
          <w:color w:val="auto"/>
        </w:rPr>
        <w:t>The number of shares of our common stock outstanding after the offering and the concurrent private placement to Merck is based on 54,205,356 shares of our common stock outstanding as of December 31, 2018 (including convertible preferred stock then outstanding on an as-converted basis), and excludes:</w:t>
      </w:r>
    </w:p>
    <w:p>
      <w:pPr>
        <w:spacing w:after="0" w:line="96" w:lineRule="exact"/>
        <w:rPr>
          <w:sz w:val="20"/>
          <w:szCs w:val="20"/>
          <w:color w:val="auto"/>
        </w:rPr>
      </w:pPr>
    </w:p>
    <w:p>
      <w:pPr>
        <w:ind w:left="1240" w:right="80" w:hanging="181"/>
        <w:spacing w:after="0" w:line="258" w:lineRule="auto"/>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9,806,689 shares of our common stock issuable upon the exercise of stock options outstanding as of December 31, 2018 at a weighted-average exercise price of $5.86 per share;</w:t>
      </w:r>
    </w:p>
    <w:p>
      <w:pPr>
        <w:spacing w:after="0" w:line="90" w:lineRule="exact"/>
        <w:rPr>
          <w:rFonts w:ascii="Arial" w:cs="Arial" w:eastAsia="Arial" w:hAnsi="Arial"/>
          <w:sz w:val="17"/>
          <w:szCs w:val="17"/>
          <w:color w:val="auto"/>
        </w:rPr>
      </w:pPr>
    </w:p>
    <w:p>
      <w:pPr>
        <w:ind w:left="1240" w:right="160" w:hanging="181"/>
        <w:spacing w:after="0" w:line="258" w:lineRule="auto"/>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1,550,250 shares of our common stock issuable upon the exercise of stock options granted after December 31, 2018 at an exercise price of $12.06 per share;</w:t>
      </w:r>
    </w:p>
    <w:p>
      <w:pPr>
        <w:spacing w:after="0" w:line="90" w:lineRule="exact"/>
        <w:rPr>
          <w:rFonts w:ascii="Arial" w:cs="Arial" w:eastAsia="Arial" w:hAnsi="Arial"/>
          <w:sz w:val="17"/>
          <w:szCs w:val="17"/>
          <w:color w:val="auto"/>
        </w:rPr>
      </w:pPr>
    </w:p>
    <w:p>
      <w:pPr>
        <w:ind w:left="1240" w:right="120" w:hanging="181"/>
        <w:spacing w:after="0" w:line="250" w:lineRule="auto"/>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19,637 shares of our common stock (on an as-converted basis) issuable upon exercise of an outstanding Series A convertible preferred stock warrant at an exercise price of $2.00 per share, which automatically net exercised into shares of our Series A convertible preferred stock that are convertible into 16,380 shares of our common stock on February 3, 2019;</w:t>
      </w:r>
    </w:p>
    <w:p>
      <w:pPr>
        <w:spacing w:after="0" w:line="96" w:lineRule="exact"/>
        <w:rPr>
          <w:rFonts w:ascii="Arial" w:cs="Arial" w:eastAsia="Arial" w:hAnsi="Arial"/>
          <w:sz w:val="17"/>
          <w:szCs w:val="17"/>
          <w:color w:val="auto"/>
        </w:rPr>
      </w:pPr>
    </w:p>
    <w:p>
      <w:pPr>
        <w:ind w:left="1240" w:right="320" w:hanging="181"/>
        <w:spacing w:after="0" w:line="250" w:lineRule="auto"/>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17,874,624 shares of our common stock reserved for future issuance under our amended and restated 2018 Plan, or the Restated 2018 Plan, which will become effective immediately prior to the completion of this offering, as well as any automatic increase in the number of shares of common stock reserved for future issuance under this benefit plan;</w:t>
      </w:r>
    </w:p>
    <w:p>
      <w:pPr>
        <w:spacing w:after="0" w:line="96" w:lineRule="exact"/>
        <w:rPr>
          <w:rFonts w:ascii="Arial" w:cs="Arial" w:eastAsia="Arial" w:hAnsi="Arial"/>
          <w:sz w:val="17"/>
          <w:szCs w:val="17"/>
          <w:color w:val="auto"/>
        </w:rPr>
      </w:pPr>
    </w:p>
    <w:p>
      <w:pPr>
        <w:ind w:left="1240" w:right="180" w:hanging="181"/>
        <w:spacing w:after="0" w:line="250" w:lineRule="auto"/>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1,000,000 shares of our common stock to be reserved for future issuance under our 2019 Employee Stock Purchase Plan, or the ESPP, which will become effective immediately prior to the completion of this offering, as well as any automatic increase in the number of shares of common stock reserved for future issuance under this benefit plan; and</w:t>
      </w:r>
    </w:p>
    <w:p>
      <w:pPr>
        <w:spacing w:after="0" w:line="96" w:lineRule="exact"/>
        <w:rPr>
          <w:rFonts w:ascii="Arial" w:cs="Arial" w:eastAsia="Arial" w:hAnsi="Arial"/>
          <w:sz w:val="17"/>
          <w:szCs w:val="17"/>
          <w:color w:val="auto"/>
        </w:rPr>
      </w:pPr>
    </w:p>
    <w:p>
      <w:pPr>
        <w:ind w:left="1240" w:right="120" w:hanging="181"/>
        <w:spacing w:after="0" w:line="258" w:lineRule="auto"/>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36,751 shares of our common stock reserved for future issuance under our NGM Biopharmaceuticals Matching Plan, or the 401(k) Matching Plan, as of December 31, 2018.</w:t>
      </w:r>
    </w:p>
    <w:p>
      <w:pPr>
        <w:spacing w:after="0" w:line="77"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Except as otherwise noted, we have presented the information in this prospectus based on the following assumptions:</w:t>
      </w:r>
    </w:p>
    <w:p>
      <w:pPr>
        <w:spacing w:after="0" w:line="119" w:lineRule="exact"/>
        <w:rPr>
          <w:sz w:val="20"/>
          <w:szCs w:val="20"/>
          <w:color w:val="auto"/>
        </w:rPr>
      </w:pPr>
    </w:p>
    <w:p>
      <w:pPr>
        <w:ind w:left="1240" w:right="40" w:hanging="181"/>
        <w:spacing w:after="0" w:line="250" w:lineRule="auto"/>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conversion, in accordance with our existing amended and restated certificate of incorporation, of all shares of convertible preferred stock outstanding as of December 31, 2018 into 47,267,466 shares of our common stock, which will occur immediately prior to the completion of this offering;</w:t>
      </w:r>
    </w:p>
    <w:p>
      <w:pPr>
        <w:spacing w:after="0" w:line="96" w:lineRule="exact"/>
        <w:rPr>
          <w:rFonts w:ascii="Arial" w:cs="Arial" w:eastAsia="Arial" w:hAnsi="Arial"/>
          <w:sz w:val="17"/>
          <w:szCs w:val="17"/>
          <w:color w:val="auto"/>
        </w:rPr>
      </w:pPr>
    </w:p>
    <w:p>
      <w:pPr>
        <w:ind w:left="1240" w:right="660" w:hanging="181"/>
        <w:spacing w:after="0" w:line="258" w:lineRule="auto"/>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one-for-two reverse stock split for our common stock and a proportional adjustment to the conversion ratio of our convertible preferred stock effected on March 22, 2019;</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860"/>
          </w:cols>
          <w:pgMar w:left="240" w:top="449" w:right="799" w:bottom="1440" w:gutter="0" w:footer="0" w:header="0"/>
          <w:type w:val="continuous"/>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200660</wp:posOffset>
            </wp:positionV>
            <wp:extent cx="6789420" cy="2058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89420" cy="205803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240" w:right="100" w:hanging="181"/>
        <w:spacing w:after="0" w:line="258" w:lineRule="auto"/>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 exercise by the underwriters of their option to purchase up to an additional 1,000,000 shares of our common stock in the offering;</w:t>
      </w:r>
    </w:p>
    <w:p>
      <w:pPr>
        <w:spacing w:after="0" w:line="90" w:lineRule="exact"/>
        <w:rPr>
          <w:rFonts w:ascii="Arial" w:cs="Arial" w:eastAsia="Arial" w:hAnsi="Arial"/>
          <w:sz w:val="17"/>
          <w:szCs w:val="17"/>
          <w:color w:val="auto"/>
        </w:rPr>
      </w:pPr>
    </w:p>
    <w:p>
      <w:pPr>
        <w:ind w:left="1240" w:hanging="181"/>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 exercise of outstanding stock options; and</w:t>
      </w:r>
    </w:p>
    <w:p>
      <w:pPr>
        <w:spacing w:after="0" w:line="118" w:lineRule="exact"/>
        <w:rPr>
          <w:rFonts w:ascii="Arial" w:cs="Arial" w:eastAsia="Arial" w:hAnsi="Arial"/>
          <w:sz w:val="17"/>
          <w:szCs w:val="17"/>
          <w:color w:val="auto"/>
        </w:rPr>
      </w:pPr>
    </w:p>
    <w:p>
      <w:pPr>
        <w:ind w:left="1240" w:hanging="181"/>
        <w:spacing w:after="0" w:line="253" w:lineRule="auto"/>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filing and effectiveness of our amended and restated certificate of incorporation with the Secretary of State of the State of Delaware and the adoption of our amended and restated bylaws, each of which will occur upon the completion of the offering.</w:t>
      </w:r>
    </w:p>
    <w:p>
      <w:pPr>
        <w:spacing w:after="0" w:line="387" w:lineRule="exact"/>
        <w:rPr>
          <w:sz w:val="20"/>
          <w:szCs w:val="20"/>
          <w:color w:val="auto"/>
        </w:rPr>
      </w:pPr>
    </w:p>
    <w:p>
      <w:pPr>
        <w:ind w:left="540" w:right="20" w:firstLine="516"/>
        <w:spacing w:after="0" w:line="244" w:lineRule="auto"/>
        <w:rPr>
          <w:sz w:val="20"/>
          <w:szCs w:val="20"/>
          <w:color w:val="auto"/>
        </w:rPr>
      </w:pPr>
      <w:r>
        <w:rPr>
          <w:rFonts w:ascii="Arial" w:cs="Arial" w:eastAsia="Arial" w:hAnsi="Arial"/>
          <w:sz w:val="17"/>
          <w:szCs w:val="17"/>
          <w:color w:val="auto"/>
        </w:rPr>
        <w:t>Entities affiliated with The Column Group, an existing stockholder, have indicated an interest in purchasing up to approximately $30.0 million of shares of our common stock in this offering at the initial public offering price. However, because these indications of interest are not binding agreements or commitments to purchase, the underwriters may determine to sell more, less or no shares in this offering to any or all of these entities, or any or all of these entities may determine to purchase more, less or no shares in this offering. The underwriters will receive the same underwriting discount on any shares purchased by these entities as they will on any other shares sold to the public in this offering.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860"/>
          </w:cols>
          <w:pgMar w:left="240" w:top="449" w:right="79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200660</wp:posOffset>
            </wp:positionV>
            <wp:extent cx="6789420" cy="49434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89420" cy="494347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4120"/>
        <w:spacing w:after="0"/>
        <w:rPr>
          <w:sz w:val="20"/>
          <w:szCs w:val="20"/>
          <w:color w:val="auto"/>
        </w:rPr>
      </w:pPr>
      <w:r>
        <w:rPr>
          <w:rFonts w:ascii="Arial" w:cs="Arial" w:eastAsia="Arial" w:hAnsi="Arial"/>
          <w:sz w:val="17"/>
          <w:szCs w:val="17"/>
          <w:b w:val="1"/>
          <w:bCs w:val="1"/>
          <w:color w:val="auto"/>
        </w:rPr>
        <w:t>Summary Consolidated Financial Data</w:t>
      </w:r>
    </w:p>
    <w:p>
      <w:pPr>
        <w:spacing w:after="0" w:line="232" w:lineRule="exact"/>
        <w:rPr>
          <w:sz w:val="20"/>
          <w:szCs w:val="20"/>
          <w:color w:val="auto"/>
        </w:rPr>
      </w:pPr>
    </w:p>
    <w:p>
      <w:pPr>
        <w:jc w:val="both"/>
        <w:ind w:left="540" w:right="120" w:firstLine="516"/>
        <w:spacing w:after="0" w:line="250" w:lineRule="auto"/>
        <w:rPr>
          <w:sz w:val="20"/>
          <w:szCs w:val="20"/>
          <w:color w:val="auto"/>
        </w:rPr>
      </w:pPr>
      <w:r>
        <w:rPr>
          <w:rFonts w:ascii="Arial" w:cs="Arial" w:eastAsia="Arial" w:hAnsi="Arial"/>
          <w:sz w:val="17"/>
          <w:szCs w:val="17"/>
          <w:color w:val="auto"/>
        </w:rPr>
        <w:t>The following tables summarize our financial data and should be read together with the sections titled “Selected Consolidated Financial Data” and “Management’s Discussion and Analysis of Financial Condition and Results of Operations” and our consolidated financial statements and related notes included elsewhere in this prospectus.</w:t>
      </w:r>
    </w:p>
    <w:p>
      <w:pPr>
        <w:spacing w:after="0" w:line="188" w:lineRule="exact"/>
        <w:rPr>
          <w:sz w:val="20"/>
          <w:szCs w:val="20"/>
          <w:color w:val="auto"/>
        </w:rPr>
      </w:pPr>
    </w:p>
    <w:p>
      <w:pPr>
        <w:jc w:val="both"/>
        <w:ind w:left="540" w:right="260" w:firstLine="516"/>
        <w:spacing w:after="0" w:line="250" w:lineRule="auto"/>
        <w:rPr>
          <w:sz w:val="20"/>
          <w:szCs w:val="20"/>
          <w:color w:val="auto"/>
        </w:rPr>
      </w:pPr>
      <w:r>
        <w:rPr>
          <w:rFonts w:ascii="Arial" w:cs="Arial" w:eastAsia="Arial" w:hAnsi="Arial"/>
          <w:sz w:val="17"/>
          <w:szCs w:val="17"/>
          <w:color w:val="auto"/>
        </w:rPr>
        <w:t>We have derived the summary consolidated statement of operations data for the years ended December 31, 2017 and 2018 from our audited consolidated financial statements included elsewhere in this prospectus. Our historical results are not necessarily indicative of the results that should be expected in the future.</w:t>
      </w:r>
    </w:p>
    <w:p>
      <w:pPr>
        <w:spacing w:after="0" w:line="20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8"/>
              </w:rPr>
              <w:t>Year Ended</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7"/>
              <w:spacing w:after="0" w:line="150"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4"/>
              <w:spacing w:after="0" w:line="150"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tcPr>
          <w:p>
            <w:pPr>
              <w:jc w:val="center"/>
              <w:ind w:right="34"/>
              <w:spacing w:after="0" w:line="139" w:lineRule="exact"/>
              <w:rPr>
                <w:sz w:val="20"/>
                <w:szCs w:val="20"/>
                <w:color w:val="auto"/>
              </w:rPr>
            </w:pPr>
            <w:r>
              <w:rPr>
                <w:rFonts w:ascii="Arial" w:cs="Arial" w:eastAsia="Arial" w:hAnsi="Arial"/>
                <w:sz w:val="14"/>
                <w:szCs w:val="14"/>
                <w:b w:val="1"/>
                <w:bCs w:val="1"/>
                <w:color w:val="auto"/>
              </w:rPr>
              <w:t>(in thousands, except share and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per share amounts)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7"/>
                <w:szCs w:val="17"/>
                <w:color w:val="auto"/>
              </w:rPr>
              <w:t>Related party revenue</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10"/>
              <w:spacing w:after="0"/>
              <w:rPr>
                <w:sz w:val="20"/>
                <w:szCs w:val="20"/>
                <w:color w:val="auto"/>
              </w:rPr>
            </w:pPr>
            <w:r>
              <w:rPr>
                <w:rFonts w:ascii="Arial" w:cs="Arial" w:eastAsia="Arial" w:hAnsi="Arial"/>
                <w:sz w:val="17"/>
                <w:szCs w:val="17"/>
                <w:color w:val="auto"/>
              </w:rPr>
              <w:t>77,141</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108,665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4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Research and development</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10"/>
              <w:spacing w:after="0"/>
              <w:rPr>
                <w:sz w:val="20"/>
                <w:szCs w:val="20"/>
                <w:color w:val="auto"/>
              </w:rPr>
            </w:pPr>
            <w:r>
              <w:rPr>
                <w:rFonts w:ascii="Arial" w:cs="Arial" w:eastAsia="Arial" w:hAnsi="Arial"/>
                <w:sz w:val="17"/>
                <w:szCs w:val="17"/>
                <w:color w:val="auto"/>
              </w:rPr>
              <w:t>79,736</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95,714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tcPr>
          <w:p>
            <w:pPr>
              <w:ind w:left="320"/>
              <w:spacing w:after="0"/>
              <w:rPr>
                <w:sz w:val="20"/>
                <w:szCs w:val="20"/>
                <w:color w:val="auto"/>
              </w:rPr>
            </w:pPr>
            <w:r>
              <w:rPr>
                <w:rFonts w:ascii="Arial" w:cs="Arial" w:eastAsia="Arial" w:hAnsi="Arial"/>
                <w:sz w:val="17"/>
                <w:szCs w:val="17"/>
                <w:color w:val="auto"/>
              </w:rPr>
              <w:t>General and administrative</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310"/>
              <w:spacing w:after="0"/>
              <w:rPr>
                <w:sz w:val="20"/>
                <w:szCs w:val="20"/>
                <w:color w:val="auto"/>
              </w:rPr>
            </w:pPr>
            <w:r>
              <w:rPr>
                <w:rFonts w:ascii="Arial" w:cs="Arial" w:eastAsia="Arial" w:hAnsi="Arial"/>
                <w:sz w:val="17"/>
                <w:szCs w:val="17"/>
                <w:color w:val="auto"/>
              </w:rPr>
              <w:t>14,830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17,265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operating expenses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10"/>
              <w:spacing w:after="0"/>
              <w:rPr>
                <w:sz w:val="20"/>
                <w:szCs w:val="20"/>
                <w:color w:val="auto"/>
              </w:rPr>
            </w:pPr>
            <w:r>
              <w:rPr>
                <w:rFonts w:ascii="Arial" w:cs="Arial" w:eastAsia="Arial" w:hAnsi="Arial"/>
                <w:sz w:val="17"/>
                <w:szCs w:val="17"/>
                <w:color w:val="auto"/>
              </w:rPr>
              <w:t>94,566</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112,979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60" w:type="dxa"/>
            <w:vAlign w:val="bottom"/>
            <w:gridSpan w:val="2"/>
          </w:tcPr>
          <w:p>
            <w:pPr>
              <w:spacing w:after="0"/>
              <w:rPr>
                <w:sz w:val="20"/>
                <w:szCs w:val="20"/>
                <w:color w:val="auto"/>
              </w:rPr>
            </w:pPr>
            <w:r>
              <w:rPr>
                <w:rFonts w:ascii="Arial" w:cs="Arial" w:eastAsia="Arial" w:hAnsi="Arial"/>
                <w:sz w:val="17"/>
                <w:szCs w:val="17"/>
                <w:color w:val="auto"/>
              </w:rPr>
              <w:t>Loss from operations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50"/>
              <w:spacing w:after="0"/>
              <w:rPr>
                <w:sz w:val="20"/>
                <w:szCs w:val="20"/>
                <w:color w:val="auto"/>
              </w:rPr>
            </w:pPr>
            <w:r>
              <w:rPr>
                <w:rFonts w:ascii="Arial" w:cs="Arial" w:eastAsia="Arial" w:hAnsi="Arial"/>
                <w:sz w:val="17"/>
                <w:szCs w:val="17"/>
                <w:color w:val="auto"/>
              </w:rPr>
              <w:t>(17,425)</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(4,314)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2,358</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50"/>
              <w:spacing w:after="0"/>
              <w:rPr>
                <w:sz w:val="20"/>
                <w:szCs w:val="20"/>
                <w:color w:val="auto"/>
              </w:rPr>
            </w:pPr>
            <w:r>
              <w:rPr>
                <w:rFonts w:ascii="Arial" w:cs="Arial" w:eastAsia="Arial" w:hAnsi="Arial"/>
                <w:sz w:val="17"/>
                <w:szCs w:val="17"/>
                <w:color w:val="auto"/>
              </w:rPr>
              <w:t>(152)</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7"/>
                <w:szCs w:val="17"/>
                <w:color w:val="auto"/>
              </w:rPr>
              <w:t>Net loss before taxes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50"/>
              <w:spacing w:after="0"/>
              <w:rPr>
                <w:sz w:val="20"/>
                <w:szCs w:val="20"/>
                <w:color w:val="auto"/>
              </w:rPr>
            </w:pPr>
            <w:r>
              <w:rPr>
                <w:rFonts w:ascii="Arial" w:cs="Arial" w:eastAsia="Arial" w:hAnsi="Arial"/>
                <w:sz w:val="17"/>
                <w:szCs w:val="17"/>
                <w:color w:val="auto"/>
              </w:rPr>
              <w:t>(15,219)</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Benefit from income taxes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50"/>
              <w:spacing w:after="0"/>
              <w:rPr>
                <w:sz w:val="20"/>
                <w:szCs w:val="20"/>
                <w:color w:val="auto"/>
              </w:rPr>
            </w:pPr>
            <w:r>
              <w:rPr>
                <w:rFonts w:ascii="Arial" w:cs="Arial" w:eastAsia="Arial" w:hAnsi="Arial"/>
                <w:sz w:val="17"/>
                <w:szCs w:val="17"/>
                <w:color w:val="auto"/>
              </w:rPr>
              <w:t>(1,060)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50"/>
              <w:spacing w:after="0"/>
              <w:rPr>
                <w:sz w:val="20"/>
                <w:szCs w:val="20"/>
                <w:color w:val="auto"/>
              </w:rPr>
            </w:pPr>
            <w:r>
              <w:rPr>
                <w:rFonts w:ascii="Arial" w:cs="Arial" w:eastAsia="Arial" w:hAnsi="Arial"/>
                <w:sz w:val="17"/>
                <w:szCs w:val="17"/>
                <w:color w:val="auto"/>
              </w:rPr>
              <w:t>(14,159)</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(493)</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160" w:type="dxa"/>
            <w:vAlign w:val="bottom"/>
            <w:gridSpan w:val="2"/>
          </w:tcPr>
          <w:p>
            <w:pPr>
              <w:spacing w:after="0" w:line="189" w:lineRule="exact"/>
              <w:rPr>
                <w:sz w:val="20"/>
                <w:szCs w:val="20"/>
                <w:color w:val="auto"/>
              </w:rPr>
            </w:pPr>
            <w:r>
              <w:rPr>
                <w:rFonts w:ascii="Arial" w:cs="Arial" w:eastAsia="Arial" w:hAnsi="Arial"/>
                <w:sz w:val="17"/>
                <w:szCs w:val="17"/>
                <w:color w:val="auto"/>
              </w:rPr>
              <w:t>Net loss per common share, basic and diluted(1)</w:t>
            </w:r>
          </w:p>
        </w:tc>
        <w:tc>
          <w:tcPr>
            <w:tcW w:w="5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50"/>
              <w:spacing w:after="0" w:line="189" w:lineRule="exact"/>
              <w:rPr>
                <w:sz w:val="20"/>
                <w:szCs w:val="20"/>
                <w:color w:val="auto"/>
              </w:rPr>
            </w:pPr>
            <w:r>
              <w:rPr>
                <w:rFonts w:ascii="Arial" w:cs="Arial" w:eastAsia="Arial" w:hAnsi="Arial"/>
                <w:sz w:val="17"/>
                <w:szCs w:val="17"/>
                <w:color w:val="auto"/>
              </w:rPr>
              <w:t>(2.37)</w:t>
            </w:r>
          </w:p>
        </w:tc>
        <w:tc>
          <w:tcPr>
            <w:tcW w:w="44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14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Weighted average shares used to compute net loss per common share, basic and</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diluted(1)</w:t>
            </w:r>
          </w:p>
        </w:tc>
        <w:tc>
          <w:tcPr>
            <w:tcW w:w="4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5,961,767</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6,383,751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160" w:type="dxa"/>
            <w:vAlign w:val="bottom"/>
            <w:gridSpan w:val="2"/>
          </w:tcPr>
          <w:p>
            <w:pPr>
              <w:spacing w:after="0" w:line="189" w:lineRule="exact"/>
              <w:rPr>
                <w:sz w:val="20"/>
                <w:szCs w:val="20"/>
                <w:color w:val="auto"/>
              </w:rPr>
            </w:pPr>
            <w:r>
              <w:rPr>
                <w:rFonts w:ascii="Arial" w:cs="Arial" w:eastAsia="Arial" w:hAnsi="Arial"/>
                <w:sz w:val="17"/>
                <w:szCs w:val="17"/>
                <w:color w:val="auto"/>
              </w:rPr>
              <w:t>Pro forma net loss per common share, basic and diluted (unaudited)(1)</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14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Weighted average shares used to compute pro forma net loss per common share, basic</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and diluted (unaudited)(1)</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53,651,217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060" w:right="200" w:hanging="512"/>
        <w:spacing w:after="0" w:line="250"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See Note 2 to our consolidated financial statements appearing elsewhere in this prospectus for an explanation of the method used to calculate the historical and pro forma basic and diluted net loss per share and the number of shares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880"/>
          </w:cols>
          <w:pgMar w:left="240" w:top="449" w:right="77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200660</wp:posOffset>
            </wp:positionV>
            <wp:extent cx="6789420" cy="4486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89420" cy="448627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As of December 31, 2018</w:t>
            </w: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9"/>
        </w:trPr>
        <w:tc>
          <w:tcPr>
            <w:tcW w:w="5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9"/>
        </w:trPr>
        <w:tc>
          <w:tcPr>
            <w:tcW w:w="5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ind w:right="61"/>
              <w:spacing w:after="0" w:line="139" w:lineRule="exact"/>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2"/>
                <w:szCs w:val="12"/>
                <w:color w:val="auto"/>
              </w:rPr>
            </w:pPr>
          </w:p>
        </w:tc>
      </w:tr>
      <w:tr>
        <w:trPr>
          <w:trHeight w:val="169"/>
        </w:trPr>
        <w:tc>
          <w:tcPr>
            <w:tcW w:w="5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Actual</w:t>
            </w:r>
          </w:p>
        </w:tc>
        <w:tc>
          <w:tcPr>
            <w:tcW w:w="400" w:type="dxa"/>
            <w:vAlign w:val="bottom"/>
          </w:tcPr>
          <w:p>
            <w:pPr>
              <w:spacing w:after="0"/>
              <w:rPr>
                <w:sz w:val="14"/>
                <w:szCs w:val="1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Pro Forma(1)</w:t>
            </w:r>
          </w:p>
        </w:tc>
        <w:tc>
          <w:tcPr>
            <w:tcW w:w="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7"/>
              </w:rPr>
              <w:t>As Adjusted(2)</w:t>
            </w:r>
          </w:p>
        </w:tc>
      </w:tr>
      <w:tr>
        <w:trPr>
          <w:trHeight w:val="176"/>
        </w:trPr>
        <w:tc>
          <w:tcPr>
            <w:tcW w:w="556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b w:val="1"/>
                <w:bCs w:val="1"/>
                <w:color w:val="auto"/>
              </w:rPr>
              <w:t>Consolidated balance sheet data:</w:t>
            </w:r>
          </w:p>
        </w:tc>
        <w:tc>
          <w:tcPr>
            <w:tcW w:w="8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196"/>
        </w:trPr>
        <w:tc>
          <w:tcPr>
            <w:tcW w:w="5560" w:type="dxa"/>
            <w:vAlign w:val="bottom"/>
          </w:tcPr>
          <w:p>
            <w:pPr>
              <w:spacing w:after="0"/>
              <w:rPr>
                <w:sz w:val="20"/>
                <w:szCs w:val="20"/>
                <w:color w:val="auto"/>
              </w:rPr>
            </w:pPr>
            <w:r>
              <w:rPr>
                <w:rFonts w:ascii="Arial" w:cs="Arial" w:eastAsia="Arial" w:hAnsi="Arial"/>
                <w:sz w:val="17"/>
                <w:szCs w:val="17"/>
                <w:color w:val="auto"/>
              </w:rPr>
              <w:t>Cash, cash equivalents, and short-term marketable securities</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$ 206,633</w:t>
            </w:r>
          </w:p>
        </w:tc>
        <w:tc>
          <w:tcPr>
            <w:tcW w:w="18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  206,633</w:t>
            </w:r>
          </w:p>
        </w:tc>
        <w:tc>
          <w:tcPr>
            <w:tcW w:w="5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357,958</w:t>
            </w:r>
          </w:p>
        </w:tc>
        <w:tc>
          <w:tcPr>
            <w:tcW w:w="120" w:type="dxa"/>
            <w:vAlign w:val="bottom"/>
          </w:tcPr>
          <w:p>
            <w:pPr>
              <w:spacing w:after="0"/>
              <w:rPr>
                <w:sz w:val="17"/>
                <w:szCs w:val="17"/>
                <w:color w:val="auto"/>
              </w:rPr>
            </w:pPr>
          </w:p>
        </w:tc>
      </w:tr>
      <w:tr>
        <w:trPr>
          <w:trHeight w:val="196"/>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Working capital (excluding deferred revenue)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192,096</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192,096</w:t>
            </w: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343,421</w:t>
            </w:r>
          </w:p>
        </w:tc>
        <w:tc>
          <w:tcPr>
            <w:tcW w:w="120" w:type="dxa"/>
            <w:vAlign w:val="bottom"/>
            <w:shd w:val="clear" w:color="auto" w:fill="CCEEFF"/>
          </w:tcPr>
          <w:p>
            <w:pPr>
              <w:spacing w:after="0"/>
              <w:rPr>
                <w:sz w:val="17"/>
                <w:szCs w:val="17"/>
                <w:color w:val="auto"/>
              </w:rPr>
            </w:pPr>
          </w:p>
        </w:tc>
      </w:tr>
      <w:tr>
        <w:trPr>
          <w:trHeight w:val="196"/>
        </w:trPr>
        <w:tc>
          <w:tcPr>
            <w:tcW w:w="5560" w:type="dxa"/>
            <w:vAlign w:val="bottom"/>
          </w:tcPr>
          <w:p>
            <w:pPr>
              <w:spacing w:after="0"/>
              <w:rPr>
                <w:sz w:val="20"/>
                <w:szCs w:val="20"/>
                <w:color w:val="auto"/>
              </w:rPr>
            </w:pPr>
            <w:r>
              <w:rPr>
                <w:rFonts w:ascii="Arial" w:cs="Arial" w:eastAsia="Arial" w:hAnsi="Arial"/>
                <w:sz w:val="17"/>
                <w:szCs w:val="17"/>
                <w:color w:val="auto"/>
              </w:rPr>
              <w:t>Total assets</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246,085</w:t>
            </w:r>
          </w:p>
        </w:tc>
        <w:tc>
          <w:tcPr>
            <w:tcW w:w="18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246,085</w:t>
            </w:r>
          </w:p>
        </w:tc>
        <w:tc>
          <w:tcPr>
            <w:tcW w:w="5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397,410</w:t>
            </w:r>
          </w:p>
        </w:tc>
        <w:tc>
          <w:tcPr>
            <w:tcW w:w="120" w:type="dxa"/>
            <w:vAlign w:val="bottom"/>
          </w:tcPr>
          <w:p>
            <w:pPr>
              <w:spacing w:after="0"/>
              <w:rPr>
                <w:sz w:val="17"/>
                <w:szCs w:val="17"/>
                <w:color w:val="auto"/>
              </w:rPr>
            </w:pPr>
          </w:p>
        </w:tc>
      </w:tr>
      <w:tr>
        <w:trPr>
          <w:trHeight w:val="196"/>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59,406</w:t>
            </w:r>
          </w:p>
        </w:tc>
        <w:tc>
          <w:tcPr>
            <w:tcW w:w="180" w:type="dxa"/>
            <w:vAlign w:val="bottom"/>
            <w:shd w:val="clear" w:color="auto" w:fill="CCEEFF"/>
          </w:tcPr>
          <w:p>
            <w:pPr>
              <w:spacing w:after="0"/>
              <w:rPr>
                <w:sz w:val="17"/>
                <w:szCs w:val="17"/>
                <w:color w:val="auto"/>
              </w:rPr>
            </w:pPr>
          </w:p>
        </w:tc>
        <w:tc>
          <w:tcPr>
            <w:tcW w:w="180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59,208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59,208</w:t>
            </w:r>
          </w:p>
        </w:tc>
        <w:tc>
          <w:tcPr>
            <w:tcW w:w="120" w:type="dxa"/>
            <w:vAlign w:val="bottom"/>
            <w:shd w:val="clear" w:color="auto" w:fill="CCEEFF"/>
          </w:tcPr>
          <w:p>
            <w:pPr>
              <w:spacing w:after="0"/>
              <w:rPr>
                <w:sz w:val="17"/>
                <w:szCs w:val="17"/>
                <w:color w:val="auto"/>
              </w:rPr>
            </w:pPr>
          </w:p>
        </w:tc>
      </w:tr>
      <w:tr>
        <w:trPr>
          <w:trHeight w:val="196"/>
        </w:trPr>
        <w:tc>
          <w:tcPr>
            <w:tcW w:w="5560" w:type="dxa"/>
            <w:vAlign w:val="bottom"/>
          </w:tcPr>
          <w:p>
            <w:pPr>
              <w:spacing w:after="0"/>
              <w:rPr>
                <w:sz w:val="20"/>
                <w:szCs w:val="20"/>
                <w:color w:val="auto"/>
              </w:rPr>
            </w:pPr>
            <w:r>
              <w:rPr>
                <w:rFonts w:ascii="Arial" w:cs="Arial" w:eastAsia="Arial" w:hAnsi="Arial"/>
                <w:sz w:val="17"/>
                <w:szCs w:val="17"/>
                <w:color w:val="auto"/>
              </w:rPr>
              <w:t>Convertible preferred stock warrant liability</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198</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196"/>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Convertible preferred stock</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294,874</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196"/>
        </w:trPr>
        <w:tc>
          <w:tcPr>
            <w:tcW w:w="5560" w:type="dxa"/>
            <w:vAlign w:val="bottom"/>
          </w:tcPr>
          <w:p>
            <w:pPr>
              <w:spacing w:after="0"/>
              <w:rPr>
                <w:sz w:val="20"/>
                <w:szCs w:val="20"/>
                <w:color w:val="auto"/>
              </w:rPr>
            </w:pPr>
            <w:r>
              <w:rPr>
                <w:rFonts w:ascii="Arial" w:cs="Arial" w:eastAsia="Arial" w:hAnsi="Arial"/>
                <w:sz w:val="17"/>
                <w:szCs w:val="17"/>
                <w:color w:val="auto"/>
              </w:rPr>
              <w:t>Accumulated deficit</w:t>
            </w:r>
          </w:p>
        </w:tc>
        <w:tc>
          <w:tcPr>
            <w:tcW w:w="1800" w:type="dxa"/>
            <w:vAlign w:val="bottom"/>
            <w:gridSpan w:val="3"/>
          </w:tcPr>
          <w:p>
            <w:pPr>
              <w:jc w:val="right"/>
              <w:ind w:right="120"/>
              <w:spacing w:after="0"/>
              <w:rPr>
                <w:sz w:val="20"/>
                <w:szCs w:val="20"/>
                <w:color w:val="auto"/>
              </w:rPr>
            </w:pPr>
            <w:r>
              <w:rPr>
                <w:rFonts w:ascii="Arial" w:cs="Arial" w:eastAsia="Arial" w:hAnsi="Arial"/>
                <w:sz w:val="17"/>
                <w:szCs w:val="17"/>
                <w:color w:val="auto"/>
              </w:rPr>
              <w:t>(147,193)</w:t>
            </w:r>
          </w:p>
        </w:tc>
        <w:tc>
          <w:tcPr>
            <w:tcW w:w="1800" w:type="dxa"/>
            <w:vAlign w:val="bottom"/>
            <w:gridSpan w:val="3"/>
          </w:tcPr>
          <w:p>
            <w:pPr>
              <w:jc w:val="right"/>
              <w:ind w:right="460"/>
              <w:spacing w:after="0"/>
              <w:rPr>
                <w:sz w:val="20"/>
                <w:szCs w:val="20"/>
                <w:color w:val="auto"/>
              </w:rPr>
            </w:pPr>
            <w:r>
              <w:rPr>
                <w:rFonts w:ascii="Arial" w:cs="Arial" w:eastAsia="Arial" w:hAnsi="Arial"/>
                <w:sz w:val="17"/>
                <w:szCs w:val="17"/>
                <w:color w:val="auto"/>
              </w:rPr>
              <w:t>(147,193)</w:t>
            </w:r>
          </w:p>
        </w:tc>
        <w:tc>
          <w:tcPr>
            <w:tcW w:w="1160" w:type="dxa"/>
            <w:vAlign w:val="bottom"/>
            <w:gridSpan w:val="3"/>
          </w:tcPr>
          <w:p>
            <w:pPr>
              <w:jc w:val="right"/>
              <w:ind w:right="60"/>
              <w:spacing w:after="0"/>
              <w:rPr>
                <w:sz w:val="20"/>
                <w:szCs w:val="20"/>
                <w:color w:val="auto"/>
              </w:rPr>
            </w:pPr>
            <w:r>
              <w:rPr>
                <w:rFonts w:ascii="Arial" w:cs="Arial" w:eastAsia="Arial" w:hAnsi="Arial"/>
                <w:sz w:val="17"/>
                <w:szCs w:val="17"/>
                <w:color w:val="auto"/>
              </w:rPr>
              <w:t>(147,193)</w:t>
            </w:r>
          </w:p>
        </w:tc>
      </w:tr>
      <w:tr>
        <w:trPr>
          <w:trHeight w:val="196"/>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equity (deficit)</w:t>
            </w:r>
          </w:p>
        </w:tc>
        <w:tc>
          <w:tcPr>
            <w:tcW w:w="18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(108,195)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186,877</w:t>
            </w: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338,202</w:t>
            </w:r>
          </w:p>
        </w:tc>
        <w:tc>
          <w:tcPr>
            <w:tcW w:w="120" w:type="dxa"/>
            <w:vAlign w:val="bottom"/>
            <w:shd w:val="clear" w:color="auto" w:fill="CCEEFF"/>
          </w:tcPr>
          <w:p>
            <w:pPr>
              <w:spacing w:after="0"/>
              <w:rPr>
                <w:sz w:val="17"/>
                <w:szCs w:val="17"/>
                <w:color w:val="auto"/>
              </w:rPr>
            </w:pPr>
          </w:p>
        </w:tc>
      </w:tr>
    </w:tbl>
    <w:p>
      <w:pPr>
        <w:spacing w:after="0" w:line="182" w:lineRule="exact"/>
        <w:rPr>
          <w:sz w:val="20"/>
          <w:szCs w:val="20"/>
          <w:color w:val="auto"/>
        </w:rPr>
      </w:pPr>
    </w:p>
    <w:p>
      <w:pPr>
        <w:ind w:left="1060" w:right="80" w:hanging="512"/>
        <w:spacing w:after="0" w:line="241"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pro forma column reflects the automatic conversion of all outstanding shares of our convertible preferred stock into shares of our common stock immediately prior to the completion of this offering and the reclassification to additional paid-in capital of our Series A convertible preferred stock warrant liability in connection with the conversion of our outstanding Series A convertible preferred stock warrant into a common stock warrant upon the completion of this offering.</w:t>
      </w:r>
    </w:p>
    <w:p>
      <w:pPr>
        <w:ind w:left="1060" w:right="60" w:hanging="512"/>
        <w:spacing w:after="0" w:line="247"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pro forma as adjusted column further reflects the receipt of the estimated net proceeds from the sale of 10,788,350 shares of common stock in this offering and the concurrent private placement to Merck at an assumed initial public offering price of $15.00 per share, the midpoint of the price range set forth on the cover page of this prospectus, and after deducting underwriting discounts and commissions and estimated offering expenses payable by us.</w:t>
      </w:r>
    </w:p>
    <w:p>
      <w:pPr>
        <w:spacing w:after="0" w:line="85" w:lineRule="exact"/>
        <w:rPr>
          <w:rFonts w:ascii="Arial" w:cs="Arial" w:eastAsia="Arial" w:hAnsi="Arial"/>
          <w:sz w:val="17"/>
          <w:szCs w:val="17"/>
          <w:color w:val="auto"/>
        </w:rPr>
      </w:pPr>
    </w:p>
    <w:p>
      <w:pPr>
        <w:ind w:left="1060" w:right="20"/>
        <w:spacing w:after="0" w:line="242" w:lineRule="auto"/>
        <w:rPr>
          <w:rFonts w:ascii="Arial" w:cs="Arial" w:eastAsia="Arial" w:hAnsi="Arial"/>
          <w:sz w:val="17"/>
          <w:szCs w:val="17"/>
          <w:color w:val="auto"/>
        </w:rPr>
      </w:pPr>
      <w:r>
        <w:rPr>
          <w:rFonts w:ascii="Arial" w:cs="Arial" w:eastAsia="Arial" w:hAnsi="Arial"/>
          <w:sz w:val="17"/>
          <w:szCs w:val="17"/>
          <w:color w:val="auto"/>
        </w:rPr>
        <w:t>A $1.00 increase (decrease) in the assumed initial public offering price of $15.00 per share would increase (decrease) the amount of cash, cash equivalents and short-term marketable securities, working capital, total assets and total stockholders’ equity (deficit) by approximately $10.3 million, assuming the number of shares offered by us, as set forth on the cover page of this prospectus, along with the number of shares to be sold to Merck in the concurrent private placement, remain the same and after deducting underwriting discounts and commissions and estimated offering expenses payable by us. Similarly, each increase (decrease) of 1,000,000 shares in the number of shares of our common stock offered by us (including a concurrent increase (decrease) in the private placement to Merck) would increase (decrease) the amount of cash, cash equivalents and short-term marketable securities, working capital, total assets and total stockholders’ equity by approximately $17.7 million, assuming the assumed initial public offering price remains the same, and after deducting underwriting discounts and commissions and estimated offering expenses payable by us. The pro forma as adjusted information discussed above is illustrative only and will be adjusted based on the actual initial public offering price and the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880"/>
          </w:cols>
          <w:pgMar w:left="240" w:top="449" w:right="77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RISK FACTORS</w:t>
      </w:r>
    </w:p>
    <w:p>
      <w:pPr>
        <w:spacing w:after="0" w:line="214" w:lineRule="exact"/>
        <w:rPr>
          <w:sz w:val="20"/>
          <w:szCs w:val="20"/>
          <w:color w:val="auto"/>
        </w:rPr>
      </w:pPr>
    </w:p>
    <w:p>
      <w:pPr>
        <w:ind w:left="380" w:right="40" w:firstLine="534"/>
        <w:spacing w:after="0" w:line="251" w:lineRule="auto"/>
        <w:rPr>
          <w:sz w:val="20"/>
          <w:szCs w:val="20"/>
          <w:color w:val="auto"/>
        </w:rPr>
      </w:pPr>
      <w:r>
        <w:rPr>
          <w:rFonts w:ascii="Arial" w:cs="Arial" w:eastAsia="Arial" w:hAnsi="Arial"/>
          <w:sz w:val="17"/>
          <w:szCs w:val="17"/>
          <w:i w:val="1"/>
          <w:iCs w:val="1"/>
          <w:color w:val="auto"/>
        </w:rPr>
        <w:t>Investment in our common stock involves a high degree of risk and uncertainty. You should carefully consider each of the risks and uncertainties described below before you decide to buy our common stock. You should also refer to the other information in this prospectus, including our consolidated financial statements and related notes. If any of the following risks and uncertainties materialize, our business, financial condition, liquidity and results of operations could be materially and adversely affected. This could cause the trading price of our common stock to decline, and you could lose all or part of your investment.</w:t>
      </w:r>
    </w:p>
    <w:p>
      <w:pPr>
        <w:spacing w:after="0" w:line="27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Risks Related to Our Financial Results and Capital Needs</w:t>
      </w:r>
    </w:p>
    <w:p>
      <w:pPr>
        <w:spacing w:after="0" w:line="212" w:lineRule="exact"/>
        <w:rPr>
          <w:sz w:val="20"/>
          <w:szCs w:val="20"/>
          <w:color w:val="auto"/>
        </w:rPr>
      </w:pPr>
    </w:p>
    <w:p>
      <w:pPr>
        <w:ind w:left="380"/>
        <w:spacing w:after="0" w:line="283" w:lineRule="auto"/>
        <w:rPr>
          <w:sz w:val="20"/>
          <w:szCs w:val="20"/>
          <w:color w:val="auto"/>
        </w:rPr>
      </w:pPr>
      <w:r>
        <w:rPr>
          <w:rFonts w:ascii="Arial" w:cs="Arial" w:eastAsia="Arial" w:hAnsi="Arial"/>
          <w:sz w:val="17"/>
          <w:szCs w:val="17"/>
          <w:b w:val="1"/>
          <w:bCs w:val="1"/>
          <w:i w:val="1"/>
          <w:iCs w:val="1"/>
          <w:color w:val="auto"/>
        </w:rPr>
        <w:t>We have incurred net losses every year since our inception, expect to incur significant and increasing operating losses and may never be profitable. Our stock is a highly speculative investment.</w:t>
      </w:r>
    </w:p>
    <w:p>
      <w:pPr>
        <w:spacing w:after="0" w:line="57"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We are a clinical-stage biopharmaceutical company that was incorporated in December 2007 and commenced operations in early 2008. Investment in biopharmaceutical product development is highly speculative because it entails substantial upfront capital expenditures and significant risk that any potential product candidate will fail to demonstrate adequate effect and/or an acceptable safety profile, gain regulatory approval and become commercially viable. We have no products approved for commercial sale and have not generated any revenue from product sales to date, and we continue to incur significant research and development and other expenses related to our ongoing operations. As a result, we are not profitable and have incurred losses in each period since commencing operations in early 2008. Our net loss was $14.2 million and $0.5 million for the years ended December 31, 2017 and 2018, respectively. As of December 31, 2018, we had an accumulated deficit of $147.2 million.</w:t>
      </w:r>
    </w:p>
    <w:p>
      <w:pPr>
        <w:spacing w:after="0" w:line="198"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We have spent, and expect to continue to spend, significant resources to fund research and development of, and seek regulatory approvals for, our product candidates. We expect to incur substantial and increasing operating losses over the next several years as our research, development, preclinical testing and clinical trial activities increase. As a result, our accumulated deficit will also increase significantly. We may encounter unforeseen expenses, difficulties, complications, delays and other unknown factors that may adversely affect our business. The size of our future net losses will depend, in part, on the rate of future growth of our expenses and our ability to generate revenue beyond those generated pursuant to the Merck collaboration. Our prior losses and expected future losses have had and will continue to have an adverse effect on our stockholders’ equity and working capital. Even if we eventually generate product revenue, we may never be profitable and, if we do achieve profitability, we may not be able to sustain or increase profitability on a quarterly or annual basis.</w:t>
      </w:r>
    </w:p>
    <w:p>
      <w:pPr>
        <w:spacing w:after="0" w:line="200" w:lineRule="exact"/>
        <w:rPr>
          <w:sz w:val="20"/>
          <w:szCs w:val="20"/>
          <w:color w:val="auto"/>
        </w:rPr>
      </w:pP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Substantially all of our revenue for recent periods has been received from a single collaboration partner.</w:t>
      </w:r>
    </w:p>
    <w:p>
      <w:pPr>
        <w:spacing w:after="0" w:line="126" w:lineRule="exact"/>
        <w:rPr>
          <w:sz w:val="20"/>
          <w:szCs w:val="20"/>
          <w:color w:val="auto"/>
        </w:rPr>
      </w:pPr>
    </w:p>
    <w:p>
      <w:pPr>
        <w:ind w:left="380" w:right="160" w:firstLine="534"/>
        <w:spacing w:after="0" w:line="241" w:lineRule="auto"/>
        <w:rPr>
          <w:sz w:val="20"/>
          <w:szCs w:val="20"/>
          <w:color w:val="auto"/>
        </w:rPr>
      </w:pPr>
      <w:r>
        <w:rPr>
          <w:rFonts w:ascii="Arial" w:cs="Arial" w:eastAsia="Arial" w:hAnsi="Arial"/>
          <w:sz w:val="17"/>
          <w:szCs w:val="17"/>
          <w:color w:val="auto"/>
        </w:rPr>
        <w:t>During the past two years, substantially all of our revenue was from our collaboration partner, Merck. We will require substantial additional capital to achieve our development and commercialization goals for NGM282, for any Merck licensed programs that we opt to co-develop and for any programs that Merck does not opt to develop and that we choose to develop, such as NGM386 and/or NGM395, for which Merck has given us notice of its intent to terminate the license and that we are considering whether to advance pending study results. Under the Merck collaboration, Merck provides us with reimbursement for research and development activities of at least</w:t>
      </w:r>
    </w:p>
    <w:p>
      <w:pPr>
        <w:spacing w:after="0" w:line="1" w:lineRule="exact"/>
        <w:rPr>
          <w:sz w:val="20"/>
          <w:szCs w:val="20"/>
          <w:color w:val="auto"/>
        </w:rPr>
      </w:pPr>
    </w:p>
    <w:p>
      <w:pPr>
        <w:ind w:left="380" w:right="480"/>
        <w:spacing w:after="0" w:line="258" w:lineRule="auto"/>
        <w:rPr>
          <w:sz w:val="20"/>
          <w:szCs w:val="20"/>
          <w:color w:val="auto"/>
        </w:rPr>
      </w:pPr>
      <w:r>
        <w:rPr>
          <w:rFonts w:ascii="Arial" w:cs="Arial" w:eastAsia="Arial" w:hAnsi="Arial"/>
          <w:sz w:val="17"/>
          <w:szCs w:val="17"/>
          <w:color w:val="auto"/>
        </w:rPr>
        <w:t>$50 million per year, plus additional amounts up to agreed upon annual caps, if certain conditions are met; however, we may require additional funding to advance our research and development affairs on our planned timeline, or at all. If</w:t>
      </w:r>
    </w:p>
    <w:p>
      <w:pPr>
        <w:spacing w:after="0" w:line="11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020"/>
          </w:cols>
          <w:pgMar w:left="240" w:top="449" w:right="6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spacing w:after="0" w:line="244" w:lineRule="auto"/>
        <w:rPr>
          <w:sz w:val="20"/>
          <w:szCs w:val="20"/>
          <w:color w:val="auto"/>
        </w:rPr>
      </w:pPr>
      <w:r>
        <w:rPr>
          <w:rFonts w:ascii="Arial" w:cs="Arial" w:eastAsia="Arial" w:hAnsi="Arial"/>
          <w:sz w:val="17"/>
          <w:szCs w:val="17"/>
          <w:color w:val="auto"/>
        </w:rPr>
        <w:t>our Merck collaboration were to be terminated, or if the annual cap under the Merck collaboration is insufficient, we could require significant additional capital in order to proceed with development and commercialization of our product candidates, or we may require additional partnering in order to help fund such development and commercialization. Merck has exercised its option to extend the research and early development program through March 17, 2022 and has the right to extend it again through March 17, 2024. If adequate funds or partners are not available to us on a timely basis, on favorable terms or at all, we may be required to delay, limit, reduce or terminate our research and development efforts or other operations. See “Business—Our Collaboration with Merck.”</w:t>
      </w:r>
    </w:p>
    <w:p>
      <w:pPr>
        <w:spacing w:after="0" w:line="280"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We currently have no source of product revenue and may never become profitable.</w:t>
      </w:r>
    </w:p>
    <w:p>
      <w:pPr>
        <w:spacing w:after="0" w:line="126" w:lineRule="exact"/>
        <w:rPr>
          <w:sz w:val="20"/>
          <w:szCs w:val="20"/>
          <w:color w:val="auto"/>
        </w:rPr>
      </w:pPr>
    </w:p>
    <w:p>
      <w:pPr>
        <w:ind w:left="380" w:right="100" w:firstLine="534"/>
        <w:spacing w:after="0" w:line="243" w:lineRule="auto"/>
        <w:rPr>
          <w:sz w:val="20"/>
          <w:szCs w:val="20"/>
          <w:color w:val="auto"/>
        </w:rPr>
      </w:pPr>
      <w:r>
        <w:rPr>
          <w:rFonts w:ascii="Arial" w:cs="Arial" w:eastAsia="Arial" w:hAnsi="Arial"/>
          <w:sz w:val="17"/>
          <w:szCs w:val="17"/>
          <w:color w:val="auto"/>
        </w:rPr>
        <w:t>Our product candidates are in the early stages of development. To date, we have not generated any revenue from commercialization of our product candidates. We will not be able to generate product revenue unless and until one of our product candidates, alone or with our partners, successfully completes clinical trials, receives regulatory approval and is successfully commercialized. As our product candidates are in early stages of development, we do not expect to receive revenue from those product candidates for a number of years, if ever. We may seek to obtain revenue from collaboration or licensing agreements with third parties. Other than our agreement with Merck, we currently have no such agreements that could provide us with material, ongoing future revenue and we may never enter into any such agreements. Our ability to generate future product revenue from our current or future product candidates also depends on a number of additional factors, including our or our current and future partners’ ability to:</w:t>
      </w:r>
    </w:p>
    <w:p>
      <w:pPr>
        <w:spacing w:after="0" w:line="106" w:lineRule="exact"/>
        <w:rPr>
          <w:sz w:val="20"/>
          <w:szCs w:val="20"/>
          <w:color w:val="auto"/>
        </w:rPr>
      </w:pPr>
    </w:p>
    <w:p>
      <w:pPr>
        <w:ind w:left="1100" w:hanging="205"/>
        <w:spacing w:after="0"/>
        <w:tabs>
          <w:tab w:leader="none" w:pos="11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successfully complete research and clinical development of current and future product candidates;</w:t>
      </w:r>
    </w:p>
    <w:p>
      <w:pPr>
        <w:spacing w:after="0" w:line="118" w:lineRule="exact"/>
        <w:rPr>
          <w:rFonts w:ascii="Arial" w:cs="Arial" w:eastAsia="Arial" w:hAnsi="Arial"/>
          <w:sz w:val="17"/>
          <w:szCs w:val="17"/>
          <w:color w:val="auto"/>
        </w:rPr>
      </w:pPr>
    </w:p>
    <w:p>
      <w:pPr>
        <w:ind w:left="1100" w:right="380" w:hanging="205"/>
        <w:spacing w:after="0" w:line="258" w:lineRule="auto"/>
        <w:tabs>
          <w:tab w:leader="none" w:pos="11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establish and maintain supply and manufacturing relationships with third parties, and ensure adequate and legally compliant manufacturing of bulk drug substances and drug products to maintain that supply;</w:t>
      </w:r>
    </w:p>
    <w:p>
      <w:pPr>
        <w:spacing w:after="0" w:line="90" w:lineRule="exact"/>
        <w:rPr>
          <w:rFonts w:ascii="Arial" w:cs="Arial" w:eastAsia="Arial" w:hAnsi="Arial"/>
          <w:sz w:val="17"/>
          <w:szCs w:val="17"/>
          <w:color w:val="auto"/>
        </w:rPr>
      </w:pPr>
    </w:p>
    <w:p>
      <w:pPr>
        <w:ind w:left="1100" w:right="1000" w:hanging="205"/>
        <w:spacing w:after="0" w:line="258" w:lineRule="auto"/>
        <w:tabs>
          <w:tab w:leader="none" w:pos="11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launch and commercialize future product candidates for which we obtain marketing approval, if any, and, if launched independently, successfully establish a sales force, marketing and distribution infrastructure;</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demonstrate the necessary safety data post-approval to ensure continued regulatory approval;</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obtain coverage and adequate product reimbursement from third-party payors, including government payors;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achieve market acceptance for our or our partners’ products, if any;</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establish, maintain, protect and enforce our intellectual property rights; and</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attract, hire and retain qualified personnel.</w:t>
      </w:r>
    </w:p>
    <w:p>
      <w:pPr>
        <w:spacing w:after="0" w:line="210" w:lineRule="exact"/>
        <w:rPr>
          <w:sz w:val="20"/>
          <w:szCs w:val="20"/>
          <w:color w:val="auto"/>
        </w:rPr>
      </w:pPr>
    </w:p>
    <w:p>
      <w:pPr>
        <w:ind w:left="380" w:right="140" w:firstLine="534"/>
        <w:spacing w:after="0" w:line="244" w:lineRule="auto"/>
        <w:rPr>
          <w:sz w:val="20"/>
          <w:szCs w:val="20"/>
          <w:color w:val="auto"/>
        </w:rPr>
      </w:pPr>
      <w:r>
        <w:rPr>
          <w:rFonts w:ascii="Arial" w:cs="Arial" w:eastAsia="Arial" w:hAnsi="Arial"/>
          <w:sz w:val="17"/>
          <w:szCs w:val="17"/>
          <w:color w:val="auto"/>
        </w:rPr>
        <w:t>In addition, because of the numerous risks and uncertainties associated with pharmaceutical product development, including that our product candidates may not advance through development or achieve the endpoints of applicable clinical trials, we are unable to predict the timing or amount of increased expenses, or if or when we will achieve or maintain profitability. In addition, our expenses could increase beyond expectations if we decide,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these products.</w:t>
      </w:r>
    </w:p>
    <w:p>
      <w:pPr>
        <w:spacing w:after="0" w:line="196" w:lineRule="exact"/>
        <w:rPr>
          <w:sz w:val="20"/>
          <w:szCs w:val="20"/>
          <w:color w:val="auto"/>
        </w:rPr>
      </w:pPr>
    </w:p>
    <w:p>
      <w:pPr>
        <w:ind w:left="380" w:right="240" w:firstLine="534"/>
        <w:spacing w:after="0" w:line="258" w:lineRule="auto"/>
        <w:rPr>
          <w:sz w:val="20"/>
          <w:szCs w:val="20"/>
          <w:color w:val="auto"/>
        </w:rPr>
      </w:pPr>
      <w:r>
        <w:rPr>
          <w:rFonts w:ascii="Arial" w:cs="Arial" w:eastAsia="Arial" w:hAnsi="Arial"/>
          <w:sz w:val="17"/>
          <w:szCs w:val="17"/>
          <w:color w:val="auto"/>
        </w:rPr>
        <w:t>Even if we generate revenue from the sale of any of our products that may be approved, we may not become profitable and may need to obtain additional funding to continue operations. If we fail to</w:t>
      </w:r>
    </w:p>
    <w:p>
      <w:pPr>
        <w:spacing w:after="0" w:line="11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040"/>
          </w:cols>
          <w:pgMar w:left="240" w:top="449" w:right="61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40"/>
        <w:spacing w:after="0" w:line="258" w:lineRule="auto"/>
        <w:rPr>
          <w:sz w:val="20"/>
          <w:szCs w:val="20"/>
          <w:color w:val="auto"/>
        </w:rPr>
      </w:pPr>
      <w:r>
        <w:rPr>
          <w:rFonts w:ascii="Arial" w:cs="Arial" w:eastAsia="Arial" w:hAnsi="Arial"/>
          <w:sz w:val="17"/>
          <w:szCs w:val="17"/>
          <w:color w:val="auto"/>
        </w:rPr>
        <w:t>become profitable or do not sustain profitability on a continuing basis, then we may be unable to continue our operations at planned levels and be forced to reduce our operations.</w:t>
      </w:r>
    </w:p>
    <w:p>
      <w:pPr>
        <w:spacing w:after="0" w:line="267" w:lineRule="exact"/>
        <w:rPr>
          <w:sz w:val="20"/>
          <w:szCs w:val="20"/>
          <w:color w:val="auto"/>
        </w:rPr>
      </w:pPr>
    </w:p>
    <w:p>
      <w:pPr>
        <w:ind w:left="380" w:right="20"/>
        <w:spacing w:after="0" w:line="262" w:lineRule="auto"/>
        <w:rPr>
          <w:sz w:val="20"/>
          <w:szCs w:val="20"/>
          <w:color w:val="auto"/>
        </w:rPr>
      </w:pPr>
      <w:r>
        <w:rPr>
          <w:rFonts w:ascii="Arial" w:cs="Arial" w:eastAsia="Arial" w:hAnsi="Arial"/>
          <w:sz w:val="17"/>
          <w:szCs w:val="17"/>
          <w:b w:val="1"/>
          <w:bCs w:val="1"/>
          <w:i w:val="1"/>
          <w:iCs w:val="1"/>
          <w:color w:val="auto"/>
        </w:rPr>
        <w:t>We may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74"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As a research and development company, our operations have consumed substantial amounts of cash since inception. We expect our research and development expenses to increase substantially in connection with our ongoing activities, particularly to the extent that product candidates whose costs are not borne by our collaborator, such as NGM282, NGM386 and NGM395, advance in clinical development. We believe that the net proceeds from this offering and the concurrent private placement to Merck, together with our existing cash, cash equivalents and short-term marketable securities and funding we expect to receive under our existing collaboration agreement, will fund our projected operating requirements for at least the next twelve months.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utilize our available capital resources sooner than we currently expect. Our future funding requirements, both short and long-term, will depend on many factors, including:</w:t>
      </w:r>
    </w:p>
    <w:p>
      <w:pPr>
        <w:spacing w:after="0" w:line="103" w:lineRule="exact"/>
        <w:rPr>
          <w:sz w:val="20"/>
          <w:szCs w:val="20"/>
          <w:color w:val="auto"/>
        </w:rPr>
      </w:pPr>
    </w:p>
    <w:p>
      <w:pPr>
        <w:ind w:left="1100" w:right="180" w:hanging="205"/>
        <w:spacing w:after="0" w:line="258" w:lineRule="auto"/>
        <w:tabs>
          <w:tab w:leader="none" w:pos="11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initiation, progress, timing, costs and results of preclinical and clinical studies for our product candidates and future product candidates we may develop;</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whether Merck exercises its option to license product candidates upon our completion of a proof-of-concept study in humans;</w:t>
      </w:r>
    </w:p>
    <w:p>
      <w:pPr>
        <w:spacing w:after="0" w:line="118" w:lineRule="exact"/>
        <w:rPr>
          <w:rFonts w:ascii="Arial" w:cs="Arial" w:eastAsia="Arial" w:hAnsi="Arial"/>
          <w:sz w:val="17"/>
          <w:szCs w:val="17"/>
          <w:color w:val="auto"/>
        </w:rPr>
      </w:pPr>
    </w:p>
    <w:p>
      <w:pPr>
        <w:ind w:left="1100" w:right="440" w:hanging="205"/>
        <w:spacing w:after="0" w:line="258" w:lineRule="auto"/>
        <w:tabs>
          <w:tab w:leader="none" w:pos="11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whether Merck terminates the research collaboration (under pre-specified circumstances in the collaboration agreement) or terminates a program that is licensed;</w:t>
      </w:r>
    </w:p>
    <w:p>
      <w:pPr>
        <w:spacing w:after="0" w:line="90" w:lineRule="exact"/>
        <w:rPr>
          <w:rFonts w:ascii="Arial" w:cs="Arial" w:eastAsia="Arial" w:hAnsi="Arial"/>
          <w:sz w:val="17"/>
          <w:szCs w:val="17"/>
          <w:color w:val="auto"/>
        </w:rPr>
      </w:pPr>
    </w:p>
    <w:p>
      <w:pPr>
        <w:ind w:left="1100" w:right="260" w:hanging="205"/>
        <w:spacing w:after="0" w:line="258" w:lineRule="auto"/>
        <w:tabs>
          <w:tab w:leader="none" w:pos="11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whether Merck exercises its remaining option to extend the research phase of its collaboration with us, which would trigger an extension payment to us;</w:t>
      </w:r>
    </w:p>
    <w:p>
      <w:pPr>
        <w:spacing w:after="0" w:line="90" w:lineRule="exact"/>
        <w:rPr>
          <w:rFonts w:ascii="Arial" w:cs="Arial" w:eastAsia="Arial" w:hAnsi="Arial"/>
          <w:sz w:val="17"/>
          <w:szCs w:val="17"/>
          <w:color w:val="auto"/>
        </w:rPr>
      </w:pPr>
    </w:p>
    <w:p>
      <w:pPr>
        <w:ind w:left="1100" w:right="340" w:hanging="205"/>
        <w:spacing w:after="0" w:line="250" w:lineRule="auto"/>
        <w:tabs>
          <w:tab w:leader="none" w:pos="11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studies than those that we currently expect or change their requirements on studies that had previously been agreed to;</w:t>
      </w:r>
    </w:p>
    <w:p>
      <w:pPr>
        <w:spacing w:after="0" w:line="96" w:lineRule="exact"/>
        <w:rPr>
          <w:rFonts w:ascii="Arial" w:cs="Arial" w:eastAsia="Arial" w:hAnsi="Arial"/>
          <w:sz w:val="17"/>
          <w:szCs w:val="17"/>
          <w:color w:val="auto"/>
        </w:rPr>
      </w:pPr>
    </w:p>
    <w:p>
      <w:pPr>
        <w:jc w:val="both"/>
        <w:ind w:left="1100" w:right="120" w:hanging="205"/>
        <w:spacing w:after="0" w:line="250" w:lineRule="auto"/>
        <w:tabs>
          <w:tab w:leader="none" w:pos="11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96" w:lineRule="exact"/>
        <w:rPr>
          <w:rFonts w:ascii="Arial" w:cs="Arial" w:eastAsia="Arial" w:hAnsi="Arial"/>
          <w:sz w:val="17"/>
          <w:szCs w:val="17"/>
          <w:color w:val="auto"/>
        </w:rPr>
      </w:pPr>
    </w:p>
    <w:p>
      <w:pPr>
        <w:ind w:left="1100" w:hanging="205"/>
        <w:spacing w:after="0"/>
        <w:tabs>
          <w:tab w:leader="none" w:pos="11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w:t>
      </w:r>
    </w:p>
    <w:p>
      <w:pPr>
        <w:spacing w:after="0" w:line="118" w:lineRule="exact"/>
        <w:rPr>
          <w:rFonts w:ascii="Arial" w:cs="Arial" w:eastAsia="Arial" w:hAnsi="Arial"/>
          <w:sz w:val="17"/>
          <w:szCs w:val="17"/>
          <w:color w:val="auto"/>
        </w:rPr>
      </w:pPr>
    </w:p>
    <w:p>
      <w:pPr>
        <w:ind w:left="1100" w:right="400" w:hanging="205"/>
        <w:spacing w:after="0" w:line="258" w:lineRule="auto"/>
        <w:tabs>
          <w:tab w:leader="none" w:pos="11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market acceptance of any approved product candidates, including product pricing and product reimbursement by third-party payors;</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 of acquiring, licensing or investing in additional businesses, products, product candidates and technologies;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 and timing of selecting, auditing and potentially validating a manufacturing site for commercial-scale manufacturing;</w:t>
      </w:r>
    </w:p>
    <w:p>
      <w:pPr>
        <w:spacing w:after="0" w:line="118" w:lineRule="exact"/>
        <w:rPr>
          <w:rFonts w:ascii="Arial" w:cs="Arial" w:eastAsia="Arial" w:hAnsi="Arial"/>
          <w:sz w:val="17"/>
          <w:szCs w:val="17"/>
          <w:color w:val="auto"/>
        </w:rPr>
      </w:pPr>
    </w:p>
    <w:p>
      <w:pPr>
        <w:ind w:left="1100" w:right="620" w:hanging="205"/>
        <w:spacing w:after="0" w:line="258" w:lineRule="auto"/>
        <w:tabs>
          <w:tab w:leader="none" w:pos="11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 of establishing sales, marketing and distribution capabilities for our product candidates for which we may receive regulatory approval and that we determine to commercialize ourselves or in collaboration with our partners; and</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extent to which any of the foregoing costs are the responsibility of Merck.</w:t>
      </w:r>
    </w:p>
    <w:p>
      <w:pPr>
        <w:spacing w:after="0" w:line="14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040"/>
          </w:cols>
          <w:pgMar w:left="240" w:top="449" w:right="61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80" w:right="380"/>
        <w:spacing w:after="0" w:line="283" w:lineRule="auto"/>
        <w:rPr>
          <w:sz w:val="20"/>
          <w:szCs w:val="20"/>
          <w:color w:val="auto"/>
        </w:rPr>
      </w:pPr>
      <w:r>
        <w:rPr>
          <w:rFonts w:ascii="Arial" w:cs="Arial" w:eastAsia="Arial" w:hAnsi="Arial"/>
          <w:sz w:val="17"/>
          <w:szCs w:val="17"/>
          <w:b w:val="1"/>
          <w:bCs w:val="1"/>
          <w:i w:val="1"/>
          <w:iCs w:val="1"/>
          <w:color w:val="auto"/>
        </w:rPr>
        <w:t>Raising additional capital may cause dilution to our existing stockholders, restrict our operations or require us to relinquish rights to our technologies.</w:t>
      </w:r>
    </w:p>
    <w:p>
      <w:pPr>
        <w:spacing w:after="0" w:line="57" w:lineRule="exact"/>
        <w:rPr>
          <w:sz w:val="20"/>
          <w:szCs w:val="20"/>
          <w:color w:val="auto"/>
        </w:rPr>
      </w:pPr>
    </w:p>
    <w:p>
      <w:pPr>
        <w:ind w:left="380" w:firstLine="534"/>
        <w:spacing w:after="0" w:line="242" w:lineRule="auto"/>
        <w:rPr>
          <w:sz w:val="20"/>
          <w:szCs w:val="20"/>
          <w:color w:val="auto"/>
        </w:rPr>
      </w:pPr>
      <w:r>
        <w:rPr>
          <w:rFonts w:ascii="Arial" w:cs="Arial" w:eastAsia="Arial" w:hAnsi="Arial"/>
          <w:sz w:val="17"/>
          <w:szCs w:val="17"/>
          <w:color w:val="auto"/>
        </w:rPr>
        <w:t>Unless and until we can generate a sufficient amount of revenue from our products, we will require additional capital to discover, develop, obtain regulatory approval for and commercialize our current and future product candidates. We do not have any committed external source of funds, other than pursuant to our collaboration with Merck, which is limited in scope and duration, and may be terminated in certain circumstances. We expect to finance future cash needs through public or private equity or debt offerings or product collaborations. Additional capital may not be available in sufficient amounts or on reasonable terms, if at all. Our existing stockholders could suffer dilution or be negatively affected by fixed payment obligations we may incur if we raise additional funds through the issuance of additional equity securities or debt. Furthermore, these securities may have rights senior to those of our common stock and could contain covenants or protective rights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If we need to secure additional financing, such additional fundraising efforts may divert our management and research efforts from our day-to-day activities, which may adversely affect our ability to develop and commercialize future product candidates. If we do not raise additional capital, we may not be able to expand our operations or otherwise capitalize on our business opportunities, our business and financial condition will be negatively impacted and we may need to:</w:t>
      </w:r>
    </w:p>
    <w:p>
      <w:pPr>
        <w:spacing w:after="0" w:line="305" w:lineRule="exact"/>
        <w:rPr>
          <w:sz w:val="20"/>
          <w:szCs w:val="20"/>
          <w:color w:val="auto"/>
        </w:rPr>
      </w:pPr>
    </w:p>
    <w:p>
      <w:pPr>
        <w:ind w:left="1100" w:right="280" w:hanging="205"/>
        <w:spacing w:after="0" w:line="258" w:lineRule="auto"/>
        <w:tabs>
          <w:tab w:leader="none" w:pos="11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significantly delay, scale back or discontinue research and discovery efforts and the development or commercialization of any product candidates or cease operations altogether;</w:t>
      </w:r>
    </w:p>
    <w:p>
      <w:pPr>
        <w:spacing w:after="0" w:line="90" w:lineRule="exact"/>
        <w:rPr>
          <w:rFonts w:ascii="Arial" w:cs="Arial" w:eastAsia="Arial" w:hAnsi="Arial"/>
          <w:sz w:val="17"/>
          <w:szCs w:val="17"/>
          <w:color w:val="auto"/>
        </w:rPr>
      </w:pPr>
    </w:p>
    <w:p>
      <w:pPr>
        <w:ind w:left="1100" w:right="300" w:hanging="205"/>
        <w:spacing w:after="0" w:line="258" w:lineRule="auto"/>
        <w:tabs>
          <w:tab w:leader="none" w:pos="11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seek strategic alliances for research and development programs when we otherwise would not, or at an earlier stage than we would otherwise desire or on terms less favorable than might otherwise be available; or</w:t>
      </w:r>
    </w:p>
    <w:p>
      <w:pPr>
        <w:spacing w:after="0" w:line="90" w:lineRule="exact"/>
        <w:rPr>
          <w:rFonts w:ascii="Arial" w:cs="Arial" w:eastAsia="Arial" w:hAnsi="Arial"/>
          <w:sz w:val="17"/>
          <w:szCs w:val="17"/>
          <w:color w:val="auto"/>
        </w:rPr>
      </w:pPr>
    </w:p>
    <w:p>
      <w:pPr>
        <w:ind w:left="1100" w:right="40" w:hanging="205"/>
        <w:spacing w:after="0" w:line="258" w:lineRule="auto"/>
        <w:tabs>
          <w:tab w:leader="none" w:pos="11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relinquish, or license on unfavorable terms, our rights to technologies or any product candidates that we otherwise would seek to develop or commercialize ourselves.</w:t>
      </w:r>
    </w:p>
    <w:p>
      <w:pPr>
        <w:spacing w:after="0" w:line="182" w:lineRule="exact"/>
        <w:rPr>
          <w:sz w:val="20"/>
          <w:szCs w:val="20"/>
          <w:color w:val="auto"/>
        </w:rPr>
      </w:pPr>
    </w:p>
    <w:p>
      <w:pPr>
        <w:ind w:left="380" w:right="240" w:firstLine="534"/>
        <w:spacing w:after="0" w:line="258" w:lineRule="auto"/>
        <w:rPr>
          <w:sz w:val="20"/>
          <w:szCs w:val="20"/>
          <w:color w:val="auto"/>
        </w:rPr>
      </w:pPr>
      <w:r>
        <w:rPr>
          <w:rFonts w:ascii="Arial" w:cs="Arial" w:eastAsia="Arial" w:hAnsi="Arial"/>
          <w:sz w:val="17"/>
          <w:szCs w:val="17"/>
          <w:color w:val="auto"/>
        </w:rPr>
        <w:t>If we need to conduct additional fundraising activities, but are unable to do so, we may be prevented from pursuing development and commercialization efforts, which will have a material adverse effect on our business, operating results and prospects.</w:t>
      </w:r>
    </w:p>
    <w:p>
      <w:pPr>
        <w:spacing w:after="0" w:line="182" w:lineRule="exact"/>
        <w:rPr>
          <w:sz w:val="20"/>
          <w:szCs w:val="20"/>
          <w:color w:val="auto"/>
        </w:rPr>
      </w:pPr>
    </w:p>
    <w:p>
      <w:pPr>
        <w:ind w:left="380" w:right="120" w:firstLine="534"/>
        <w:spacing w:after="0" w:line="247" w:lineRule="auto"/>
        <w:rPr>
          <w:sz w:val="20"/>
          <w:szCs w:val="20"/>
          <w:color w:val="auto"/>
        </w:rPr>
      </w:pPr>
      <w:r>
        <w:rPr>
          <w:rFonts w:ascii="Arial" w:cs="Arial" w:eastAsia="Arial" w:hAnsi="Arial"/>
          <w:sz w:val="17"/>
          <w:szCs w:val="17"/>
          <w:color w:val="auto"/>
        </w:rPr>
        <w:t>To the extent we obtain additional funding through product collaborations, these arrangements would generally require us to relinquish rights to some of our technologies, product candidates or products, and we may not be able to enter into such agreements, on acceptable terms, if at all. If we are unable to obtain additional funding on a timely basis, we may be required to curtail or terminate some or all of our development programs or product candidates.</w:t>
      </w:r>
    </w:p>
    <w:p>
      <w:pPr>
        <w:spacing w:after="0" w:line="275" w:lineRule="exact"/>
        <w:rPr>
          <w:sz w:val="20"/>
          <w:szCs w:val="20"/>
          <w:color w:val="auto"/>
        </w:rPr>
      </w:pPr>
    </w:p>
    <w:p>
      <w:pPr>
        <w:ind w:left="380" w:right="340"/>
        <w:spacing w:after="0" w:line="262" w:lineRule="auto"/>
        <w:rPr>
          <w:sz w:val="20"/>
          <w:szCs w:val="20"/>
          <w:color w:val="auto"/>
        </w:rPr>
      </w:pPr>
      <w:r>
        <w:rPr>
          <w:rFonts w:ascii="Arial" w:cs="Arial" w:eastAsia="Arial" w:hAnsi="Arial"/>
          <w:sz w:val="17"/>
          <w:szCs w:val="17"/>
          <w:b w:val="1"/>
          <w:bCs w:val="1"/>
          <w:i w:val="1"/>
          <w:iCs w:val="1"/>
          <w:color w:val="auto"/>
        </w:rPr>
        <w:t>We plan to use current year operating losses and our federal and state net operating loss, or NOL, carryforwards to offset taxable income from revenue generated from operations including corporate collaborations. However, our ability to use NOL carryforwards could be limited.</w:t>
      </w:r>
    </w:p>
    <w:p>
      <w:pPr>
        <w:spacing w:after="0" w:line="74" w:lineRule="exact"/>
        <w:rPr>
          <w:sz w:val="20"/>
          <w:szCs w:val="20"/>
          <w:color w:val="auto"/>
        </w:rPr>
      </w:pPr>
    </w:p>
    <w:p>
      <w:pPr>
        <w:ind w:left="380" w:right="60" w:firstLine="534"/>
        <w:spacing w:after="0" w:line="244" w:lineRule="auto"/>
        <w:rPr>
          <w:sz w:val="20"/>
          <w:szCs w:val="20"/>
          <w:color w:val="auto"/>
        </w:rPr>
      </w:pPr>
      <w:r>
        <w:rPr>
          <w:rFonts w:ascii="Arial" w:cs="Arial" w:eastAsia="Arial" w:hAnsi="Arial"/>
          <w:sz w:val="17"/>
          <w:szCs w:val="17"/>
          <w:color w:val="auto"/>
        </w:rPr>
        <w:t>We plan to use our current year operating losses to offset taxable income from any revenue generated from operations, including corporate collaborations. To the extent that our taxable income exceeds any current year operating losses, we plan to use our NOL carryforwards to offset income that would otherwise be taxable. However, under Section 382 of the U.S. Internal Revenue Code of 1986, as amended, the amount of benefits from our NOL carryforwards may be impaired or limited if we incur a cumulative ownership change of more than 50%, as interpreted by the U.S. Internal Revenue Service, over a three-year period. We may have experienced ownership changes in the past and may experience ownership changes in the future as a result of this offering and subsequent shifts in our</w:t>
      </w:r>
    </w:p>
    <w:p>
      <w:pPr>
        <w:spacing w:after="0" w:line="13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040"/>
          </w:cols>
          <w:pgMar w:left="240" w:top="449" w:right="61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140"/>
        <w:spacing w:after="0" w:line="250" w:lineRule="auto"/>
        <w:rPr>
          <w:sz w:val="20"/>
          <w:szCs w:val="20"/>
          <w:color w:val="auto"/>
        </w:rPr>
      </w:pPr>
      <w:r>
        <w:rPr>
          <w:rFonts w:ascii="Arial" w:cs="Arial" w:eastAsia="Arial" w:hAnsi="Arial"/>
          <w:sz w:val="17"/>
          <w:szCs w:val="17"/>
          <w:color w:val="auto"/>
        </w:rPr>
        <w:t>stock ownership, some of which are outside our control. As a result, our use of federal NOL carryforwards could be limited. State NOL carryforwards may be similarly limited. Any such disallowances may result in greater tax liabilities than we would incur in the absence of such a limitation and any increased liabilities could adversely affect our business, results of operations, financial position and cash flows.</w:t>
      </w:r>
    </w:p>
    <w:p>
      <w:pPr>
        <w:spacing w:after="0" w:line="271"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212" w:lineRule="exact"/>
        <w:rPr>
          <w:sz w:val="20"/>
          <w:szCs w:val="20"/>
          <w:color w:val="auto"/>
        </w:rPr>
      </w:pPr>
    </w:p>
    <w:p>
      <w:pPr>
        <w:ind w:left="380" w:right="980"/>
        <w:spacing w:after="0" w:line="283" w:lineRule="auto"/>
        <w:rPr>
          <w:sz w:val="20"/>
          <w:szCs w:val="20"/>
          <w:color w:val="auto"/>
        </w:rPr>
      </w:pPr>
      <w:r>
        <w:rPr>
          <w:rFonts w:ascii="Arial" w:cs="Arial" w:eastAsia="Arial" w:hAnsi="Arial"/>
          <w:sz w:val="17"/>
          <w:szCs w:val="17"/>
          <w:b w:val="1"/>
          <w:bCs w:val="1"/>
          <w:i w:val="1"/>
          <w:iCs w:val="1"/>
          <w:color w:val="auto"/>
        </w:rPr>
        <w:t>Our product candidates must undergo rigorous clinical trials and regulatory approvals, which could delay or prevent commercialization of our product candidates.</w:t>
      </w:r>
    </w:p>
    <w:p>
      <w:pPr>
        <w:spacing w:after="0" w:line="57" w:lineRule="exact"/>
        <w:rPr>
          <w:sz w:val="20"/>
          <w:szCs w:val="20"/>
          <w:color w:val="auto"/>
        </w:rPr>
      </w:pPr>
    </w:p>
    <w:p>
      <w:pPr>
        <w:jc w:val="both"/>
        <w:ind w:left="380" w:right="220" w:firstLine="534"/>
        <w:spacing w:after="0" w:line="250" w:lineRule="auto"/>
        <w:rPr>
          <w:sz w:val="20"/>
          <w:szCs w:val="20"/>
          <w:color w:val="auto"/>
        </w:rPr>
      </w:pPr>
      <w:r>
        <w:rPr>
          <w:rFonts w:ascii="Arial" w:cs="Arial" w:eastAsia="Arial" w:hAnsi="Arial"/>
          <w:sz w:val="17"/>
          <w:szCs w:val="17"/>
          <w:color w:val="auto"/>
        </w:rPr>
        <w:t>All of our product candidates will be subject to rigorous and extensive clinical trials and extensive regulatory approval processes implemented by the FDA and similar regulatory bodies in other countries. The approval process is typically lengthy and expensive, and approval is never certain. We or our collaborator, if any, may delay, suspend or terminate clinical trials at any time for reasons including:</w:t>
      </w:r>
    </w:p>
    <w:p>
      <w:pPr>
        <w:spacing w:after="0" w:line="96" w:lineRule="exact"/>
        <w:rPr>
          <w:sz w:val="20"/>
          <w:szCs w:val="20"/>
          <w:color w:val="auto"/>
        </w:rPr>
      </w:pPr>
    </w:p>
    <w:p>
      <w:pPr>
        <w:ind w:left="1100" w:hanging="205"/>
        <w:spacing w:after="0"/>
        <w:tabs>
          <w:tab w:leader="none" w:pos="11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ongoing discussions with the FDA or comparable foreign authorities regarding the scope or design of our clinical trials;</w:t>
      </w:r>
    </w:p>
    <w:p>
      <w:pPr>
        <w:spacing w:after="0" w:line="118" w:lineRule="exact"/>
        <w:rPr>
          <w:rFonts w:ascii="Arial" w:cs="Arial" w:eastAsia="Arial" w:hAnsi="Arial"/>
          <w:sz w:val="17"/>
          <w:szCs w:val="17"/>
          <w:color w:val="auto"/>
        </w:rPr>
      </w:pPr>
    </w:p>
    <w:p>
      <w:pPr>
        <w:ind w:left="1100" w:right="320" w:hanging="205"/>
        <w:spacing w:after="0" w:line="258" w:lineRule="auto"/>
        <w:tabs>
          <w:tab w:leader="none" w:pos="11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delays in obtaining, or the inability to obtain, required approvals from institutional review boards or other governing entities at clinical sites selected for participation in our clinical trials;</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delays in enrolling participants into clinical trials;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lower than anticipated retention rates of participants in clinical trials;</w:t>
      </w:r>
    </w:p>
    <w:p>
      <w:pPr>
        <w:spacing w:after="0" w:line="118" w:lineRule="exact"/>
        <w:rPr>
          <w:rFonts w:ascii="Arial" w:cs="Arial" w:eastAsia="Arial" w:hAnsi="Arial"/>
          <w:sz w:val="17"/>
          <w:szCs w:val="17"/>
          <w:color w:val="auto"/>
        </w:rPr>
      </w:pPr>
    </w:p>
    <w:p>
      <w:pPr>
        <w:ind w:left="1100" w:hanging="205"/>
        <w:spacing w:after="0" w:line="250" w:lineRule="auto"/>
        <w:tabs>
          <w:tab w:leader="none" w:pos="11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implementation of new, or changes to, guidance or interpretations from the FDA or comparable foreign authorities with respect to approval pathways for product candidates we are pursuing, such as draft guidance documents from the FDA and EMA for the development of NASH that issued in 2018;</w:t>
      </w:r>
    </w:p>
    <w:p>
      <w:pPr>
        <w:spacing w:after="0" w:line="96" w:lineRule="exact"/>
        <w:rPr>
          <w:rFonts w:ascii="Arial" w:cs="Arial" w:eastAsia="Arial" w:hAnsi="Arial"/>
          <w:sz w:val="17"/>
          <w:szCs w:val="17"/>
          <w:color w:val="auto"/>
        </w:rPr>
      </w:pPr>
    </w:p>
    <w:p>
      <w:pPr>
        <w:ind w:left="1100" w:right="160" w:hanging="205"/>
        <w:spacing w:after="0" w:line="258" w:lineRule="auto"/>
        <w:tabs>
          <w:tab w:leader="none" w:pos="11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need to repeat clinical trials as a result of inconclusive or negative results or poorly executed testing or changes in required endpoints by the FDA or comparable foreign authorities;</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insufficient supply or deficient quality of product candidate materials or other materials necessary to conduct our clinical trials;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unfavorable FDA inspection and review of a clinical trial site or records of any clinical or preclinical investigation;</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serious and unexpected drug-related adverse effects experienced by participants in our clinical trials; or</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placement of a clinical hold on a trial by the FDA or comparable foreign authorities.</w:t>
      </w:r>
    </w:p>
    <w:p>
      <w:pPr>
        <w:spacing w:after="0" w:line="210" w:lineRule="exact"/>
        <w:rPr>
          <w:sz w:val="20"/>
          <w:szCs w:val="20"/>
          <w:color w:val="auto"/>
        </w:rPr>
      </w:pPr>
    </w:p>
    <w:p>
      <w:pPr>
        <w:ind w:left="380" w:right="60" w:firstLine="534"/>
        <w:spacing w:after="0" w:line="247" w:lineRule="auto"/>
        <w:rPr>
          <w:sz w:val="20"/>
          <w:szCs w:val="20"/>
          <w:color w:val="auto"/>
        </w:rPr>
      </w:pPr>
      <w:r>
        <w:rPr>
          <w:rFonts w:ascii="Arial" w:cs="Arial" w:eastAsia="Arial" w:hAnsi="Arial"/>
          <w:sz w:val="17"/>
          <w:szCs w:val="17"/>
          <w:color w:val="auto"/>
        </w:rPr>
        <w:t>Positive or timely results from preclinical studies and early clinical trials do not ensure positive or timely results in late-stage clinical trials or product approval by the FDA or any other regulatory authority. Product candidates that show positive preclinical or early clinical results often fail in later stage clinical trials. Data obtained from preclinical and clinical activities is susceptible to varying interpretations, which could delay, limit or prevent regulatory approvals.</w:t>
      </w:r>
    </w:p>
    <w:p>
      <w:pPr>
        <w:spacing w:after="0" w:line="190" w:lineRule="exact"/>
        <w:rPr>
          <w:sz w:val="20"/>
          <w:szCs w:val="20"/>
          <w:color w:val="auto"/>
        </w:rPr>
      </w:pPr>
    </w:p>
    <w:p>
      <w:pPr>
        <w:ind w:left="380" w:right="160" w:firstLine="534"/>
        <w:spacing w:after="0" w:line="250" w:lineRule="auto"/>
        <w:rPr>
          <w:sz w:val="20"/>
          <w:szCs w:val="20"/>
          <w:color w:val="auto"/>
        </w:rPr>
      </w:pPr>
      <w:r>
        <w:rPr>
          <w:rFonts w:ascii="Arial" w:cs="Arial" w:eastAsia="Arial" w:hAnsi="Arial"/>
          <w:sz w:val="17"/>
          <w:szCs w:val="17"/>
          <w:color w:val="auto"/>
        </w:rPr>
        <w:t>We have no experience in conducting the late-stage clinical trials required to obtain regulatory approval. We may not be able to conduct clinical trials at preferred sites, enlist clinical investigators, enroll sufficient numbers of participants or begin or successfully complete clinical trials in a timely fashion, if at all. Our current clinical trials may be insufficient to demonstrate that our potential products</w:t>
      </w:r>
    </w:p>
    <w:p>
      <w:pPr>
        <w:spacing w:after="0" w:line="12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020"/>
          </w:cols>
          <w:pgMar w:left="240" w:top="449" w:right="6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220"/>
        <w:spacing w:after="0" w:line="250" w:lineRule="auto"/>
        <w:rPr>
          <w:sz w:val="20"/>
          <w:szCs w:val="20"/>
          <w:color w:val="auto"/>
        </w:rPr>
      </w:pPr>
      <w:r>
        <w:rPr>
          <w:rFonts w:ascii="Arial" w:cs="Arial" w:eastAsia="Arial" w:hAnsi="Arial"/>
          <w:sz w:val="17"/>
          <w:szCs w:val="17"/>
          <w:color w:val="auto"/>
        </w:rPr>
        <w:t>will be active, safe or effective. Additional clinical trials may be required if clinical trial results are negative or inconclusive, which will require us to incur additional costs and significant delays. If we do not receive the necessary regulatory approvals, we will not be able to generate product revenue and may not become profitable.</w:t>
      </w:r>
    </w:p>
    <w:p>
      <w:pPr>
        <w:spacing w:after="0" w:line="273" w:lineRule="exact"/>
        <w:rPr>
          <w:sz w:val="20"/>
          <w:szCs w:val="20"/>
          <w:color w:val="auto"/>
        </w:rPr>
      </w:pPr>
    </w:p>
    <w:p>
      <w:pPr>
        <w:jc w:val="both"/>
        <w:ind w:left="380" w:right="220"/>
        <w:spacing w:after="0" w:line="262" w:lineRule="auto"/>
        <w:rPr>
          <w:sz w:val="20"/>
          <w:szCs w:val="20"/>
          <w:color w:val="auto"/>
        </w:rPr>
      </w:pPr>
      <w:r>
        <w:rPr>
          <w:rFonts w:ascii="Arial" w:cs="Arial" w:eastAsia="Arial" w:hAnsi="Arial"/>
          <w:sz w:val="17"/>
          <w:szCs w:val="17"/>
          <w:b w:val="1"/>
          <w:bCs w:val="1"/>
          <w:i w:val="1"/>
          <w:iCs w:val="1"/>
          <w:color w:val="auto"/>
        </w:rPr>
        <w:t>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74"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Before obtaining marketing approval from regulatory authorities for the sale of future product candidates, we or our partners must conduct extensive preclinical studies and clinical trials to demonstrate the safety and efficacy of the product candidates in humans. Preclinical studies and clinical trials are expensive, will take several years to complete and may not yield results that support further clinical development or product approvals. A failure of one or more clinical trials can occur at any stage of testing.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trials.</w:t>
      </w:r>
    </w:p>
    <w:p>
      <w:pPr>
        <w:spacing w:after="0" w:line="193" w:lineRule="exact"/>
        <w:rPr>
          <w:sz w:val="20"/>
          <w:szCs w:val="20"/>
          <w:color w:val="auto"/>
        </w:rPr>
      </w:pPr>
    </w:p>
    <w:p>
      <w:pPr>
        <w:ind w:left="380" w:right="60" w:firstLine="534"/>
        <w:spacing w:after="0" w:line="243" w:lineRule="auto"/>
        <w:rPr>
          <w:sz w:val="20"/>
          <w:szCs w:val="20"/>
          <w:color w:val="auto"/>
        </w:rPr>
      </w:pPr>
      <w:r>
        <w:rPr>
          <w:rFonts w:ascii="Arial" w:cs="Arial" w:eastAsia="Arial" w:hAnsi="Arial"/>
          <w:sz w:val="17"/>
          <w:szCs w:val="17"/>
          <w:color w:val="auto"/>
        </w:rPr>
        <w:t>To date, the data supporting our drug discovery and development programs are derived from laboratory and preclinical studies and earlier-stage clinical trials. Despite the results reported in our Phase 1 and 2 clinical trials for NGM282, in Phase 1 clinical trials for NGM313 and in preclinical studies for our other product candidates, future clinical trials in humans may show that one or more of our product candidates are not safe and effective, in which event we may need to abandon development of such product candidates. It is impossible to predict when or if any of our product candidates will prove effective or safe in humans or will receive regulatory approval. Owing in part to the complexity of biological pathways, these compounds might not demonstrate in patients the biochemical and pharmacological properties we anticipate based on laboratory studies or earlier-stage clinical trials, and they may interact with human biological systems or other drugs in unforeseen, ineffective or harmful ways.</w:t>
      </w:r>
    </w:p>
    <w:p>
      <w:pPr>
        <w:spacing w:after="0" w:line="198" w:lineRule="exact"/>
        <w:rPr>
          <w:sz w:val="20"/>
          <w:szCs w:val="20"/>
          <w:color w:val="auto"/>
        </w:rPr>
      </w:pPr>
    </w:p>
    <w:p>
      <w:pPr>
        <w:ind w:left="380" w:right="60" w:firstLine="534"/>
        <w:spacing w:after="0" w:line="244" w:lineRule="auto"/>
        <w:rPr>
          <w:sz w:val="20"/>
          <w:szCs w:val="20"/>
          <w:color w:val="auto"/>
        </w:rPr>
      </w:pPr>
      <w:r>
        <w:rPr>
          <w:rFonts w:ascii="Arial" w:cs="Arial" w:eastAsia="Arial" w:hAnsi="Arial"/>
          <w:sz w:val="17"/>
          <w:szCs w:val="17"/>
          <w:color w:val="auto"/>
        </w:rPr>
        <w:t>Further, we expect that our current product candidates will, and future product candidates may, require chronic administration. The need for chronic administration increases the risk that participants in our clinical trials will fail to comply with our dosing regimens. If participants fail to comply, we may not be able to generate clinical data acceptable to the FDA in our trials. The need for chronic administration also increases the risk that our clinical drug development programs may not uncover all possible adverse events that patients who take our products may eventually experience. The number of patients exposed to our product treatments and the average exposure time in the clinical development programs may be inadequate to detect rare adverse events or chance findings that may only be detected once our products are administered to more patients and for greater periods of time.</w:t>
      </w:r>
    </w:p>
    <w:p>
      <w:pPr>
        <w:spacing w:after="0" w:line="193" w:lineRule="exact"/>
        <w:rPr>
          <w:sz w:val="20"/>
          <w:szCs w:val="20"/>
          <w:color w:val="auto"/>
        </w:rPr>
      </w:pPr>
    </w:p>
    <w:p>
      <w:pPr>
        <w:ind w:left="380" w:right="260" w:firstLine="534"/>
        <w:spacing w:after="0" w:line="258" w:lineRule="auto"/>
        <w:rPr>
          <w:sz w:val="20"/>
          <w:szCs w:val="20"/>
          <w:color w:val="auto"/>
        </w:rPr>
      </w:pPr>
      <w:r>
        <w:rPr>
          <w:rFonts w:ascii="Arial" w:cs="Arial" w:eastAsia="Arial" w:hAnsi="Arial"/>
          <w:sz w:val="17"/>
          <w:szCs w:val="17"/>
          <w:color w:val="auto"/>
        </w:rPr>
        <w:t>If we are unable to successfully discover, develop or enable our partners to develop drugs that are effective and safe in humans, we will not have a viable business.</w:t>
      </w:r>
    </w:p>
    <w:p>
      <w:pPr>
        <w:spacing w:after="0" w:line="267" w:lineRule="exact"/>
        <w:rPr>
          <w:sz w:val="20"/>
          <w:szCs w:val="20"/>
          <w:color w:val="auto"/>
        </w:rPr>
      </w:pPr>
    </w:p>
    <w:p>
      <w:pPr>
        <w:ind w:left="380"/>
        <w:spacing w:after="0" w:line="283" w:lineRule="auto"/>
        <w:rPr>
          <w:sz w:val="20"/>
          <w:szCs w:val="20"/>
          <w:color w:val="auto"/>
        </w:rPr>
      </w:pPr>
      <w:r>
        <w:rPr>
          <w:rFonts w:ascii="Arial" w:cs="Arial" w:eastAsia="Arial" w:hAnsi="Arial"/>
          <w:sz w:val="17"/>
          <w:szCs w:val="17"/>
          <w:b w:val="1"/>
          <w:bCs w:val="1"/>
          <w:i w:val="1"/>
          <w:iCs w:val="1"/>
          <w:color w:val="auto"/>
        </w:rPr>
        <w:t>The Phase 2 clinical trial of NGM282 that has produced NASH histology data is ongoing, and the clinical data produced to date is preliminary and has not been subjected to quality control procedures.</w:t>
      </w:r>
    </w:p>
    <w:p>
      <w:pPr>
        <w:spacing w:after="0" w:line="57" w:lineRule="exact"/>
        <w:rPr>
          <w:sz w:val="20"/>
          <w:szCs w:val="20"/>
          <w:color w:val="auto"/>
        </w:rPr>
      </w:pPr>
    </w:p>
    <w:p>
      <w:pPr>
        <w:ind w:left="380" w:right="600" w:firstLine="534"/>
        <w:spacing w:after="0" w:line="258" w:lineRule="auto"/>
        <w:rPr>
          <w:sz w:val="20"/>
          <w:szCs w:val="20"/>
          <w:color w:val="auto"/>
        </w:rPr>
      </w:pPr>
      <w:r>
        <w:rPr>
          <w:rFonts w:ascii="Arial" w:cs="Arial" w:eastAsia="Arial" w:hAnsi="Arial"/>
          <w:sz w:val="17"/>
          <w:szCs w:val="17"/>
          <w:color w:val="auto"/>
        </w:rPr>
        <w:t>We have an ongoing, Phase 2 clinical trial of NGM282 in NASH. Until the final cohort of the NGM282 Phase 2 clinical trial is completed, we are unable to perform typical quality control procedures</w:t>
      </w:r>
    </w:p>
    <w:p>
      <w:pPr>
        <w:spacing w:after="0" w:line="1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040"/>
          </w:cols>
          <w:pgMar w:left="240" w:top="449" w:right="61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40"/>
        <w:spacing w:after="0" w:line="245" w:lineRule="auto"/>
        <w:rPr>
          <w:sz w:val="20"/>
          <w:szCs w:val="20"/>
          <w:color w:val="auto"/>
        </w:rPr>
      </w:pPr>
      <w:r>
        <w:rPr>
          <w:rFonts w:ascii="Arial" w:cs="Arial" w:eastAsia="Arial" w:hAnsi="Arial"/>
          <w:sz w:val="17"/>
          <w:szCs w:val="17"/>
          <w:color w:val="auto"/>
        </w:rPr>
        <w:t>on the data produced in this trial to ensure its accuracy. While we believe the data available to date is accurate, until such time as the final quality control procedures are performed it should be regarded as preliminary. Differences between preliminary data and final data may lead us to make different operational decisions regarding or incur additional expenses for the development of NGM282 than we otherwise would if final data was available. Additionally, our business and prospects depend on the development of this program, and if final data is less promising than the preliminary data suggests, our business and prospects could be adversely affected.</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Success in preclinical studies or earlier-stage clinical trials may not be indicative of results in future clinical trials.</w:t>
      </w:r>
    </w:p>
    <w:p>
      <w:pPr>
        <w:spacing w:after="0" w:line="126" w:lineRule="exact"/>
        <w:rPr>
          <w:sz w:val="20"/>
          <w:szCs w:val="20"/>
          <w:color w:val="auto"/>
        </w:rPr>
      </w:pPr>
    </w:p>
    <w:p>
      <w:pPr>
        <w:ind w:left="380" w:right="20" w:firstLine="534"/>
        <w:spacing w:after="0" w:line="242" w:lineRule="auto"/>
        <w:rPr>
          <w:sz w:val="20"/>
          <w:szCs w:val="20"/>
          <w:color w:val="auto"/>
        </w:rPr>
      </w:pPr>
      <w:r>
        <w:rPr>
          <w:rFonts w:ascii="Arial" w:cs="Arial" w:eastAsia="Arial" w:hAnsi="Arial"/>
          <w:sz w:val="17"/>
          <w:szCs w:val="17"/>
          <w:color w:val="auto"/>
        </w:rPr>
        <w:t>Success in preclinical studies and earlier-stage clinical trials does not ensure that later clinical trials will generate the same results or otherwise provide adequate data to demonstrate the effectiveness and safety of our product candidates. Frequently, product candidates that have shown promising results in early clinical trials have subsequently suffered significant setbacks in later clinical trials. To date, some of our clinical trials have involved small patient populations and, because of the small sample size in such trials, the results of these clinical trials may be subject to substantial variability and may not be indicative of either future interim results or final results. In addition, the design of a clinical trial can determine whether its results will support approval of a product, and flaws in the design of a clinical trial may not become apparent until the clinical trial is well advanced. Because we have limited experience designing clinical trials, we may be unable to design and execute a clinical trial to support regulatory approval. In addition, there is a high failure rate for drugs and biologic products proceeding through clinical trials. In fact, many companies in the pharmaceutical and biotechnology industries have suffered significant setbacks in late-stage clinical trials even after achieving promising results in preclinical studies and earlier-stage clinical trials. Similarly, the outcome of preclinical studies may not predict the success of clinical trials. Moreover, data obtained from preclinical and clinical activities is subject to varying interpretations, which may delay, limit or prevent regulatory approval. In addition, we may experience regulatory delays or rejections as a result of many factors, including due to changes in regulatory policy during the period of our product candidate development. Any such delays could negatively impact our business, financial condition, results of operations and prospects.</w:t>
      </w:r>
    </w:p>
    <w:p>
      <w:pPr>
        <w:spacing w:after="0" w:line="285" w:lineRule="exact"/>
        <w:rPr>
          <w:sz w:val="20"/>
          <w:szCs w:val="20"/>
          <w:color w:val="auto"/>
        </w:rPr>
      </w:pPr>
    </w:p>
    <w:p>
      <w:pPr>
        <w:ind w:left="380"/>
        <w:spacing w:after="0" w:line="283" w:lineRule="auto"/>
        <w:rPr>
          <w:sz w:val="20"/>
          <w:szCs w:val="20"/>
          <w:color w:val="auto"/>
        </w:rPr>
      </w:pPr>
      <w:r>
        <w:rPr>
          <w:rFonts w:ascii="Arial" w:cs="Arial" w:eastAsia="Arial" w:hAnsi="Arial"/>
          <w:sz w:val="17"/>
          <w:szCs w:val="17"/>
          <w:b w:val="1"/>
          <w:bCs w:val="1"/>
          <w:i w:val="1"/>
          <w:iCs w:val="1"/>
          <w:color w:val="auto"/>
        </w:rPr>
        <w:t>If we experience delays in clinical testing, we will be delayed in commercializing our product candidates, our costs may increase and our business may be harmed.</w:t>
      </w:r>
    </w:p>
    <w:p>
      <w:pPr>
        <w:spacing w:after="0" w:line="57"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Conducting clinical studies for any of our drug candidates for approval in the United States requires filing an IND application and reaching agreement with the FDA on clinical protocols, finding appropriate clinical sites and clinical investigators, securing approvals for such studies from the institutional review board at each such site, manufacturing clinical quantities of drug candidates and supplying drug product to clinical sites. Currently, we have multiple active INDs with the FDA in the United States, including for NGM282 for NASH and PBC, an active Clinical Trials Notification, or CTN, in Australia for NGM120 and an active Clinical Trial Authorisation in the United Kingdom from the Medicines and Healthcare Products Regulatory Agency for NGM217 for diabetes.</w:t>
      </w:r>
    </w:p>
    <w:p>
      <w:pPr>
        <w:spacing w:after="0" w:line="196" w:lineRule="exact"/>
        <w:rPr>
          <w:sz w:val="20"/>
          <w:szCs w:val="20"/>
          <w:color w:val="auto"/>
        </w:rPr>
      </w:pPr>
    </w:p>
    <w:p>
      <w:pPr>
        <w:ind w:left="380" w:right="260" w:firstLine="534"/>
        <w:spacing w:after="0" w:line="244" w:lineRule="auto"/>
        <w:rPr>
          <w:sz w:val="20"/>
          <w:szCs w:val="20"/>
          <w:color w:val="auto"/>
        </w:rPr>
      </w:pPr>
      <w:r>
        <w:rPr>
          <w:rFonts w:ascii="Arial" w:cs="Arial" w:eastAsia="Arial" w:hAnsi="Arial"/>
          <w:sz w:val="17"/>
          <w:szCs w:val="17"/>
          <w:color w:val="auto"/>
        </w:rPr>
        <w:t>We cannot guarantee that we will be able to successfully accomplish required regulatory activities or all of the other activities necessary to initiate and complete clinical trials. As a result, our preclinical studies and clinical trials may be extended, delayed or terminated, and we may be unable to obtain regulatory approvals or successfully commercialize our products. We do not know whether any other clinical trials will begin as planned, will need to be restructured or will be completed on schedule, or at all. Our product development costs will increase if we experience delays in clinical testing. Significant clinical trial delays also could shorten any periods during which we may have the exclusive right to commercialize our product candidates or allow our competitors to bring products to market before we</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040"/>
          </w:cols>
          <w:pgMar w:left="240" w:top="449" w:right="61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spacing w:after="0" w:line="258" w:lineRule="auto"/>
        <w:rPr>
          <w:sz w:val="20"/>
          <w:szCs w:val="20"/>
          <w:color w:val="auto"/>
        </w:rPr>
      </w:pPr>
      <w:r>
        <w:rPr>
          <w:rFonts w:ascii="Arial" w:cs="Arial" w:eastAsia="Arial" w:hAnsi="Arial"/>
          <w:sz w:val="17"/>
          <w:szCs w:val="17"/>
          <w:color w:val="auto"/>
        </w:rPr>
        <w:t>do, which would impair our ability to successfully commercialize our product candidates and may harm our business, results of operations and prospects. Events that may result in a delay or unsuccessful completion of clinical development include:</w:t>
      </w:r>
    </w:p>
    <w:p>
      <w:pPr>
        <w:spacing w:after="0" w:line="90" w:lineRule="exact"/>
        <w:rPr>
          <w:sz w:val="20"/>
          <w:szCs w:val="20"/>
          <w:color w:val="auto"/>
        </w:rPr>
      </w:pPr>
    </w:p>
    <w:p>
      <w:pPr>
        <w:ind w:left="1100" w:right="120" w:hanging="205"/>
        <w:spacing w:after="0" w:line="258" w:lineRule="auto"/>
        <w:tabs>
          <w:tab w:leader="none" w:pos="11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delays in reaching agreement on acceptable terms with prospective contract research organizations, or CROs, and clinical trial sites;</w:t>
      </w:r>
    </w:p>
    <w:p>
      <w:pPr>
        <w:spacing w:after="0" w:line="90" w:lineRule="exact"/>
        <w:rPr>
          <w:rFonts w:ascii="Arial" w:cs="Arial" w:eastAsia="Arial" w:hAnsi="Arial"/>
          <w:sz w:val="17"/>
          <w:szCs w:val="17"/>
          <w:color w:val="auto"/>
        </w:rPr>
      </w:pPr>
    </w:p>
    <w:p>
      <w:pPr>
        <w:ind w:left="1100" w:right="820" w:hanging="205"/>
        <w:spacing w:after="0" w:line="258" w:lineRule="auto"/>
        <w:tabs>
          <w:tab w:leader="none" w:pos="11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FDA comments on ongoing clinical trials and potential regulatory holds imposed if such comments are not adequately addressed;</w:t>
      </w:r>
    </w:p>
    <w:p>
      <w:pPr>
        <w:spacing w:after="0" w:line="90" w:lineRule="exact"/>
        <w:rPr>
          <w:rFonts w:ascii="Arial" w:cs="Arial" w:eastAsia="Arial" w:hAnsi="Arial"/>
          <w:sz w:val="17"/>
          <w:szCs w:val="17"/>
          <w:color w:val="auto"/>
        </w:rPr>
      </w:pPr>
    </w:p>
    <w:p>
      <w:pPr>
        <w:ind w:left="1100" w:right="660" w:hanging="205"/>
        <w:spacing w:after="0" w:line="258" w:lineRule="auto"/>
        <w:tabs>
          <w:tab w:leader="none" w:pos="11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deviations from the trial protocol by clinical trial sites and investigators, or failures to conduct the trial in accordance with regulatory requirements;</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failure of third parties, such as CROs, to satisfy their contractual duties to us or meet expected deadlines;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delays in the testing, validation, manufacturing and delivery of the product candidates to the clinical sites;</w:t>
      </w:r>
    </w:p>
    <w:p>
      <w:pPr>
        <w:spacing w:after="0" w:line="118" w:lineRule="exact"/>
        <w:rPr>
          <w:rFonts w:ascii="Arial" w:cs="Arial" w:eastAsia="Arial" w:hAnsi="Arial"/>
          <w:sz w:val="17"/>
          <w:szCs w:val="17"/>
          <w:color w:val="auto"/>
        </w:rPr>
      </w:pPr>
    </w:p>
    <w:p>
      <w:pPr>
        <w:ind w:left="1100" w:right="480" w:hanging="205"/>
        <w:spacing w:after="0" w:line="258" w:lineRule="auto"/>
        <w:tabs>
          <w:tab w:leader="none" w:pos="11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for clinical trials in selected patient populations, delays in identification and auditing of central or other laboratories and the transfer and validation of assays or tests to be used to identify selected patients;</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delays in patients completing a trial or returning for post-treatment follow-up;</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delays caused by patients dropping out of a trial due to side effects or disease progression;</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demonstration of a significant adverse safety or tolerability signal limiting the utility of the therapeutic candidate;</w:t>
      </w:r>
    </w:p>
    <w:p>
      <w:pPr>
        <w:spacing w:after="0" w:line="118" w:lineRule="exact"/>
        <w:rPr>
          <w:rFonts w:ascii="Arial" w:cs="Arial" w:eastAsia="Arial" w:hAnsi="Arial"/>
          <w:sz w:val="17"/>
          <w:szCs w:val="17"/>
          <w:color w:val="auto"/>
        </w:rPr>
      </w:pPr>
    </w:p>
    <w:p>
      <w:pPr>
        <w:ind w:left="1100" w:right="20" w:hanging="205"/>
        <w:spacing w:after="0" w:line="258" w:lineRule="auto"/>
        <w:tabs>
          <w:tab w:leader="none" w:pos="11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regulatory authority recommendations or guidance regarding development of drugs for a particular indication that we are pursuing, such as draft guidance documents from the FDA and EMA for the development of NASH that issued in 2018;</w:t>
      </w:r>
    </w:p>
    <w:p>
      <w:pPr>
        <w:spacing w:after="0" w:line="90" w:lineRule="exact"/>
        <w:rPr>
          <w:rFonts w:ascii="Arial" w:cs="Arial" w:eastAsia="Arial" w:hAnsi="Arial"/>
          <w:sz w:val="17"/>
          <w:szCs w:val="17"/>
          <w:color w:val="auto"/>
        </w:rPr>
      </w:pPr>
    </w:p>
    <w:p>
      <w:pPr>
        <w:ind w:left="1100" w:right="460" w:hanging="205"/>
        <w:spacing w:after="0" w:line="258" w:lineRule="auto"/>
        <w:tabs>
          <w:tab w:leader="none" w:pos="11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withdrawal of clinical trial sites from our clinical trials as a result of changing standards of care or the ineligibility of a site to participate in our clinical trials; or</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government regulations or administrative actions or lack of adequate funding to continue the clinical trials.</w:t>
      </w:r>
    </w:p>
    <w:p>
      <w:pPr>
        <w:spacing w:after="0" w:line="210" w:lineRule="exact"/>
        <w:rPr>
          <w:sz w:val="20"/>
          <w:szCs w:val="20"/>
          <w:color w:val="auto"/>
        </w:rPr>
      </w:pPr>
    </w:p>
    <w:p>
      <w:pPr>
        <w:ind w:left="380" w:right="200" w:firstLine="534"/>
        <w:spacing w:after="0" w:line="258" w:lineRule="auto"/>
        <w:rPr>
          <w:sz w:val="20"/>
          <w:szCs w:val="20"/>
          <w:color w:val="auto"/>
        </w:rPr>
      </w:pPr>
      <w:r>
        <w:rPr>
          <w:rFonts w:ascii="Arial" w:cs="Arial" w:eastAsia="Arial" w:hAnsi="Arial"/>
          <w:sz w:val="17"/>
          <w:szCs w:val="17"/>
          <w:color w:val="auto"/>
        </w:rPr>
        <w:t>Our or our partners’ inability to timely complete clinical development could result in additional costs to us or impair our ability to generate product revenue or development, regulatory, commercialization and sales milestone payments and royalties on product sales.</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If we or our partners are unable to enroll patients in clinical trials, we will be unable to complete these trials on a timely basis.</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timely completion of clinical trials largely depends on patient enrollment. Many factors affect patient enrollment, including:</w:t>
      </w:r>
    </w:p>
    <w:p>
      <w:pPr>
        <w:spacing w:after="0" w:line="119" w:lineRule="exact"/>
        <w:rPr>
          <w:sz w:val="20"/>
          <w:szCs w:val="20"/>
          <w:color w:val="auto"/>
        </w:rPr>
      </w:pPr>
    </w:p>
    <w:p>
      <w:pPr>
        <w:ind w:left="1100" w:hanging="205"/>
        <w:spacing w:after="0"/>
        <w:tabs>
          <w:tab w:leader="none" w:pos="11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size and nature of the patient population;</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number and location of clinical sites we enroll;</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competition with other companies for clinical sites or patients;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eligibility and exclusion criteria for the trial;</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design of the clinical trial;</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inability to obtain and maintain patient consents;</w:t>
      </w:r>
    </w:p>
    <w:p>
      <w:pPr>
        <w:spacing w:after="0" w:line="14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980"/>
          </w:cols>
          <w:pgMar w:left="240" w:top="449" w:right="67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1100" w:hanging="205"/>
        <w:spacing w:after="0"/>
        <w:tabs>
          <w:tab w:leader="none" w:pos="11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risk that enrolled participants will drop out before completion; and</w:t>
      </w:r>
    </w:p>
    <w:p>
      <w:pPr>
        <w:spacing w:after="0" w:line="118" w:lineRule="exact"/>
        <w:rPr>
          <w:rFonts w:ascii="Arial" w:cs="Arial" w:eastAsia="Arial" w:hAnsi="Arial"/>
          <w:sz w:val="17"/>
          <w:szCs w:val="17"/>
          <w:color w:val="auto"/>
        </w:rPr>
      </w:pPr>
    </w:p>
    <w:p>
      <w:pPr>
        <w:jc w:val="both"/>
        <w:ind w:left="1100" w:right="440" w:hanging="205"/>
        <w:spacing w:after="0" w:line="258" w:lineRule="auto"/>
        <w:tabs>
          <w:tab w:leader="none" w:pos="11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competing clinical trials and clinicians’ and patients’ perceptions as to the potential advantages of the drug being studied in relation to other available therapies, including any new drugs that may be approved for the indications we are investigating.</w:t>
      </w:r>
    </w:p>
    <w:p>
      <w:pPr>
        <w:spacing w:after="0" w:line="182" w:lineRule="exact"/>
        <w:rPr>
          <w:sz w:val="20"/>
          <w:szCs w:val="20"/>
          <w:color w:val="auto"/>
        </w:rPr>
      </w:pPr>
    </w:p>
    <w:p>
      <w:pPr>
        <w:ind w:left="380" w:right="160" w:firstLine="534"/>
        <w:spacing w:after="0" w:line="258" w:lineRule="auto"/>
        <w:rPr>
          <w:sz w:val="20"/>
          <w:szCs w:val="20"/>
          <w:color w:val="auto"/>
        </w:rPr>
      </w:pPr>
      <w:r>
        <w:rPr>
          <w:rFonts w:ascii="Arial" w:cs="Arial" w:eastAsia="Arial" w:hAnsi="Arial"/>
          <w:sz w:val="17"/>
          <w:szCs w:val="17"/>
          <w:color w:val="auto"/>
        </w:rPr>
        <w:t>In particular, there is significant competition for recruiting NASH patients in clinical trials, and we or our partners may be unable to enroll the patients we need to complete clinical trials on a timely basis, or at all.</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We may not successfully identify, develop or commercialize potential product candidates.</w:t>
      </w:r>
    </w:p>
    <w:p>
      <w:pPr>
        <w:spacing w:after="0" w:line="126" w:lineRule="exact"/>
        <w:rPr>
          <w:sz w:val="20"/>
          <w:szCs w:val="20"/>
          <w:color w:val="auto"/>
        </w:rPr>
      </w:pPr>
    </w:p>
    <w:p>
      <w:pPr>
        <w:jc w:val="both"/>
        <w:ind w:left="380" w:firstLine="534"/>
        <w:spacing w:after="0" w:line="250" w:lineRule="auto"/>
        <w:rPr>
          <w:sz w:val="20"/>
          <w:szCs w:val="20"/>
          <w:color w:val="auto"/>
        </w:rPr>
      </w:pPr>
      <w:r>
        <w:rPr>
          <w:rFonts w:ascii="Arial" w:cs="Arial" w:eastAsia="Arial" w:hAnsi="Arial"/>
          <w:sz w:val="17"/>
          <w:szCs w:val="17"/>
          <w:color w:val="auto"/>
        </w:rPr>
        <w:t>The success of our business depends primarily upon our ability to identify and validate new therapeutic candidates, and to identify, develop and commercialize protein and antibody therapeutics. Our research efforts may initially show promise in discovering potential new protein and antibody therapeutics, yet fail to yield product candidates for clinical development for a number of reasons, including:</w:t>
      </w:r>
    </w:p>
    <w:p>
      <w:pPr>
        <w:spacing w:after="0" w:line="96" w:lineRule="exact"/>
        <w:rPr>
          <w:sz w:val="20"/>
          <w:szCs w:val="20"/>
          <w:color w:val="auto"/>
        </w:rPr>
      </w:pPr>
    </w:p>
    <w:p>
      <w:pPr>
        <w:ind w:left="1100" w:right="140" w:hanging="205"/>
        <w:spacing w:after="0" w:line="258" w:lineRule="auto"/>
        <w:tabs>
          <w:tab w:leader="none" w:pos="11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research methodology may not successfully identify medically-relevant protein or antibody therapeutics or potential product candidates;</w:t>
      </w:r>
    </w:p>
    <w:p>
      <w:pPr>
        <w:spacing w:after="0" w:line="90" w:lineRule="exact"/>
        <w:rPr>
          <w:rFonts w:ascii="Arial" w:cs="Arial" w:eastAsia="Arial" w:hAnsi="Arial"/>
          <w:sz w:val="17"/>
          <w:szCs w:val="17"/>
          <w:color w:val="auto"/>
        </w:rPr>
      </w:pPr>
    </w:p>
    <w:p>
      <w:pPr>
        <w:ind w:left="1100" w:right="100" w:hanging="205"/>
        <w:spacing w:after="0" w:line="258" w:lineRule="auto"/>
        <w:tabs>
          <w:tab w:leader="none" w:pos="11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tend to identify and select from our drug discovery efforts novel, untested proteins in the particular disease indication we are pursuing, which we may fail to validate after further research work;</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need to rely on third parties to generate protein or antibody candidates for some of our product candidate programs;</w:t>
      </w:r>
    </w:p>
    <w:p>
      <w:pPr>
        <w:spacing w:after="0" w:line="118" w:lineRule="exact"/>
        <w:rPr>
          <w:rFonts w:ascii="Arial" w:cs="Arial" w:eastAsia="Arial" w:hAnsi="Arial"/>
          <w:sz w:val="17"/>
          <w:szCs w:val="17"/>
          <w:color w:val="auto"/>
        </w:rPr>
      </w:pPr>
    </w:p>
    <w:p>
      <w:pPr>
        <w:ind w:left="1100" w:right="80" w:hanging="205"/>
        <w:spacing w:after="0" w:line="258" w:lineRule="auto"/>
        <w:tabs>
          <w:tab w:leader="none" w:pos="11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encounter product manufacturing difficulties that limit yield or produce undesirable characteristics that increase the cost of manufacturing our product candidates, cause delays or make the product candidates unmarketable;</w:t>
      </w:r>
    </w:p>
    <w:p>
      <w:pPr>
        <w:spacing w:after="0" w:line="90" w:lineRule="exact"/>
        <w:rPr>
          <w:rFonts w:ascii="Arial" w:cs="Arial" w:eastAsia="Arial" w:hAnsi="Arial"/>
          <w:sz w:val="17"/>
          <w:szCs w:val="17"/>
          <w:color w:val="auto"/>
        </w:rPr>
      </w:pPr>
    </w:p>
    <w:p>
      <w:pPr>
        <w:ind w:left="1100" w:right="140" w:hanging="205"/>
        <w:spacing w:after="0" w:line="258" w:lineRule="auto"/>
        <w:tabs>
          <w:tab w:leader="none" w:pos="11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product candidates may cause adverse effects in patients or subjects, even after successful initial toxicology studies, which may make the product candidates unmarketable;</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product candidates may not demonstrate a meaningful benefit to patients or subjects; and</w:t>
      </w:r>
    </w:p>
    <w:p>
      <w:pPr>
        <w:spacing w:after="0" w:line="118" w:lineRule="exact"/>
        <w:rPr>
          <w:rFonts w:ascii="Arial" w:cs="Arial" w:eastAsia="Arial" w:hAnsi="Arial"/>
          <w:sz w:val="17"/>
          <w:szCs w:val="17"/>
          <w:color w:val="auto"/>
        </w:rPr>
      </w:pPr>
    </w:p>
    <w:p>
      <w:pPr>
        <w:ind w:left="1100" w:right="660" w:hanging="205"/>
        <w:spacing w:after="0" w:line="258" w:lineRule="auto"/>
        <w:tabs>
          <w:tab w:leader="none" w:pos="11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collaboration partners may change their development profiles or plans for potential product candidates or abandon a therapeutic area or the development of a partnered product.</w:t>
      </w:r>
    </w:p>
    <w:p>
      <w:pPr>
        <w:spacing w:after="0" w:line="182" w:lineRule="exact"/>
        <w:rPr>
          <w:sz w:val="20"/>
          <w:szCs w:val="20"/>
          <w:color w:val="auto"/>
        </w:rPr>
      </w:pPr>
    </w:p>
    <w:p>
      <w:pPr>
        <w:ind w:left="380" w:right="100" w:firstLine="534"/>
        <w:spacing w:after="0" w:line="247" w:lineRule="auto"/>
        <w:rPr>
          <w:sz w:val="20"/>
          <w:szCs w:val="20"/>
          <w:color w:val="auto"/>
        </w:rPr>
      </w:pPr>
      <w:r>
        <w:rPr>
          <w:rFonts w:ascii="Arial" w:cs="Arial" w:eastAsia="Arial" w:hAnsi="Arial"/>
          <w:sz w:val="17"/>
          <w:szCs w:val="17"/>
          <w:color w:val="auto"/>
        </w:rPr>
        <w:t>If any of these events occur, we may be forced to abandon our development efforts for one or more programs, which could have a material adverse effect on our business, operating results and prospects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275" w:lineRule="exact"/>
        <w:rPr>
          <w:sz w:val="20"/>
          <w:szCs w:val="20"/>
          <w:color w:val="auto"/>
        </w:rPr>
      </w:pPr>
    </w:p>
    <w:p>
      <w:pPr>
        <w:ind w:left="380" w:right="700"/>
        <w:spacing w:after="0" w:line="283" w:lineRule="auto"/>
        <w:rPr>
          <w:sz w:val="20"/>
          <w:szCs w:val="20"/>
          <w:color w:val="auto"/>
        </w:rPr>
      </w:pPr>
      <w:r>
        <w:rPr>
          <w:rFonts w:ascii="Arial" w:cs="Arial" w:eastAsia="Arial" w:hAnsi="Arial"/>
          <w:sz w:val="17"/>
          <w:szCs w:val="17"/>
          <w:b w:val="1"/>
          <w:bCs w:val="1"/>
          <w:i w:val="1"/>
          <w:iCs w:val="1"/>
          <w:color w:val="auto"/>
        </w:rPr>
        <w:t>We are subject to many manufacturing risks, any of which could substantially increase our costs and limit supply of our products.</w:t>
      </w:r>
    </w:p>
    <w:p>
      <w:pPr>
        <w:spacing w:after="0" w:line="57" w:lineRule="exact"/>
        <w:rPr>
          <w:sz w:val="20"/>
          <w:szCs w:val="20"/>
          <w:color w:val="auto"/>
        </w:rPr>
      </w:pPr>
    </w:p>
    <w:p>
      <w:pPr>
        <w:ind w:left="380" w:right="140" w:firstLine="534"/>
        <w:spacing w:after="0" w:line="247" w:lineRule="auto"/>
        <w:rPr>
          <w:sz w:val="20"/>
          <w:szCs w:val="20"/>
          <w:color w:val="auto"/>
        </w:rPr>
      </w:pPr>
      <w:r>
        <w:rPr>
          <w:rFonts w:ascii="Arial" w:cs="Arial" w:eastAsia="Arial" w:hAnsi="Arial"/>
          <w:sz w:val="17"/>
          <w:szCs w:val="17"/>
          <w:color w:val="auto"/>
        </w:rPr>
        <w:t>To date, our product candidates have been manufactured by third-party manufacturers solely for preclinical studies and clinical trials. These manufacturers may not be able to scale production to the larger quantities required for large clinical trials and to commercialize our product candidates. We have entered into a Development and Manufacturing Services Agreement with Lonza Ltd. for the production</w:t>
      </w:r>
    </w:p>
    <w:p>
      <w:pPr>
        <w:spacing w:after="0" w:line="32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020"/>
          </w:cols>
          <w:pgMar w:left="240" w:top="449" w:right="6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180"/>
        <w:spacing w:after="0" w:line="258" w:lineRule="auto"/>
        <w:rPr>
          <w:sz w:val="20"/>
          <w:szCs w:val="20"/>
          <w:color w:val="auto"/>
        </w:rPr>
      </w:pPr>
      <w:r>
        <w:rPr>
          <w:rFonts w:ascii="Arial" w:cs="Arial" w:eastAsia="Arial" w:hAnsi="Arial"/>
          <w:sz w:val="17"/>
          <w:szCs w:val="17"/>
          <w:color w:val="auto"/>
        </w:rPr>
        <w:t>of Phase 3 and commercial supplies of NGM282. The process of manufacturing our products is complex, highly regulated and subject to several risks, including:</w:t>
      </w:r>
    </w:p>
    <w:p>
      <w:pPr>
        <w:spacing w:after="0" w:line="90" w:lineRule="exact"/>
        <w:rPr>
          <w:sz w:val="20"/>
          <w:szCs w:val="20"/>
          <w:color w:val="auto"/>
        </w:rPr>
      </w:pPr>
    </w:p>
    <w:p>
      <w:pPr>
        <w:ind w:left="1100" w:right="80" w:hanging="205"/>
        <w:spacing w:after="0" w:line="244" w:lineRule="auto"/>
        <w:tabs>
          <w:tab w:leader="none" w:pos="11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process of manufacturing biologics is susceptible to product loss due to contamination, equipment failure, improper installation or operation of equipment, vendor or operator error and improper storage conditions.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the manufacturing facilities may need to be closed for an extended period of time to investigate and eliminate the contamination;</w:t>
      </w:r>
    </w:p>
    <w:p>
      <w:pPr>
        <w:spacing w:after="0" w:line="302" w:lineRule="exact"/>
        <w:rPr>
          <w:rFonts w:ascii="Arial" w:cs="Arial" w:eastAsia="Arial" w:hAnsi="Arial"/>
          <w:sz w:val="17"/>
          <w:szCs w:val="17"/>
          <w:color w:val="auto"/>
        </w:rPr>
      </w:pPr>
    </w:p>
    <w:p>
      <w:pPr>
        <w:ind w:left="1100" w:hanging="205"/>
        <w:spacing w:after="0"/>
        <w:tabs>
          <w:tab w:leader="none" w:pos="11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third-party manufacturer may fail to qualify upon an audit by Merck under our collaboration agreement;</w:t>
      </w:r>
    </w:p>
    <w:p>
      <w:pPr>
        <w:spacing w:after="0" w:line="118" w:lineRule="exact"/>
        <w:rPr>
          <w:rFonts w:ascii="Arial" w:cs="Arial" w:eastAsia="Arial" w:hAnsi="Arial"/>
          <w:sz w:val="17"/>
          <w:szCs w:val="17"/>
          <w:color w:val="auto"/>
        </w:rPr>
      </w:pPr>
    </w:p>
    <w:p>
      <w:pPr>
        <w:ind w:left="1100" w:right="120" w:hanging="205"/>
        <w:spacing w:after="0" w:line="250" w:lineRule="auto"/>
        <w:tabs>
          <w:tab w:leader="none" w:pos="11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manufacturing facilities in which our products are made could be adversely affected by equipment failures, labor and raw material shortages, financial difficulties of our contract manufacturers, natural disasters, power failures, local political unrest and numerous other factors; and</w:t>
      </w:r>
    </w:p>
    <w:p>
      <w:pPr>
        <w:spacing w:after="0" w:line="96" w:lineRule="exact"/>
        <w:rPr>
          <w:rFonts w:ascii="Arial" w:cs="Arial" w:eastAsia="Arial" w:hAnsi="Arial"/>
          <w:sz w:val="17"/>
          <w:szCs w:val="17"/>
          <w:color w:val="auto"/>
        </w:rPr>
      </w:pPr>
    </w:p>
    <w:p>
      <w:pPr>
        <w:ind w:left="1100" w:right="260" w:hanging="205"/>
        <w:spacing w:after="0" w:line="247" w:lineRule="auto"/>
        <w:tabs>
          <w:tab w:leader="none" w:pos="11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adverse developments affecting manufacturing operations for our products may result in shipment delays, inventory shortages, lot failures, product withdrawals or recalls or other interruptions in the supply of our products. We may also have to record inventory write-offs and incur other charges and expenses for products that fail to meet specifications, undertake costly remediation efforts or seek costlier manufacturing alternatives.</w:t>
      </w:r>
    </w:p>
    <w:p>
      <w:pPr>
        <w:spacing w:after="0" w:line="190"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Certain raw materials necessary for the manufacture of our product candidates under our current manufacturing process, such as reagents that support cell growth, are available only from a single supplier and have been purchased without a long-term supply agreement. For example, we have a non-exclusive license from Lonza Sales AG to use its glutamine synthetase gene expression system, available only from Lonza Sales AG, to manufacture and commercialize our proprietary products, including our product candidates that are currently subject to our collaboration with Merck. See the section titled “Business—Intellectual Property—Licensing Arrangements” for more information regarding this agreement. We do not have agreements in place that guarantee our supply or the price of these raw materials. Any significant delay in the acquisition or decrease in the availability of these raw materials could considerably delay the manufacture of our product candidates, which could adversely impact the timing of any planned trials or the regulatory approvals of our product candidates.</w:t>
      </w:r>
    </w:p>
    <w:p>
      <w:pPr>
        <w:spacing w:after="0" w:line="394" w:lineRule="exact"/>
        <w:rPr>
          <w:sz w:val="20"/>
          <w:szCs w:val="20"/>
          <w:color w:val="auto"/>
        </w:rPr>
      </w:pPr>
    </w:p>
    <w:p>
      <w:pPr>
        <w:ind w:left="380" w:right="140" w:firstLine="534"/>
        <w:spacing w:after="0" w:line="244" w:lineRule="auto"/>
        <w:rPr>
          <w:sz w:val="20"/>
          <w:szCs w:val="20"/>
          <w:color w:val="auto"/>
        </w:rPr>
      </w:pPr>
      <w:r>
        <w:rPr>
          <w:rFonts w:ascii="Arial" w:cs="Arial" w:eastAsia="Arial" w:hAnsi="Arial"/>
          <w:sz w:val="17"/>
          <w:szCs w:val="17"/>
          <w:color w:val="auto"/>
        </w:rPr>
        <w:t>The manufacture of biologic products is complex and requires significant expertise and capital investment, including the development of advanced manufacturing techniques and process controls. Manufacturers of biologic products often encounter difficulties in production, particularly in scaling up and validating initial production and ensuring the avoidance of contamination. These problems include difficulties with production costs and yields, quality control, including stability of the product, quality assurance testing, operator error and shortages of qualified personnel, as well as compliance with strictly enforced federal, state and foreign regulations. We cannot assure you that any stability or other issues relating to the manufacture of our product candidates will not occur in the future.</w:t>
      </w:r>
    </w:p>
    <w:p>
      <w:pPr>
        <w:spacing w:after="0" w:line="196" w:lineRule="exact"/>
        <w:rPr>
          <w:sz w:val="20"/>
          <w:szCs w:val="20"/>
          <w:color w:val="auto"/>
        </w:rPr>
      </w:pPr>
    </w:p>
    <w:p>
      <w:pPr>
        <w:ind w:left="380" w:right="20" w:firstLine="534"/>
        <w:spacing w:after="0" w:line="245" w:lineRule="auto"/>
        <w:rPr>
          <w:sz w:val="20"/>
          <w:szCs w:val="20"/>
          <w:color w:val="auto"/>
        </w:rPr>
      </w:pPr>
      <w:r>
        <w:rPr>
          <w:rFonts w:ascii="Arial" w:cs="Arial" w:eastAsia="Arial" w:hAnsi="Arial"/>
          <w:sz w:val="17"/>
          <w:szCs w:val="17"/>
          <w:color w:val="auto"/>
        </w:rPr>
        <w:t>We have limited process development capabilities and have access only to external manufacturing capabilities. We do not have and we do not currently plan to acquire or develop the facilities or capabilities to manufacture bulk drug substance or filled drug product for use in human clinical trials or commercialization. Any delay or interruption in the supply of clinical trial materials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060"/>
          </w:cols>
          <w:pgMar w:left="240" w:top="449" w:right="59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80" w:right="60"/>
        <w:spacing w:after="0" w:line="283" w:lineRule="auto"/>
        <w:rPr>
          <w:sz w:val="20"/>
          <w:szCs w:val="20"/>
          <w:color w:val="auto"/>
        </w:rPr>
      </w:pPr>
      <w:r>
        <w:rPr>
          <w:rFonts w:ascii="Arial" w:cs="Arial" w:eastAsia="Arial" w:hAnsi="Arial"/>
          <w:sz w:val="17"/>
          <w:szCs w:val="17"/>
          <w:b w:val="1"/>
          <w:bCs w:val="1"/>
          <w:i w:val="1"/>
          <w:iCs w:val="1"/>
          <w:color w:val="auto"/>
        </w:rPr>
        <w:t>Our product candidates may cause undesirable side effects or have other properties that could delay or prevent their regulatory approval or limit the commercial profile of an approved label.</w:t>
      </w:r>
    </w:p>
    <w:p>
      <w:pPr>
        <w:spacing w:after="0" w:line="57"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 Additional clinical studies may be required to evaluate the safety profile of our product candidates. The following serious adverse events were reported in our Phase 1 and five Phase 2 clinical trials of NGM282: moderate dizziness, community acquired pneumonia, iron deficiency anemia, fractured finger, pneumonitis/alveolitis, acute pancreatitis, pneumonia, pleurisy, non-myocardial infarction cardiac arrest, chest pain, vertigo, headache, accelerated hypertension, kidney mass, bowel obstruction, bilirubin increase, cholangitis, progression of PSC and intervertebral discitis. Preliminary reporting from our completed Phase 1 and Phase 1b clinical trials of NGM313 showed that there were no reported serious adverse events except for a single incident each of cholecystitis and rectal bleeding due to hemorrhoids, both of which were deemed by the investigators to be unrelated to treatment with NGM313.</w:t>
      </w:r>
    </w:p>
    <w:p>
      <w:pPr>
        <w:spacing w:after="0" w:line="196"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Significant increases in serum levels of low density lipoprotein, or LDL, cholesterol were observed in clinical trials of NGM282 in NASH and type 2 diabetes. The drug-induced changes in LDL cholesterol were brought back to baseline levels with concomitant statin use in NASH patients, however, sustained LDL cholesterol elevations in untreated patients can be associated with cardiovascular disease. While the impact of these drug-induced changes in cholesterol are unknown, we believe that concomitant statin use, along with NGM282’s triglyceride lowering and high density lipoprotein, or HDL, cholesterol elevating properties, will provide an overall neutral to positive impact on patients’ cardiovascular health. We have not observed any significant changes in LDL cholesterol with NGM282 in trials we have conducted in patients with cholestatic liver disease, such as primary biliary cholangitis and primary sclerosing cholangitis.</w:t>
      </w:r>
    </w:p>
    <w:p>
      <w:pPr>
        <w:spacing w:after="0" w:line="193" w:lineRule="exact"/>
        <w:rPr>
          <w:sz w:val="20"/>
          <w:szCs w:val="20"/>
          <w:color w:val="auto"/>
        </w:rPr>
      </w:pPr>
    </w:p>
    <w:p>
      <w:pPr>
        <w:ind w:left="380" w:right="60" w:firstLine="534"/>
        <w:spacing w:after="0" w:line="243" w:lineRule="auto"/>
        <w:rPr>
          <w:sz w:val="20"/>
          <w:szCs w:val="20"/>
          <w:color w:val="auto"/>
        </w:rPr>
      </w:pPr>
      <w:r>
        <w:rPr>
          <w:rFonts w:ascii="Arial" w:cs="Arial" w:eastAsia="Arial" w:hAnsi="Arial"/>
          <w:sz w:val="17"/>
          <w:szCs w:val="17"/>
          <w:color w:val="auto"/>
        </w:rPr>
        <w:t>One subject in the NGM282 Phase 2a clinical trial in type 2 diabetes developed antibodies against NGM282 that appear to cross-react with FGF19. This patient did not demonstrate any biochemical or clinical safety concerns while in the study, and we have not identified any safety concerns while monitoring the subject following the study. Six of the 36 subjects in the NGM282 Phase 2 extension clinical trial in PBC were confirmed to have antibodies against NGM282. These subjects have not demonstrated any biochemical or clinical safety signals that were different from observations in subjects that did not generate antibodies against NGM282. However, future results of our trials could reveal a high and unacceptable severity and prevalence of side effects or unexpected characteristics. In such an event, we could suspend or terminate our trials or the FDA or comparable foreign regulatory authorities could order us to cease clinical trials or deny approval of our product candidates for any or all targeted indications. Drug-related side effects could affect patient recruitment or the ability of enrolled subjects to complete the trial or result in potential product liability claims. Any of these occurrences could materially and adversely affect our business, financial condition and prospects.</w:t>
      </w:r>
    </w:p>
    <w:p>
      <w:pPr>
        <w:spacing w:after="0" w:line="279" w:lineRule="exact"/>
        <w:rPr>
          <w:sz w:val="20"/>
          <w:szCs w:val="20"/>
          <w:color w:val="auto"/>
        </w:rPr>
      </w:pPr>
    </w:p>
    <w:p>
      <w:pPr>
        <w:ind w:left="380" w:right="740"/>
        <w:spacing w:after="0" w:line="283" w:lineRule="auto"/>
        <w:rPr>
          <w:sz w:val="20"/>
          <w:szCs w:val="20"/>
          <w:color w:val="auto"/>
        </w:rPr>
      </w:pPr>
      <w:r>
        <w:rPr>
          <w:rFonts w:ascii="Arial" w:cs="Arial" w:eastAsia="Arial" w:hAnsi="Arial"/>
          <w:sz w:val="17"/>
          <w:szCs w:val="17"/>
          <w:b w:val="1"/>
          <w:bCs w:val="1"/>
          <w:i w:val="1"/>
          <w:iCs w:val="1"/>
          <w:color w:val="auto"/>
        </w:rPr>
        <w:t>Our most advanced clinical-stage product candidate, NGM282, is a modified version of a human hormone that has been associated with liver cancer in rodent testing.</w:t>
      </w:r>
    </w:p>
    <w:p>
      <w:pPr>
        <w:spacing w:after="0" w:line="57"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NGM282 is a modified version of FGF19, a human hormone that has been associated with liver cancer in rodent testing. The IND that we filed in February 2014 for type 2 diabetes was placed on clinical hold by the FDA Division of Metabolism and Endocrinology Products pending receipt of additional information relating to the potential risk of proliferative effects of NGM282 in the livers of non-human primates and mice based on concerns relating to the observation that human FGF19 can induce hepatocellular proliferation in rodents. We withdrew this IND in January 2015, as we determined that we would not further study NGM282 in type 2 diabetes after we analyzed the results of the Phase 2a clinical trial of NGM282 in type 2 diabetes and made the determination to pursue NASH and</w:t>
      </w:r>
    </w:p>
    <w:p>
      <w:pPr>
        <w:spacing w:after="0" w:line="13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040"/>
          </w:cols>
          <w:pgMar w:left="240" w:top="449" w:right="61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other liver indications. To date, the FDA Division of Gastroenterology and Inborn Errors Products, which is responsible for the NASH indication, has not requested any additional information regarding the potential for NGM282 to induce hepatocellular proliferation. We have received feedback from the FDA Carcinogenicity Assessment Committee, or CAC, that our preclinical data through six-month chronic toxicology studies in mice and monkeys support a single species, two-year carcinogenicity assessment in rats. The human hormone and the mouse ortholog for FGF19 share a sequence identity of approximately 50%, which means that the results of these studies of NGM282 in rats are not necessarily predictive of the potential risk of carcinogenicity in humans. To our knowledge, neither FGF19 nor any variant thereof other than NGM282 has ever been tested in humans. We believe we have identified a modified version of FGF19 that does not exhibit the cancer causing effects of native FGF19 in rodents. We believe that NGM282 will have a superior therapeutic profile to FGF19 based on preclinical data showing reduced fasting blood glucose levels, fed insulin levels and bile acid suppression in animals. However, we may be incorrect in these beliefs, and we cannot be sure that regulators will view our product candidate as safe or that physicians will view our product candidates as superior to alternative treatments. Concerns about the association between FGF19 and liver cancer could have an adverse effect on our ability to develop and commercialize NGM282.</w:t>
      </w:r>
    </w:p>
    <w:p>
      <w:pPr>
        <w:spacing w:after="0" w:line="286" w:lineRule="exact"/>
        <w:rPr>
          <w:sz w:val="20"/>
          <w:szCs w:val="20"/>
          <w:color w:val="auto"/>
        </w:rPr>
      </w:pPr>
    </w:p>
    <w:p>
      <w:pPr>
        <w:ind w:left="380" w:right="100"/>
        <w:spacing w:after="0" w:line="283" w:lineRule="auto"/>
        <w:rPr>
          <w:sz w:val="20"/>
          <w:szCs w:val="20"/>
          <w:color w:val="auto"/>
        </w:rPr>
      </w:pPr>
      <w:r>
        <w:rPr>
          <w:rFonts w:ascii="Arial" w:cs="Arial" w:eastAsia="Arial" w:hAnsi="Arial"/>
          <w:sz w:val="17"/>
          <w:szCs w:val="17"/>
          <w:b w:val="1"/>
          <w:bCs w:val="1"/>
          <w:i w:val="1"/>
          <w:iCs w:val="1"/>
          <w:color w:val="auto"/>
        </w:rPr>
        <w:t>We have no experience in sales, marketing and distribution and may have to enter into agreements with third parties to perform these functions, which could prevent us from successfully commercializing our product candidates.</w:t>
      </w:r>
    </w:p>
    <w:p>
      <w:pPr>
        <w:spacing w:after="0" w:line="57" w:lineRule="exact"/>
        <w:rPr>
          <w:sz w:val="20"/>
          <w:szCs w:val="20"/>
          <w:color w:val="auto"/>
        </w:rPr>
      </w:pPr>
    </w:p>
    <w:p>
      <w:pPr>
        <w:ind w:left="380" w:right="20" w:firstLine="534"/>
        <w:spacing w:after="0" w:line="242" w:lineRule="auto"/>
        <w:rPr>
          <w:sz w:val="20"/>
          <w:szCs w:val="20"/>
          <w:color w:val="auto"/>
        </w:rPr>
      </w:pPr>
      <w:r>
        <w:rPr>
          <w:rFonts w:ascii="Arial" w:cs="Arial" w:eastAsia="Arial" w:hAnsi="Arial"/>
          <w:sz w:val="17"/>
          <w:szCs w:val="17"/>
          <w:color w:val="auto"/>
        </w:rPr>
        <w:t>We currently have no sales, marketing or distribution capabilities. To commercialize our product candidates outside of the Merck collaboration, or to commercialize products subject to the Merck collaboration for which we may in the future exercise our co-detailing rights in the United States, we must either develop our own sales, marketing and distribution capabilities, which will be expensive and time consuming, or make arrangements with third parties to perform these services for us. If we exercise our co-detailing rights in the United States with respect to the Merck collaboration, we will be responsible for the costs of fielding such a sales force, subject to offset pursuant to the formula by which profits are allocated, and the risks of attracting, retaining, motivating and ensuring the compliance of such a sales force with the various requirements of the Merck collaboration and applicable law. If we decide to market any of our products on our own, we will have to commit significant resources to developing a marketing and sales force and supporting distribution capabilities. If we decide to enter into arrangements with third parties for performance of these services, we may find that they are not available on terms acceptable to us, or at all. If we are not able to establish and maintain successful arrangements with third parties or build our own sales and marketing infrastructure, we may not be able to commercialize our product candidates, which would adversely affect our business and financial condition.</w:t>
      </w:r>
    </w:p>
    <w:p>
      <w:pPr>
        <w:spacing w:after="0" w:line="286" w:lineRule="exact"/>
        <w:rPr>
          <w:sz w:val="20"/>
          <w:szCs w:val="20"/>
          <w:color w:val="auto"/>
        </w:rPr>
      </w:pPr>
    </w:p>
    <w:p>
      <w:pPr>
        <w:ind w:left="380" w:right="760"/>
        <w:spacing w:after="0" w:line="283" w:lineRule="auto"/>
        <w:rPr>
          <w:sz w:val="20"/>
          <w:szCs w:val="20"/>
          <w:color w:val="auto"/>
        </w:rPr>
      </w:pPr>
      <w:r>
        <w:rPr>
          <w:rFonts w:ascii="Arial" w:cs="Arial" w:eastAsia="Arial" w:hAnsi="Arial"/>
          <w:sz w:val="17"/>
          <w:szCs w:val="17"/>
          <w:b w:val="1"/>
          <w:bCs w:val="1"/>
          <w:i w:val="1"/>
          <w:iCs w:val="1"/>
          <w:color w:val="auto"/>
        </w:rPr>
        <w:t>We may fail to select or capitalize on the most scientifically, clinically and commercially promising or profitable product candidates.</w:t>
      </w:r>
    </w:p>
    <w:p>
      <w:pPr>
        <w:spacing w:after="0" w:line="57" w:lineRule="exact"/>
        <w:rPr>
          <w:sz w:val="20"/>
          <w:szCs w:val="20"/>
          <w:color w:val="auto"/>
        </w:rPr>
      </w:pPr>
    </w:p>
    <w:p>
      <w:pPr>
        <w:ind w:left="380" w:right="160" w:firstLine="534"/>
        <w:spacing w:after="0" w:line="244" w:lineRule="auto"/>
        <w:rPr>
          <w:sz w:val="20"/>
          <w:szCs w:val="20"/>
          <w:color w:val="auto"/>
        </w:rPr>
      </w:pPr>
      <w:r>
        <w:rPr>
          <w:rFonts w:ascii="Arial" w:cs="Arial" w:eastAsia="Arial" w:hAnsi="Arial"/>
          <w:sz w:val="17"/>
          <w:szCs w:val="17"/>
          <w:color w:val="auto"/>
        </w:rPr>
        <w:t>We have limited technical, managerial and financial resources to determine which of our product candidates should proceed to initial clinical trials, later-stage clinical development and potential commercialization. We may make incorrect determinations in allocating resources among these product candidates. Our decisions to allocate our research and development, management and financial resources toward particular product candidates or therapeutic areas may not lead to the development of viable commercial products and may divert resources from better opportunities. Similarly, our decisions to delay or terminate drug development programs may also be incorrect and could cause us to miss valuable opportunities.</w:t>
      </w:r>
    </w:p>
    <w:p>
      <w:pPr>
        <w:spacing w:after="0" w:line="196" w:lineRule="exact"/>
        <w:rPr>
          <w:sz w:val="20"/>
          <w:szCs w:val="20"/>
          <w:color w:val="auto"/>
        </w:rPr>
      </w:pPr>
    </w:p>
    <w:p>
      <w:pPr>
        <w:ind w:left="380" w:right="20" w:firstLine="534"/>
        <w:spacing w:after="0" w:line="250" w:lineRule="auto"/>
        <w:rPr>
          <w:sz w:val="20"/>
          <w:szCs w:val="20"/>
          <w:color w:val="auto"/>
        </w:rPr>
      </w:pPr>
      <w:r>
        <w:rPr>
          <w:rFonts w:ascii="Arial" w:cs="Arial" w:eastAsia="Arial" w:hAnsi="Arial"/>
          <w:sz w:val="17"/>
          <w:szCs w:val="17"/>
          <w:color w:val="auto"/>
        </w:rPr>
        <w:t>Under our collaboration agreement with Merck, we have the right, exercisable during a specified period prior to the commencement of Phase 3 clinical testing of the applicable product candidate, to convert our economic participation from a milestones and net sales royalty arrangement into a cost and</w:t>
      </w:r>
    </w:p>
    <w:p>
      <w:pPr>
        <w:spacing w:after="0" w:line="12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040"/>
          </w:cols>
          <w:pgMar w:left="240" w:top="449" w:right="61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20"/>
        <w:spacing w:after="0" w:line="244" w:lineRule="auto"/>
        <w:rPr>
          <w:sz w:val="20"/>
          <w:szCs w:val="20"/>
          <w:color w:val="auto"/>
        </w:rPr>
      </w:pPr>
      <w:r>
        <w:rPr>
          <w:rFonts w:ascii="Arial" w:cs="Arial" w:eastAsia="Arial" w:hAnsi="Arial"/>
          <w:sz w:val="17"/>
          <w:szCs w:val="17"/>
          <w:color w:val="auto"/>
        </w:rPr>
        <w:t>profit share arrangement. If we exercise the cost and profit share right, we have the ability to participate in a co-detailing relationship in the United States. Due to the limited exercise period, we may have to choose whether a product candidate will be subject to a cost and profit share arrangement before we have as much information as we would like, including whether and when such program may receive FDA approval of the applicable biologics license application, or BLA. As a result of such incomplete information or due to incorrect analysis by us, we may select a cost and profit share program that later proves to have less commercial potential than an alternative, or none at all, or may pass on a cost and profit sharing program that proves commercially successful.</w:t>
      </w:r>
    </w:p>
    <w:p>
      <w:pPr>
        <w:spacing w:after="0" w:line="280" w:lineRule="exact"/>
        <w:rPr>
          <w:sz w:val="20"/>
          <w:szCs w:val="20"/>
          <w:color w:val="auto"/>
        </w:rPr>
      </w:pPr>
    </w:p>
    <w:p>
      <w:pPr>
        <w:ind w:left="380" w:right="40"/>
        <w:spacing w:after="0" w:line="252" w:lineRule="auto"/>
        <w:rPr>
          <w:sz w:val="20"/>
          <w:szCs w:val="20"/>
          <w:color w:val="auto"/>
        </w:rPr>
      </w:pPr>
      <w:r>
        <w:rPr>
          <w:rFonts w:ascii="Arial" w:cs="Arial" w:eastAsia="Arial" w:hAnsi="Arial"/>
          <w:sz w:val="17"/>
          <w:szCs w:val="17"/>
          <w:b w:val="1"/>
          <w:bCs w:val="1"/>
          <w:i w:val="1"/>
          <w:iCs w:val="1"/>
          <w:color w:val="auto"/>
        </w:rPr>
        <w:t>We must attract and retain highly skilled employees in order to succeed. If we are not able to retain our current senior management team, especially Dr. Jin-Long Chen, and our scientific advisors or continue to attract and retain qualified scientific, technical and business personnel, our business will suffer. The departure of Dr. Chen within the next several years would permit Merck to shift the focus under our collaboration agreement to concentrate on the development of later-stage product candidates.</w:t>
      </w:r>
    </w:p>
    <w:p>
      <w:pPr>
        <w:spacing w:after="0" w:line="286" w:lineRule="exact"/>
        <w:rPr>
          <w:sz w:val="20"/>
          <w:szCs w:val="20"/>
          <w:color w:val="auto"/>
        </w:rPr>
      </w:pPr>
    </w:p>
    <w:p>
      <w:pPr>
        <w:ind w:left="380" w:firstLine="534"/>
        <w:spacing w:after="0" w:line="242" w:lineRule="auto"/>
        <w:rPr>
          <w:sz w:val="20"/>
          <w:szCs w:val="20"/>
          <w:color w:val="auto"/>
        </w:rPr>
      </w:pPr>
      <w:r>
        <w:rPr>
          <w:rFonts w:ascii="Arial" w:cs="Arial" w:eastAsia="Arial" w:hAnsi="Arial"/>
          <w:sz w:val="17"/>
          <w:szCs w:val="17"/>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We are dependent on the members of our management team and our scientific advisors for our business success. An important element of our strategy is to take advantage of the research and development expertise of our current management and to utilize the expertise of our scientific advisors in the cardio-metabolic, liver, oncologic and ophthalmic disease fields. We currently have employment letter agreements with all of our executive officers. Our employment agreements with our executive officers are terminable by them without notice and some provide for severance and change in control benefits. See the section titled “Executive and Director Compensation—Other Elements of Compensation—Agreements with our Named Executive Officers” and “Executive and Director Compensation—Other Elements of Compensation—Potential Payments Upon Termination or Change of Control” for further discussion. The loss of any one of our executive officers or key scientific consultants, including, in particular, Dr. Jin-Long Chen, our Chief Scientific Officer, could result in a significant loss in the knowledge and experience that we, as an organization, possess and could cause significant delays, or outright failure, in the development and further commercialization of our product candidates. During the initial term of the Merck collaboration, the departure of Dr. Chen as our employee or director of our research (other than on account of his employment by Merck) would give Merck the right to shift the focus of its research and development funding to concentrate on the development of later-stage product candidates, but Merck would not have the right to terminate or otherwise alter the conduct of the collaboration.</w:t>
      </w:r>
    </w:p>
    <w:p>
      <w:pPr>
        <w:spacing w:after="0" w:line="199"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To fully realize the research and development support committed under our collaboration with Merck, we will need to maintain a significant number of qualified research and development, scientific, administrative and commercial personnel. There is intense competition for qualified personnel, including management in the technical fields in which we operate, and we may not be able to attract and retain qualified personnel necessary for the successful research, development and commercialization of our product candidates. In particular, we have experienced a very competitive hiring environment in the San Francisco Bay Area,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12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040"/>
          </w:cols>
          <w:pgMar w:left="240" w:top="449" w:right="61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80" w:right="640"/>
        <w:spacing w:after="0" w:line="283" w:lineRule="auto"/>
        <w:rPr>
          <w:sz w:val="20"/>
          <w:szCs w:val="20"/>
          <w:color w:val="auto"/>
        </w:rPr>
      </w:pPr>
      <w:r>
        <w:rPr>
          <w:rFonts w:ascii="Arial" w:cs="Arial" w:eastAsia="Arial" w:hAnsi="Arial"/>
          <w:sz w:val="17"/>
          <w:szCs w:val="17"/>
          <w:b w:val="1"/>
          <w:bCs w:val="1"/>
          <w:i w:val="1"/>
          <w:iCs w:val="1"/>
          <w:color w:val="auto"/>
        </w:rPr>
        <w:t>Disputes under key agreements or conflicts of interest with our scientific advisors or clinical investigators could delay or prevent development or commercialization of our product candidates.</w:t>
      </w:r>
    </w:p>
    <w:p>
      <w:pPr>
        <w:spacing w:after="0" w:line="57" w:lineRule="exact"/>
        <w:rPr>
          <w:sz w:val="20"/>
          <w:szCs w:val="20"/>
          <w:color w:val="auto"/>
        </w:rPr>
      </w:pPr>
    </w:p>
    <w:p>
      <w:pPr>
        <w:ind w:left="380" w:right="80" w:firstLine="534"/>
        <w:spacing w:after="0" w:line="243" w:lineRule="auto"/>
        <w:rPr>
          <w:sz w:val="20"/>
          <w:szCs w:val="20"/>
          <w:color w:val="auto"/>
        </w:rPr>
      </w:pPr>
      <w:r>
        <w:rPr>
          <w:rFonts w:ascii="Arial" w:cs="Arial" w:eastAsia="Arial" w:hAnsi="Arial"/>
          <w:sz w:val="17"/>
          <w:szCs w:val="17"/>
          <w:color w:val="auto"/>
        </w:rPr>
        <w:t>Any agreements we have or may enter into with third parties, such as collaboration, license, formulation supplier, manufacturing, clinical research organization or clinical trial agreements, may give rise to disputes regarding the rights and obligations of the parties. Disagreements could develop over contract interpretation, rights to ownership or use of intellectual property, the scope and direction of research and development, the approach for regulatory approvals or commercialization strategy. We intend to conduct research programs in a range of therapeutic areas, but our pursuit of these opportunities could result in conflicts with the other parties to these agreements that may be developing or selling pharmaceuticals or conducting other activities in these same therapeutic areas. Any disputes or commercial conflicts could lead to the termination of our agreements, delay progress of our product development programs, compromise our ability to renew agreements or obtain future agreements, lead to the loss of intellectual property rights, result in increased financial obligations for us or result in costly litigation.</w:t>
      </w:r>
    </w:p>
    <w:p>
      <w:pPr>
        <w:spacing w:after="0" w:line="196" w:lineRule="exact"/>
        <w:rPr>
          <w:sz w:val="20"/>
          <w:szCs w:val="20"/>
          <w:color w:val="auto"/>
        </w:rPr>
      </w:pPr>
    </w:p>
    <w:p>
      <w:pPr>
        <w:ind w:left="380" w:right="180" w:firstLine="534"/>
        <w:spacing w:after="0" w:line="250" w:lineRule="auto"/>
        <w:rPr>
          <w:sz w:val="20"/>
          <w:szCs w:val="20"/>
          <w:color w:val="auto"/>
        </w:rPr>
      </w:pPr>
      <w:r>
        <w:rPr>
          <w:rFonts w:ascii="Arial" w:cs="Arial" w:eastAsia="Arial" w:hAnsi="Arial"/>
          <w:sz w:val="17"/>
          <w:szCs w:val="17"/>
          <w:color w:val="auto"/>
        </w:rPr>
        <w:t>We work with outside scientific advisors and collaborators at academic and other institutions that assist us in our research and development efforts. Our scientific advisors are not our employees and may have other commitments that limit their availability to us. If a conflict of interest between their work for us and their work for another entity arises, we may lose their services.</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We may encounter difficulties in managing our growth, which could adversely affect our operations.</w:t>
      </w:r>
    </w:p>
    <w:p>
      <w:pPr>
        <w:spacing w:after="0" w:line="126"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Since executing the Merck agreement in 2015, we have significantly increased our headcount and advanced our pipeline and the complexity of our operations, which has placed a strain on our administrative and operational infrastructure. We expect this strain to continue as we maintain our growth and seek to obtain and manage relationships with third parties. Our ability to manage our operations and growth effectively depends upon the continual improvement of our procedures, reporting systems and operational, financial and management controls. We may not be able to expand or identify sufficiently-sized facilities to accommodate our growth, particularly given our location in South San Francisco, California and the current high demand for and restricted supply of research and development facilities in this market. We may not be able to implement administrative and operational improvements in an efficient or timely manner and may discover deficiencies in existing systems and controls. If we do not meet these challenges, we may be unable to take advantage of market opportunities, execute our business strategies or respond to competitive pressures, which in turn may slow our growth or give rise to inefficiencies that would increase our losses.</w:t>
      </w:r>
    </w:p>
    <w:p>
      <w:pPr>
        <w:spacing w:after="0" w:line="195" w:lineRule="exact"/>
        <w:rPr>
          <w:sz w:val="20"/>
          <w:szCs w:val="20"/>
          <w:color w:val="auto"/>
        </w:rPr>
      </w:pPr>
    </w:p>
    <w:p>
      <w:pPr>
        <w:ind w:left="380" w:right="160" w:firstLine="534"/>
        <w:spacing w:after="0" w:line="247" w:lineRule="auto"/>
        <w:rPr>
          <w:sz w:val="20"/>
          <w:szCs w:val="20"/>
          <w:color w:val="auto"/>
        </w:rPr>
      </w:pPr>
      <w:r>
        <w:rPr>
          <w:rFonts w:ascii="Arial" w:cs="Arial" w:eastAsia="Arial" w:hAnsi="Arial"/>
          <w:sz w:val="17"/>
          <w:szCs w:val="17"/>
          <w:color w:val="auto"/>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spacing w:after="0" w:line="275" w:lineRule="exact"/>
        <w:rPr>
          <w:sz w:val="20"/>
          <w:szCs w:val="20"/>
          <w:color w:val="auto"/>
        </w:rPr>
      </w:pPr>
    </w:p>
    <w:p>
      <w:pPr>
        <w:ind w:left="380" w:right="440"/>
        <w:spacing w:after="0" w:line="283"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discovering, developing or commercializing products before or more successfully than us.</w:t>
      </w:r>
    </w:p>
    <w:p>
      <w:pPr>
        <w:spacing w:after="0" w:line="57" w:lineRule="exact"/>
        <w:rPr>
          <w:sz w:val="20"/>
          <w:szCs w:val="20"/>
          <w:color w:val="auto"/>
        </w:rPr>
      </w:pPr>
    </w:p>
    <w:p>
      <w:pPr>
        <w:jc w:val="both"/>
        <w:ind w:left="380" w:right="120" w:firstLine="534"/>
        <w:spacing w:after="0" w:line="250" w:lineRule="auto"/>
        <w:rPr>
          <w:sz w:val="20"/>
          <w:szCs w:val="20"/>
          <w:color w:val="auto"/>
        </w:rPr>
      </w:pPr>
      <w:r>
        <w:rPr>
          <w:rFonts w:ascii="Arial" w:cs="Arial" w:eastAsia="Arial" w:hAnsi="Arial"/>
          <w:sz w:val="17"/>
          <w:szCs w:val="17"/>
          <w:color w:val="auto"/>
        </w:rPr>
        <w:t>The biopharmaceutical industry is intensely competitive and subject to rapid and significant technological change. Our competitors include multinational pharmaceutical companies, specialized biotechnology companies and universities and other research institutions. A number of pharmaceutical companies, including AbbVie, Allergan, AstraZeneca/MedImmune, Bayer, Bristol-Myers Squibb, Eisai,</w:t>
      </w:r>
    </w:p>
    <w:p>
      <w:pPr>
        <w:spacing w:after="0" w:line="12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060"/>
          </w:cols>
          <w:pgMar w:left="240" w:top="449" w:right="59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Eli Lilly, GlaxoSmithKline, Johnson &amp; Johnson, Merck, Novartis, Novo Nordisk, Pfizer, Roche, Sanofi and Takeda, as well as large and small biotechnology companies such as 89Bio, Akero, Albireo, Amgen, Can-Fite, Cirius, Conatus, CymaBay, Enanta, Galectin, Galmed, Genfit, Gilead, Intercept, Inventiva, Madrigal, MannKind, MediciNova, Metacrine, Nalpropion, Terns, Viking, Vivus and Zafgen, are pursuing the development or marketing of pharmaceuticals that target the same diseases that are targeted by our most advanced product candidates. It is probable that the number of companies seeking to develop products and therapies for the treatment of cardio-metabolic disorders, liver, oncologic and ophthalmic diseases will increase.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have in undertaking preclinical testing and human clinical studies of new pharmaceutical products and in obtaining regulatory approvals of human therapeutic products. Accordingly, our competitors may succeed in obtaining FDA approval for superior products. Many of our competitors have established distribution channels for the commercialization of their products, whereas we have no such channel or capabilities.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201" w:lineRule="exact"/>
        <w:rPr>
          <w:sz w:val="20"/>
          <w:szCs w:val="20"/>
          <w:color w:val="auto"/>
        </w:rPr>
      </w:pPr>
    </w:p>
    <w:p>
      <w:pPr>
        <w:ind w:left="380" w:right="40" w:firstLine="534"/>
        <w:spacing w:after="0" w:line="243" w:lineRule="auto"/>
        <w:rPr>
          <w:sz w:val="20"/>
          <w:szCs w:val="20"/>
          <w:color w:val="auto"/>
        </w:rPr>
      </w:pPr>
      <w:r>
        <w:rPr>
          <w:rFonts w:ascii="Arial" w:cs="Arial" w:eastAsia="Arial" w:hAnsi="Arial"/>
          <w:sz w:val="17"/>
          <w:szCs w:val="17"/>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 If we are unable to compete effectively against these companies, then we may not be able to commercialize our product candidates or achieve a competitive position in the market. This would adversely affect our ability to generate revenue. Our competitors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98" w:lineRule="exact"/>
        <w:rPr>
          <w:sz w:val="20"/>
          <w:szCs w:val="20"/>
          <w:color w:val="auto"/>
        </w:rPr>
      </w:pPr>
    </w:p>
    <w:p>
      <w:pPr>
        <w:ind w:left="380" w:right="140" w:firstLine="534"/>
        <w:spacing w:after="0" w:line="242" w:lineRule="auto"/>
        <w:rPr>
          <w:sz w:val="20"/>
          <w:szCs w:val="20"/>
          <w:color w:val="auto"/>
        </w:rPr>
      </w:pPr>
      <w:r>
        <w:rPr>
          <w:rFonts w:ascii="Arial" w:cs="Arial" w:eastAsia="Arial" w:hAnsi="Arial"/>
          <w:sz w:val="17"/>
          <w:szCs w:val="17"/>
          <w:color w:val="auto"/>
        </w:rPr>
        <w:t>There are no currently approved therapies for NASH. Although we believe there are no approved therapies that specifically target the signaling pathways that our current product candidates are designed to modulate or inhibit, there are numerous currently approved therapies for treating the same diseases or indications, other than NASH,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products, including branded generic products. This may make it difficult for us to differentiate our products from currently approved therapies, which may adversely impact our business strategy. In addition, many companies are developing new therapeutics, and we cannot predict what the standard of care will be as our product candidates progress through clinical development.</w:t>
      </w:r>
    </w:p>
    <w:p>
      <w:pPr>
        <w:spacing w:after="0" w:line="202" w:lineRule="exact"/>
        <w:rPr>
          <w:sz w:val="20"/>
          <w:szCs w:val="20"/>
          <w:color w:val="auto"/>
        </w:rPr>
      </w:pPr>
    </w:p>
    <w:p>
      <w:pPr>
        <w:ind w:left="380" w:right="80" w:firstLine="534"/>
        <w:spacing w:after="0" w:line="245" w:lineRule="auto"/>
        <w:rPr>
          <w:sz w:val="20"/>
          <w:szCs w:val="20"/>
          <w:color w:val="auto"/>
        </w:rPr>
      </w:pPr>
      <w:r>
        <w:rPr>
          <w:rFonts w:ascii="Arial" w:cs="Arial" w:eastAsia="Arial" w:hAnsi="Arial"/>
          <w:sz w:val="17"/>
          <w:szCs w:val="17"/>
          <w:color w:val="auto"/>
        </w:rPr>
        <w:t>If NGM282 or NGM313 were approved for the treatment of NASH, future competition could also arise from products currently in development, including: cenicriviroc, an immunomodulator that blocks CCR2 and CCR5 from Allergan; GS-0976, an ACC inhibitor, GS-9674, an FXR agonist, and selonsertib, an ASK1 inhibitor, from Gilead; OCA, an FXR agonist, from Intercept; MGL-3196, a beta-thyroid hormone receptor agonist from Madrigal; pegbelfermin, PEGylated FGF21, from Bristol-Myers Squibb; elobixibat, an IBAT-inhibitor from Albireo; a Galectin-3 inhibitor from Galectin; a synthetic</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060"/>
          </w:cols>
          <w:pgMar w:left="240" w:top="449" w:right="59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20"/>
        <w:spacing w:after="0" w:line="247" w:lineRule="auto"/>
        <w:rPr>
          <w:sz w:val="20"/>
          <w:szCs w:val="20"/>
          <w:color w:val="auto"/>
        </w:rPr>
      </w:pPr>
      <w:r>
        <w:rPr>
          <w:rFonts w:ascii="Arial" w:cs="Arial" w:eastAsia="Arial" w:hAnsi="Arial"/>
          <w:sz w:val="17"/>
          <w:szCs w:val="17"/>
          <w:color w:val="auto"/>
        </w:rPr>
        <w:t>conjugate of cholic acid and arachidic acid from Galmed; an FXR agonist from Metacrine; FXR agonists from Novartis; a mitochondrial pyruvate complex modulator from Cirius; a PPAR delta agonist from CymaBay; and a PPAR alpha/delta agonist from Genfit. The foregoing competitive risks apply to NGM282 and NGM313 and any variants of NGM282 we may commercialize or, in the case of NGM313, Merck and we may commercialize, including the second-generation, half-life extended version of FGF19 we are currently developing.</w:t>
      </w:r>
    </w:p>
    <w:p>
      <w:pPr>
        <w:spacing w:after="0" w:line="190" w:lineRule="exact"/>
        <w:rPr>
          <w:sz w:val="20"/>
          <w:szCs w:val="20"/>
          <w:color w:val="auto"/>
        </w:rPr>
      </w:pPr>
    </w:p>
    <w:p>
      <w:pPr>
        <w:ind w:left="380" w:right="80" w:firstLine="534"/>
        <w:spacing w:after="0" w:line="243" w:lineRule="auto"/>
        <w:rPr>
          <w:sz w:val="20"/>
          <w:szCs w:val="20"/>
          <w:color w:val="auto"/>
        </w:rPr>
      </w:pPr>
      <w:r>
        <w:rPr>
          <w:rFonts w:ascii="Arial" w:cs="Arial" w:eastAsia="Arial" w:hAnsi="Arial"/>
          <w:sz w:val="17"/>
          <w:szCs w:val="17"/>
          <w:color w:val="auto"/>
        </w:rPr>
        <w:t xml:space="preserve">If NGM386 or NGM395 were approved for the treatment of obesity, these products would face competition from currently approved and marketed products, including </w:t>
      </w:r>
      <w:r>
        <w:rPr>
          <w:rFonts w:ascii="Arial" w:cs="Arial" w:eastAsia="Arial" w:hAnsi="Arial"/>
          <w:sz w:val="17"/>
          <w:szCs w:val="17"/>
          <w:i w:val="1"/>
          <w:iCs w:val="1"/>
          <w:color w:val="auto"/>
        </w:rPr>
        <w:t>Saxenda</w:t>
      </w:r>
      <w:r>
        <w:rPr>
          <w:rFonts w:ascii="Arial" w:cs="Arial" w:eastAsia="Arial" w:hAnsi="Arial"/>
          <w:sz w:val="17"/>
          <w:szCs w:val="17"/>
          <w:color w:val="auto"/>
        </w:rPr>
        <w:t xml:space="preserve"> (liraglutide), </w:t>
      </w:r>
      <w:r>
        <w:rPr>
          <w:rFonts w:ascii="Arial" w:cs="Arial" w:eastAsia="Arial" w:hAnsi="Arial"/>
          <w:sz w:val="17"/>
          <w:szCs w:val="17"/>
          <w:i w:val="1"/>
          <w:iCs w:val="1"/>
          <w:color w:val="auto"/>
        </w:rPr>
        <w:t>Contrave</w:t>
      </w:r>
      <w:r>
        <w:rPr>
          <w:rFonts w:ascii="Arial" w:cs="Arial" w:eastAsia="Arial" w:hAnsi="Arial"/>
          <w:sz w:val="17"/>
          <w:szCs w:val="17"/>
          <w:color w:val="auto"/>
        </w:rPr>
        <w:t xml:space="preserve"> (bupropion and naltrexone), </w:t>
      </w:r>
      <w:r>
        <w:rPr>
          <w:rFonts w:ascii="Arial" w:cs="Arial" w:eastAsia="Arial" w:hAnsi="Arial"/>
          <w:sz w:val="17"/>
          <w:szCs w:val="17"/>
          <w:i w:val="1"/>
          <w:iCs w:val="1"/>
          <w:color w:val="auto"/>
        </w:rPr>
        <w:t>Qsymia</w:t>
      </w:r>
      <w:r>
        <w:rPr>
          <w:rFonts w:ascii="Arial" w:cs="Arial" w:eastAsia="Arial" w:hAnsi="Arial"/>
          <w:sz w:val="17"/>
          <w:szCs w:val="17"/>
          <w:color w:val="auto"/>
        </w:rPr>
        <w:t xml:space="preserve"> (phentermine and topiramate extended-release), </w:t>
      </w:r>
      <w:r>
        <w:rPr>
          <w:rFonts w:ascii="Arial" w:cs="Arial" w:eastAsia="Arial" w:hAnsi="Arial"/>
          <w:sz w:val="17"/>
          <w:szCs w:val="17"/>
          <w:i w:val="1"/>
          <w:iCs w:val="1"/>
          <w:color w:val="auto"/>
        </w:rPr>
        <w:t>Belviq</w:t>
      </w:r>
      <w:r>
        <w:rPr>
          <w:rFonts w:ascii="Arial" w:cs="Arial" w:eastAsia="Arial" w:hAnsi="Arial"/>
          <w:sz w:val="17"/>
          <w:szCs w:val="17"/>
          <w:color w:val="auto"/>
        </w:rPr>
        <w:t xml:space="preserve"> (lorcaserin HCL) and </w:t>
      </w:r>
      <w:r>
        <w:rPr>
          <w:rFonts w:ascii="Arial" w:cs="Arial" w:eastAsia="Arial" w:hAnsi="Arial"/>
          <w:sz w:val="17"/>
          <w:szCs w:val="17"/>
          <w:i w:val="1"/>
          <w:iCs w:val="1"/>
          <w:color w:val="auto"/>
        </w:rPr>
        <w:t>Xenical</w:t>
      </w:r>
      <w:r>
        <w:rPr>
          <w:rFonts w:ascii="Arial" w:cs="Arial" w:eastAsia="Arial" w:hAnsi="Arial"/>
          <w:sz w:val="17"/>
          <w:szCs w:val="17"/>
          <w:color w:val="auto"/>
        </w:rPr>
        <w:t xml:space="preserve"> (orlistat). Further competition could arise from products currently in development, including Lilly’s LY3298176 (dual GLP-1/GIP receptor agonist). To the extent any of our product candidates are approved for cardio-metabolic indications, particularly obesity, the commercial success of our products will also depend on our ability to demonstrate benefits over the then-prevailing standard of care, including diet and exercise. Finally, morbidly obese patients sometimes undergo the gastric bypass procedure, with salutary effects on the many co-morbid conditions of obesity. Some of these programs have been advanced further in clinical development then our clinical programs or have already received regulatory approval.</w:t>
      </w:r>
    </w:p>
    <w:p>
      <w:pPr>
        <w:spacing w:after="0" w:line="198" w:lineRule="exact"/>
        <w:rPr>
          <w:sz w:val="20"/>
          <w:szCs w:val="20"/>
          <w:color w:val="auto"/>
        </w:rPr>
      </w:pPr>
    </w:p>
    <w:p>
      <w:pPr>
        <w:ind w:left="380" w:right="100" w:firstLine="534"/>
        <w:spacing w:after="0" w:line="244" w:lineRule="auto"/>
        <w:rPr>
          <w:sz w:val="20"/>
          <w:szCs w:val="20"/>
          <w:color w:val="auto"/>
        </w:rPr>
      </w:pPr>
      <w:r>
        <w:rPr>
          <w:rFonts w:ascii="Arial" w:cs="Arial" w:eastAsia="Arial" w:hAnsi="Arial"/>
          <w:sz w:val="17"/>
          <w:szCs w:val="17"/>
          <w:color w:val="auto"/>
        </w:rPr>
        <w:t>If any of our product candidates were approved for the treatment of type 2 diabetes, these products would face competition from currently approved and marketed products, including: Biguanides; Sulfonylureas; Thiazolidinediones (TZDs); Alpha-glucosidase inhibitors (AGIs); Dipeptidyl peptidase 4 (DPP4) inhibitors; Glucagon-like peptide-1 (GLP-1) analogues; SGLT2 inhibitors; and Insulins, including injectable and inhaled versions. Further competition could arise from products currently in development, including: 11 beta HSD (Incyte, Japan Tobacco, Roche); GPR40 (Connexios, Takeda); and oral GLP-1 mimetics (Novo Nordisk). Some of these programs have been advanced further in clinical development than our product candidates and could receive approval before our product candidates are approved, if they are approved at all.</w:t>
      </w:r>
    </w:p>
    <w:p>
      <w:pPr>
        <w:spacing w:after="0" w:line="278" w:lineRule="exact"/>
        <w:rPr>
          <w:sz w:val="20"/>
          <w:szCs w:val="20"/>
          <w:color w:val="auto"/>
        </w:rPr>
      </w:pPr>
    </w:p>
    <w:p>
      <w:pPr>
        <w:ind w:left="380"/>
        <w:spacing w:after="0" w:line="283" w:lineRule="auto"/>
        <w:rPr>
          <w:sz w:val="20"/>
          <w:szCs w:val="20"/>
          <w:color w:val="auto"/>
        </w:rPr>
      </w:pPr>
      <w:r>
        <w:rPr>
          <w:rFonts w:ascii="Arial" w:cs="Arial" w:eastAsia="Arial" w:hAnsi="Arial"/>
          <w:sz w:val="17"/>
          <w:szCs w:val="17"/>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57" w:lineRule="exact"/>
        <w:rPr>
          <w:sz w:val="20"/>
          <w:szCs w:val="20"/>
          <w:color w:val="auto"/>
        </w:rPr>
      </w:pPr>
    </w:p>
    <w:p>
      <w:pPr>
        <w:ind w:left="380" w:right="40" w:firstLine="534"/>
        <w:spacing w:after="0" w:line="242" w:lineRule="auto"/>
        <w:rPr>
          <w:sz w:val="20"/>
          <w:szCs w:val="20"/>
          <w:color w:val="auto"/>
        </w:rPr>
      </w:pPr>
      <w:r>
        <w:rPr>
          <w:rFonts w:ascii="Arial" w:cs="Arial" w:eastAsia="Arial" w:hAnsi="Arial"/>
          <w:sz w:val="17"/>
          <w:szCs w:val="17"/>
          <w:color w:val="auto"/>
        </w:rPr>
        <w:t>Even if our product candidates receive regulatory approval, they may not gain adequate market acceptance among physicians, patients, healthcare payors, pharmaceutical companies and others in the medical community. Demonstrating the safety and efficacy of our product candidates and obtaining regulatory approvals will not guarantee future revenue. Our commercial success also depends on coverage and adequate reimbursement of our product candidates by third-party payors, including government payors, which may be difficult or time-consuming to obtain, may be limited in scope and may not be obtained in all jurisdictions in which we may seek to market our products. Governments and private insurers closely examine medical products to determine whether they should be covered by reimbursement and, if so, the level of reimbursement that will apply. We cannot be certain that third-party payors will sufficiently reimburse sales of our products, or otherwise enable us to sell our products at profitable prices. Similar concerns could also limit the reimbursement amounts that health insurers or government agencies in other countries are prepared to pay for our products. In many regions, including Europe, Japan and Canada, where we may market our products, either directly or with our collaborators, the pricing of prescription drugs is controlled by the government or regulatory agencies. Regulatory agencies in these countries could determine that the pricing for our products should be based on prices of other commercially available drugs for the same disease, rather than</w:t>
      </w:r>
    </w:p>
    <w:p>
      <w:pPr>
        <w:spacing w:after="0" w:line="13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060"/>
          </w:cols>
          <w:pgMar w:left="240" w:top="449" w:right="59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600"/>
        <w:spacing w:after="0" w:line="258" w:lineRule="auto"/>
        <w:rPr>
          <w:sz w:val="20"/>
          <w:szCs w:val="20"/>
          <w:color w:val="auto"/>
        </w:rPr>
      </w:pPr>
      <w:r>
        <w:rPr>
          <w:rFonts w:ascii="Arial" w:cs="Arial" w:eastAsia="Arial" w:hAnsi="Arial"/>
          <w:sz w:val="17"/>
          <w:szCs w:val="17"/>
          <w:color w:val="auto"/>
        </w:rPr>
        <w:t>allowing us to market our products at a premium as new drugs. The degree of market acceptance of any of our approved product candidates will depend on a number of factors, including:</w:t>
      </w:r>
    </w:p>
    <w:p>
      <w:pPr>
        <w:spacing w:after="0" w:line="90" w:lineRule="exact"/>
        <w:rPr>
          <w:sz w:val="20"/>
          <w:szCs w:val="20"/>
          <w:color w:val="auto"/>
        </w:rPr>
      </w:pPr>
    </w:p>
    <w:p>
      <w:pPr>
        <w:ind w:left="1100" w:hanging="205"/>
        <w:spacing w:after="0"/>
        <w:tabs>
          <w:tab w:leader="none" w:pos="11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efficacy and safety profile of the product candidate as demonstrated in clinical trials;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timing of market introduction of the product candidate as well as competitive products;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clinical indications for which the product candidate is approved;</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acceptance of the product candidate as a safe and effective treatment by clinics and patients;</w:t>
      </w:r>
    </w:p>
    <w:p>
      <w:pPr>
        <w:spacing w:after="0" w:line="118" w:lineRule="exact"/>
        <w:rPr>
          <w:rFonts w:ascii="Arial" w:cs="Arial" w:eastAsia="Arial" w:hAnsi="Arial"/>
          <w:sz w:val="17"/>
          <w:szCs w:val="17"/>
          <w:color w:val="auto"/>
        </w:rPr>
      </w:pPr>
    </w:p>
    <w:p>
      <w:pPr>
        <w:ind w:left="1100" w:right="440" w:hanging="205"/>
        <w:spacing w:after="0" w:line="258" w:lineRule="auto"/>
        <w:tabs>
          <w:tab w:leader="none" w:pos="11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potential and perceived advantages of the product candidate over alternative treatments, including any similar generic treatments;</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cost of treatment in relation to alternative treatments;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availability of coverage and adequate reimbursement and pricing by third parties and government authorities;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relative convenience and ease of administration;</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availability of coverage and adequate reimbursement and pricing by third parties and government authorities;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frequency and severity of adverse events;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effectiveness of sales and marketing efforts; and</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unfavorable publicity relating to the product candidate.</w:t>
      </w:r>
    </w:p>
    <w:p>
      <w:pPr>
        <w:spacing w:after="0" w:line="210"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products are safe, therapeutically effective and cost effective as compared with competing treatments. If any product candidate is approved but does not achieve an adequate level of acceptance by such parties, we may not generate or derive sufficient revenue from that product candidate and may not become or remain profitable.</w:t>
      </w:r>
    </w:p>
    <w:p>
      <w:pPr>
        <w:spacing w:after="0" w:line="282" w:lineRule="exact"/>
        <w:rPr>
          <w:sz w:val="20"/>
          <w:szCs w:val="20"/>
          <w:color w:val="auto"/>
        </w:rPr>
      </w:pPr>
    </w:p>
    <w:p>
      <w:pPr>
        <w:jc w:val="both"/>
        <w:ind w:left="380" w:right="320"/>
        <w:spacing w:after="0" w:line="262" w:lineRule="auto"/>
        <w:rPr>
          <w:sz w:val="20"/>
          <w:szCs w:val="20"/>
          <w:color w:val="auto"/>
        </w:rPr>
      </w:pPr>
      <w:r>
        <w:rPr>
          <w:rFonts w:ascii="Arial" w:cs="Arial" w:eastAsia="Arial" w:hAnsi="Arial"/>
          <w:sz w:val="17"/>
          <w:szCs w:val="17"/>
          <w:b w:val="1"/>
          <w:bCs w:val="1"/>
          <w:i w:val="1"/>
          <w:iCs w:val="1"/>
          <w:color w:val="auto"/>
        </w:rPr>
        <w:t>Even if we commercialize any of our product candidates, alone or with our partners, these products may become subject to unfavorable pricing regulations, third-party reimbursement practices or healthcare reform initiatives, which could harm our business.</w:t>
      </w:r>
    </w:p>
    <w:p>
      <w:pPr>
        <w:spacing w:after="0" w:line="74"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w:t>
      </w:r>
    </w:p>
    <w:p>
      <w:pPr>
        <w:spacing w:after="0" w:line="13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920"/>
          </w:cols>
          <w:pgMar w:left="240" w:top="449" w:right="7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60" w:firstLine="534"/>
        <w:spacing w:after="0" w:line="242" w:lineRule="auto"/>
        <w:rPr>
          <w:sz w:val="20"/>
          <w:szCs w:val="20"/>
          <w:color w:val="auto"/>
        </w:rPr>
      </w:pPr>
      <w:r>
        <w:rPr>
          <w:rFonts w:ascii="Arial" w:cs="Arial" w:eastAsia="Arial" w:hAnsi="Arial"/>
          <w:sz w:val="17"/>
          <w:szCs w:val="17"/>
          <w:color w:val="auto"/>
        </w:rPr>
        <w:t>Our ability to commercialize any products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determine which medications they will cover and establish reimbursement levels.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marketing approval. If coverage and reimbursement are not available or reimbursement is available only to limited levels, we and our partners may not be able to successfully commercialize any product candidate for which marketing approval is obtained.</w:t>
      </w:r>
    </w:p>
    <w:p>
      <w:pPr>
        <w:spacing w:after="0" w:line="202" w:lineRule="exact"/>
        <w:rPr>
          <w:sz w:val="20"/>
          <w:szCs w:val="20"/>
          <w:color w:val="auto"/>
        </w:rPr>
      </w:pPr>
    </w:p>
    <w:p>
      <w:pPr>
        <w:ind w:left="380" w:firstLine="534"/>
        <w:spacing w:after="0" w:line="242"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287"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i w:val="1"/>
          <w:iCs w:val="1"/>
          <w:color w:val="auto"/>
        </w:rPr>
        <w:t>The advancement of healthcare reform may negatively impact our ability to profitably sell our product candidates, if approved.</w:t>
      </w:r>
    </w:p>
    <w:p>
      <w:pPr>
        <w:spacing w:after="0" w:line="126" w:lineRule="exact"/>
        <w:rPr>
          <w:sz w:val="20"/>
          <w:szCs w:val="20"/>
          <w:color w:val="auto"/>
        </w:rPr>
      </w:pPr>
    </w:p>
    <w:p>
      <w:pPr>
        <w:ind w:left="380" w:right="260" w:firstLine="534"/>
        <w:spacing w:after="0" w:line="247" w:lineRule="auto"/>
        <w:rPr>
          <w:sz w:val="20"/>
          <w:szCs w:val="20"/>
          <w:color w:val="auto"/>
        </w:rPr>
      </w:pPr>
      <w:r>
        <w:rPr>
          <w:rFonts w:ascii="Arial" w:cs="Arial" w:eastAsia="Arial" w:hAnsi="Arial"/>
          <w:sz w:val="17"/>
          <w:szCs w:val="17"/>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spacing w:after="0" w:line="190"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In March 2010, the Patient Protection and Affordable Care Act, as amended by the Health Care and Education Reconciliation Act of 2010, or collectively, the Affordable Care Act, was enacted, which includes measures that have significantly changed the way health care is financed by both governmental and private insurers. Some of the provisions of the Affordable Care Act have yet to be implemented, and there have been judicial and congressional challenges to certain aspects of the Affordable Care Act. In January 2017, President Trump signed an Executive Order directing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 pharmaceuticals or medical devices. The U.S. House of Representatives passed</w:t>
      </w:r>
    </w:p>
    <w:p>
      <w:pPr>
        <w:spacing w:after="0" w:line="13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060"/>
          </w:cols>
          <w:pgMar w:left="240" w:top="449" w:right="59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360"/>
        <w:spacing w:after="0" w:line="247" w:lineRule="auto"/>
        <w:rPr>
          <w:sz w:val="20"/>
          <w:szCs w:val="20"/>
          <w:color w:val="auto"/>
        </w:rPr>
      </w:pPr>
      <w:r>
        <w:rPr>
          <w:rFonts w:ascii="Arial" w:cs="Arial" w:eastAsia="Arial" w:hAnsi="Arial"/>
          <w:sz w:val="17"/>
          <w:szCs w:val="17"/>
          <w:color w:val="auto"/>
        </w:rPr>
        <w:t>legislation known as the American Health Care Act of 2017 in May 2017. More recently, the Senate Republicans introduced and then updated a bill to replace the Affordable Care Act known as the Better Care Reconciliation Act of 2017. The Senate Republicans also introduced legislation to repeal the Affordable Care Act without companion legislation to replace it, and a “skinny” version of the Better Care Reconciliation Act of 2017.</w:t>
      </w:r>
    </w:p>
    <w:p>
      <w:pPr>
        <w:spacing w:after="0" w:line="190"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Each of these measures was rejected by the full Senate. Congress will likely consider other legislation to replace elements of the Affordable Care Act. On December 14, 2018, a United States District Court judge in Texas ruled that the Affordable Care Act is unconstitutional in its entirety because the “individual mandate” was repealed by Congress as part of the Tax Cuts and Jobs Act of 2017. While this U.S. District Court judge, as well as the Trump administration and Centers for Medicare and Medicaid Services, have stated that the ruling will have no immediate effect pending appeal of the decision, it is unclear how this decision, subsequent appeals and other efforts to repeal and replace the Affordable Care Act will impact the Affordable Care Act and our business.</w:t>
      </w:r>
    </w:p>
    <w:p>
      <w:pPr>
        <w:spacing w:after="0" w:line="196" w:lineRule="exact"/>
        <w:rPr>
          <w:sz w:val="20"/>
          <w:szCs w:val="20"/>
          <w:color w:val="auto"/>
        </w:rPr>
      </w:pPr>
    </w:p>
    <w:p>
      <w:pPr>
        <w:ind w:left="380" w:firstLine="534"/>
        <w:spacing w:after="0" w:line="242" w:lineRule="auto"/>
        <w:rPr>
          <w:sz w:val="20"/>
          <w:szCs w:val="20"/>
          <w:color w:val="auto"/>
        </w:rPr>
      </w:pPr>
      <w:r>
        <w:rPr>
          <w:rFonts w:ascii="Arial" w:cs="Arial" w:eastAsia="Arial" w:hAnsi="Arial"/>
          <w:sz w:val="17"/>
          <w:szCs w:val="17"/>
          <w:color w:val="auto"/>
        </w:rPr>
        <w:t>In addition, other legislative changes have been proposed and adopted since the Affordable Care Act was enacted. For example, in August 2011, then-President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which triggered the legislation’s automatic reduction to several government programs. This includes aggregate reductions to Medicare payments to providers of, on average, 2% per fiscal year through 2025 unless Congress takes additional action. Recently, there has been increasing legislative and enforcement interest in the United States with respect to specialty drug pricing practices.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00" w:lineRule="exact"/>
        <w:rPr>
          <w:sz w:val="20"/>
          <w:szCs w:val="20"/>
          <w:color w:val="auto"/>
        </w:rPr>
      </w:pPr>
    </w:p>
    <w:p>
      <w:pPr>
        <w:ind w:left="380" w:right="100" w:firstLine="534"/>
        <w:spacing w:after="0" w:line="245" w:lineRule="auto"/>
        <w:rPr>
          <w:sz w:val="20"/>
          <w:szCs w:val="20"/>
          <w:color w:val="auto"/>
        </w:rPr>
      </w:pPr>
      <w:r>
        <w:rPr>
          <w:rFonts w:ascii="Arial" w:cs="Arial" w:eastAsia="Arial" w:hAnsi="Arial"/>
          <w:sz w:val="17"/>
          <w:szCs w:val="17"/>
          <w:color w:val="auto"/>
        </w:rPr>
        <w:t>There have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79" w:lineRule="exact"/>
        <w:rPr>
          <w:sz w:val="20"/>
          <w:szCs w:val="20"/>
          <w:color w:val="auto"/>
        </w:rPr>
      </w:pPr>
    </w:p>
    <w:p>
      <w:pPr>
        <w:ind w:left="380" w:right="120"/>
        <w:spacing w:after="0" w:line="283" w:lineRule="auto"/>
        <w:rPr>
          <w:sz w:val="20"/>
          <w:szCs w:val="20"/>
          <w:color w:val="auto"/>
        </w:rPr>
      </w:pPr>
      <w:r>
        <w:rPr>
          <w:rFonts w:ascii="Arial" w:cs="Arial" w:eastAsia="Arial" w:hAnsi="Arial"/>
          <w:sz w:val="17"/>
          <w:szCs w:val="17"/>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57" w:lineRule="exact"/>
        <w:rPr>
          <w:sz w:val="20"/>
          <w:szCs w:val="20"/>
          <w:color w:val="auto"/>
        </w:rPr>
      </w:pPr>
    </w:p>
    <w:p>
      <w:pPr>
        <w:jc w:val="both"/>
        <w:ind w:left="380" w:right="80" w:firstLine="534"/>
        <w:spacing w:after="0" w:line="250" w:lineRule="auto"/>
        <w:rPr>
          <w:sz w:val="20"/>
          <w:szCs w:val="20"/>
          <w:color w:val="auto"/>
        </w:rPr>
      </w:pPr>
      <w:r>
        <w:rPr>
          <w:rFonts w:ascii="Arial" w:cs="Arial" w:eastAsia="Arial" w:hAnsi="Arial"/>
          <w:sz w:val="17"/>
          <w:szCs w:val="17"/>
          <w:color w:val="auto"/>
        </w:rPr>
        <w:t>Our business is subject to risks associated with conducting business internationally. Some of our suppliers and clinical trial centers are located outside of the United States. Furthermore, if we or our collaborator succeeds in developing any products, we intend to market them in the European Union and other jurisdictions in addition to the United States. If approved, we or our collaborator may hire</w:t>
      </w:r>
    </w:p>
    <w:p>
      <w:pPr>
        <w:spacing w:after="0" w:line="12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040"/>
          </w:cols>
          <w:pgMar w:left="240" w:top="449" w:right="61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440"/>
        <w:spacing w:after="0" w:line="258" w:lineRule="auto"/>
        <w:rPr>
          <w:sz w:val="20"/>
          <w:szCs w:val="20"/>
          <w:color w:val="auto"/>
        </w:rPr>
      </w:pPr>
      <w:r>
        <w:rPr>
          <w:rFonts w:ascii="Arial" w:cs="Arial" w:eastAsia="Arial" w:hAnsi="Arial"/>
          <w:sz w:val="17"/>
          <w:szCs w:val="17"/>
          <w:color w:val="auto"/>
        </w:rPr>
        <w:t>sales representatives and conduct physician and patient association outreach activities outside of the United States. Doing business internationally involves a number of risks, including but not limited to:</w:t>
      </w:r>
    </w:p>
    <w:p>
      <w:pPr>
        <w:spacing w:after="0" w:line="90" w:lineRule="exact"/>
        <w:rPr>
          <w:sz w:val="20"/>
          <w:szCs w:val="20"/>
          <w:color w:val="auto"/>
        </w:rPr>
      </w:pPr>
    </w:p>
    <w:p>
      <w:pPr>
        <w:ind w:left="1100" w:right="400" w:hanging="205"/>
        <w:spacing w:after="0" w:line="258" w:lineRule="auto"/>
        <w:tabs>
          <w:tab w:leader="none" w:pos="11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multiple, conflicting and changing laws and regulations such as privacy regulations, tax laws, export and import restrictions, employment laws, regulatory requirements, and other governmental approvals, permits and licenses;</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failure by us to obtain and maintain regulatory approvals for the use of our products in various countries;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rejection or qualification of foreign clinical trial data by the competent authorities of other countries;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additional potentially relevant third-party patent rights;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complexities and difficulties in obtaining, maintaining, protecting and enforcing our intellectual property;</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difficulties in staffing and managing foreign operations;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complexities associated with managing multiple payor reimbursement regimes, government payors or patient self-pay systems;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limits in our ability to penetrate international markets;</w:t>
      </w:r>
    </w:p>
    <w:p>
      <w:pPr>
        <w:spacing w:after="0" w:line="118" w:lineRule="exact"/>
        <w:rPr>
          <w:rFonts w:ascii="Arial" w:cs="Arial" w:eastAsia="Arial" w:hAnsi="Arial"/>
          <w:sz w:val="17"/>
          <w:szCs w:val="17"/>
          <w:color w:val="auto"/>
        </w:rPr>
      </w:pPr>
    </w:p>
    <w:p>
      <w:pPr>
        <w:ind w:left="1100" w:right="80" w:hanging="205"/>
        <w:spacing w:after="0" w:line="258" w:lineRule="auto"/>
        <w:tabs>
          <w:tab w:leader="none" w:pos="11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90" w:lineRule="exact"/>
        <w:rPr>
          <w:rFonts w:ascii="Arial" w:cs="Arial" w:eastAsia="Arial" w:hAnsi="Arial"/>
          <w:sz w:val="17"/>
          <w:szCs w:val="17"/>
          <w:color w:val="auto"/>
        </w:rPr>
      </w:pPr>
    </w:p>
    <w:p>
      <w:pPr>
        <w:ind w:left="1100" w:right="140" w:hanging="205"/>
        <w:spacing w:after="0" w:line="258" w:lineRule="auto"/>
        <w:tabs>
          <w:tab w:leader="none" w:pos="11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natural disasters, political and economic instability, including wars, terrorism and political unrest, outbreak of disease, boycotts, curtailment of trade and other business restrictions;</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certain expenses including, among others, expenses for travel, translation and insurance; and</w:t>
      </w:r>
    </w:p>
    <w:p>
      <w:pPr>
        <w:spacing w:after="0" w:line="118" w:lineRule="exact"/>
        <w:rPr>
          <w:rFonts w:ascii="Arial" w:cs="Arial" w:eastAsia="Arial" w:hAnsi="Arial"/>
          <w:sz w:val="17"/>
          <w:szCs w:val="17"/>
          <w:color w:val="auto"/>
        </w:rPr>
      </w:pPr>
    </w:p>
    <w:p>
      <w:pPr>
        <w:jc w:val="both"/>
        <w:ind w:left="1100" w:right="140" w:hanging="205"/>
        <w:spacing w:after="0" w:line="250" w:lineRule="auto"/>
        <w:tabs>
          <w:tab w:leader="none" w:pos="11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p>
      <w:pPr>
        <w:spacing w:after="0" w:line="188" w:lineRule="exact"/>
        <w:rPr>
          <w:sz w:val="20"/>
          <w:szCs w:val="20"/>
          <w:color w:val="auto"/>
        </w:rPr>
      </w:pPr>
    </w:p>
    <w:p>
      <w:pPr>
        <w:ind w:left="380" w:right="180" w:firstLine="534"/>
        <w:spacing w:after="0" w:line="258" w:lineRule="auto"/>
        <w:rPr>
          <w:sz w:val="20"/>
          <w:szCs w:val="20"/>
          <w:color w:val="auto"/>
        </w:rPr>
      </w:pPr>
      <w:r>
        <w:rPr>
          <w:rFonts w:ascii="Arial" w:cs="Arial" w:eastAsia="Arial" w:hAnsi="Arial"/>
          <w:sz w:val="17"/>
          <w:szCs w:val="17"/>
          <w:color w:val="auto"/>
        </w:rPr>
        <w:t>Any of these factors could harm our ongoing international clinical operations and supply chain, as well as any future international expansion and operations and, consequently, our business, financial condition, prospects and results of operations.</w:t>
      </w:r>
    </w:p>
    <w:p>
      <w:pPr>
        <w:spacing w:after="0" w:line="267" w:lineRule="exact"/>
        <w:rPr>
          <w:sz w:val="20"/>
          <w:szCs w:val="20"/>
          <w:color w:val="auto"/>
        </w:rPr>
      </w:pPr>
    </w:p>
    <w:p>
      <w:pPr>
        <w:ind w:left="380"/>
        <w:spacing w:after="0" w:line="283" w:lineRule="auto"/>
        <w:rPr>
          <w:sz w:val="20"/>
          <w:szCs w:val="20"/>
          <w:color w:val="auto"/>
        </w:rPr>
      </w:pPr>
      <w:r>
        <w:rPr>
          <w:rFonts w:ascii="Arial" w:cs="Arial" w:eastAsia="Arial" w:hAnsi="Arial"/>
          <w:sz w:val="17"/>
          <w:szCs w:val="17"/>
          <w:b w:val="1"/>
          <w:bCs w:val="1"/>
          <w:i w:val="1"/>
          <w:iCs w:val="1"/>
          <w:color w:val="auto"/>
        </w:rPr>
        <w:t>Product liability lawsuits against us could cause us to incur substantial liabilities and to limit commercialization of any products that we may develop.</w:t>
      </w:r>
    </w:p>
    <w:p>
      <w:pPr>
        <w:spacing w:after="0" w:line="57" w:lineRule="exact"/>
        <w:rPr>
          <w:sz w:val="20"/>
          <w:szCs w:val="20"/>
          <w:color w:val="auto"/>
        </w:rPr>
      </w:pPr>
    </w:p>
    <w:p>
      <w:pPr>
        <w:ind w:left="380" w:right="20" w:firstLine="534"/>
        <w:spacing w:after="0" w:line="245"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will face an even greater risk if we or our collaborator commercializes any resulting products. Product liability claims may be brought against us by subjects enrolled in our clinical trials, patients, healthcare providers or others using, administering or selling our products. If we cannot successfully defend ourselves against claims that our product candidates or products that we may develop caused injuries, we could incur substantial liabilities. Regardless of merit or eventual outcome, liability claims may result in:</w:t>
      </w:r>
    </w:p>
    <w:p>
      <w:pPr>
        <w:spacing w:after="0" w:line="102" w:lineRule="exact"/>
        <w:rPr>
          <w:sz w:val="20"/>
          <w:szCs w:val="20"/>
          <w:color w:val="auto"/>
        </w:rPr>
      </w:pPr>
    </w:p>
    <w:p>
      <w:pPr>
        <w:ind w:left="1100" w:hanging="205"/>
        <w:spacing w:after="0"/>
        <w:tabs>
          <w:tab w:leader="none" w:pos="11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decreased demand for any product candidates or products that we may develop;</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termination of clinical trial sites or entire trial programs;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injury to our reputation and significant negative media attention;</w:t>
      </w:r>
    </w:p>
    <w:p>
      <w:pPr>
        <w:spacing w:after="0" w:line="145"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000"/>
          </w:cols>
          <w:pgMar w:left="240" w:top="449" w:right="65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1100" w:hanging="205"/>
        <w:spacing w:after="0"/>
        <w:tabs>
          <w:tab w:leader="none" w:pos="11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significant costs to defend the related litigation;</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substantial monetary awards to trial subjects or patients;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loss of revenue;</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diversion of management and scientific resources from our business operations; and</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inability to commercialize any products that we may develop.</w:t>
      </w:r>
    </w:p>
    <w:p>
      <w:pPr>
        <w:spacing w:after="0" w:line="210"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class action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hurt our ability to obtain physician endorsement of our products or expand our business.</w:t>
      </w:r>
    </w:p>
    <w:p>
      <w:pPr>
        <w:spacing w:after="0" w:line="279" w:lineRule="exact"/>
        <w:rPr>
          <w:sz w:val="20"/>
          <w:szCs w:val="20"/>
          <w:color w:val="auto"/>
        </w:rPr>
      </w:pPr>
    </w:p>
    <w:p>
      <w:pPr>
        <w:ind w:left="380" w:right="820"/>
        <w:spacing w:after="0" w:line="262"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74" w:lineRule="exact"/>
        <w:rPr>
          <w:sz w:val="20"/>
          <w:szCs w:val="20"/>
          <w:color w:val="auto"/>
        </w:rPr>
      </w:pPr>
    </w:p>
    <w:p>
      <w:pPr>
        <w:ind w:left="380" w:right="440" w:firstLine="534"/>
        <w:spacing w:after="0" w:line="244" w:lineRule="auto"/>
        <w:rPr>
          <w:sz w:val="20"/>
          <w:szCs w:val="20"/>
          <w:color w:val="auto"/>
        </w:rPr>
      </w:pPr>
      <w:r>
        <w:rPr>
          <w:rFonts w:ascii="Arial" w:cs="Arial" w:eastAsia="Arial" w:hAnsi="Arial"/>
          <w:sz w:val="17"/>
          <w:szCs w:val="17"/>
          <w:color w:val="auto"/>
        </w:rPr>
        <w:t>Healthcare providers, physicians and third-party payors will play a primary role in the recommendation and prescription of any product candidates for which we or our collaborator obtains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or our collaborator obtains marketing approval. Restrictions under applicable federal and state healthcare laws and regulations, include the following:</w:t>
      </w:r>
    </w:p>
    <w:p>
      <w:pPr>
        <w:spacing w:after="0" w:line="104" w:lineRule="exact"/>
        <w:rPr>
          <w:sz w:val="20"/>
          <w:szCs w:val="20"/>
          <w:color w:val="auto"/>
        </w:rPr>
      </w:pPr>
    </w:p>
    <w:p>
      <w:pPr>
        <w:ind w:left="1100" w:right="20" w:hanging="205"/>
        <w:spacing w:after="0" w:line="245" w:lineRule="auto"/>
        <w:tabs>
          <w:tab w:leader="none" w:pos="11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84" w:lineRule="exact"/>
        <w:rPr>
          <w:rFonts w:ascii="Arial" w:cs="Arial" w:eastAsia="Arial" w:hAnsi="Arial"/>
          <w:sz w:val="17"/>
          <w:szCs w:val="17"/>
          <w:color w:val="auto"/>
        </w:rPr>
      </w:pPr>
    </w:p>
    <w:p>
      <w:pPr>
        <w:ind w:left="1100" w:right="20" w:hanging="205"/>
        <w:spacing w:after="0" w:line="256" w:lineRule="auto"/>
        <w:tabs>
          <w:tab w:leader="none" w:pos="11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the federal False Claims Act imposes criminal and civil penalties, including through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296" w:lineRule="exact"/>
        <w:rPr>
          <w:rFonts w:ascii="Arial" w:cs="Arial" w:eastAsia="Arial" w:hAnsi="Arial"/>
          <w:sz w:val="17"/>
          <w:szCs w:val="17"/>
          <w:color w:val="auto"/>
        </w:rPr>
      </w:pPr>
    </w:p>
    <w:p>
      <w:pPr>
        <w:ind w:left="1100" w:right="80" w:hanging="205"/>
        <w:spacing w:after="0" w:line="247" w:lineRule="auto"/>
        <w:tabs>
          <w:tab w:leader="none" w:pos="11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125"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020"/>
          </w:cols>
          <w:pgMar w:left="240" w:top="449" w:right="6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1100" w:hanging="205"/>
        <w:spacing w:after="0" w:line="245" w:lineRule="auto"/>
        <w:tabs>
          <w:tab w:leader="none" w:pos="11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and its implementing regulations,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02" w:lineRule="exact"/>
        <w:rPr>
          <w:rFonts w:ascii="Arial" w:cs="Arial" w:eastAsia="Arial" w:hAnsi="Arial"/>
          <w:sz w:val="17"/>
          <w:szCs w:val="17"/>
          <w:color w:val="auto"/>
        </w:rPr>
      </w:pPr>
    </w:p>
    <w:p>
      <w:pPr>
        <w:ind w:left="1100" w:right="100" w:hanging="205"/>
        <w:spacing w:after="0" w:line="244" w:lineRule="auto"/>
        <w:tabs>
          <w:tab w:leader="none" w:pos="11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Open Payments program, created under Section 6002 of the Affordable Care Act and its implementing regulations, requires manufacturers of drugs, devices, biologics and medical supplies for which payment is available under Medicare, Medicaid or the Children’s Health Insurance Program (with certain exceptions) to report annually to the U.S. Department of Health and Human Services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the U.S. Department of Health and Human Services ownership and investment interests held by physicians (as defined above) and their immediate family members; and</w:t>
      </w:r>
    </w:p>
    <w:p>
      <w:pPr>
        <w:spacing w:after="0" w:line="101" w:lineRule="exact"/>
        <w:rPr>
          <w:rFonts w:ascii="Arial" w:cs="Arial" w:eastAsia="Arial" w:hAnsi="Arial"/>
          <w:sz w:val="17"/>
          <w:szCs w:val="17"/>
          <w:color w:val="auto"/>
        </w:rPr>
      </w:pPr>
    </w:p>
    <w:p>
      <w:pPr>
        <w:ind w:left="1100" w:right="20" w:hanging="205"/>
        <w:spacing w:after="0" w:line="243" w:lineRule="auto"/>
        <w:tabs>
          <w:tab w:leader="none" w:pos="11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and state and foreign laws that govern the privacy and security of health information in certain circumstances, many of which differ from each other in significant ways and often are not preempted by HIPAA, thus complicating compliance efforts.</w:t>
      </w:r>
    </w:p>
    <w:p>
      <w:pPr>
        <w:spacing w:after="0" w:line="394" w:lineRule="exact"/>
        <w:rPr>
          <w:sz w:val="20"/>
          <w:szCs w:val="20"/>
          <w:color w:val="auto"/>
        </w:rPr>
      </w:pPr>
    </w:p>
    <w:p>
      <w:pPr>
        <w:ind w:left="380" w:right="20" w:firstLine="534"/>
        <w:spacing w:after="0" w:line="243"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spacing w:after="0" w:line="282" w:lineRule="exact"/>
        <w:rPr>
          <w:sz w:val="20"/>
          <w:szCs w:val="20"/>
          <w:color w:val="auto"/>
        </w:rPr>
      </w:pPr>
    </w:p>
    <w:p>
      <w:pPr>
        <w:ind w:left="380" w:right="200"/>
        <w:spacing w:after="0" w:line="283" w:lineRule="auto"/>
        <w:rPr>
          <w:sz w:val="20"/>
          <w:szCs w:val="20"/>
          <w:color w:val="auto"/>
        </w:rPr>
      </w:pPr>
      <w:r>
        <w:rPr>
          <w:rFonts w:ascii="Arial" w:cs="Arial" w:eastAsia="Arial" w:hAnsi="Arial"/>
          <w:sz w:val="17"/>
          <w:szCs w:val="17"/>
          <w:b w:val="1"/>
          <w:bCs w:val="1"/>
          <w:i w:val="1"/>
          <w:iCs w:val="1"/>
          <w:color w:val="auto"/>
        </w:rPr>
        <w:t>Our operations are vulnerable to interruption by fire, earthquake, power loss, telecommunications failure, terrorist activity and other events beyond our control, which could harm our business.</w:t>
      </w:r>
    </w:p>
    <w:p>
      <w:pPr>
        <w:spacing w:after="0" w:line="57" w:lineRule="exact"/>
        <w:rPr>
          <w:sz w:val="20"/>
          <w:szCs w:val="20"/>
          <w:color w:val="auto"/>
        </w:rPr>
      </w:pPr>
    </w:p>
    <w:p>
      <w:pPr>
        <w:ind w:left="380" w:right="100" w:firstLine="534"/>
        <w:spacing w:after="0" w:line="245" w:lineRule="auto"/>
        <w:rPr>
          <w:sz w:val="20"/>
          <w:szCs w:val="20"/>
          <w:color w:val="auto"/>
        </w:rPr>
      </w:pPr>
      <w:r>
        <w:rPr>
          <w:rFonts w:ascii="Arial" w:cs="Arial" w:eastAsia="Arial" w:hAnsi="Arial"/>
          <w:sz w:val="17"/>
          <w:szCs w:val="17"/>
          <w:color w:val="auto"/>
        </w:rPr>
        <w:t>Our facility has been subject to electrical blackouts as a result of a shortage of available electrical power. Future blackouts could disrupt the operations of our facility. Our facility is located in a seismically active region. We have not undertaken a systematic analysis of the potential consequences to our business and financial results from a major earthquake, fire, power loss, terrorist activity or other disasters and do not have a complete recovery plan for such disasters. In addition, we do not carry sufficient insurance to compensate us for actual losses from interruption of our business that may occur,</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040"/>
          </w:cols>
          <w:pgMar w:left="240" w:top="449" w:right="61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200"/>
        <w:spacing w:after="0" w:line="250" w:lineRule="auto"/>
        <w:rPr>
          <w:sz w:val="20"/>
          <w:szCs w:val="20"/>
          <w:color w:val="auto"/>
        </w:rPr>
      </w:pPr>
      <w:r>
        <w:rPr>
          <w:rFonts w:ascii="Arial" w:cs="Arial" w:eastAsia="Arial" w:hAnsi="Arial"/>
          <w:sz w:val="17"/>
          <w:szCs w:val="17"/>
          <w:color w:val="auto"/>
        </w:rPr>
        <w:t>and any losses or damages incurred by us could harm our business. The contract manufacturing organization that is the sole supplier of clinical drug substance of NGM313, NGM386, NGM395, NGM120, NGM217 and NGM621 is located in a region that has experienced recent political unrest.</w:t>
      </w:r>
    </w:p>
    <w:p>
      <w:pPr>
        <w:spacing w:after="0" w:line="273" w:lineRule="exact"/>
        <w:rPr>
          <w:sz w:val="20"/>
          <w:szCs w:val="20"/>
          <w:color w:val="auto"/>
        </w:rPr>
      </w:pPr>
    </w:p>
    <w:p>
      <w:pPr>
        <w:ind w:left="380" w:right="540"/>
        <w:spacing w:after="0" w:line="283" w:lineRule="auto"/>
        <w:rPr>
          <w:sz w:val="20"/>
          <w:szCs w:val="20"/>
          <w:color w:val="auto"/>
        </w:rPr>
      </w:pPr>
      <w:r>
        <w:rPr>
          <w:rFonts w:ascii="Arial" w:cs="Arial" w:eastAsia="Arial" w:hAnsi="Arial"/>
          <w:sz w:val="17"/>
          <w:szCs w:val="17"/>
          <w:b w:val="1"/>
          <w:bCs w:val="1"/>
          <w:i w:val="1"/>
          <w:iCs w:val="1"/>
          <w:color w:val="auto"/>
        </w:rPr>
        <w:t>Our internal computer systems, or those used by our CROs or other contractors or consultants, may fail or suffer security breaches.</w:t>
      </w:r>
    </w:p>
    <w:p>
      <w:pPr>
        <w:spacing w:after="0" w:line="57" w:lineRule="exact"/>
        <w:rPr>
          <w:sz w:val="20"/>
          <w:szCs w:val="20"/>
          <w:color w:val="auto"/>
        </w:rPr>
      </w:pPr>
    </w:p>
    <w:p>
      <w:pPr>
        <w:ind w:left="380" w:right="20" w:firstLine="534"/>
        <w:spacing w:after="0" w:line="242" w:lineRule="auto"/>
        <w:rPr>
          <w:sz w:val="20"/>
          <w:szCs w:val="20"/>
          <w:color w:val="auto"/>
        </w:rPr>
      </w:pPr>
      <w:r>
        <w:rPr>
          <w:rFonts w:ascii="Arial" w:cs="Arial" w:eastAsia="Arial" w:hAnsi="Arial"/>
          <w:sz w:val="17"/>
          <w:szCs w:val="17"/>
          <w:color w:val="auto"/>
        </w:rPr>
        <w:t>Despite the implementation of security measures, our internal computer systems and those of our current and future CROs and other contractors and consultants may fail and are vulnerable to damage from computer viruses and unauthorized access. While we have not, to our knowledge,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for the manufacture of our product candidates and to conduct clinical trials, and similar events relating to their computer systems could also have a material adverse effect on our business. In 2017, a security breach of the internal computer systems of our collaborator, Merck, caused material damage to their operations, but did not affect our internal operations.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hindered or delayed.</w:t>
      </w:r>
    </w:p>
    <w:p>
      <w:pPr>
        <w:spacing w:after="0" w:line="200" w:lineRule="exact"/>
        <w:rPr>
          <w:sz w:val="20"/>
          <w:szCs w:val="20"/>
          <w:color w:val="auto"/>
        </w:rPr>
      </w:pPr>
    </w:p>
    <w:p>
      <w:pPr>
        <w:spacing w:after="0" w:line="283" w:lineRule="exact"/>
        <w:rPr>
          <w:sz w:val="20"/>
          <w:szCs w:val="20"/>
          <w:color w:val="auto"/>
        </w:rPr>
      </w:pPr>
    </w:p>
    <w:p>
      <w:pPr>
        <w:ind w:left="380" w:right="460"/>
        <w:spacing w:after="0" w:line="283" w:lineRule="auto"/>
        <w:rPr>
          <w:sz w:val="20"/>
          <w:szCs w:val="20"/>
          <w:color w:val="auto"/>
        </w:rPr>
      </w:pPr>
      <w:r>
        <w:rPr>
          <w:rFonts w:ascii="Arial" w:cs="Arial" w:eastAsia="Arial" w:hAnsi="Arial"/>
          <w:sz w:val="17"/>
          <w:szCs w:val="17"/>
          <w:b w:val="1"/>
          <w:bCs w:val="1"/>
          <w:i w:val="1"/>
          <w:iCs w:val="1"/>
          <w:color w:val="auto"/>
        </w:rPr>
        <w:t>European data collection is governed by restrictive regulations governing the collection, use, processing and cross-border transfer of personal information.</w:t>
      </w:r>
    </w:p>
    <w:p>
      <w:pPr>
        <w:spacing w:after="0" w:line="57" w:lineRule="exact"/>
        <w:rPr>
          <w:sz w:val="20"/>
          <w:szCs w:val="20"/>
          <w:color w:val="auto"/>
        </w:rPr>
      </w:pPr>
    </w:p>
    <w:p>
      <w:pPr>
        <w:ind w:left="380" w:firstLine="534"/>
        <w:spacing w:after="0" w:line="242" w:lineRule="auto"/>
        <w:rPr>
          <w:sz w:val="20"/>
          <w:szCs w:val="20"/>
          <w:color w:val="auto"/>
        </w:rPr>
      </w:pPr>
      <w:r>
        <w:rPr>
          <w:rFonts w:ascii="Arial" w:cs="Arial" w:eastAsia="Arial" w:hAnsi="Arial"/>
          <w:sz w:val="17"/>
          <w:szCs w:val="17"/>
          <w:color w:val="auto"/>
        </w:rPr>
        <w:t>We may collect, process, use or transfer personal information from individuals located in the European Union in connection with our business, including in connection with conducting clinical trials in the European Union. Additionally, if any of our product candidates are approved, we may seek to commercialize those products in the European Union. The collection and use of personal health data in the European Union is governed by the provisions of the General Data Protection Regulation ((EU) 2016/679), or the GDPR. This legislation imposes requirements relating to having legal bases for processing personal information relating to identifiable individuals and transferring such information outside of the European Economic Area,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imposes additional responsibilities and liabilities in relation to personal data that we process and we may be required to put in place additional mechanisms ensuring compliance with the new data protection rules. Failure to comply with the requirements of the GDPR and related national data protection laws of the member states of the European Union may result in substantial fines, other administrative penalties and civil claims being brought against us, which could have a material adverse effect on our business, financial condition and results of operations.</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We use and generate materials that may expose us to material liability.</w:t>
      </w:r>
    </w:p>
    <w:p>
      <w:pPr>
        <w:spacing w:after="0" w:line="126" w:lineRule="exact"/>
        <w:rPr>
          <w:sz w:val="20"/>
          <w:szCs w:val="20"/>
          <w:color w:val="auto"/>
        </w:rPr>
      </w:pPr>
    </w:p>
    <w:p>
      <w:pPr>
        <w:ind w:left="380" w:right="60" w:firstLine="534"/>
        <w:spacing w:after="0" w:line="250" w:lineRule="auto"/>
        <w:rPr>
          <w:sz w:val="20"/>
          <w:szCs w:val="20"/>
          <w:color w:val="auto"/>
        </w:rPr>
      </w:pPr>
      <w:r>
        <w:rPr>
          <w:rFonts w:ascii="Arial" w:cs="Arial" w:eastAsia="Arial" w:hAnsi="Arial"/>
          <w:sz w:val="17"/>
          <w:szCs w:val="17"/>
          <w:color w:val="auto"/>
        </w:rPr>
        <w:t>Our research programs involve the use of hazardous materials, chemicals and radioactive and biological materials. We are subject to foreign, federal, state and local environmental and health and safety laws and regulations governing, among other matters, the use, manufacture, handling, storage and disposal of hazardous materials and waste products. We may incur significant costs to comply with</w:t>
      </w:r>
    </w:p>
    <w:p>
      <w:pPr>
        <w:spacing w:after="0" w:line="12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040"/>
          </w:cols>
          <w:pgMar w:left="240" w:top="449" w:right="61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60"/>
        <w:spacing w:after="0" w:line="245" w:lineRule="auto"/>
        <w:rPr>
          <w:sz w:val="20"/>
          <w:szCs w:val="20"/>
          <w:color w:val="auto"/>
        </w:rPr>
      </w:pPr>
      <w:r>
        <w:rPr>
          <w:rFonts w:ascii="Arial" w:cs="Arial" w:eastAsia="Arial" w:hAnsi="Arial"/>
          <w:sz w:val="17"/>
          <w:szCs w:val="17"/>
          <w:color w:val="auto"/>
        </w:rPr>
        <w:t>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27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Risks Related to Our Dependence on Merck and Other Third Parties</w:t>
      </w:r>
    </w:p>
    <w:p>
      <w:pPr>
        <w:spacing w:after="0" w:line="212" w:lineRule="exact"/>
        <w:rPr>
          <w:sz w:val="20"/>
          <w:szCs w:val="20"/>
          <w:color w:val="auto"/>
        </w:rPr>
      </w:pPr>
    </w:p>
    <w:p>
      <w:pPr>
        <w:jc w:val="both"/>
        <w:ind w:left="380" w:right="100"/>
        <w:spacing w:after="0" w:line="262" w:lineRule="auto"/>
        <w:rPr>
          <w:sz w:val="20"/>
          <w:szCs w:val="20"/>
          <w:color w:val="auto"/>
        </w:rPr>
      </w:pPr>
      <w:r>
        <w:rPr>
          <w:rFonts w:ascii="Arial" w:cs="Arial" w:eastAsia="Arial" w:hAnsi="Arial"/>
          <w:sz w:val="17"/>
          <w:szCs w:val="17"/>
          <w:b w:val="1"/>
          <w:bCs w:val="1"/>
          <w:i w:val="1"/>
          <w:iCs w:val="1"/>
          <w:color w:val="auto"/>
        </w:rPr>
        <w:t>We depend on our collaboration with Merck and may depend on collaborations with additional third parties for the development and commercialization of our product candidates in the future. If those collaborations are not successful, we may not be able to capitalize on the market potential of these product candidates.</w:t>
      </w:r>
    </w:p>
    <w:p>
      <w:pPr>
        <w:spacing w:after="0" w:line="74" w:lineRule="exact"/>
        <w:rPr>
          <w:sz w:val="20"/>
          <w:szCs w:val="20"/>
          <w:color w:val="auto"/>
        </w:rPr>
      </w:pPr>
    </w:p>
    <w:p>
      <w:pPr>
        <w:ind w:left="380" w:firstLine="534"/>
        <w:spacing w:after="0" w:line="242" w:lineRule="auto"/>
        <w:rPr>
          <w:sz w:val="20"/>
          <w:szCs w:val="20"/>
          <w:color w:val="auto"/>
        </w:rPr>
      </w:pPr>
      <w:r>
        <w:rPr>
          <w:rFonts w:ascii="Arial" w:cs="Arial" w:eastAsia="Arial" w:hAnsi="Arial"/>
          <w:sz w:val="17"/>
          <w:szCs w:val="17"/>
          <w:color w:val="auto"/>
        </w:rPr>
        <w:t>In February 2015, we entered into a collaboration with Merck focused on the discovery, development and commercialization of biologics, including NGM313, NGM386, NGM395, NGM217, NGM120 and NGM621 but excluding NGM282. In November 2018, Merck exercised its option to license NGM313. On March 1, 2019, Merck notified us of its intent to terminate its license to the GDF15 receptor agonist program, including NGM386 and NGM395, effective May 31, 2019. On March 15, 2019, Merck exercised its option to extend the collaboration for an additional two years, from March 2020 through March 17, 2022. The collaboration involves a complex allocation of rights, provides for substantial research and development support, provides for additional payments upon Merck’s election to extend the term of the research program and provides us with either milestone payments based on the achievement of specified clinical development, regulatory and commercial milestones and royalty-based revenue if certain product candidates are successfully commercialized or a cost and profit sharing arrangement with the possibility of providing sales representatives to co-detail the product candidates that Merck elects to advance in the United States. See “Business—Our Collaboration with Merck.” We cannot predict the success of the collaboration, including whether Merck exercises its option to license additional product candidates or terminates its license to a program.</w:t>
      </w:r>
    </w:p>
    <w:p>
      <w:pPr>
        <w:spacing w:after="0" w:line="202" w:lineRule="exact"/>
        <w:rPr>
          <w:sz w:val="20"/>
          <w:szCs w:val="20"/>
          <w:color w:val="auto"/>
        </w:rPr>
      </w:pPr>
    </w:p>
    <w:p>
      <w:pPr>
        <w:ind w:left="380" w:right="40" w:firstLine="534"/>
        <w:spacing w:after="0" w:line="244" w:lineRule="auto"/>
        <w:rPr>
          <w:sz w:val="20"/>
          <w:szCs w:val="20"/>
          <w:color w:val="auto"/>
        </w:rPr>
      </w:pPr>
      <w:r>
        <w:rPr>
          <w:rFonts w:ascii="Arial" w:cs="Arial" w:eastAsia="Arial" w:hAnsi="Arial"/>
          <w:sz w:val="17"/>
          <w:szCs w:val="17"/>
          <w:color w:val="auto"/>
        </w:rPr>
        <w:t>We may seek other third-party collaborators for the development and commercialization of any product candidates that are not subject to the Merck collaboration, including NGM282. Our likely collaborators for any collaboration arrangements include large and mid-size pharmaceutical companies, regional and national pharmaceutical companies and biotechnology companies. If we enter into any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19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Collaborations involving our product candidates, including our collaboration with Merck, pose risks to us, including the following:</w:t>
      </w:r>
    </w:p>
    <w:p>
      <w:pPr>
        <w:spacing w:after="0" w:line="119" w:lineRule="exact"/>
        <w:rPr>
          <w:sz w:val="20"/>
          <w:szCs w:val="20"/>
          <w:color w:val="auto"/>
        </w:rPr>
      </w:pPr>
    </w:p>
    <w:p>
      <w:pPr>
        <w:ind w:left="1100" w:right="20" w:hanging="205"/>
        <w:spacing w:after="0" w:line="244" w:lineRule="auto"/>
        <w:tabs>
          <w:tab w:leader="none" w:pos="11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efforts and resources that they will apply to these collaborations. For example, under our collaboration with Merck, once proof-of-concept data has been generated and Merck has exercised its option to acquire an exclusive license for a product candidate, our ability to influence the resources Merck devotes to such product candidate will be substantially reduced until such time, if any, that we exercise our right to participate in a cost and profit sharing arrangement. Even after we exercise that right to participate in a cost and profit sharing arrangement, our ability to influence Merck will be limited.</w:t>
      </w:r>
    </w:p>
    <w:p>
      <w:pPr>
        <w:spacing w:after="0" w:line="302" w:lineRule="exact"/>
        <w:rPr>
          <w:rFonts w:ascii="Arial" w:cs="Arial" w:eastAsia="Arial" w:hAnsi="Arial"/>
          <w:sz w:val="17"/>
          <w:szCs w:val="17"/>
          <w:color w:val="auto"/>
        </w:rPr>
      </w:pPr>
    </w:p>
    <w:p>
      <w:pPr>
        <w:ind w:left="1100" w:right="100" w:hanging="205"/>
        <w:spacing w:after="0" w:line="258" w:lineRule="auto"/>
        <w:tabs>
          <w:tab w:leader="none" w:pos="11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Collaborators might opt not to pursue development and commercialization of our product candidates or not to continue or renew development or commercialization programs based on</w:t>
      </w:r>
    </w:p>
    <w:p>
      <w:pPr>
        <w:spacing w:after="0" w:line="1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060"/>
          </w:cols>
          <w:pgMar w:left="240" w:top="449" w:right="59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1120" w:right="180"/>
        <w:spacing w:after="0" w:line="247" w:lineRule="auto"/>
        <w:rPr>
          <w:sz w:val="20"/>
          <w:szCs w:val="20"/>
          <w:color w:val="auto"/>
        </w:rPr>
      </w:pPr>
      <w:r>
        <w:rPr>
          <w:rFonts w:ascii="Arial" w:cs="Arial" w:eastAsia="Arial" w:hAnsi="Arial"/>
          <w:sz w:val="17"/>
          <w:szCs w:val="17"/>
          <w:color w:val="auto"/>
        </w:rPr>
        <w:t>clinical trial results, changes in the collaborator’s strategic focus or available funding or external factors such as an acquisition that diverts resources or creates competing priorities. For example, Merck might opt not to exercise its option to acquire a license to a product candidate that has generated proof-of-concept data, or Merck may opt to terminate a program, as it did for NGM386 and NGM395.</w:t>
      </w:r>
    </w:p>
    <w:p>
      <w:pPr>
        <w:spacing w:after="0" w:line="99" w:lineRule="exact"/>
        <w:rPr>
          <w:sz w:val="20"/>
          <w:szCs w:val="20"/>
          <w:color w:val="auto"/>
        </w:rPr>
      </w:pPr>
    </w:p>
    <w:p>
      <w:pPr>
        <w:ind w:left="1100" w:hanging="205"/>
        <w:spacing w:after="0" w:line="244" w:lineRule="auto"/>
        <w:tabs>
          <w:tab w:leader="none" w:pos="11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For example, under our agreement with Merck, it is possible for Merck to terminate the NGM313 program and any program for which we have not exercised our cost and profit sharing option upon prior written notice or terminate any program for which we have exercised our cost and profit sharing option upon prior written notice, without triggering a termination of the remainder of the collaboration arrangement.</w:t>
      </w:r>
    </w:p>
    <w:p>
      <w:pPr>
        <w:spacing w:after="0" w:line="103" w:lineRule="exact"/>
        <w:rPr>
          <w:rFonts w:ascii="Arial" w:cs="Arial" w:eastAsia="Arial" w:hAnsi="Arial"/>
          <w:sz w:val="17"/>
          <w:szCs w:val="17"/>
          <w:color w:val="auto"/>
        </w:rPr>
      </w:pPr>
    </w:p>
    <w:p>
      <w:pPr>
        <w:ind w:left="1100" w:right="380" w:hanging="205"/>
        <w:spacing w:after="0" w:line="250" w:lineRule="auto"/>
        <w:tabs>
          <w:tab w:leader="none" w:pos="11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medicines or product candidates if the collaborators believe that competitive products are more likely to be successfully developed or can be commercialized under terms that are more economically attractive than ours.</w:t>
      </w:r>
    </w:p>
    <w:p>
      <w:pPr>
        <w:spacing w:after="0" w:line="96" w:lineRule="exact"/>
        <w:rPr>
          <w:rFonts w:ascii="Arial" w:cs="Arial" w:eastAsia="Arial" w:hAnsi="Arial"/>
          <w:sz w:val="17"/>
          <w:szCs w:val="17"/>
          <w:color w:val="auto"/>
        </w:rPr>
      </w:pPr>
    </w:p>
    <w:p>
      <w:pPr>
        <w:ind w:left="1100" w:right="540" w:hanging="205"/>
        <w:spacing w:after="0" w:line="258" w:lineRule="auto"/>
        <w:tabs>
          <w:tab w:leader="none" w:pos="11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collaborator with marketing and distribution rights to one or more medicines might not commit sufficient resources to the marketing and distribution of our product candidates.</w:t>
      </w:r>
    </w:p>
    <w:p>
      <w:pPr>
        <w:spacing w:after="0" w:line="90" w:lineRule="exact"/>
        <w:rPr>
          <w:rFonts w:ascii="Arial" w:cs="Arial" w:eastAsia="Arial" w:hAnsi="Arial"/>
          <w:sz w:val="17"/>
          <w:szCs w:val="17"/>
          <w:color w:val="auto"/>
        </w:rPr>
      </w:pPr>
    </w:p>
    <w:p>
      <w:pPr>
        <w:ind w:left="1100" w:right="20" w:hanging="205"/>
        <w:spacing w:after="0" w:line="245" w:lineRule="auto"/>
        <w:tabs>
          <w:tab w:leader="none" w:pos="11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Collaborators might not properly maintain or defend our intellectual property rights or may use our proprietary information in such a way as to invite litigation that could jeopardize or invalidate our proprietary information or expose us to potential litigation. For example, Merck has the first right to maintain or defend our intellectual property rights under our collaboration arrangement with respect to certain licensed programs and, although we may have the right to assume the maintenance and defense of our intellectual property rights if Merck does not, our ability to do so may be compromised by Merck’s actions.</w:t>
      </w:r>
    </w:p>
    <w:p>
      <w:pPr>
        <w:spacing w:after="0" w:line="102" w:lineRule="exact"/>
        <w:rPr>
          <w:rFonts w:ascii="Arial" w:cs="Arial" w:eastAsia="Arial" w:hAnsi="Arial"/>
          <w:sz w:val="17"/>
          <w:szCs w:val="17"/>
          <w:color w:val="auto"/>
        </w:rPr>
      </w:pPr>
    </w:p>
    <w:p>
      <w:pPr>
        <w:ind w:left="1100" w:right="100" w:hanging="205"/>
        <w:spacing w:after="0" w:line="250" w:lineRule="auto"/>
        <w:tabs>
          <w:tab w:leader="none" w:pos="11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spacing w:after="0" w:line="96" w:lineRule="exact"/>
        <w:rPr>
          <w:rFonts w:ascii="Arial" w:cs="Arial" w:eastAsia="Arial" w:hAnsi="Arial"/>
          <w:sz w:val="17"/>
          <w:szCs w:val="17"/>
          <w:color w:val="auto"/>
        </w:rPr>
      </w:pPr>
    </w:p>
    <w:p>
      <w:pPr>
        <w:ind w:left="1100" w:right="60" w:hanging="205"/>
        <w:spacing w:after="0" w:line="258" w:lineRule="auto"/>
        <w:tabs>
          <w:tab w:leader="none" w:pos="11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lose certain valuable rights under circumstances identified in our collaborations, including, in the case of our agreement with Merck, if we undergo a change in control.</w:t>
      </w:r>
    </w:p>
    <w:p>
      <w:pPr>
        <w:spacing w:after="0" w:line="90" w:lineRule="exact"/>
        <w:rPr>
          <w:rFonts w:ascii="Arial" w:cs="Arial" w:eastAsia="Arial" w:hAnsi="Arial"/>
          <w:sz w:val="17"/>
          <w:szCs w:val="17"/>
          <w:color w:val="auto"/>
        </w:rPr>
      </w:pPr>
    </w:p>
    <w:p>
      <w:pPr>
        <w:ind w:left="1100" w:right="180" w:hanging="205"/>
        <w:spacing w:after="0" w:line="258" w:lineRule="auto"/>
        <w:tabs>
          <w:tab w:leader="none" w:pos="11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Collaborations might be terminated and, if terminated, may result in a need for additional capital to pursue further development or commercialization of the applicable product candidates.</w:t>
      </w:r>
    </w:p>
    <w:p>
      <w:pPr>
        <w:spacing w:after="0" w:line="90" w:lineRule="exact"/>
        <w:rPr>
          <w:rFonts w:ascii="Arial" w:cs="Arial" w:eastAsia="Arial" w:hAnsi="Arial"/>
          <w:sz w:val="17"/>
          <w:szCs w:val="17"/>
          <w:color w:val="auto"/>
        </w:rPr>
      </w:pPr>
    </w:p>
    <w:p>
      <w:pPr>
        <w:ind w:left="1100" w:right="40" w:hanging="205"/>
        <w:spacing w:after="0" w:line="247" w:lineRule="auto"/>
        <w:tabs>
          <w:tab w:leader="none" w:pos="11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Collaboration agreements might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275" w:lineRule="exact"/>
        <w:rPr>
          <w:sz w:val="20"/>
          <w:szCs w:val="20"/>
          <w:color w:val="auto"/>
        </w:rPr>
      </w:pPr>
    </w:p>
    <w:p>
      <w:pPr>
        <w:ind w:left="380" w:right="40"/>
        <w:spacing w:after="0" w:line="262" w:lineRule="auto"/>
        <w:rPr>
          <w:sz w:val="20"/>
          <w:szCs w:val="20"/>
          <w:color w:val="auto"/>
        </w:rPr>
      </w:pPr>
      <w:r>
        <w:rPr>
          <w:rFonts w:ascii="Arial" w:cs="Arial" w:eastAsia="Arial" w:hAnsi="Arial"/>
          <w:sz w:val="17"/>
          <w:szCs w:val="17"/>
          <w:b w:val="1"/>
          <w:bCs w:val="1"/>
          <w:i w:val="1"/>
          <w:iCs w:val="1"/>
          <w:color w:val="auto"/>
        </w:rPr>
        <w:t>Under certain circumstances, Merck may unilaterally terminate its annual funding of our research and development program, terminate or choose not to renew its agreement with us or shift the focus of its research and development funding, any of which would materially and adversely affect our business.</w:t>
      </w:r>
    </w:p>
    <w:p>
      <w:pPr>
        <w:spacing w:after="0" w:line="74" w:lineRule="exact"/>
        <w:rPr>
          <w:sz w:val="20"/>
          <w:szCs w:val="20"/>
          <w:color w:val="auto"/>
        </w:rPr>
      </w:pPr>
    </w:p>
    <w:p>
      <w:pPr>
        <w:ind w:left="380" w:right="160" w:firstLine="534"/>
        <w:spacing w:after="0" w:line="250" w:lineRule="auto"/>
        <w:rPr>
          <w:sz w:val="20"/>
          <w:szCs w:val="20"/>
          <w:color w:val="auto"/>
        </w:rPr>
      </w:pPr>
      <w:r>
        <w:rPr>
          <w:rFonts w:ascii="Arial" w:cs="Arial" w:eastAsia="Arial" w:hAnsi="Arial"/>
          <w:sz w:val="17"/>
          <w:szCs w:val="17"/>
          <w:color w:val="auto"/>
        </w:rPr>
        <w:t>Under our collaboration agreement with Merck, Merck has the right to terminate all or part of the agreement at certain times and under certain circumstances. Merck may terminate the research and early development program effective March 17, 2022 by providing notice to us on or prior to March 17, 2021. Merck may terminate its annual funding of the research program prior to March 17, 2022 if we</w:t>
      </w:r>
    </w:p>
    <w:p>
      <w:pPr>
        <w:spacing w:after="0" w:line="12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040"/>
          </w:cols>
          <w:pgMar w:left="240" w:top="449" w:right="61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spacing w:after="0" w:line="244" w:lineRule="auto"/>
        <w:rPr>
          <w:sz w:val="20"/>
          <w:szCs w:val="20"/>
          <w:color w:val="auto"/>
        </w:rPr>
      </w:pPr>
      <w:r>
        <w:rPr>
          <w:rFonts w:ascii="Arial" w:cs="Arial" w:eastAsia="Arial" w:hAnsi="Arial"/>
          <w:sz w:val="17"/>
          <w:szCs w:val="17"/>
          <w:color w:val="auto"/>
        </w:rPr>
        <w:t>are acquired by a third party or if we are in material uncured breach of our obligations under the research and early development program. During the initial term of the Merck collaboration, the departure of Dr. Chen as our employee or director of our research (other than on account of his employment by Merck) gives rise to the right of Merck to shift the focus of the research and development funding provided by Merck to concentrate on the development of later-stage product candidates, but Merck would not have the right to terminate or otherwise alter the conduct of the collaboration. After the initial term of the collaboration or, if Merck exercises its option to extend the term, after such extension period, Merck may terminate the overall agreement for convenience upon written notice and subject to certain limitations.</w:t>
      </w:r>
    </w:p>
    <w:p>
      <w:pPr>
        <w:spacing w:after="0" w:line="392" w:lineRule="exact"/>
        <w:rPr>
          <w:sz w:val="20"/>
          <w:szCs w:val="20"/>
          <w:color w:val="auto"/>
        </w:rPr>
      </w:pPr>
    </w:p>
    <w:p>
      <w:pPr>
        <w:ind w:left="380" w:right="20" w:firstLine="534"/>
        <w:spacing w:after="0" w:line="244" w:lineRule="auto"/>
        <w:rPr>
          <w:sz w:val="20"/>
          <w:szCs w:val="20"/>
          <w:color w:val="auto"/>
        </w:rPr>
      </w:pPr>
      <w:r>
        <w:rPr>
          <w:rFonts w:ascii="Arial" w:cs="Arial" w:eastAsia="Arial" w:hAnsi="Arial"/>
          <w:sz w:val="17"/>
          <w:szCs w:val="17"/>
          <w:color w:val="auto"/>
        </w:rPr>
        <w:t>Subject to certain limitations, Merck may partially terminate the agreement for convenience as it relates to NGM313 or any future optioned program. On March 1, 2019, Merck notified us of its intent to terminate its license to the GDF15 receptor agonist program, effective May 31, 2019. Merck may also terminate the agreement as it relates to its rights to research and develop small molecule compounds. It may also terminate the agreement with respect to a specific optioned program, such as NGM313, in the event of an uncured material breach by us. If Merck terminates a program as a result of our uncured material breach, then we would lose our option to participate in global cost and profit sharing if not yet exercised as of the time of termination, and lose our co-detailing option (whether or not exercised as of that time) for the relevant optioned program.</w:t>
      </w:r>
    </w:p>
    <w:p>
      <w:pPr>
        <w:spacing w:after="0" w:line="193" w:lineRule="exact"/>
        <w:rPr>
          <w:sz w:val="20"/>
          <w:szCs w:val="20"/>
          <w:color w:val="auto"/>
        </w:rPr>
      </w:pPr>
    </w:p>
    <w:p>
      <w:pPr>
        <w:ind w:left="380" w:firstLine="534"/>
        <w:spacing w:after="0" w:line="250" w:lineRule="auto"/>
        <w:rPr>
          <w:sz w:val="20"/>
          <w:szCs w:val="20"/>
          <w:color w:val="auto"/>
        </w:rPr>
      </w:pPr>
      <w:r>
        <w:rPr>
          <w:rFonts w:ascii="Arial" w:cs="Arial" w:eastAsia="Arial" w:hAnsi="Arial"/>
          <w:sz w:val="17"/>
          <w:szCs w:val="17"/>
          <w:color w:val="auto"/>
        </w:rPr>
        <w:t>If Merck terminates funding, terminates the collaboration agreement, decides not to further extend the research phase of the collaboration or shifts the focus of its research and development funding, it could impede our ability to fund and complete our research and development programs, which would materially and adversely affect our business.</w:t>
      </w:r>
    </w:p>
    <w:p>
      <w:pPr>
        <w:spacing w:after="0" w:line="273" w:lineRule="exact"/>
        <w:rPr>
          <w:sz w:val="20"/>
          <w:szCs w:val="20"/>
          <w:color w:val="auto"/>
        </w:rPr>
      </w:pPr>
    </w:p>
    <w:p>
      <w:pPr>
        <w:ind w:left="380" w:right="620"/>
        <w:spacing w:after="0" w:line="283" w:lineRule="auto"/>
        <w:rPr>
          <w:sz w:val="20"/>
          <w:szCs w:val="20"/>
          <w:color w:val="auto"/>
        </w:rPr>
      </w:pPr>
      <w:r>
        <w:rPr>
          <w:rFonts w:ascii="Arial" w:cs="Arial" w:eastAsia="Arial" w:hAnsi="Arial"/>
          <w:sz w:val="17"/>
          <w:szCs w:val="17"/>
          <w:b w:val="1"/>
          <w:bCs w:val="1"/>
          <w:i w:val="1"/>
          <w:iCs w:val="1"/>
          <w:color w:val="auto"/>
        </w:rPr>
        <w:t>We may not be able to obtain and maintain the third party relationships that are necessary to develop, commercialize and manufacture some or all of our product candidates.</w:t>
      </w:r>
    </w:p>
    <w:p>
      <w:pPr>
        <w:spacing w:after="0" w:line="57" w:lineRule="exact"/>
        <w:rPr>
          <w:sz w:val="20"/>
          <w:szCs w:val="20"/>
          <w:color w:val="auto"/>
        </w:rPr>
      </w:pPr>
    </w:p>
    <w:p>
      <w:pPr>
        <w:ind w:left="380" w:right="20" w:firstLine="534"/>
        <w:spacing w:after="0" w:line="244" w:lineRule="auto"/>
        <w:rPr>
          <w:sz w:val="20"/>
          <w:szCs w:val="20"/>
          <w:color w:val="auto"/>
        </w:rPr>
      </w:pPr>
      <w:r>
        <w:rPr>
          <w:rFonts w:ascii="Arial" w:cs="Arial" w:eastAsia="Arial" w:hAnsi="Arial"/>
          <w:sz w:val="17"/>
          <w:szCs w:val="17"/>
          <w:color w:val="auto"/>
        </w:rPr>
        <w:t>In addition to our dependence on our collaboration with Merck, we expect to depend on other collaborators, partners, licensees, clinical research organizations, manufacturers and other third parties to support our discovery efforts, to formulate product candidates, to conduct clinical trials for some or all of our product candidates, to manufacture clinical and commercial scale quantities of our drug substance and drug product and to market, sell and distribute any products we successfully develop. Any problems we experience with any of these third parties could delay the development, commercialization and manufacturing of our product candidates, which could harm our results of operations.</w:t>
      </w:r>
    </w:p>
    <w:p>
      <w:pPr>
        <w:spacing w:after="0" w:line="196" w:lineRule="exact"/>
        <w:rPr>
          <w:sz w:val="20"/>
          <w:szCs w:val="20"/>
          <w:color w:val="auto"/>
        </w:rPr>
      </w:pPr>
    </w:p>
    <w:p>
      <w:pPr>
        <w:ind w:left="380" w:right="80" w:firstLine="534"/>
        <w:spacing w:after="0" w:line="245" w:lineRule="auto"/>
        <w:rPr>
          <w:sz w:val="20"/>
          <w:szCs w:val="20"/>
          <w:color w:val="auto"/>
        </w:rPr>
      </w:pPr>
      <w:r>
        <w:rPr>
          <w:rFonts w:ascii="Arial" w:cs="Arial" w:eastAsia="Arial" w:hAnsi="Arial"/>
          <w:sz w:val="17"/>
          <w:szCs w:val="17"/>
          <w:color w:val="auto"/>
        </w:rPr>
        <w:t>We have contracted with third parties for the manufacture of NGM282, NGM313, NGM386, NGM395, NGM217, NGM120 and NGM621 bulk drug substance and drug product, and for the labeling and distribution of drug product for these candidates for use in our clinical trials. We believe our current drug substance contractors have the scale, the systems and the experience to supply our Phase 2 and Phase 2b clinical trials for NGM282, our collaborator’s Phase 1 and Phase 2b clinical trials for NGM313, our Phase 1 clinical trials for NGM217 and NGM120 and our planned Phase 1 clinical trial for NGM621.</w:t>
      </w:r>
    </w:p>
    <w:p>
      <w:pPr>
        <w:spacing w:after="0" w:line="194" w:lineRule="exact"/>
        <w:rPr>
          <w:sz w:val="20"/>
          <w:szCs w:val="20"/>
          <w:color w:val="auto"/>
        </w:rPr>
      </w:pPr>
    </w:p>
    <w:p>
      <w:pPr>
        <w:ind w:left="380" w:right="80" w:firstLine="534"/>
        <w:spacing w:after="0" w:line="247" w:lineRule="auto"/>
        <w:rPr>
          <w:sz w:val="20"/>
          <w:szCs w:val="20"/>
          <w:color w:val="auto"/>
        </w:rPr>
      </w:pPr>
      <w:r>
        <w:rPr>
          <w:rFonts w:ascii="Arial" w:cs="Arial" w:eastAsia="Arial" w:hAnsi="Arial"/>
          <w:sz w:val="17"/>
          <w:szCs w:val="17"/>
          <w:color w:val="auto"/>
        </w:rPr>
        <w:t>Other than a long-term supply agreement with Lonza for NGM282, we have not contracted with alternate suppliers in the event the organizations we are currently utilizing are unable to scale production, or if we otherwise experience any problems with them. If we are unable to arrange for alternative third-party manufacturing sources, or to do so on commercially reasonable terms or in a timely manner, we may be delayed in the development of our product candidates.</w:t>
      </w:r>
    </w:p>
    <w:p>
      <w:pPr>
        <w:spacing w:after="0" w:line="190" w:lineRule="exact"/>
        <w:rPr>
          <w:sz w:val="20"/>
          <w:szCs w:val="20"/>
          <w:color w:val="auto"/>
        </w:rPr>
      </w:pPr>
    </w:p>
    <w:p>
      <w:pPr>
        <w:ind w:left="380" w:right="400" w:firstLine="534"/>
        <w:spacing w:after="0" w:line="258" w:lineRule="auto"/>
        <w:rPr>
          <w:sz w:val="20"/>
          <w:szCs w:val="20"/>
          <w:color w:val="auto"/>
        </w:rPr>
      </w:pPr>
      <w:r>
        <w:rPr>
          <w:rFonts w:ascii="Arial" w:cs="Arial" w:eastAsia="Arial" w:hAnsi="Arial"/>
          <w:sz w:val="17"/>
          <w:szCs w:val="17"/>
          <w:color w:val="auto"/>
        </w:rPr>
        <w:t>Reliance on third-party manufacturers entails risks to which we would not be subject if we manufactured product candidates or products ourselves, including reliance on third parties for</w:t>
      </w:r>
    </w:p>
    <w:p>
      <w:pPr>
        <w:spacing w:after="0" w:line="1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040"/>
          </w:cols>
          <w:pgMar w:left="240" w:top="449" w:right="61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80"/>
        <w:spacing w:after="0" w:line="247" w:lineRule="auto"/>
        <w:rPr>
          <w:sz w:val="20"/>
          <w:szCs w:val="20"/>
          <w:color w:val="auto"/>
        </w:rPr>
      </w:pPr>
      <w:r>
        <w:rPr>
          <w:rFonts w:ascii="Arial" w:cs="Arial" w:eastAsia="Arial" w:hAnsi="Arial"/>
          <w:sz w:val="17"/>
          <w:szCs w:val="17"/>
          <w:color w:val="auto"/>
        </w:rPr>
        <w:t>regulatory compliance and quality assurance, the possibility of breach of the manufacturing agreement by third parties because of factors beyond our control (including a failure to manufacture our product candidates or any products we may eventually commercialize in accordance with our specifications) and the possibility of termination or nonrenewal of agreements by third parties, based on its own business priorities, at a time that is costly or damaging to us.</w:t>
      </w:r>
    </w:p>
    <w:p>
      <w:pPr>
        <w:spacing w:after="0" w:line="190"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If any of our product candidates are approved by the FDA or other regulatory agencies for commercial sale, we or our collaborator may need to manufacture it in larger quantities. We intend to use third-party manufacturers for commercial quantities of NGM282, NGM386, NGM395, NGM217, NGM120 and NGM621 to the extent we advance these product candidates and will rely on our collaborator to determine whether to utilize a third-party manufacturer or internal manufacturing capacity for NGM313 and other optioned product candidates. Our or our collaborator’s manufacturers may not be able to successfully increase the manufacturing capacity for any of our product candidates in a timely or efficient manner, or at all. If we or our collaborator are unable to successfully increase the manufacturing capacity for a product candidate, the regulatory approval or commercial launch of that product candidate may be delayed or there may be a shortage in the supply of the product candidate. Our or our collaborator’s failure or the failure of third-party manufacturers to comply with the FDA’s cGMP and to pass inspections of the manufacturing facilities by the FDA or other regulatory agencies could seriously harm our business.</w:t>
      </w:r>
    </w:p>
    <w:p>
      <w:pPr>
        <w:spacing w:after="0" w:line="392" w:lineRule="exact"/>
        <w:rPr>
          <w:sz w:val="20"/>
          <w:szCs w:val="20"/>
          <w:color w:val="auto"/>
        </w:rPr>
      </w:pPr>
    </w:p>
    <w:p>
      <w:pPr>
        <w:ind w:left="380" w:right="180" w:firstLine="534"/>
        <w:spacing w:after="0" w:line="247" w:lineRule="auto"/>
        <w:rPr>
          <w:sz w:val="20"/>
          <w:szCs w:val="20"/>
          <w:color w:val="auto"/>
        </w:rPr>
      </w:pPr>
      <w:r>
        <w:rPr>
          <w:rFonts w:ascii="Arial" w:cs="Arial" w:eastAsia="Arial" w:hAnsi="Arial"/>
          <w:sz w:val="17"/>
          <w:szCs w:val="17"/>
          <w:color w:val="auto"/>
        </w:rPr>
        <w:t>We cannot guarantee that we or, as applicable, our collaborator will be able to successfully negotiate agreements for, or maintain relationships with, collaborators, partners, licensees, clinical investigators, manufacturers and other third parties on favorable terms, if at all. If we or our collaborator are unable to obtain or maintain these agreements, we may not be able to clinically develop, formulate, manufacture, obtain regulatory approvals for or commercialize our product candidates, which will in turn adversely affect our business.</w:t>
      </w:r>
    </w:p>
    <w:p>
      <w:pPr>
        <w:spacing w:after="0" w:line="190" w:lineRule="exact"/>
        <w:rPr>
          <w:sz w:val="20"/>
          <w:szCs w:val="20"/>
          <w:color w:val="auto"/>
        </w:rPr>
      </w:pPr>
    </w:p>
    <w:p>
      <w:pPr>
        <w:ind w:left="380" w:right="40" w:firstLine="534"/>
        <w:spacing w:after="0" w:line="243" w:lineRule="auto"/>
        <w:rPr>
          <w:sz w:val="20"/>
          <w:szCs w:val="20"/>
          <w:color w:val="auto"/>
        </w:rPr>
      </w:pPr>
      <w:r>
        <w:rPr>
          <w:rFonts w:ascii="Arial" w:cs="Arial" w:eastAsia="Arial" w:hAnsi="Arial"/>
          <w:sz w:val="17"/>
          <w:szCs w:val="17"/>
          <w:color w:val="auto"/>
        </w:rPr>
        <w:t>We and our collaborator expect to expend substantial management time and effort to enter into relationships with third parties and, if we or our collaborator successfully enter into such relationships, to manage these relationships. In addition, substantial amounts of our expenditures will be paid to third parties in these relationships. However, we cannot control the amount or timing of resources our contract partners will devote to our research and development programs, product candidates or potential product candidates, and we cannot guarantee that these parties will fulfill their obligations to us under these arrangements in a timely fashion, if at all. In addition, we are less knowledgeable about the reputation and quality of third-party contractors in countries outside of the United States where we conduct discovery research, preclinical and clinical development and manufacturing of our programs and, therefore, enter into these relationships with less information than if these third parties were in the United States and may not choose the best parties for these relationships.</w:t>
      </w:r>
    </w:p>
    <w:p>
      <w:pPr>
        <w:spacing w:after="0" w:line="282" w:lineRule="exact"/>
        <w:rPr>
          <w:sz w:val="20"/>
          <w:szCs w:val="20"/>
          <w:color w:val="auto"/>
        </w:rPr>
      </w:pPr>
    </w:p>
    <w:p>
      <w:pPr>
        <w:ind w:left="380" w:right="60"/>
        <w:spacing w:after="0" w:line="283" w:lineRule="auto"/>
        <w:rPr>
          <w:sz w:val="20"/>
          <w:szCs w:val="20"/>
          <w:color w:val="auto"/>
        </w:rPr>
      </w:pPr>
      <w:r>
        <w:rPr>
          <w:rFonts w:ascii="Arial" w:cs="Arial" w:eastAsia="Arial" w:hAnsi="Arial"/>
          <w:sz w:val="17"/>
          <w:szCs w:val="17"/>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57" w:lineRule="exact"/>
        <w:rPr>
          <w:sz w:val="20"/>
          <w:szCs w:val="20"/>
          <w:color w:val="auto"/>
        </w:rPr>
      </w:pPr>
    </w:p>
    <w:p>
      <w:pPr>
        <w:jc w:val="both"/>
        <w:ind w:left="380" w:right="220" w:firstLine="534"/>
        <w:spacing w:after="0" w:line="250" w:lineRule="auto"/>
        <w:rPr>
          <w:sz w:val="20"/>
          <w:szCs w:val="20"/>
          <w:color w:val="auto"/>
        </w:rPr>
      </w:pPr>
      <w:r>
        <w:rPr>
          <w:rFonts w:ascii="Arial" w:cs="Arial" w:eastAsia="Arial" w:hAnsi="Arial"/>
          <w:sz w:val="17"/>
          <w:szCs w:val="17"/>
          <w:color w:val="auto"/>
        </w:rPr>
        <w:t>Our drug development programs and the potential commercialization of our product candidates will require substantial additional cash to fund expenses. For product candidates not partnered with Merck, such as NGM282, NGM386 and NGM395, we may decide to collaborate with other pharmaceutical and biotechnology companies for their development and potential commercialization.</w:t>
      </w:r>
    </w:p>
    <w:p>
      <w:pPr>
        <w:spacing w:after="0" w:line="188" w:lineRule="exact"/>
        <w:rPr>
          <w:sz w:val="20"/>
          <w:szCs w:val="20"/>
          <w:color w:val="auto"/>
        </w:rPr>
      </w:pPr>
    </w:p>
    <w:p>
      <w:pPr>
        <w:ind w:left="380" w:right="40" w:firstLine="534"/>
        <w:spacing w:after="0" w:line="247"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w:t>
      </w:r>
    </w:p>
    <w:p>
      <w:pPr>
        <w:spacing w:after="0" w:line="125"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020"/>
          </w:cols>
          <w:pgMar w:left="240" w:top="449" w:right="6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20"/>
        <w:spacing w:after="0" w:line="245" w:lineRule="auto"/>
        <w:rPr>
          <w:sz w:val="20"/>
          <w:szCs w:val="20"/>
          <w:color w:val="auto"/>
        </w:rPr>
      </w:pPr>
      <w:r>
        <w:rPr>
          <w:rFonts w:ascii="Arial" w:cs="Arial" w:eastAsia="Arial" w:hAnsi="Arial"/>
          <w:sz w:val="17"/>
          <w:szCs w:val="17"/>
          <w:color w:val="auto"/>
        </w:rPr>
        <w:t>the United States, the potential market for the subject product candidate, the costs and complexities of manufacturing and delivering such product candidate to patients, the potential of competing products and the existence of uncertainty with respect to our ownership of technology, which can exist if there is a challenge to such ownership without regard to the merits of the challenge and industry and market conditions generally. The collaborators may also consider alternative product candidates or technologies for similar indications that may be available to collaborate on and whether such a collaboration could be more attractive than the one with us for our product candidate.</w:t>
      </w:r>
    </w:p>
    <w:p>
      <w:pPr>
        <w:spacing w:after="0" w:line="194" w:lineRule="exact"/>
        <w:rPr>
          <w:sz w:val="20"/>
          <w:szCs w:val="20"/>
          <w:color w:val="auto"/>
        </w:rPr>
      </w:pPr>
    </w:p>
    <w:p>
      <w:pPr>
        <w:ind w:left="380" w:right="40" w:firstLine="534"/>
        <w:spacing w:after="0" w:line="244" w:lineRule="auto"/>
        <w:rPr>
          <w:sz w:val="20"/>
          <w:szCs w:val="20"/>
          <w:color w:val="auto"/>
        </w:rPr>
      </w:pPr>
      <w:r>
        <w:rPr>
          <w:rFonts w:ascii="Arial" w:cs="Arial" w:eastAsia="Arial" w:hAnsi="Arial"/>
          <w:sz w:val="17"/>
          <w:szCs w:val="17"/>
          <w:color w:val="auto"/>
        </w:rPr>
        <w:t>We may also be restricted under existing collaboration agreements from entering into future agreements on certain terms with potential collaborators. For example, under our collaboration agreement with Merck, we may not directly or indirectly research, develop, manufacture or commercialize, except pursuant to the agreement, any medicine or product candidate that modulates a target then subject to the collaboration with specified activity. The FGF19 program, including NGM282, is excluded from this provision, notwithstanding that both NGM282 and NGM313 signal through the FGFR1c pathway. During the tail period following the research term, we may not directly or indirectly research, develop or commercialize, outside of the collaboration, any medicine or product candidate with specified activity against any collaboration target that has been designated a tail target.</w:t>
      </w:r>
    </w:p>
    <w:p>
      <w:pPr>
        <w:spacing w:after="0" w:line="193" w:lineRule="exact"/>
        <w:rPr>
          <w:sz w:val="20"/>
          <w:szCs w:val="20"/>
          <w:color w:val="auto"/>
        </w:rPr>
      </w:pPr>
    </w:p>
    <w:p>
      <w:pPr>
        <w:jc w:val="both"/>
        <w:ind w:left="380" w:right="200" w:firstLine="534"/>
        <w:spacing w:after="0" w:line="258" w:lineRule="auto"/>
        <w:rPr>
          <w:sz w:val="20"/>
          <w:szCs w:val="20"/>
          <w:color w:val="auto"/>
        </w:rPr>
      </w:pPr>
      <w:r>
        <w:rPr>
          <w:rFonts w:ascii="Arial" w:cs="Arial" w:eastAsia="Arial" w:hAnsi="Arial"/>
          <w:sz w:val="17"/>
          <w:szCs w:val="17"/>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182"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78" w:lineRule="exact"/>
        <w:rPr>
          <w:sz w:val="20"/>
          <w:szCs w:val="20"/>
          <w:color w:val="auto"/>
        </w:rPr>
      </w:pPr>
    </w:p>
    <w:p>
      <w:pPr>
        <w:jc w:val="both"/>
        <w:ind w:left="380" w:right="200"/>
        <w:spacing w:after="0" w:line="283" w:lineRule="auto"/>
        <w:rPr>
          <w:sz w:val="20"/>
          <w:szCs w:val="20"/>
          <w:color w:val="auto"/>
        </w:rPr>
      </w:pPr>
      <w:r>
        <w:rPr>
          <w:rFonts w:ascii="Arial" w:cs="Arial" w:eastAsia="Arial" w:hAnsi="Arial"/>
          <w:sz w:val="17"/>
          <w:szCs w:val="17"/>
          <w:b w:val="1"/>
          <w:bCs w:val="1"/>
          <w:i w:val="1"/>
          <w:iCs w:val="1"/>
          <w:color w:val="auto"/>
        </w:rPr>
        <w:t>We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57" w:lineRule="exact"/>
        <w:rPr>
          <w:sz w:val="20"/>
          <w:szCs w:val="20"/>
          <w:color w:val="auto"/>
        </w:rPr>
      </w:pPr>
    </w:p>
    <w:p>
      <w:pPr>
        <w:ind w:left="380" w:right="140" w:firstLine="534"/>
        <w:spacing w:after="0" w:line="245" w:lineRule="auto"/>
        <w:rPr>
          <w:sz w:val="20"/>
          <w:szCs w:val="20"/>
          <w:color w:val="auto"/>
        </w:rPr>
      </w:pPr>
      <w:r>
        <w:rPr>
          <w:rFonts w:ascii="Arial" w:cs="Arial" w:eastAsia="Arial" w:hAnsi="Arial"/>
          <w:sz w:val="17"/>
          <w:szCs w:val="17"/>
          <w:color w:val="auto"/>
        </w:rPr>
        <w:t>We currently rely on, and expect to continue to rely on, third parties, such as contract research organizations, clinical data management organizations, medical institutions, consultants and clinical investigators, to conduct our clinical trials and certain aspects of our research and preclinical testing. Any of these third parties may terminate their engagements with us at any time. If we need to enter into alternative arrangements, it would delay our product development activities and such alternative arrangements may not be available on terms acceptable to us.</w:t>
      </w:r>
    </w:p>
    <w:p>
      <w:pPr>
        <w:spacing w:after="0" w:line="194" w:lineRule="exact"/>
        <w:rPr>
          <w:sz w:val="20"/>
          <w:szCs w:val="20"/>
          <w:color w:val="auto"/>
        </w:rPr>
      </w:pPr>
    </w:p>
    <w:p>
      <w:pPr>
        <w:ind w:left="380" w:right="120" w:firstLine="534"/>
        <w:spacing w:after="0" w:line="244" w:lineRule="auto"/>
        <w:rPr>
          <w:sz w:val="20"/>
          <w:szCs w:val="20"/>
          <w:color w:val="auto"/>
        </w:rPr>
      </w:pPr>
      <w:r>
        <w:rPr>
          <w:rFonts w:ascii="Arial" w:cs="Arial" w:eastAsia="Arial" w:hAnsi="Arial"/>
          <w:sz w:val="17"/>
          <w:szCs w:val="17"/>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current Good Clinical Practices,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060"/>
          </w:cols>
          <w:pgMar w:left="240" w:top="449" w:right="59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firstLine="534"/>
        <w:spacing w:after="0" w:line="247" w:lineRule="auto"/>
        <w:rPr>
          <w:sz w:val="20"/>
          <w:szCs w:val="20"/>
          <w:color w:val="auto"/>
        </w:rPr>
      </w:pPr>
      <w:r>
        <w:rPr>
          <w:rFonts w:ascii="Arial" w:cs="Arial" w:eastAsia="Arial" w:hAnsi="Arial"/>
          <w:sz w:val="17"/>
          <w:szCs w:val="17"/>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medicines.</w:t>
      </w:r>
    </w:p>
    <w:p>
      <w:pPr>
        <w:spacing w:after="0" w:line="190" w:lineRule="exact"/>
        <w:rPr>
          <w:sz w:val="20"/>
          <w:szCs w:val="20"/>
          <w:color w:val="auto"/>
        </w:rPr>
      </w:pPr>
    </w:p>
    <w:p>
      <w:pPr>
        <w:jc w:val="both"/>
        <w:ind w:left="380" w:right="200" w:firstLine="534"/>
        <w:spacing w:after="0" w:line="250" w:lineRule="auto"/>
        <w:rPr>
          <w:sz w:val="20"/>
          <w:szCs w:val="20"/>
          <w:color w:val="auto"/>
        </w:rPr>
      </w:pPr>
      <w:r>
        <w:rPr>
          <w:rFonts w:ascii="Arial" w:cs="Arial" w:eastAsia="Arial" w:hAnsi="Arial"/>
          <w:sz w:val="17"/>
          <w:szCs w:val="17"/>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medicines, producing additional losses and depriving us of potential product revenue.</w:t>
      </w:r>
    </w:p>
    <w:p>
      <w:pPr>
        <w:spacing w:after="0" w:line="273" w:lineRule="exact"/>
        <w:rPr>
          <w:sz w:val="20"/>
          <w:szCs w:val="20"/>
          <w:color w:val="auto"/>
        </w:rPr>
      </w:pPr>
    </w:p>
    <w:p>
      <w:pPr>
        <w:ind w:left="380" w:right="80"/>
        <w:spacing w:after="0" w:line="255" w:lineRule="auto"/>
        <w:rPr>
          <w:sz w:val="20"/>
          <w:szCs w:val="20"/>
          <w:color w:val="auto"/>
        </w:rPr>
      </w:pPr>
      <w:r>
        <w:rPr>
          <w:rFonts w:ascii="Arial" w:cs="Arial" w:eastAsia="Arial" w:hAnsi="Arial"/>
          <w:sz w:val="17"/>
          <w:szCs w:val="17"/>
          <w:b w:val="1"/>
          <w:bCs w:val="1"/>
          <w:i w:val="1"/>
          <w:iCs w:val="1"/>
          <w:color w:val="auto"/>
        </w:rPr>
        <w:t>We contract with third parties for the manufacture of our product candidates for preclinical testing and expect to continue to do so for clinical trials and for commercialization. This reliance on third parties increases the risk that we will not have sufficient quantities of our product candidates or medicines or that such supply will not be available to us at an acceptable cost, which could delay, prevent or impair our development or commercialization efforts.</w:t>
      </w:r>
    </w:p>
    <w:p>
      <w:pPr>
        <w:spacing w:after="0" w:line="80" w:lineRule="exact"/>
        <w:rPr>
          <w:sz w:val="20"/>
          <w:szCs w:val="20"/>
          <w:color w:val="auto"/>
        </w:rPr>
      </w:pPr>
    </w:p>
    <w:p>
      <w:pPr>
        <w:ind w:left="380" w:firstLine="534"/>
        <w:spacing w:after="0" w:line="245" w:lineRule="auto"/>
        <w:rPr>
          <w:sz w:val="20"/>
          <w:szCs w:val="20"/>
          <w:color w:val="auto"/>
        </w:rPr>
      </w:pPr>
      <w:r>
        <w:rPr>
          <w:rFonts w:ascii="Arial" w:cs="Arial" w:eastAsia="Arial" w:hAnsi="Arial"/>
          <w:sz w:val="17"/>
          <w:szCs w:val="17"/>
          <w:color w:val="auto"/>
        </w:rPr>
        <w:t>We do not have any manufacturing facilities. We currently rely, and expect to continue to rely, on third-party manufacturers for the manufacture of our product candidates for preclinical and clinical testing and for commercial supply of any of these product candidates for which we or our collaborator obtains marketing approval. To date, we have obtained materials for NGM282, NGM313, NGM386, NGM395, NGM217, NGM120 and NGM621 for our preclinical and clinical testing from third-party manufacturers. Other than for a long-term supply agreement with Lonza for NGM282, we do not have a long-term supply agreement with any third-party manufacturer.</w:t>
      </w:r>
    </w:p>
    <w:p>
      <w:pPr>
        <w:spacing w:after="0" w:line="194" w:lineRule="exact"/>
        <w:rPr>
          <w:sz w:val="20"/>
          <w:szCs w:val="20"/>
          <w:color w:val="auto"/>
        </w:rPr>
      </w:pPr>
    </w:p>
    <w:p>
      <w:pPr>
        <w:ind w:left="380" w:firstLine="534"/>
        <w:spacing w:after="0" w:line="258" w:lineRule="auto"/>
        <w:rPr>
          <w:sz w:val="20"/>
          <w:szCs w:val="20"/>
          <w:color w:val="auto"/>
        </w:rPr>
      </w:pPr>
      <w:r>
        <w:rPr>
          <w:rFonts w:ascii="Arial" w:cs="Arial" w:eastAsia="Arial" w:hAnsi="Arial"/>
          <w:sz w:val="17"/>
          <w:szCs w:val="17"/>
          <w:color w:val="auto"/>
        </w:rPr>
        <w:t>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90" w:lineRule="exact"/>
        <w:rPr>
          <w:sz w:val="20"/>
          <w:szCs w:val="20"/>
          <w:color w:val="auto"/>
        </w:rPr>
      </w:pPr>
    </w:p>
    <w:p>
      <w:pPr>
        <w:ind w:left="1100" w:hanging="205"/>
        <w:spacing w:after="0"/>
        <w:tabs>
          <w:tab w:leader="none" w:pos="11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possible breach of the manufacturing agreement by the third party;</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possible termination or nonrenewal of the agreement by the third party at a time that is costly or inconvenient for us; and</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reliance on the third party for regulatory compliance, quality assurance and safety and pharmacovigilance reporting.</w:t>
      </w:r>
    </w:p>
    <w:p>
      <w:pPr>
        <w:spacing w:after="0" w:line="210" w:lineRule="exact"/>
        <w:rPr>
          <w:sz w:val="20"/>
          <w:szCs w:val="20"/>
          <w:color w:val="auto"/>
        </w:rPr>
      </w:pPr>
    </w:p>
    <w:p>
      <w:pPr>
        <w:ind w:left="380" w:right="20" w:firstLine="534"/>
        <w:spacing w:after="0" w:line="245" w:lineRule="auto"/>
        <w:rPr>
          <w:sz w:val="20"/>
          <w:szCs w:val="20"/>
          <w:color w:val="auto"/>
        </w:rPr>
      </w:pPr>
      <w:r>
        <w:rPr>
          <w:rFonts w:ascii="Arial" w:cs="Arial" w:eastAsia="Arial" w:hAnsi="Arial"/>
          <w:sz w:val="17"/>
          <w:szCs w:val="17"/>
          <w:color w:val="auto"/>
        </w:rPr>
        <w:t>Third-party manufacturers may not be able to comply with current Good Manufacturing Practices, or cGMP, regulations or similar regulatory requirements outside the United States. Our failure, or the failure of third-party manufacturers, to comply with applicable regulations could result in sanctions being imposed on us, including fines, injunctions, civil penalties, delays, suspension or withdrawal of approvals, license revocation, seizures or recalls of product candidates or medicines, operating restrictions and criminal prosecutions, any of which could significantly and adversely affect supplies of our medicines and harm our business and results of operations.</w:t>
      </w:r>
    </w:p>
    <w:p>
      <w:pPr>
        <w:spacing w:after="0" w:line="194" w:lineRule="exact"/>
        <w:rPr>
          <w:sz w:val="20"/>
          <w:szCs w:val="20"/>
          <w:color w:val="auto"/>
        </w:rPr>
      </w:pPr>
    </w:p>
    <w:p>
      <w:pPr>
        <w:ind w:left="380" w:right="160" w:firstLine="534"/>
        <w:spacing w:after="0" w:line="253" w:lineRule="auto"/>
        <w:rPr>
          <w:sz w:val="20"/>
          <w:szCs w:val="20"/>
          <w:color w:val="auto"/>
        </w:rPr>
      </w:pPr>
      <w:r>
        <w:rPr>
          <w:rFonts w:ascii="Arial" w:cs="Arial" w:eastAsia="Arial" w:hAnsi="Arial"/>
          <w:sz w:val="17"/>
          <w:szCs w:val="17"/>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387" w:lineRule="exact"/>
        <w:rPr>
          <w:sz w:val="20"/>
          <w:szCs w:val="20"/>
          <w:color w:val="auto"/>
        </w:rPr>
      </w:pPr>
    </w:p>
    <w:p>
      <w:pPr>
        <w:ind w:left="380" w:right="40" w:firstLine="534"/>
        <w:spacing w:after="0" w:line="258"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w:t>
      </w:r>
    </w:p>
    <w:p>
      <w:pPr>
        <w:spacing w:after="0" w:line="11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020"/>
          </w:cols>
          <w:pgMar w:left="240" w:top="449" w:right="63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480"/>
        <w:spacing w:after="0" w:line="250" w:lineRule="auto"/>
        <w:rPr>
          <w:sz w:val="20"/>
          <w:szCs w:val="20"/>
          <w:color w:val="auto"/>
        </w:rPr>
      </w:pPr>
      <w:r>
        <w:rPr>
          <w:rFonts w:ascii="Arial" w:cs="Arial" w:eastAsia="Arial" w:hAnsi="Arial"/>
          <w:sz w:val="17"/>
          <w:szCs w:val="17"/>
          <w:color w:val="auto"/>
        </w:rPr>
        <w:t>supply for bulk drug substances. If any one of our current contract manufacturers cannot perform as agreed, we may be required to replace that manufacturer. Although we believe that there are several potential alternative manufacturers who could manufacture our product candidates, we may incur added costs and delays in identifying and qualifying any such replacement.</w:t>
      </w:r>
    </w:p>
    <w:p>
      <w:pPr>
        <w:spacing w:after="0" w:line="188" w:lineRule="exact"/>
        <w:rPr>
          <w:sz w:val="20"/>
          <w:szCs w:val="20"/>
          <w:color w:val="auto"/>
        </w:rPr>
      </w:pPr>
    </w:p>
    <w:p>
      <w:pPr>
        <w:ind w:left="380" w:right="200" w:firstLine="534"/>
        <w:spacing w:after="0" w:line="250"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medicines may adversely affect our future profit margins and our ability to commercialize any medicines that receive marketing approval on a timely and competitive basis.</w:t>
      </w:r>
    </w:p>
    <w:p>
      <w:pPr>
        <w:spacing w:after="0" w:line="27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Risks Related to Regulatory Approvals</w:t>
      </w:r>
    </w:p>
    <w:p>
      <w:pPr>
        <w:spacing w:after="0" w:line="212" w:lineRule="exact"/>
        <w:rPr>
          <w:sz w:val="20"/>
          <w:szCs w:val="20"/>
          <w:color w:val="auto"/>
        </w:rPr>
      </w:pPr>
    </w:p>
    <w:p>
      <w:pPr>
        <w:ind w:left="380" w:right="20"/>
        <w:spacing w:after="0" w:line="283" w:lineRule="auto"/>
        <w:rPr>
          <w:sz w:val="20"/>
          <w:szCs w:val="20"/>
          <w:color w:val="auto"/>
        </w:rPr>
      </w:pPr>
      <w:r>
        <w:rPr>
          <w:rFonts w:ascii="Arial" w:cs="Arial" w:eastAsia="Arial" w:hAnsi="Arial"/>
          <w:sz w:val="17"/>
          <w:szCs w:val="17"/>
          <w:b w:val="1"/>
          <w:bCs w:val="1"/>
          <w:i w:val="1"/>
          <w:iCs w:val="1"/>
          <w:color w:val="auto"/>
        </w:rPr>
        <w:t>None of our product candidates has received regulatory approvals. If we are unable to obtain regulatory approvals to market one or more of our product candidates, our business will be adversely affected.</w:t>
      </w:r>
    </w:p>
    <w:p>
      <w:pPr>
        <w:spacing w:after="0" w:line="57" w:lineRule="exact"/>
        <w:rPr>
          <w:sz w:val="20"/>
          <w:szCs w:val="20"/>
          <w:color w:val="auto"/>
        </w:rPr>
      </w:pPr>
    </w:p>
    <w:p>
      <w:pPr>
        <w:ind w:left="380" w:right="140" w:firstLine="534"/>
        <w:spacing w:after="0" w:line="242" w:lineRule="auto"/>
        <w:rPr>
          <w:sz w:val="20"/>
          <w:szCs w:val="20"/>
          <w:color w:val="auto"/>
        </w:rPr>
      </w:pPr>
      <w:r>
        <w:rPr>
          <w:rFonts w:ascii="Arial" w:cs="Arial" w:eastAsia="Arial" w:hAnsi="Arial"/>
          <w:sz w:val="17"/>
          <w:szCs w:val="17"/>
          <w:color w:val="auto"/>
        </w:rPr>
        <w:t>We do not expect our product candidates to be commercially available for several years, if at all. Our product candidates are subject to strict regulation by regulatory authorities in the United States and in other countries. We cannot market any product candidate until we have completed all necessary preclinical studies and clinical trials and have obtained the necessary regulatory approvals. We do not know whether regulatory agencies will grant approval for any of our product candidates. Even if we complete preclinical studies and clinical trials successfully, we may not be able to obtain regulatory approvals or we may not receive approvals to make claims about our products that we believe to be necessary to effectively market our products. Data obtained from preclinical studies and clinical trials is subject to varying interpretations that could delay, limit or prevent regulatory approval, and failure to comply with regulatory requirements or inadequate manufacturing processes are examples of other problems that could prevent approval. In addition, we may encounter delays or rejections due to additional government regulation from future legislation, administrative action or changes in the policies of the FDA or comparable foreign regulatory authorities. Even if the FDA or a comparable foreign regulatory authority approves a product, the approval will be limited to those indications covered in the approval.</w:t>
      </w:r>
    </w:p>
    <w:p>
      <w:pPr>
        <w:spacing w:after="0" w:line="287" w:lineRule="exact"/>
        <w:rPr>
          <w:sz w:val="20"/>
          <w:szCs w:val="20"/>
          <w:color w:val="auto"/>
        </w:rPr>
      </w:pPr>
    </w:p>
    <w:p>
      <w:pPr>
        <w:ind w:left="380" w:right="220"/>
        <w:spacing w:after="0" w:line="262" w:lineRule="auto"/>
        <w:rPr>
          <w:sz w:val="20"/>
          <w:szCs w:val="20"/>
          <w:color w:val="auto"/>
        </w:rPr>
      </w:pPr>
      <w:r>
        <w:rPr>
          <w:rFonts w:ascii="Arial" w:cs="Arial" w:eastAsia="Arial" w:hAnsi="Arial"/>
          <w:sz w:val="17"/>
          <w:szCs w:val="17"/>
          <w:b w:val="1"/>
          <w:bCs w:val="1"/>
          <w:i w:val="1"/>
          <w:iCs w:val="1"/>
          <w:color w:val="auto"/>
        </w:rPr>
        <w:t>The regulatory approval processes of the FDA and comparable foreign regulatory authorities are lengthy, time-consuming and inherently unpredictable. Our inability to obtain regulatory approval for our product candidates would substantially harm our business.</w:t>
      </w:r>
    </w:p>
    <w:p>
      <w:pPr>
        <w:spacing w:after="0" w:line="74" w:lineRule="exact"/>
        <w:rPr>
          <w:sz w:val="20"/>
          <w:szCs w:val="20"/>
          <w:color w:val="auto"/>
        </w:rPr>
      </w:pPr>
    </w:p>
    <w:p>
      <w:pPr>
        <w:ind w:left="380" w:right="40" w:firstLine="534"/>
        <w:spacing w:after="0" w:line="244" w:lineRule="auto"/>
        <w:rPr>
          <w:sz w:val="20"/>
          <w:szCs w:val="20"/>
          <w:color w:val="auto"/>
        </w:rPr>
      </w:pPr>
      <w:r>
        <w:rPr>
          <w:rFonts w:ascii="Arial" w:cs="Arial" w:eastAsia="Arial" w:hAnsi="Arial"/>
          <w:sz w:val="17"/>
          <w:szCs w:val="17"/>
          <w:color w:val="auto"/>
        </w:rPr>
        <w:t>Currently, none of our product candidates has received regulatory approval. The time required to obtain approval from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development and may vary among jurisdictions. We have not obtained regulatory approval for any product candidate and it is possible that none of our existing product candidates or any future product candidates will ever obtain regulatory approval.</w:t>
      </w:r>
    </w:p>
    <w:p>
      <w:pPr>
        <w:spacing w:after="0" w:line="196" w:lineRule="exact"/>
        <w:rPr>
          <w:sz w:val="20"/>
          <w:szCs w:val="20"/>
          <w:color w:val="auto"/>
        </w:rPr>
      </w:pPr>
    </w:p>
    <w:p>
      <w:pPr>
        <w:ind w:left="380" w:firstLine="534"/>
        <w:spacing w:after="0" w:line="258" w:lineRule="auto"/>
        <w:rPr>
          <w:sz w:val="20"/>
          <w:szCs w:val="20"/>
          <w:color w:val="auto"/>
        </w:rPr>
      </w:pPr>
      <w:r>
        <w:rPr>
          <w:rFonts w:ascii="Arial" w:cs="Arial" w:eastAsia="Arial" w:hAnsi="Arial"/>
          <w:sz w:val="17"/>
          <w:szCs w:val="17"/>
          <w:color w:val="auto"/>
        </w:rPr>
        <w:t>Our product candidates could fail to receive regulatory approval from the FDA or a comparable foreign regulatory authority for many reasons, including:</w:t>
      </w:r>
    </w:p>
    <w:p>
      <w:pPr>
        <w:spacing w:after="0" w:line="90" w:lineRule="exact"/>
        <w:rPr>
          <w:sz w:val="20"/>
          <w:szCs w:val="20"/>
          <w:color w:val="auto"/>
        </w:rPr>
      </w:pPr>
    </w:p>
    <w:p>
      <w:pPr>
        <w:ind w:left="1100" w:hanging="205"/>
        <w:spacing w:after="0"/>
        <w:tabs>
          <w:tab w:leader="none" w:pos="11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disagreement with the design or implementation of our clinical trials;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failure to demonstrate that a product candidate is safe and effective for its proposed indication;</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failure of clinical trials to meet the level of statistical significance required for approval;</w:t>
      </w:r>
    </w:p>
    <w:p>
      <w:pPr>
        <w:spacing w:after="0" w:line="14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060"/>
          </w:cols>
          <w:pgMar w:left="240" w:top="449" w:right="59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1100" w:hanging="205"/>
        <w:spacing w:after="0"/>
        <w:tabs>
          <w:tab w:leader="none" w:pos="11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failure to demonstrate that a product candidate’s clinical and other benefits outweigh its safety risks;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disagreement with our interpretation of data from preclinical studies or clinical trials;</w:t>
      </w:r>
    </w:p>
    <w:p>
      <w:pPr>
        <w:spacing w:after="0" w:line="118" w:lineRule="exact"/>
        <w:rPr>
          <w:rFonts w:ascii="Arial" w:cs="Arial" w:eastAsia="Arial" w:hAnsi="Arial"/>
          <w:sz w:val="17"/>
          <w:szCs w:val="17"/>
          <w:color w:val="auto"/>
        </w:rPr>
      </w:pPr>
    </w:p>
    <w:p>
      <w:pPr>
        <w:ind w:left="1100" w:right="60" w:hanging="205"/>
        <w:spacing w:after="0" w:line="258" w:lineRule="auto"/>
        <w:tabs>
          <w:tab w:leader="none" w:pos="11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insufficiency of data collected from clinical trials of our product candidates to support the submission and filing of a biologics license application, or BLA, or other submission or to obtain regulatory approval;</w:t>
      </w:r>
    </w:p>
    <w:p>
      <w:pPr>
        <w:spacing w:after="0" w:line="90" w:lineRule="exact"/>
        <w:rPr>
          <w:rFonts w:ascii="Arial" w:cs="Arial" w:eastAsia="Arial" w:hAnsi="Arial"/>
          <w:sz w:val="17"/>
          <w:szCs w:val="17"/>
          <w:color w:val="auto"/>
        </w:rPr>
      </w:pPr>
    </w:p>
    <w:p>
      <w:pPr>
        <w:ind w:left="1100" w:right="340" w:hanging="205"/>
        <w:spacing w:after="0" w:line="258" w:lineRule="auto"/>
        <w:tabs>
          <w:tab w:leader="none" w:pos="11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failure to obtain approval of the manufacturing processes or facilities of third-party manufacturers with whom we contract for clinical and commercial supplies; or</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changes in the approval policies or regulations that render our preclinical and clinical data insufficient for approval.</w:t>
      </w:r>
    </w:p>
    <w:p>
      <w:pPr>
        <w:spacing w:after="0" w:line="210" w:lineRule="exact"/>
        <w:rPr>
          <w:sz w:val="20"/>
          <w:szCs w:val="20"/>
          <w:color w:val="auto"/>
        </w:rPr>
      </w:pPr>
    </w:p>
    <w:p>
      <w:pPr>
        <w:ind w:left="380" w:right="40" w:firstLine="534"/>
        <w:spacing w:after="0" w:line="244" w:lineRule="auto"/>
        <w:rPr>
          <w:sz w:val="20"/>
          <w:szCs w:val="20"/>
          <w:color w:val="auto"/>
        </w:rPr>
      </w:pPr>
      <w:r>
        <w:rPr>
          <w:rFonts w:ascii="Arial" w:cs="Arial" w:eastAsia="Arial" w:hAnsi="Arial"/>
          <w:sz w:val="17"/>
          <w:szCs w:val="17"/>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for other reasons. If we were to obtain approval, regulatory authorities may approve any of our product candidates for fewer or more limited indications than we request,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196"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We have received orphan drug status for NGM282 for PBC in the United States and for PBC and PSC in the European Union. The FDA grants orphan drug designation to drugs intended to treat a rare disease or condition, which is generally defined as a disease or condition that affects fewer than 200,000 individuals in the United States and fewer than five in 10,000 individuals in the European Union. Typically, if a drug with an orphan drug designation subsequently receives the first marketing approval for the indication for which it has such designation, the drug is entitled to a period of marketing exclusivity, which precludes the FDA or the European Medicines Agency, or EMA, from approving another marketing application for the same drug for that time period. The applicable period is seven years in the United States and 10 years in the EU. The EU exclusivity period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195" w:lineRule="exact"/>
        <w:rPr>
          <w:sz w:val="20"/>
          <w:szCs w:val="20"/>
          <w:color w:val="auto"/>
        </w:rPr>
      </w:pPr>
    </w:p>
    <w:p>
      <w:pPr>
        <w:ind w:left="380" w:right="20" w:firstLine="534"/>
        <w:spacing w:after="0" w:line="244" w:lineRule="auto"/>
        <w:rPr>
          <w:sz w:val="20"/>
          <w:szCs w:val="20"/>
          <w:color w:val="auto"/>
        </w:rPr>
      </w:pPr>
      <w:r>
        <w:rPr>
          <w:rFonts w:ascii="Arial" w:cs="Arial" w:eastAsia="Arial" w:hAnsi="Arial"/>
          <w:sz w:val="17"/>
          <w:szCs w:val="17"/>
          <w:color w:val="auto"/>
        </w:rPr>
        <w:t>Although we have obtained orphan drug status for NGM282 for PBC and PSC, that exclusivity may not effectively protect the candidate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Any inability to secure orphan drug designation or the exclusivity benefits of this designation could have an adverse impact on our ability to develop and commercialize our product candidates. Orphan drug designation does not convey any advantage in, or shorten the duration of, the regulatory review and approval process. Obtaining orphan drug designation may not provide us with a material commercial advantage.</w:t>
      </w:r>
    </w:p>
    <w:p>
      <w:pPr>
        <w:spacing w:after="0" w:line="193" w:lineRule="exact"/>
        <w:rPr>
          <w:sz w:val="20"/>
          <w:szCs w:val="20"/>
          <w:color w:val="auto"/>
        </w:rPr>
      </w:pPr>
    </w:p>
    <w:p>
      <w:pPr>
        <w:ind w:left="380" w:right="60" w:firstLine="534"/>
        <w:spacing w:after="0" w:line="247" w:lineRule="auto"/>
        <w:rPr>
          <w:sz w:val="20"/>
          <w:szCs w:val="20"/>
          <w:color w:val="auto"/>
        </w:rPr>
      </w:pPr>
      <w:r>
        <w:rPr>
          <w:rFonts w:ascii="Arial" w:cs="Arial" w:eastAsia="Arial" w:hAnsi="Arial"/>
          <w:sz w:val="17"/>
          <w:szCs w:val="17"/>
          <w:color w:val="auto"/>
        </w:rPr>
        <w:t>The FDA has a Fast Track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w:t>
      </w:r>
    </w:p>
    <w:p>
      <w:pPr>
        <w:spacing w:after="0" w:line="12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0980"/>
          </w:cols>
          <w:pgMar w:left="240" w:top="449" w:right="67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100"/>
        <w:spacing w:after="0" w:line="247" w:lineRule="auto"/>
        <w:rPr>
          <w:sz w:val="20"/>
          <w:szCs w:val="20"/>
          <w:color w:val="auto"/>
        </w:rPr>
      </w:pPr>
      <w:r>
        <w:rPr>
          <w:rFonts w:ascii="Arial" w:cs="Arial" w:eastAsia="Arial" w:hAnsi="Arial"/>
          <w:sz w:val="17"/>
          <w:szCs w:val="17"/>
          <w:color w:val="auto"/>
        </w:rPr>
        <w:t>studied. Unique to a Fast Track product,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Fast Track designation does not change the standards for product approval.</w:t>
      </w:r>
    </w:p>
    <w:p>
      <w:pPr>
        <w:spacing w:after="0" w:line="190" w:lineRule="exact"/>
        <w:rPr>
          <w:sz w:val="20"/>
          <w:szCs w:val="20"/>
          <w:color w:val="auto"/>
        </w:rPr>
      </w:pPr>
    </w:p>
    <w:p>
      <w:pPr>
        <w:ind w:left="380" w:right="40" w:firstLine="534"/>
        <w:spacing w:after="0" w:line="245" w:lineRule="auto"/>
        <w:rPr>
          <w:sz w:val="20"/>
          <w:szCs w:val="20"/>
          <w:color w:val="auto"/>
        </w:rPr>
      </w:pPr>
      <w:r>
        <w:rPr>
          <w:rFonts w:ascii="Arial" w:cs="Arial" w:eastAsia="Arial" w:hAnsi="Arial"/>
          <w:sz w:val="17"/>
          <w:szCs w:val="17"/>
          <w:color w:val="auto"/>
        </w:rPr>
        <w:t>Although NGM282 has received Fast Track designation from the FDA for PBC and NASH, we may not necessarily experience faster development timelines or achieve faster review or approval compared to conventional FDA procedures.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NGM282 or any other product candidate that we are developing or may develop.</w:t>
      </w:r>
    </w:p>
    <w:p>
      <w:pPr>
        <w:spacing w:after="0" w:line="279" w:lineRule="exact"/>
        <w:rPr>
          <w:sz w:val="20"/>
          <w:szCs w:val="20"/>
          <w:color w:val="auto"/>
        </w:rPr>
      </w:pPr>
    </w:p>
    <w:p>
      <w:pPr>
        <w:ind w:left="380" w:right="160"/>
        <w:spacing w:after="0" w:line="283" w:lineRule="auto"/>
        <w:rPr>
          <w:sz w:val="20"/>
          <w:szCs w:val="20"/>
          <w:color w:val="auto"/>
        </w:rPr>
      </w:pPr>
      <w:r>
        <w:rPr>
          <w:rFonts w:ascii="Arial" w:cs="Arial" w:eastAsia="Arial" w:hAnsi="Arial"/>
          <w:sz w:val="17"/>
          <w:szCs w:val="17"/>
          <w:b w:val="1"/>
          <w:bCs w:val="1"/>
          <w:i w:val="1"/>
          <w:iCs w:val="1"/>
          <w:color w:val="auto"/>
        </w:rPr>
        <w:t>Our failure to obtain regulatory approval in international jurisdictions would prevent us from marketing our product candidates outside the United States.</w:t>
      </w:r>
    </w:p>
    <w:p>
      <w:pPr>
        <w:spacing w:after="0" w:line="57" w:lineRule="exact"/>
        <w:rPr>
          <w:sz w:val="20"/>
          <w:szCs w:val="20"/>
          <w:color w:val="auto"/>
        </w:rPr>
      </w:pPr>
    </w:p>
    <w:p>
      <w:pPr>
        <w:ind w:left="380" w:firstLine="534"/>
        <w:spacing w:after="0" w:line="242" w:lineRule="auto"/>
        <w:rPr>
          <w:sz w:val="20"/>
          <w:szCs w:val="20"/>
          <w:color w:val="auto"/>
        </w:rPr>
      </w:pPr>
      <w:r>
        <w:rPr>
          <w:rFonts w:ascii="Arial" w:cs="Arial" w:eastAsia="Arial" w:hAnsi="Arial"/>
          <w:sz w:val="17"/>
          <w:szCs w:val="17"/>
          <w:color w:val="auto"/>
        </w:rPr>
        <w:t>If we or our collaborators succeed in developing any products, we intend to market them in the European Union and other foreign jurisdictions in addition to the United States. 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regulatory requirements, if problems occur after the product candidate reaches the market or for other reasons. If we fail to comply with the regulatory requirements in international markets and fail to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Approval by the FDA does not ensure approval by regulatory authorities in other countries or jurisdictions. Approval by one regulatory authority outside the United States does not ensure approval by regulatory authorities in other countries or jurisdictions or by the FDA. If we fail to obtain approval of any of our product candidates by regulatory authorities in another country we will be unable to commercialize our product in that country, and the commercial prospects of that product candidate and our business prospects could decline.</w:t>
      </w:r>
    </w:p>
    <w:p>
      <w:pPr>
        <w:spacing w:after="0" w:line="28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Even if our product candidates receive regulatory approval, they may still face future development and regulatory difficulties.</w:t>
      </w:r>
    </w:p>
    <w:p>
      <w:pPr>
        <w:spacing w:after="0" w:line="126" w:lineRule="exact"/>
        <w:rPr>
          <w:sz w:val="20"/>
          <w:szCs w:val="20"/>
          <w:color w:val="auto"/>
        </w:rPr>
      </w:pPr>
    </w:p>
    <w:p>
      <w:pPr>
        <w:ind w:left="380" w:right="240" w:firstLine="534"/>
        <w:spacing w:after="0" w:line="247" w:lineRule="auto"/>
        <w:rPr>
          <w:sz w:val="20"/>
          <w:szCs w:val="20"/>
          <w:color w:val="auto"/>
        </w:rPr>
      </w:pPr>
      <w:r>
        <w:rPr>
          <w:rFonts w:ascii="Arial" w:cs="Arial" w:eastAsia="Arial" w:hAnsi="Arial"/>
          <w:sz w:val="17"/>
          <w:szCs w:val="17"/>
          <w:color w:val="auto"/>
        </w:rPr>
        <w:t>Even if we obtained regulatory approval for a product candidate, it would be subject to ongoing requirements by the FDA and comparable foreign regulatory authorities governing the manufacture, quality control, further development, labeling, packaging, storage, distribution, safety surveillance, import, export, advertising, promotion, recordkeeping and reporting of safety and other post-market information. The FDA and comparable foreign regulatory authorities will continue to closely monitor the</w:t>
      </w:r>
    </w:p>
    <w:p>
      <w:pPr>
        <w:spacing w:after="0" w:line="12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060"/>
          </w:cols>
          <w:pgMar w:left="240" w:top="449" w:right="59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180"/>
        <w:spacing w:after="0" w:line="247" w:lineRule="auto"/>
        <w:rPr>
          <w:sz w:val="20"/>
          <w:szCs w:val="20"/>
          <w:color w:val="auto"/>
        </w:rPr>
      </w:pPr>
      <w:r>
        <w:rPr>
          <w:rFonts w:ascii="Arial" w:cs="Arial" w:eastAsia="Arial" w:hAnsi="Arial"/>
          <w:sz w:val="17"/>
          <w:szCs w:val="17"/>
          <w:color w:val="auto"/>
        </w:rPr>
        <w:t>safety profile of any product even after approval. If the FDA or comparable foreign regulatory authorities become aware of new safety information after approval of any of our product candidates, they may require labeling changes or establishment of a risk evaluation and mitigation strategy or similar strategy, impose significant restrictions on a product’s indicated uses or marketing or impose ongoing requirements for potentially costly post-approval studies or post-market surveillance.</w:t>
      </w:r>
    </w:p>
    <w:p>
      <w:pPr>
        <w:spacing w:after="0" w:line="190" w:lineRule="exact"/>
        <w:rPr>
          <w:sz w:val="20"/>
          <w:szCs w:val="20"/>
          <w:color w:val="auto"/>
        </w:rPr>
      </w:pPr>
    </w:p>
    <w:p>
      <w:pPr>
        <w:ind w:left="380" w:right="60" w:firstLine="534"/>
        <w:spacing w:after="0" w:line="244" w:lineRule="auto"/>
        <w:rPr>
          <w:sz w:val="20"/>
          <w:szCs w:val="20"/>
          <w:color w:val="auto"/>
        </w:rPr>
      </w:pPr>
      <w:r>
        <w:rPr>
          <w:rFonts w:ascii="Arial" w:cs="Arial" w:eastAsia="Arial" w:hAnsi="Arial"/>
          <w:sz w:val="17"/>
          <w:szCs w:val="17"/>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our product candidates or the manufacturing facilities for our product candidates fail to comply with applicable regulatory requirements, or undesirable side effects caused by such products are identified, a regulatory agency may:</w:t>
      </w:r>
    </w:p>
    <w:p>
      <w:pPr>
        <w:spacing w:after="0" w:line="102" w:lineRule="exact"/>
        <w:rPr>
          <w:sz w:val="20"/>
          <w:szCs w:val="20"/>
          <w:color w:val="auto"/>
        </w:rPr>
      </w:pPr>
    </w:p>
    <w:p>
      <w:pPr>
        <w:ind w:left="1100" w:right="220" w:hanging="205"/>
        <w:spacing w:after="0" w:line="258" w:lineRule="auto"/>
        <w:tabs>
          <w:tab w:leader="none" w:pos="11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issue safety alerts, Dear Healthcare Provider letters, press releases or other communications containing warnings about such product;</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mandate modifications to promotional materials or require us to provide corrective information to healthcare practitioners;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require that we conduct post-marketing studies;</w:t>
      </w:r>
    </w:p>
    <w:p>
      <w:pPr>
        <w:spacing w:after="0" w:line="118" w:lineRule="exact"/>
        <w:rPr>
          <w:rFonts w:ascii="Arial" w:cs="Arial" w:eastAsia="Arial" w:hAnsi="Arial"/>
          <w:sz w:val="17"/>
          <w:szCs w:val="17"/>
          <w:color w:val="auto"/>
        </w:rPr>
      </w:pPr>
    </w:p>
    <w:p>
      <w:pPr>
        <w:ind w:left="1100" w:right="300" w:hanging="205"/>
        <w:spacing w:after="0" w:line="258" w:lineRule="auto"/>
        <w:tabs>
          <w:tab w:leader="none" w:pos="11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require us to enter into a consent decree, which can include imposition of various fines, reimbursements for inspection costs, required due dates for specific actions and penalties for noncompliance;</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seek an injunction or impose civil or criminal penalties or monetary fines;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suspend marketing of, withdraw regulatory approval of or recall such product;</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suspend any ongoing clinical studies;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refuse to approve pending applications or supplements to applications filed by us;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suspend or impose restrictions on operations, including costly new manufacturing requirements; or</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seize or detain products, refuse to permit the import or export of products or require us to initiate a product recall.</w:t>
      </w:r>
    </w:p>
    <w:p>
      <w:pPr>
        <w:spacing w:after="0" w:line="210" w:lineRule="exact"/>
        <w:rPr>
          <w:sz w:val="20"/>
          <w:szCs w:val="20"/>
          <w:color w:val="auto"/>
        </w:rPr>
      </w:pPr>
    </w:p>
    <w:p>
      <w:pPr>
        <w:ind w:left="380" w:right="600" w:firstLine="534"/>
        <w:spacing w:after="0" w:line="258" w:lineRule="auto"/>
        <w:rPr>
          <w:sz w:val="20"/>
          <w:szCs w:val="20"/>
          <w:color w:val="auto"/>
        </w:rPr>
      </w:pPr>
      <w:r>
        <w:rPr>
          <w:rFonts w:ascii="Arial" w:cs="Arial" w:eastAsia="Arial" w:hAnsi="Arial"/>
          <w:sz w:val="17"/>
          <w:szCs w:val="17"/>
          <w:color w:val="auto"/>
        </w:rPr>
        <w:t>The occurrence of any event or penalty described above may inhibit our ability to commercialize our products and generate revenue.</w:t>
      </w:r>
    </w:p>
    <w:p>
      <w:pPr>
        <w:spacing w:after="0" w:line="182"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394" w:lineRule="exact"/>
        <w:rPr>
          <w:sz w:val="20"/>
          <w:szCs w:val="20"/>
          <w:color w:val="auto"/>
        </w:rPr>
      </w:pPr>
    </w:p>
    <w:p>
      <w:pPr>
        <w:jc w:val="both"/>
        <w:ind w:left="380" w:right="100" w:firstLine="534"/>
        <w:spacing w:after="0" w:line="250" w:lineRule="auto"/>
        <w:rPr>
          <w:sz w:val="20"/>
          <w:szCs w:val="20"/>
          <w:color w:val="auto"/>
        </w:rPr>
      </w:pPr>
      <w:r>
        <w:rPr>
          <w:rFonts w:ascii="Arial" w:cs="Arial" w:eastAsia="Arial" w:hAnsi="Arial"/>
          <w:sz w:val="17"/>
          <w:szCs w:val="17"/>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w:t>
      </w:r>
    </w:p>
    <w:p>
      <w:pPr>
        <w:spacing w:after="0" w:line="12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000"/>
          </w:cols>
          <w:pgMar w:left="240" w:top="449" w:right="65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pharmaceutical companies have increased significantly in volume and breadth, leading to several substantial civil and criminal settlements regarding certain sales practices promoting off-label drug uses involving fines in excess of</w:t>
      </w:r>
    </w:p>
    <w:p>
      <w:pPr>
        <w:spacing w:after="0" w:line="1" w:lineRule="exact"/>
        <w:rPr>
          <w:sz w:val="20"/>
          <w:szCs w:val="20"/>
          <w:color w:val="auto"/>
        </w:rPr>
      </w:pPr>
    </w:p>
    <w:p>
      <w:pPr>
        <w:ind w:left="380" w:right="140"/>
        <w:spacing w:after="0" w:line="245" w:lineRule="auto"/>
        <w:rPr>
          <w:sz w:val="20"/>
          <w:szCs w:val="20"/>
          <w:color w:val="auto"/>
        </w:rPr>
      </w:pPr>
      <w:r>
        <w:rPr>
          <w:rFonts w:ascii="Arial" w:cs="Arial" w:eastAsia="Arial" w:hAnsi="Arial"/>
          <w:sz w:val="17"/>
          <w:szCs w:val="17"/>
          <w:color w:val="auto"/>
        </w:rPr>
        <w:t>$1 billion. This growth in litigation has increased the risk that a pharmaceutical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 material adverse effect on our business, financial condition and results of operations.</w:t>
      </w:r>
    </w:p>
    <w:p>
      <w:pPr>
        <w:spacing w:after="0" w:line="194" w:lineRule="exact"/>
        <w:rPr>
          <w:sz w:val="20"/>
          <w:szCs w:val="20"/>
          <w:color w:val="auto"/>
        </w:rPr>
      </w:pPr>
    </w:p>
    <w:p>
      <w:pPr>
        <w:ind w:left="380" w:right="80" w:firstLine="534"/>
        <w:spacing w:after="0" w:line="247"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275" w:lineRule="exact"/>
        <w:rPr>
          <w:sz w:val="20"/>
          <w:szCs w:val="20"/>
          <w:color w:val="auto"/>
        </w:rPr>
      </w:pPr>
    </w:p>
    <w:p>
      <w:pPr>
        <w:ind w:left="380" w:right="280"/>
        <w:spacing w:after="0" w:line="262" w:lineRule="auto"/>
        <w:rPr>
          <w:sz w:val="20"/>
          <w:szCs w:val="20"/>
          <w:color w:val="auto"/>
        </w:rPr>
      </w:pPr>
      <w:r>
        <w:rPr>
          <w:rFonts w:ascii="Arial" w:cs="Arial" w:eastAsia="Arial" w:hAnsi="Arial"/>
          <w:sz w:val="17"/>
          <w:szCs w:val="17"/>
          <w:b w:val="1"/>
          <w:bCs w:val="1"/>
          <w:i w:val="1"/>
          <w:iCs w:val="1"/>
          <w:color w:val="auto"/>
        </w:rPr>
        <w:t>Even if we are able to obtain regulatory approvals for any of our product candidates, if they exhibit harmful side effects after approval, our regulatory approvals could be revoked or otherwise negatively impacted, and we could be subject to costly and damaging product liability claims.</w:t>
      </w:r>
    </w:p>
    <w:p>
      <w:pPr>
        <w:spacing w:after="0" w:line="74" w:lineRule="exact"/>
        <w:rPr>
          <w:sz w:val="20"/>
          <w:szCs w:val="20"/>
          <w:color w:val="auto"/>
        </w:rPr>
      </w:pPr>
    </w:p>
    <w:p>
      <w:pPr>
        <w:ind w:left="380" w:right="20" w:firstLine="534"/>
        <w:spacing w:after="0" w:line="242" w:lineRule="auto"/>
        <w:rPr>
          <w:sz w:val="20"/>
          <w:szCs w:val="20"/>
          <w:color w:val="auto"/>
        </w:rPr>
      </w:pPr>
      <w:r>
        <w:rPr>
          <w:rFonts w:ascii="Arial" w:cs="Arial" w:eastAsia="Arial" w:hAnsi="Arial"/>
          <w:sz w:val="17"/>
          <w:szCs w:val="17"/>
          <w:color w:val="auto"/>
        </w:rPr>
        <w:t>Even if we receive regulatory approval for NGM282 or any of our other product candidates, we will have tested them in only a small number of patients during our clinical trials. If our applications for marketing are approved and more patients begin to use our product, new risks and side effects associated with our products may be discovered. As a result, regulatory authorities may revoke their approvals. If NGM282 is approved by the FDA based on a surrogate endpoint pursuant to accelerated approval regulations (Subpart H and E regulations), we will be required to conduct additional clinical trials establishing clinical benefit on the ultimate outcome of NASH. Additionally, we may be required to conduct additional clinical trials, make changes in labeling of our product, reformulate our product or make changes and obtain new approvals for our and our suppliers’ manufacturing facilities for NGM282 and our other product candidates. We might have to withdraw or recall our products from the marketplace. We may also experience a significant drop in the potential sales of our product if and when regulatory approvals for such product are obtained, experience harm to our reputation in the marketplace or become subject to lawsuits, including class actions. Any of these results could decrease or prevent any sales of our approved product or substantially increase the costs and expenses of commercializing and marketing our product.</w:t>
      </w:r>
    </w:p>
    <w:p>
      <w:pPr>
        <w:spacing w:after="0" w:line="285"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Our success depends upon our ability to obtain and maintain intellectual property protection for our products and technologies.</w:t>
      </w:r>
    </w:p>
    <w:p>
      <w:pPr>
        <w:spacing w:after="0" w:line="126" w:lineRule="exact"/>
        <w:rPr>
          <w:sz w:val="20"/>
          <w:szCs w:val="20"/>
          <w:color w:val="auto"/>
        </w:rPr>
      </w:pPr>
    </w:p>
    <w:p>
      <w:pPr>
        <w:ind w:left="380" w:right="80" w:firstLine="534"/>
        <w:spacing w:after="0" w:line="247" w:lineRule="auto"/>
        <w:rPr>
          <w:sz w:val="20"/>
          <w:szCs w:val="20"/>
          <w:color w:val="auto"/>
        </w:rPr>
      </w:pPr>
      <w:r>
        <w:rPr>
          <w:rFonts w:ascii="Arial" w:cs="Arial" w:eastAsia="Arial" w:hAnsi="Arial"/>
          <w:sz w:val="17"/>
          <w:szCs w:val="17"/>
          <w:color w:val="auto"/>
        </w:rPr>
        <w:t>Our success will depend in significant part on our and our current or future licensors’, licensees’ or collaborators’ ability to establish and maintain adequate protection of our intellectual property covering the product candidates we plan to develop, and the ability to develop these product candidates and commercialize the products resulting therefrom, without infringing the intellectual property rights of others. In addition to taking other steps to protect our intellectual property, we have applied for, and intend to</w:t>
      </w:r>
    </w:p>
    <w:p>
      <w:pPr>
        <w:spacing w:after="0" w:line="12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060"/>
          </w:cols>
          <w:pgMar w:left="240" w:top="449" w:right="59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20"/>
        <w:spacing w:after="0" w:line="243" w:lineRule="auto"/>
        <w:rPr>
          <w:sz w:val="20"/>
          <w:szCs w:val="20"/>
          <w:color w:val="auto"/>
        </w:rPr>
      </w:pPr>
      <w:r>
        <w:rPr>
          <w:rFonts w:ascii="Arial" w:cs="Arial" w:eastAsia="Arial" w:hAnsi="Arial"/>
          <w:sz w:val="17"/>
          <w:szCs w:val="17"/>
          <w:color w:val="auto"/>
        </w:rPr>
        <w:t>continue to apply for, patents with claims covering our technologies, processes and product candidates when and where we deem it appropriate to do so. We have filed numerous patent applications both in the United States and in certain foreign jurisdictions to obtain patent rights to inventions we have discovered, with claims directed to compositions of matter, methods of use, formulations, combination therapy and other technologies relating to our product candidates. There can be no assurance that any of these patent applications will issue as patents or, for those applications that do mature into patents, whether the claims of the patents will exclude others from making, using or selling our product candidates or products that are substantially similar to our product candidates. In countries where we have not and do not seek patent protection, third parties may be able to manufacture and sell our product candidates without our permission, and we may not be able to stop them from doing so.</w:t>
      </w:r>
    </w:p>
    <w:p>
      <w:pPr>
        <w:spacing w:after="0" w:line="198"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With respect to patent rights, we do not know whether any of the pending patent applications for any of our product candidates will result in the issuance of patents that effectively protect our technologies, processes and product candidates, or if any of our issued patents or our current or future licensors’, licensees’ or collaborators’ issued patents will effectively prevent others from commercializing competitive technologies, processes and products. Publications of discoveries in the scientific literature often lag behind the actual discoveries, and patent applications in the United States and other jurisdictions are typically not published until 18 months after filing or in some cases not at all, until they are issued as a patent. Therefore, we cannot be certain that we or our current or future licensors, licensees or collaborators were the first to make the inventions claimed in our owned or licensed patents or pending patent applications, or that we or our current or future licensors, licensees or collaborators were the first to file for patent protection of such inventions.</w:t>
      </w:r>
    </w:p>
    <w:p>
      <w:pPr>
        <w:spacing w:after="0" w:line="198"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Any changes we make to our product candidates, including NGM282, NGM313, NGM386, NGM395 and NGM120, to cause them to have what we view as more advantageous properties may not be covered by our existing patents and patent applications, and we may be required to file new applications and/or seek other forms of protection for any such altered product candidates. The patent landscape surrounding the technology underlying our product candidates is crowded, and there can be no assurance that we would be able to secure patent protection that would adequately cover an alternative to our NGM282 molecule, including the half-life extended variant of FGF19 that we are developing, NGM313, NGM386, NGM395, NGM120 or any of our other product candidates.</w:t>
      </w:r>
    </w:p>
    <w:p>
      <w:pPr>
        <w:spacing w:after="0" w:line="196" w:lineRule="exact"/>
        <w:rPr>
          <w:sz w:val="20"/>
          <w:szCs w:val="20"/>
          <w:color w:val="auto"/>
        </w:rPr>
      </w:pPr>
    </w:p>
    <w:p>
      <w:pPr>
        <w:ind w:left="380" w:right="60" w:firstLine="534"/>
        <w:spacing w:after="0" w:line="244" w:lineRule="auto"/>
        <w:rPr>
          <w:sz w:val="20"/>
          <w:szCs w:val="20"/>
          <w:color w:val="auto"/>
        </w:rPr>
      </w:pPr>
      <w:r>
        <w:rPr>
          <w:rFonts w:ascii="Arial" w:cs="Arial" w:eastAsia="Arial" w:hAnsi="Arial"/>
          <w:sz w:val="17"/>
          <w:szCs w:val="17"/>
          <w:color w:val="auto"/>
        </w:rPr>
        <w:t>We do not currently own or have a license to any issued patents that cover our NGM217 or NGM621 product candidates, although they are disclosed and claimed in our pending U.S. provisional, U.S. non-provisional and/or Patent Cooperation Treaty, or PCT, applications. The patent landscape surrounding NGM217 and NGM621 is crowded, and there can be no assurance that we will be able to secure patent protection that would adequately cover such product candidates, nor can there be any assurance that we would obtain sufficiently broad claims to be able to prevent others from selling competing products. For a description of our patent portfolio, see the section titled “Business—Intellectual Property—Patents and Other Proprietary Rights.”</w:t>
      </w:r>
    </w:p>
    <w:p>
      <w:pPr>
        <w:spacing w:after="0" w:line="196" w:lineRule="exact"/>
        <w:rPr>
          <w:sz w:val="20"/>
          <w:szCs w:val="20"/>
          <w:color w:val="auto"/>
        </w:rPr>
      </w:pPr>
    </w:p>
    <w:p>
      <w:pPr>
        <w:ind w:left="380" w:right="60" w:firstLine="534"/>
        <w:spacing w:after="0" w:line="243" w:lineRule="auto"/>
        <w:rPr>
          <w:sz w:val="20"/>
          <w:szCs w:val="20"/>
          <w:color w:val="auto"/>
        </w:rPr>
      </w:pPr>
      <w:r>
        <w:rPr>
          <w:rFonts w:ascii="Arial" w:cs="Arial" w:eastAsia="Arial" w:hAnsi="Arial"/>
          <w:sz w:val="17"/>
          <w:szCs w:val="17"/>
          <w:color w:val="auto"/>
        </w:rPr>
        <w:t>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current or future licensors, licensees or collaborators will fail to identify patentable aspects of inventions made in the course of development and commercialization activities before it is too late to obtain patent protection for them. Moreover, 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or collaborators to perform these activities, which means that these patent applications may not be prosecuted, and these patents enforced, in a manner consistent with the best interests of our business. If our current or future licensors, licensees or collaborators fail</w:t>
      </w:r>
    </w:p>
    <w:p>
      <w:pPr>
        <w:spacing w:after="0" w:line="13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040"/>
          </w:cols>
          <w:pgMar w:left="240" w:top="449" w:right="61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jc w:val="both"/>
        <w:ind w:left="380" w:right="120"/>
        <w:spacing w:after="0" w:line="250" w:lineRule="auto"/>
        <w:rPr>
          <w:sz w:val="20"/>
          <w:szCs w:val="20"/>
          <w:color w:val="auto"/>
        </w:rPr>
      </w:pPr>
      <w:r>
        <w:rPr>
          <w:rFonts w:ascii="Arial" w:cs="Arial" w:eastAsia="Arial" w:hAnsi="Arial"/>
          <w:sz w:val="17"/>
          <w:szCs w:val="17"/>
          <w:color w:val="auto"/>
        </w:rPr>
        <w:t>to establish, maintain, protect or enforce such patents and other intellectual property rights, such rights may be reduced or eliminated. If our current or future licensors, licensees or collaborators are not fully cooperative or disagree with us as to the prosecution, maintenance or enforcement of any patent rights, such patent rights could be compromised.</w:t>
      </w:r>
    </w:p>
    <w:p>
      <w:pPr>
        <w:spacing w:after="0" w:line="188" w:lineRule="exact"/>
        <w:rPr>
          <w:sz w:val="20"/>
          <w:szCs w:val="20"/>
          <w:color w:val="auto"/>
        </w:rPr>
      </w:pPr>
    </w:p>
    <w:p>
      <w:pPr>
        <w:ind w:left="380" w:right="20" w:firstLine="534"/>
        <w:spacing w:after="0" w:line="242" w:lineRule="auto"/>
        <w:rPr>
          <w:sz w:val="20"/>
          <w:szCs w:val="20"/>
          <w:color w:val="auto"/>
        </w:rPr>
      </w:pPr>
      <w:r>
        <w:rPr>
          <w:rFonts w:ascii="Arial" w:cs="Arial" w:eastAsia="Arial" w:hAnsi="Arial"/>
          <w:sz w:val="17"/>
          <w:szCs w:val="17"/>
          <w:color w:val="auto"/>
        </w:rPr>
        <w:t>Similar to other biotechnology companies, our patent position is generally highly uncertain and involves complex legal and factual questions. The issuance of a patent is not conclusive as to its inventorship, scope, validity or enforceability, and our patents may be challenged in the courts or patent offices in the United States and abroad. In recent years, these areas have been the subject of much litigation in the industry. As a result, the issuance, scope, validity, enforceability and commercial value of our and our current or future licensors’, licensees’ or collaborators’ patent rights are highly uncertain. Our and our current or future licensors’, licensees’ or collaborators’ pending and future patent applications may not result in patents being issued that protect our technology or product candidates, or products resulting therefrom, in whole or in part, or that effectively prevent others from commercializing competitive technologies and products. The patent examination process may require us or our current or future licensors, licensees or collaborators to narrow the scope of the claims of pending and future patent applications, which would limit the scope of patent protection that is obtained, if any. Our and our current or future licensors’, licensees’ or collaborators’ patent applications cannot be enforced against third parties practicing the technology that is currently claimed in such applications unless and until a patent issues from such applications, and then only to the extent the claims that issue are broad enough to cover the technology being practiced by third parties.</w:t>
      </w:r>
    </w:p>
    <w:p>
      <w:pPr>
        <w:spacing w:after="0" w:line="201" w:lineRule="exact"/>
        <w:rPr>
          <w:sz w:val="20"/>
          <w:szCs w:val="20"/>
          <w:color w:val="auto"/>
        </w:rPr>
      </w:pPr>
    </w:p>
    <w:p>
      <w:pPr>
        <w:ind w:left="380" w:firstLine="534"/>
        <w:spacing w:after="0" w:line="242" w:lineRule="auto"/>
        <w:rPr>
          <w:sz w:val="20"/>
          <w:szCs w:val="20"/>
          <w:color w:val="auto"/>
        </w:rPr>
      </w:pPr>
      <w:r>
        <w:rPr>
          <w:rFonts w:ascii="Arial" w:cs="Arial" w:eastAsia="Arial" w:hAnsi="Arial"/>
          <w:sz w:val="17"/>
          <w:szCs w:val="17"/>
          <w:color w:val="auto"/>
        </w:rPr>
        <w:t>Furthermore, given the amount of time required for the development, testing and regulatory review of new product candidates, patents protecting such candidates might expire before or shortly after the resulting products are commercialized. As a result, our owned and in-licensed patents may not provide us with sufficient rights to exclude others from commercializing products similar or identical to ours. We expect to seek extensions of patent terms for our issued patents, where available. This includes in the United States under the Hatch-Waxman Act, which permits a patent term extension of up to five years beyond the original expiration date of the patent as compensation for regulatory delays. However, such a patent term extension cannot lengthen the remaining term of a patent beyond a total of 14 years from the product’s approval date. Only one patent applicable to an approved drug is eligible for the extension and the application for the extension must be submitted prior to the expiration of the patent. During the period of patent term extension, the claims of a patent are not enforceable for their full scope, but are instead limited to the scope of the approved product. In addition, the applicable authorities, including the FDA in the United States, and any equivalent regulatory authority in other countries, may not agree with our assessment of whether such extensions are available, and may refuse to grant extensions to our patents, or may grant more limited extensions than we request. In addition, we may not be granted an extension because of, for example, failing to apply within applicable deadlines, failing to apply prior to the expiration of relevant patents or otherwise failing to satisfy applicable requirements. If this occurs, any period during which we have the right to exclusively market our product will be shorter than we would otherwise expect, and our competitors may obtain approval of and launch products earlier than might otherwise be the case.</w:t>
      </w:r>
    </w:p>
    <w:p>
      <w:pPr>
        <w:spacing w:after="0" w:line="28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126" w:lineRule="exact"/>
        <w:rPr>
          <w:sz w:val="20"/>
          <w:szCs w:val="20"/>
          <w:color w:val="auto"/>
        </w:rPr>
      </w:pPr>
    </w:p>
    <w:p>
      <w:pPr>
        <w:jc w:val="both"/>
        <w:ind w:left="380" w:right="60" w:firstLine="534"/>
        <w:spacing w:after="0" w:line="247" w:lineRule="auto"/>
        <w:rPr>
          <w:sz w:val="20"/>
          <w:szCs w:val="20"/>
          <w:color w:val="auto"/>
        </w:rPr>
      </w:pPr>
      <w:r>
        <w:rPr>
          <w:rFonts w:ascii="Arial" w:cs="Arial" w:eastAsia="Arial" w:hAnsi="Arial"/>
          <w:sz w:val="17"/>
          <w:szCs w:val="17"/>
          <w:color w:val="auto"/>
        </w:rPr>
        <w:t>The legal protection afforded to inventors and owners of intellectual property in countries outside of the United States may not be as protective or effective as that in the United States and we may, therefore, be unable to acquire and enforce intellectual property rights outside the United States to the same extent as in the United States. Whether filed in the United States or abroad, our patent applications may be challenged or may fail to result in issued patents.</w:t>
      </w:r>
    </w:p>
    <w:p>
      <w:pPr>
        <w:spacing w:after="0" w:line="190" w:lineRule="exact"/>
        <w:rPr>
          <w:sz w:val="20"/>
          <w:szCs w:val="20"/>
          <w:color w:val="auto"/>
        </w:rPr>
      </w:pPr>
    </w:p>
    <w:p>
      <w:pPr>
        <w:ind w:left="380" w:firstLine="534"/>
        <w:spacing w:after="0" w:line="258" w:lineRule="auto"/>
        <w:rPr>
          <w:sz w:val="20"/>
          <w:szCs w:val="20"/>
          <w:color w:val="auto"/>
        </w:rPr>
      </w:pPr>
      <w:r>
        <w:rPr>
          <w:rFonts w:ascii="Arial" w:cs="Arial" w:eastAsia="Arial" w:hAnsi="Arial"/>
          <w:sz w:val="17"/>
          <w:szCs w:val="17"/>
          <w:color w:val="auto"/>
        </w:rPr>
        <w:t>In addition, our existing patents and any future patents we obtain may not be sufficiently broad to prevent others from practicing our technologies or from developing or commercializing competing</w:t>
      </w:r>
    </w:p>
    <w:p>
      <w:pPr>
        <w:spacing w:after="0" w:line="11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020"/>
          </w:cols>
          <w:pgMar w:left="240" w:top="449" w:right="6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60"/>
        <w:spacing w:after="0" w:line="244" w:lineRule="auto"/>
        <w:rPr>
          <w:sz w:val="20"/>
          <w:szCs w:val="20"/>
          <w:color w:val="auto"/>
        </w:rPr>
      </w:pPr>
      <w:r>
        <w:rPr>
          <w:rFonts w:ascii="Arial" w:cs="Arial" w:eastAsia="Arial" w:hAnsi="Arial"/>
          <w:sz w:val="17"/>
          <w:szCs w:val="17"/>
          <w:color w:val="auto"/>
        </w:rPr>
        <w:t>products. Furthermore, others may independently develop or commercialize similar or alternative technologies or drugs, or design around our patents. Our patents may be challenged, invalidated, circumvented or narrowed, or fail to provide us with any competitive advantages. In many foreign countries, patent applications and/or issued patents, or parts thereof, must be translated into the native language. If our patent applications or issued patents are translated incorrectly, they may not adequately cover our technologies; in some countries, it may not be possible to rectify an incorrect translation, which may result in patent protection that does not adequately cover our technologies in those countries.</w:t>
      </w:r>
    </w:p>
    <w:p>
      <w:pPr>
        <w:spacing w:after="0" w:line="196"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would be prohibitively expensive, and our intellectual property rights in some countries outside the United States are less extensive than those in the United States. In addition, the laws of some foreign countries do not protect intellectual property rights to the same extent as federal and certain state laws in the United States. Consequently, we and our collaborator may not be able to prevent third parties from practicing our and our collaborator’s inventions in all countries outside the United States, or from selling or importing products made using our and our collaborator’s inventions in and into the United States or other jurisdictions. Competitors may use our and our collaborator’s technologies in jurisdictions where we have not obtained patent protection to develop their own products and, further, may export otherwise infringing products to territories where we and our collaborator have patent protection, but enforcement is not as strong as that in the United States. These products may compete with our product candidates and our and our collaborator’s patents or other intellectual property rights may not be effective or sufficient to prevent them from competing.</w:t>
      </w:r>
    </w:p>
    <w:p>
      <w:pPr>
        <w:spacing w:after="0" w:line="195" w:lineRule="exact"/>
        <w:rPr>
          <w:sz w:val="20"/>
          <w:szCs w:val="20"/>
          <w:color w:val="auto"/>
        </w:rPr>
      </w:pPr>
    </w:p>
    <w:p>
      <w:pPr>
        <w:ind w:left="380" w:right="80" w:firstLine="534"/>
        <w:spacing w:after="0" w:line="241"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This could make it difficult for us and our collaborator to stop the infringement of our and our collaborator’s patents or the marketing of competing products in violation of our and our collaborator’s proprietary rights, generally. Proceedings to enforce our and our collaborator’s patent rights in foreign jurisdictions could result in substantial costs and divert our and</w:t>
      </w:r>
    </w:p>
    <w:p>
      <w:pPr>
        <w:spacing w:after="0" w:line="1" w:lineRule="exact"/>
        <w:rPr>
          <w:sz w:val="20"/>
          <w:szCs w:val="20"/>
          <w:color w:val="auto"/>
        </w:rPr>
      </w:pPr>
    </w:p>
    <w:p>
      <w:pPr>
        <w:ind w:left="380" w:right="100"/>
        <w:spacing w:after="0" w:line="247" w:lineRule="auto"/>
        <w:rPr>
          <w:sz w:val="20"/>
          <w:szCs w:val="20"/>
          <w:color w:val="auto"/>
        </w:rPr>
      </w:pPr>
      <w:r>
        <w:rPr>
          <w:rFonts w:ascii="Arial" w:cs="Arial" w:eastAsia="Arial" w:hAnsi="Arial"/>
          <w:sz w:val="17"/>
          <w:szCs w:val="17"/>
          <w:color w:val="auto"/>
        </w:rPr>
        <w:t>our collaborator’s efforts and attention from other aspects of our business, could put our and our collaborator’s patents at risk of being invalidated or interpreted narrowly, could place our and our collaborator’s patent applications at risk of not issuing and could provoke third parties to assert claims against us or our collaborator. We or our collaborator may not prevail in any lawsuits that we or our collaborator initiate and the damages or other remedies awarded, if any, may not be commercially meaningful.</w:t>
      </w:r>
    </w:p>
    <w:p>
      <w:pPr>
        <w:spacing w:after="0" w:line="190"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The requirements for patentability differ in certain countries, particularly developing countries. For example, China has a heightened requirement for patentability and, specifically, requires a detailed description of medical uses of a claimed drug. In addition, India, certain countries in Europe and certain developing countries, including Thailand, have compulsory licensing laws under which a patent owner may be compelled to grant licenses to third parties. In those countries, we and our collaborator may have limited remedies if patents are infringed or if we or our collaborator are compelled to grant a license to a third party, which could materially diminish the value of those patents. This could limit our potential revenue opportunities. In addition, many countries limit the enforceability of patents against government agencies or government contractors. In these countries, the patent owner may have limited remedies, which could materially diminish the value of such patent. Accordingly, our and our collaborator’s efforts to enforce intellectual property rights around the world may be inadequate to obtain a significant commercial advantage from the intellectual property that we own or license.</w:t>
      </w:r>
    </w:p>
    <w:p>
      <w:pPr>
        <w:spacing w:after="0" w:line="13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060"/>
          </w:cols>
          <w:pgMar w:left="240" w:top="449" w:right="59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80" w:right="320"/>
        <w:spacing w:after="0" w:line="262"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4" w:lineRule="exact"/>
        <w:rPr>
          <w:sz w:val="20"/>
          <w:szCs w:val="20"/>
          <w:color w:val="auto"/>
        </w:rPr>
      </w:pPr>
    </w:p>
    <w:p>
      <w:pPr>
        <w:ind w:left="380" w:right="20" w:firstLine="534"/>
        <w:spacing w:after="0" w:line="242" w:lineRule="auto"/>
        <w:rPr>
          <w:sz w:val="20"/>
          <w:szCs w:val="20"/>
          <w:color w:val="auto"/>
        </w:rPr>
      </w:pPr>
      <w:r>
        <w:rPr>
          <w:rFonts w:ascii="Arial" w:cs="Arial" w:eastAsia="Arial" w:hAnsi="Arial"/>
          <w:sz w:val="17"/>
          <w:szCs w:val="17"/>
          <w:color w:val="auto"/>
        </w:rPr>
        <w:t>Periodic maintenance and annuity fees on issued United States patents and most foreign patent applications and patents must be paid to the U.S. Patent and Trademark Office, or USPTO, and foreign patent agencies, respectively, in order to maintain such patents and patent applications. The USPTO and various foreign governmental patent agencies require compliance with a number of procedural, documentary, fee payment and other similar provisions during the patent application, examination and issuance processes.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collaborator fail to maintain the patents and patent applications covering our product candidates, our competitors might be able to enter the market with similar or identical products or technology, which would have a material adverse effect on our business, financial condition and results of operations.</w:t>
      </w:r>
    </w:p>
    <w:p>
      <w:pPr>
        <w:spacing w:after="0" w:line="287" w:lineRule="exact"/>
        <w:rPr>
          <w:sz w:val="20"/>
          <w:szCs w:val="20"/>
          <w:color w:val="auto"/>
        </w:rPr>
      </w:pPr>
    </w:p>
    <w:p>
      <w:pPr>
        <w:ind w:left="380" w:right="660"/>
        <w:spacing w:after="0" w:line="283" w:lineRule="auto"/>
        <w:rPr>
          <w:sz w:val="20"/>
          <w:szCs w:val="20"/>
          <w:color w:val="auto"/>
        </w:rPr>
      </w:pPr>
      <w:r>
        <w:rPr>
          <w:rFonts w:ascii="Arial" w:cs="Arial" w:eastAsia="Arial" w:hAnsi="Arial"/>
          <w:sz w:val="17"/>
          <w:szCs w:val="17"/>
          <w:b w:val="1"/>
          <w:bCs w:val="1"/>
          <w:i w:val="1"/>
          <w:iCs w:val="1"/>
          <w:color w:val="auto"/>
        </w:rPr>
        <w:t>Changes in patent law could diminish the value of patents in general, thereby impairing our ability to protect our product candidates.</w:t>
      </w:r>
    </w:p>
    <w:p>
      <w:pPr>
        <w:spacing w:after="0" w:line="57" w:lineRule="exact"/>
        <w:rPr>
          <w:sz w:val="20"/>
          <w:szCs w:val="20"/>
          <w:color w:val="auto"/>
        </w:rPr>
      </w:pPr>
    </w:p>
    <w:p>
      <w:pPr>
        <w:ind w:left="380" w:right="20" w:firstLine="534"/>
        <w:spacing w:after="0" w:line="243" w:lineRule="auto"/>
        <w:rPr>
          <w:sz w:val="20"/>
          <w:szCs w:val="20"/>
          <w:color w:val="auto"/>
        </w:rPr>
      </w:pPr>
      <w:r>
        <w:rPr>
          <w:rFonts w:ascii="Arial" w:cs="Arial" w:eastAsia="Arial" w:hAnsi="Arial"/>
          <w:sz w:val="17"/>
          <w:szCs w:val="17"/>
          <w:color w:val="auto"/>
        </w:rPr>
        <w:t>As is the case with other biotechnology and pharmaceutical companies, our success is heavily dependent on intellectual property rights, particularly patents. Obtaining and enforcing patents in the biopharmaceutical industry involves technological and legal complexity, and obtaining and enforcing biopharmaceutical patents is costly, time-consuming and inherently uncertain. The U.S. Supreme Court has ruled on several patent cases in recent years, either narrowing the scope of patent protection available in certain circumstances, weakening the rights of patent owners in certain situations or ruling that certain subject matter is not eligible for patent protection. In addition to increasing uncertainty with regard to our and our collaborator’s ability to obtain patents in the future, this combination of events has created uncertainty with respect to the value of patents, once obtained. Depending on decisions by Congress, the federal courts, the USPTO and equivalent bodies in foreign jurisdictions, the laws and regulations governing patents could change in unpredictable ways that would weaken our and our collaborator’s ability to obtain new patents or to enforce existing patents and patents we and our collaborator may obtain in the future.</w:t>
      </w:r>
    </w:p>
    <w:p>
      <w:pPr>
        <w:spacing w:after="0" w:line="392" w:lineRule="exact"/>
        <w:rPr>
          <w:sz w:val="20"/>
          <w:szCs w:val="20"/>
          <w:color w:val="auto"/>
        </w:rPr>
      </w:pPr>
    </w:p>
    <w:p>
      <w:pPr>
        <w:ind w:left="380" w:firstLine="534"/>
        <w:spacing w:after="0" w:line="242" w:lineRule="auto"/>
        <w:rPr>
          <w:sz w:val="20"/>
          <w:szCs w:val="20"/>
          <w:color w:val="auto"/>
        </w:rPr>
      </w:pPr>
      <w:r>
        <w:rPr>
          <w:rFonts w:ascii="Arial" w:cs="Arial" w:eastAsia="Arial" w:hAnsi="Arial"/>
          <w:sz w:val="17"/>
          <w:szCs w:val="17"/>
          <w:color w:val="auto"/>
        </w:rPr>
        <w:t xml:space="preserve">Patent reform laws, such as the Leahy-Smith America Invents Act, or the Leahy-Smith Act, as well as changes in how patent laws are interpreted, could increase the uncertainties and costs surrounding the prosecution of our and our collaborator’s patent applications and the enforcement or defense of our or our collaborator’s issued patents. The Leahy-Smith Act includes a number of significant changes to U.S. patent law. These include provisions that affect the filing and prosecution strategies associated with patent applications, including a change from a “first-to-invent” to a “first-inventor-to-file” patent system, and may also affect patent prosecution and litigation, such as by allowing third-party submission of prior art to the USPTO during patent prosecution and additional procedures to attack the validity of a patent by USPTO-administered post-grant proceedings,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The USPTO has developed regulations and procedures to govern administration of the Leahy-Smith Act, and many of the substantive changes to patent law associated with the Leahy-Smith Act and, in particular, the “first-inventor-to-file” provisions, became effective in 2013. Accordingly, it is not clear what, if any, impact the Leahy-Smith Act will have on the operation of our business. However, the Leahy-Smith Act</w:t>
      </w:r>
    </w:p>
    <w:p>
      <w:pPr>
        <w:spacing w:after="0" w:line="33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040"/>
          </w:cols>
          <w:pgMar w:left="240" w:top="449" w:right="61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140"/>
        <w:spacing w:after="0" w:line="250" w:lineRule="auto"/>
        <w:rPr>
          <w:sz w:val="20"/>
          <w:szCs w:val="20"/>
          <w:color w:val="auto"/>
        </w:rPr>
      </w:pPr>
      <w:r>
        <w:rPr>
          <w:rFonts w:ascii="Arial" w:cs="Arial" w:eastAsia="Arial" w:hAnsi="Arial"/>
          <w:sz w:val="17"/>
          <w:szCs w:val="17"/>
          <w:color w:val="auto"/>
        </w:rPr>
        <w:t>and its implementation could increase the uncertainties and costs surrounding the prosecution of our or our collaborator’s patent applications and the enforcement or defense of our or our collaborator’s issued patents, all of which could have a material adverse effect on our business, financial condition and results of operations.</w:t>
      </w:r>
    </w:p>
    <w:p>
      <w:pPr>
        <w:spacing w:after="0" w:line="273" w:lineRule="exact"/>
        <w:rPr>
          <w:sz w:val="20"/>
          <w:szCs w:val="20"/>
          <w:color w:val="auto"/>
        </w:rPr>
      </w:pPr>
    </w:p>
    <w:p>
      <w:pPr>
        <w:ind w:left="380" w:right="440"/>
        <w:spacing w:after="0" w:line="283" w:lineRule="auto"/>
        <w:rPr>
          <w:sz w:val="20"/>
          <w:szCs w:val="20"/>
          <w:color w:val="auto"/>
        </w:rPr>
      </w:pPr>
      <w:r>
        <w:rPr>
          <w:rFonts w:ascii="Arial" w:cs="Arial" w:eastAsia="Arial" w:hAnsi="Arial"/>
          <w:sz w:val="17"/>
          <w:szCs w:val="17"/>
          <w:b w:val="1"/>
          <w:bCs w:val="1"/>
          <w:i w:val="1"/>
          <w:iCs w:val="1"/>
          <w:color w:val="auto"/>
        </w:rPr>
        <w:t>We may be unable to obtain intellectual property rights or technology necessary to develop and commercialize our product candidates.</w:t>
      </w:r>
    </w:p>
    <w:p>
      <w:pPr>
        <w:spacing w:after="0" w:line="57" w:lineRule="exact"/>
        <w:rPr>
          <w:sz w:val="20"/>
          <w:szCs w:val="20"/>
          <w:color w:val="auto"/>
        </w:rPr>
      </w:pPr>
    </w:p>
    <w:p>
      <w:pPr>
        <w:ind w:left="380" w:right="120" w:firstLine="534"/>
        <w:spacing w:after="0" w:line="244" w:lineRule="auto"/>
        <w:rPr>
          <w:sz w:val="20"/>
          <w:szCs w:val="20"/>
          <w:color w:val="auto"/>
        </w:rPr>
      </w:pPr>
      <w:r>
        <w:rPr>
          <w:rFonts w:ascii="Arial" w:cs="Arial" w:eastAsia="Arial" w:hAnsi="Arial"/>
          <w:sz w:val="17"/>
          <w:szCs w:val="17"/>
          <w:color w:val="auto"/>
        </w:rPr>
        <w:t>Several third parties are actively researching and seeking and obtaining patent protection in the cardio-metabolic disease, NASH, oncology and ophthalmic fields, and there are issued third-party patents and published third-party patent applications in these fields. The patent landscape around our NGM282, NGM313, NGM386, NGM395, NGM217, NGM120 and NGM621 product candidates is complex, and we are aware of several third-party patents and patent applications containing claims directed to compositions of matter, methods of use and related subject matter, some of which pertain, at least in part, to subject matter that might be relevant to our NGM282, NGM313, NGM386, NGM395, NGM217, NGM120 and NGM621 product candidates. However, we may not be aware of all third-party intellectual property rights potentially relating to our product candidates and technologies.</w:t>
      </w:r>
    </w:p>
    <w:p>
      <w:pPr>
        <w:spacing w:after="0" w:line="193" w:lineRule="exact"/>
        <w:rPr>
          <w:sz w:val="20"/>
          <w:szCs w:val="20"/>
          <w:color w:val="auto"/>
        </w:rPr>
      </w:pPr>
    </w:p>
    <w:p>
      <w:pPr>
        <w:ind w:left="380" w:right="80" w:firstLine="534"/>
        <w:spacing w:after="0" w:line="243" w:lineRule="auto"/>
        <w:rPr>
          <w:sz w:val="20"/>
          <w:szCs w:val="20"/>
          <w:color w:val="auto"/>
        </w:rPr>
      </w:pPr>
      <w:r>
        <w:rPr>
          <w:rFonts w:ascii="Arial" w:cs="Arial" w:eastAsia="Arial" w:hAnsi="Arial"/>
          <w:sz w:val="17"/>
          <w:szCs w:val="17"/>
          <w:color w:val="auto"/>
        </w:rPr>
        <w:t>Depending on what patent claims ultimately issue and how courts construe the issued patent claims, as well as depending on the ultimate formulation and method of use of our product candidates, we may need to obtain a license to practice the technology claimed in such patents. There can be no assurance that such licenses will be available on commercially reasonable terms, or at all. If a third party does not offer us a necessary license or offers a license only on terms that are unattractive or unacceptable to us, we might be unable to develop and commercialize one or more of our product candidates, which would have a material adverse effect on our business, financial condition and results of operations. Moreover, even if we obtain licenses to such intellectual property, but subsequently fail to meet our obligations under our license agreements, or such license agreements are terminated for any other reasons, we may lose our rights to in-licensed technologies.</w:t>
      </w:r>
    </w:p>
    <w:p>
      <w:pPr>
        <w:spacing w:after="0" w:line="198" w:lineRule="exact"/>
        <w:rPr>
          <w:sz w:val="20"/>
          <w:szCs w:val="20"/>
          <w:color w:val="auto"/>
        </w:rPr>
      </w:pPr>
    </w:p>
    <w:p>
      <w:pPr>
        <w:ind w:left="380" w:right="20" w:firstLine="534"/>
        <w:spacing w:after="0" w:line="243" w:lineRule="auto"/>
        <w:rPr>
          <w:sz w:val="20"/>
          <w:szCs w:val="20"/>
          <w:color w:val="auto"/>
        </w:rPr>
      </w:pPr>
      <w:r>
        <w:rPr>
          <w:rFonts w:ascii="Arial" w:cs="Arial" w:eastAsia="Arial" w:hAnsi="Arial"/>
          <w:sz w:val="17"/>
          <w:szCs w:val="17"/>
          <w:color w:val="auto"/>
        </w:rPr>
        <w:t>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82" w:lineRule="exact"/>
        <w:rPr>
          <w:sz w:val="20"/>
          <w:szCs w:val="20"/>
          <w:color w:val="auto"/>
        </w:rPr>
      </w:pPr>
    </w:p>
    <w:p>
      <w:pPr>
        <w:ind w:left="380" w:right="640"/>
        <w:spacing w:after="0" w:line="283" w:lineRule="auto"/>
        <w:rPr>
          <w:sz w:val="20"/>
          <w:szCs w:val="20"/>
          <w:color w:val="auto"/>
        </w:rPr>
      </w:pPr>
      <w:r>
        <w:rPr>
          <w:rFonts w:ascii="Arial" w:cs="Arial" w:eastAsia="Arial" w:hAnsi="Arial"/>
          <w:sz w:val="17"/>
          <w:szCs w:val="17"/>
          <w:b w:val="1"/>
          <w:bCs w:val="1"/>
          <w:i w:val="1"/>
          <w:iCs w:val="1"/>
          <w:color w:val="auto"/>
        </w:rPr>
        <w:t>We may become involved in lawsuits or other proceedings to protect or enforce our intellectual property, which could be expensive, time-consuming and unsuccessful and have a material adverse effect on the success of our business.</w:t>
      </w:r>
    </w:p>
    <w:p>
      <w:pPr>
        <w:spacing w:after="0" w:line="57"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Third parties may infringe our or our collaborator’s patents or misappropriate or otherwise violate our or our collaborator’s intellectual property rights. In the future, we or our collaborator may initiate legal proceedings to enforce or defend our or our collaborator’s intellectual property rights, to protect our or our collaborator’s trade secrets or to determine the validity or scope of intellectual property rights we own or control. Also, third parties may initiate legal proceedings against us or our collaborator to challenge the validity or scope of intellectual property rights we own, control or to which we have rights. For example, generic or biosimilar drug manufacturers or other competitors or third parties may</w:t>
      </w:r>
    </w:p>
    <w:p>
      <w:pPr>
        <w:spacing w:after="0" w:line="13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020"/>
          </w:cols>
          <w:pgMar w:left="240" w:top="449" w:right="63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challenge the scope, validity or enforceability of our or our collaborator’s patents, requiring us or our collaborator to engage in complex, lengthy and costly litigation or other proceedings. These proceedings can be expensive and time-consuming and many of our or our collaborator’s adversaries in these proceedings may have the ability to dedicate substantially greater resources to prosecuting these legal actions than we or our collaborator can. Accordingly, despite our or our collaborator’s efforts, we or our collaborator may not be able to prevent third parties from infringing upon or misappropriating intellectual property rights we own, control or have rights to, particularly in countries where the laws may not protect those rights as fully as in the United States. Litigation could result in substantial costs and diversion of management resources, which could harm our business and financial results. In addition, if we or our collaborator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an infringement or declaratory judgment proceeding, a court may decide that a patent owned by or licensed to us is invalid or unenforceable, or may refuse to stop the other party from using the technology at issue on the grounds that our or our collaborator’s patents do not cover the technology in question. An adverse result in any litigation proceeding could put one or more of our or our collaborator’s patents at risk of being invalidated, narrowed, held unenforceable or interpreted in such a manner that would not preclude third parties from entering the market with competing products.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xml:space="preserve">Third-party pre-issuance submission of prior art to the USPTO, or opposition, derivation, revocation, reexamination, </w:t>
      </w:r>
      <w:r>
        <w:rPr>
          <w:rFonts w:ascii="Arial" w:cs="Arial" w:eastAsia="Arial" w:hAnsi="Arial"/>
          <w:sz w:val="17"/>
          <w:szCs w:val="17"/>
          <w:i w:val="1"/>
          <w:iCs w:val="1"/>
          <w:color w:val="auto"/>
        </w:rPr>
        <w:t>inter</w:t>
      </w:r>
    </w:p>
    <w:p>
      <w:pPr>
        <w:spacing w:after="0" w:line="19"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i w:val="1"/>
          <w:iCs w:val="1"/>
          <w:color w:val="auto"/>
        </w:rPr>
        <w:t xml:space="preserve">partes </w:t>
      </w:r>
      <w:r>
        <w:rPr>
          <w:rFonts w:ascii="Arial" w:cs="Arial" w:eastAsia="Arial" w:hAnsi="Arial"/>
          <w:sz w:val="17"/>
          <w:szCs w:val="17"/>
          <w:color w:val="auto"/>
        </w:rPr>
        <w:t>review or interference proceedings, or other pre-issuance or post-grant proceedings or other patent office proceedings or litigation</w:t>
      </w:r>
      <w:r>
        <w:rPr>
          <w:rFonts w:ascii="Arial" w:cs="Arial" w:eastAsia="Arial" w:hAnsi="Arial"/>
          <w:sz w:val="17"/>
          <w:szCs w:val="17"/>
          <w:i w:val="1"/>
          <w:iCs w:val="1"/>
          <w:color w:val="auto"/>
        </w:rPr>
        <w:t xml:space="preserve"> </w:t>
      </w:r>
      <w:r>
        <w:rPr>
          <w:rFonts w:ascii="Arial" w:cs="Arial" w:eastAsia="Arial" w:hAnsi="Arial"/>
          <w:sz w:val="17"/>
          <w:szCs w:val="17"/>
          <w:color w:val="auto"/>
        </w:rPr>
        <w:t>in the United States or other jurisdictions provoked by third parties or brought by us or our collaborator, may be necessary to determine the inventorship, priority, patentability or validity of inventions with respect to our or our collaborator’s patents or patent applications. An unfavorable outcome could leave our technology or product candidates without patent protection, allow third parties to commercialize our technology or product candidates and compete directly with us, without payment to us, or could require us or our collaborator to obtain license rights from the prevailing party in order to be able to manufacture or commercialize our product candidates without infringing third-party patent rights. Our business could be harmed if the prevailing party does not offer us or our collaborator a license on commercially reasonable terms, or at all. Even if we or our collaborator obtain a license, it may be non-exclusive, thereby giving our competitors access to the same technologies licensed to us or our collaborator. In addition, if the breadth or strength of protection provided by our or our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w:t>
      </w:r>
    </w:p>
    <w:p>
      <w:pPr>
        <w:spacing w:after="0" w:line="201" w:lineRule="exact"/>
        <w:rPr>
          <w:sz w:val="20"/>
          <w:szCs w:val="20"/>
          <w:color w:val="auto"/>
        </w:rPr>
      </w:pPr>
    </w:p>
    <w:p>
      <w:pPr>
        <w:ind w:left="380" w:right="60" w:firstLine="534"/>
        <w:spacing w:after="0" w:line="244"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many foreign jurisdictions have rules of discovery that are different than those in the United States and that may make defending or enforcing our or our collaborator’s patents extremely difficult.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13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060"/>
          </w:cols>
          <w:pgMar w:left="240" w:top="449" w:right="59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80" w:right="20"/>
        <w:spacing w:after="0" w:line="262" w:lineRule="auto"/>
        <w:rPr>
          <w:sz w:val="20"/>
          <w:szCs w:val="20"/>
          <w:color w:val="auto"/>
        </w:rPr>
      </w:pPr>
      <w:r>
        <w:rPr>
          <w:rFonts w:ascii="Arial" w:cs="Arial" w:eastAsia="Arial" w:hAnsi="Arial"/>
          <w:sz w:val="17"/>
          <w:szCs w:val="17"/>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 material adverse effect on the success of our business.</w:t>
      </w:r>
    </w:p>
    <w:p>
      <w:pPr>
        <w:spacing w:after="0" w:line="74" w:lineRule="exact"/>
        <w:rPr>
          <w:sz w:val="20"/>
          <w:szCs w:val="20"/>
          <w:color w:val="auto"/>
        </w:rPr>
      </w:pPr>
    </w:p>
    <w:p>
      <w:pPr>
        <w:ind w:left="380" w:right="160" w:firstLine="534"/>
        <w:spacing w:after="0" w:line="243" w:lineRule="auto"/>
        <w:rPr>
          <w:sz w:val="20"/>
          <w:szCs w:val="20"/>
          <w:color w:val="auto"/>
        </w:rPr>
      </w:pPr>
      <w:r>
        <w:rPr>
          <w:rFonts w:ascii="Arial" w:cs="Arial" w:eastAsia="Arial" w:hAnsi="Arial"/>
          <w:sz w:val="17"/>
          <w:szCs w:val="17"/>
          <w:color w:val="auto"/>
        </w:rPr>
        <w:t xml:space="preserve">Our commercial success depends upon our ability and the ability of our collaborator to develop, manufacture, market and sell any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Third parties may initiate legal proceedings against us or our collaborator alleging that we or our collaborator infringe their intellectual property rights or we or our collaborator may initiate legal proceedings against third parties to challenge the validity or scope of intellectual property rights controlled by third parties, including in oppositions, interferences, revocations, reexaminations,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derivation proceedings before the USPTO or its counterparts in other jurisdictions. These proceedings can be expensive and time-consuming and many of our or our collaborator’s adversaries in these proceedings may have the ability to dedicate substantially greater resources to prosecuting these legal actions than we or our collaborator can.</w:t>
      </w:r>
    </w:p>
    <w:p>
      <w:pPr>
        <w:spacing w:after="0" w:line="392" w:lineRule="exact"/>
        <w:rPr>
          <w:sz w:val="20"/>
          <w:szCs w:val="20"/>
          <w:color w:val="auto"/>
        </w:rPr>
      </w:pPr>
    </w:p>
    <w:p>
      <w:pPr>
        <w:ind w:left="380" w:firstLine="534"/>
        <w:spacing w:after="0" w:line="242" w:lineRule="auto"/>
        <w:rPr>
          <w:sz w:val="20"/>
          <w:szCs w:val="20"/>
          <w:color w:val="auto"/>
        </w:rPr>
      </w:pPr>
      <w:r>
        <w:rPr>
          <w:rFonts w:ascii="Arial" w:cs="Arial" w:eastAsia="Arial" w:hAnsi="Arial"/>
          <w:sz w:val="17"/>
          <w:szCs w:val="17"/>
          <w:color w:val="auto"/>
        </w:rPr>
        <w:t>For example, through our European representative, we filed an opposition in the European Patent Office, or EPO, to a patent granted to St. Vincent’s Hospital Sydney Limited, or St. Vincent’s, claiming the use of MIC-1, also known as GDF15, in the treatment of obesity. In the first instance proceedings, the Opposition Division at the EPO upheld the patent as granted. We have appealed this decision to the Board of Appeals at the EPO, and the patentee filed its reply to our grounds for appeal in November 2018. Although there are uncertainties regarding EPO appeal timelines, summons to oral proceedings will likely issue towards the end of 2019, and oral proceedings are likely to be scheduled six to twelve months thereafter. The St. Vincent’s patent as granted is currently scheduled to expire in April 2025. Even should the patent be upheld on appeal, we and our collaborator do not believe that NGM386 and/or NGM395 would be commercially launched until after expiration of the patent. In addition, we and our collaborator have filed an opposition in the EPO to a patent granted to Amgen Inc., or Amgen, claiming the use of GDF15 polypeptides for the treatment of several metabolic disorders. At the first instance proceedings, the Opposition Division at the EPO maintained the patent in amended form, with claims not including obesity, the indication for which we are presently pursuing regulatory approval for NGM386 and NGM395. We plan to appeal this decision to the Board of Appeals at the EPO. The Amgen patent as granted is currently scheduled to expire in April 2032. If these patents have not expired, or are not ultimately deemed invalid in appeals stemming from the opposition proceedings, and/or our non-infringement positions are not upheld, and these patents are successfully asserted against us in a European country court proceeding after the approval of either of our NGM386 or NGM395 product candidates for the treatment of obesity in Europe, then we may be required to obtain licenses to such patents in order to commercialize our GDF15 program product candidates, and there can be no assurance that such licenses would be available on commercially reasonable terms, or at all.</w:t>
      </w:r>
    </w:p>
    <w:p>
      <w:pPr>
        <w:spacing w:after="0" w:line="395" w:lineRule="exact"/>
        <w:rPr>
          <w:sz w:val="20"/>
          <w:szCs w:val="20"/>
          <w:color w:val="auto"/>
        </w:rPr>
      </w:pPr>
    </w:p>
    <w:p>
      <w:pPr>
        <w:ind w:left="380" w:right="40" w:firstLine="534"/>
        <w:spacing w:after="0" w:line="244" w:lineRule="auto"/>
        <w:rPr>
          <w:sz w:val="20"/>
          <w:szCs w:val="20"/>
          <w:color w:val="auto"/>
        </w:rPr>
      </w:pPr>
      <w:r>
        <w:rPr>
          <w:rFonts w:ascii="Arial" w:cs="Arial" w:eastAsia="Arial" w:hAnsi="Arial"/>
          <w:sz w:val="17"/>
          <w:szCs w:val="17"/>
          <w:color w:val="auto"/>
        </w:rPr>
        <w:t>Additionally, in November 2018 we filed an opposition in the EPO to a patent granted to Genentech, Inc., or Genentech, claiming the use of an anti-KLB agonist antibody for treating diabetes mellitus or insulin resistance. We are one of two opponents challenging the Genentech patent as granted on numerous grounds, including lack of novelty and inventive step, insufficiency and claiming subject matter that extends beyond the application as originally filed. The deadline for Genentech’s response to opposition is April 2019. Thereafter, the EPO’s summons to oral proceedings is expected in the range of July to September 2019. The Genentech patent is currently scheduled to expire in April 2028. If the Genentech patent is not invalidated in the opposition proceedings and appeals, has not</w:t>
      </w:r>
    </w:p>
    <w:p>
      <w:pPr>
        <w:spacing w:after="0" w:line="13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040"/>
          </w:cols>
          <w:pgMar w:left="240" w:top="449" w:right="61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100"/>
        <w:spacing w:after="0" w:line="244" w:lineRule="auto"/>
        <w:rPr>
          <w:sz w:val="20"/>
          <w:szCs w:val="20"/>
          <w:color w:val="auto"/>
        </w:rPr>
      </w:pPr>
      <w:r>
        <w:rPr>
          <w:rFonts w:ascii="Arial" w:cs="Arial" w:eastAsia="Arial" w:hAnsi="Arial"/>
          <w:sz w:val="17"/>
          <w:szCs w:val="17"/>
          <w:color w:val="auto"/>
        </w:rPr>
        <w:t>expired and/or our non-infringement positions are not upheld, and this patent is successfully asserted against us or our collaborator in a European country court proceeding after the approval of our NGM313 product candidate for the treatment of diabetes in Europe, then we and/or our collaborator may be required to obtain a license to this patent in order to commercialize our NGM313 product candidate, and there can be no assurance that such license would be available on commercially reasonable terms, or at all. An unfavorable outcome in any such proceeding could require us or our collaborator to cease using the related technology or developing or commercializing our product candidates, or to attempt to license rights to it from the prevailing party, which may not be available on commercially reasonable terms, or at all.</w:t>
      </w:r>
    </w:p>
    <w:p>
      <w:pPr>
        <w:spacing w:after="0" w:line="193" w:lineRule="exact"/>
        <w:rPr>
          <w:sz w:val="20"/>
          <w:szCs w:val="20"/>
          <w:color w:val="auto"/>
        </w:rPr>
      </w:pPr>
    </w:p>
    <w:p>
      <w:pPr>
        <w:ind w:left="380" w:right="220" w:firstLine="534"/>
        <w:spacing w:after="0" w:line="250" w:lineRule="auto"/>
        <w:rPr>
          <w:sz w:val="20"/>
          <w:szCs w:val="20"/>
          <w:color w:val="auto"/>
        </w:rPr>
      </w:pPr>
      <w:r>
        <w:rPr>
          <w:rFonts w:ascii="Arial" w:cs="Arial" w:eastAsia="Arial" w:hAnsi="Arial"/>
          <w:sz w:val="17"/>
          <w:szCs w:val="17"/>
          <w:color w:val="auto"/>
        </w:rPr>
        <w:t>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88" w:lineRule="exact"/>
        <w:rPr>
          <w:sz w:val="20"/>
          <w:szCs w:val="20"/>
          <w:color w:val="auto"/>
        </w:rPr>
      </w:pPr>
    </w:p>
    <w:p>
      <w:pPr>
        <w:ind w:left="380" w:right="20" w:firstLine="534"/>
        <w:spacing w:after="0" w:line="244" w:lineRule="auto"/>
        <w:rPr>
          <w:sz w:val="20"/>
          <w:szCs w:val="20"/>
          <w:color w:val="auto"/>
        </w:rPr>
      </w:pPr>
      <w:r>
        <w:rPr>
          <w:rFonts w:ascii="Arial" w:cs="Arial" w:eastAsia="Arial" w:hAnsi="Arial"/>
          <w:sz w:val="17"/>
          <w:szCs w:val="17"/>
          <w:color w:val="auto"/>
        </w:rPr>
        <w:t>We perform searches of patent and scientific databases in order to identify documents that may be of potential relevance to the freedom-to-operate and/or patentability of our product candidates. In general, such searches are conducted based on keywords, sequences, inventors/authors and assignees/entities to capture U.S. and European patents and patent applications, PCT publications and scientific journal articles. There can be no assurance that such searches will identify all potentially relevant patents or patent applications, and the failure to identify any such patents or patent applications could have a material adverse effect on the commercialization of our product candidates.</w:t>
      </w:r>
    </w:p>
    <w:p>
      <w:pPr>
        <w:spacing w:after="0" w:line="196" w:lineRule="exact"/>
        <w:rPr>
          <w:sz w:val="20"/>
          <w:szCs w:val="20"/>
          <w:color w:val="auto"/>
        </w:rPr>
      </w:pPr>
    </w:p>
    <w:p>
      <w:pPr>
        <w:ind w:left="380" w:firstLine="534"/>
        <w:spacing w:after="0" w:line="242" w:lineRule="auto"/>
        <w:rPr>
          <w:sz w:val="20"/>
          <w:szCs w:val="20"/>
          <w:color w:val="auto"/>
        </w:rPr>
      </w:pPr>
      <w:r>
        <w:rPr>
          <w:rFonts w:ascii="Arial" w:cs="Arial" w:eastAsia="Arial" w:hAnsi="Arial"/>
          <w:sz w:val="17"/>
          <w:szCs w:val="17"/>
          <w:color w:val="auto"/>
        </w:rPr>
        <w:t>The patent landscape around our NGM282, NGM313, NGM386, NGM395, NGM217, NGM120 and NGM621 product candidates is complex, and we are aware of several third-party patents and patent applications containing claims directed to compositions of matter, methods of use and related subject matter, some of which pertain, at least in part, to subject matter that might be relevant to our NGM282, NGM313, NGM386, NGM395, NGM217, NGM120 and NGM621 product candidates. However, we may not be aware of all third-party intellectual property rights potentially relating to our product candidates and technologies. We are not aware of any facts that would lead us to conclude that the valid and enforceable claims of any third-party patents would reasonably be interpreted to encompass our product candidates, unless we are unsuccessful in our opposition of any of the granted European patents that are discussed above, or any appeals stemming therefrom. As to pending third-party applications, we cannot predict with any certainty which claims will issue, if any, or the scope of such issued claims. Even if we believe third-party intellectual property claims are without merit,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and the ability of our collaborator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such third-party patents (including those that may issue from such applications) were successfully asserted against us or our collaborator or other commercialization partners and we were unable to successfully challenge the validity or enforceability of any such asserted patents, then we or our collaborator and other commercialization partners may be prevented from commercializing our product candidates, or may be required to pay significant damages, including treble damages and attorneys’ fees if we are found to willfully infringe the asserted patents, or obtain a license to such patents, which may not be available on commercially reasonable terms, or at all. Even if we were able to obtain a license, it could be non-exclusive, thereby giving our competitors and other third parties access to the same technologies licensed to us, and it could require us to make</w:t>
      </w:r>
    </w:p>
    <w:p>
      <w:pPr>
        <w:spacing w:after="0" w:line="129"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020"/>
          </w:cols>
          <w:pgMar w:left="240" w:top="449" w:right="63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100"/>
        <w:spacing w:after="0" w:line="258" w:lineRule="auto"/>
        <w:rPr>
          <w:sz w:val="20"/>
          <w:szCs w:val="20"/>
          <w:color w:val="auto"/>
        </w:rPr>
      </w:pPr>
      <w:r>
        <w:rPr>
          <w:rFonts w:ascii="Arial" w:cs="Arial" w:eastAsia="Arial" w:hAnsi="Arial"/>
          <w:sz w:val="17"/>
          <w:szCs w:val="17"/>
          <w:color w:val="auto"/>
        </w:rPr>
        <w:t>substantial licensing and royalty payments. Any of the foregoing would have a material adverse effect on our business, financial condition and operating results.</w:t>
      </w:r>
    </w:p>
    <w:p>
      <w:pPr>
        <w:spacing w:after="0" w:line="267" w:lineRule="exact"/>
        <w:rPr>
          <w:sz w:val="20"/>
          <w:szCs w:val="20"/>
          <w:color w:val="auto"/>
        </w:rPr>
      </w:pPr>
    </w:p>
    <w:p>
      <w:pPr>
        <w:ind w:left="380"/>
        <w:spacing w:after="0" w:line="283" w:lineRule="auto"/>
        <w:rPr>
          <w:sz w:val="20"/>
          <w:szCs w:val="20"/>
          <w:color w:val="auto"/>
        </w:rPr>
      </w:pPr>
      <w:r>
        <w:rPr>
          <w:rFonts w:ascii="Arial" w:cs="Arial" w:eastAsia="Arial" w:hAnsi="Arial"/>
          <w:sz w:val="17"/>
          <w:szCs w:val="17"/>
          <w:b w:val="1"/>
          <w:bCs w:val="1"/>
          <w:i w:val="1"/>
          <w:iCs w:val="1"/>
          <w:color w:val="auto"/>
        </w:rPr>
        <w:t>We may be subject to claims by third parties asserting that our employees or we have misappropriated a third party’s intellectual property, or claiming ownership of what we regard as our own intellectual property.</w:t>
      </w:r>
    </w:p>
    <w:p>
      <w:pPr>
        <w:spacing w:after="0" w:line="57" w:lineRule="exact"/>
        <w:rPr>
          <w:sz w:val="20"/>
          <w:szCs w:val="20"/>
          <w:color w:val="auto"/>
        </w:rPr>
      </w:pPr>
    </w:p>
    <w:p>
      <w:pPr>
        <w:ind w:left="380" w:right="80" w:firstLine="534"/>
        <w:spacing w:after="0" w:line="242" w:lineRule="auto"/>
        <w:rPr>
          <w:sz w:val="20"/>
          <w:szCs w:val="20"/>
          <w:color w:val="auto"/>
        </w:rPr>
      </w:pPr>
      <w:r>
        <w:rPr>
          <w:rFonts w:ascii="Arial" w:cs="Arial" w:eastAsia="Arial" w:hAnsi="Arial"/>
          <w:sz w:val="17"/>
          <w:szCs w:val="17"/>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or that third parties have an interest in our patents as an inventor or co-inventor. Litigation may be necessary to defend against these claims. If we fail in prosecuting or defending any such claims, in addition to paying monetary damages, we may lose valuable intellectual property rights or personnel or sustain other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02" w:lineRule="exact"/>
        <w:rPr>
          <w:sz w:val="20"/>
          <w:szCs w:val="20"/>
          <w:color w:val="auto"/>
        </w:rPr>
      </w:pPr>
    </w:p>
    <w:p>
      <w:pPr>
        <w:ind w:left="380" w:right="20" w:firstLine="534"/>
        <w:spacing w:after="0" w:line="244"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00" w:lineRule="exact"/>
        <w:rPr>
          <w:sz w:val="20"/>
          <w:szCs w:val="20"/>
          <w:color w:val="auto"/>
        </w:rPr>
      </w:pPr>
    </w:p>
    <w:p>
      <w:pPr>
        <w:spacing w:after="0" w:line="277" w:lineRule="exact"/>
        <w:rPr>
          <w:sz w:val="20"/>
          <w:szCs w:val="20"/>
          <w:color w:val="auto"/>
        </w:rPr>
      </w:pPr>
    </w:p>
    <w:p>
      <w:pPr>
        <w:ind w:left="380" w:right="40"/>
        <w:spacing w:after="0" w:line="283" w:lineRule="auto"/>
        <w:rPr>
          <w:sz w:val="20"/>
          <w:szCs w:val="20"/>
          <w:color w:val="auto"/>
        </w:rPr>
      </w:pPr>
      <w:r>
        <w:rPr>
          <w:rFonts w:ascii="Arial" w:cs="Arial" w:eastAsia="Arial" w:hAnsi="Arial"/>
          <w:sz w:val="17"/>
          <w:szCs w:val="17"/>
          <w:b w:val="1"/>
          <w:bCs w:val="1"/>
          <w:i w:val="1"/>
          <w:iCs w:val="1"/>
          <w:color w:val="auto"/>
        </w:rPr>
        <w:t>If we breach any license agreement related to our product candidates, we could lose the ability to continue the development and commercialization of our product candidates.</w:t>
      </w:r>
    </w:p>
    <w:p>
      <w:pPr>
        <w:spacing w:after="0" w:line="57" w:lineRule="exact"/>
        <w:rPr>
          <w:sz w:val="20"/>
          <w:szCs w:val="20"/>
          <w:color w:val="auto"/>
        </w:rPr>
      </w:pPr>
    </w:p>
    <w:p>
      <w:pPr>
        <w:ind w:left="380" w:right="20" w:firstLine="534"/>
        <w:spacing w:after="0" w:line="242" w:lineRule="auto"/>
        <w:rPr>
          <w:sz w:val="20"/>
          <w:szCs w:val="20"/>
          <w:color w:val="auto"/>
        </w:rPr>
      </w:pPr>
      <w:r>
        <w:rPr>
          <w:rFonts w:ascii="Arial" w:cs="Arial" w:eastAsia="Arial" w:hAnsi="Arial"/>
          <w:sz w:val="17"/>
          <w:szCs w:val="17"/>
          <w:color w:val="auto"/>
        </w:rPr>
        <w:t>Our commercial success depends upon our ability, and the ability of our licensors and collaborator, to develop, manufacture, market and sell our product candidates and use our and our collaborator’s proprietary technologies without infringing the proprietary rights of third parties. A third party may hold intellectual property rights, including patent rights, that are important or necessary to the development of our products. As a result, we are a party to a number of technology licenses that are important to our business and expect to enter into additional licenses in the future. If we fail to comply with the obligations under these agreements, including payment and diligence obligations, our licensors may have the right to terminate these agreements, in which event we may not be able to develop, manufacture, market or sell any product that is covered by these agreements or to engage in any other activities necessary to our business that require the freedom-to-operate afforded by the agreements, or we may face other penalties under the agreements. For example, we are party to a license agreement with Lonza Sales AG, or Lonza Sales, under which we license cell lines used to produce our product candidates that are currently subject to our collaboration with Merck. We require Lonza Sales’ prior consent to grant sub-licenses under this agreement and therefore Lonza Sales may be able to prevent us from granting sub-licenses to third parties, which could affect our ability or Merck’s ability to use certain desired manufacturers in order to manufacture our product candidates.</w:t>
      </w:r>
    </w:p>
    <w:p>
      <w:pPr>
        <w:spacing w:after="0" w:line="13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060"/>
          </w:cols>
          <w:pgMar w:left="240" w:top="449" w:right="59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spacing w:after="0" w:line="245" w:lineRule="auto"/>
        <w:rPr>
          <w:sz w:val="20"/>
          <w:szCs w:val="20"/>
          <w:color w:val="auto"/>
        </w:rPr>
      </w:pPr>
      <w:r>
        <w:rPr>
          <w:rFonts w:ascii="Arial" w:cs="Arial" w:eastAsia="Arial" w:hAnsi="Arial"/>
          <w:sz w:val="17"/>
          <w:szCs w:val="17"/>
          <w:color w:val="auto"/>
        </w:rPr>
        <w:t>See the section titled “Business—Intellectual Property—Licensing Arrangements” for more information regarding this agreement. Any of the foregoing could materially adversely affect the value of the product candidate being developed under any such agreement. Termination of these agreements or reduction or elimination of our rights under these agreements may result in our having to negotiate new or amended agreements, which may not be available to us on equally favorable terms, or at all, or cause us to lose our rights under these agreements, including our rights to intellectual property or technology important to our development programs.</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Our inability to protect our confidential information and trade secrets would harm our business and competitive position.</w:t>
      </w:r>
    </w:p>
    <w:p>
      <w:pPr>
        <w:spacing w:after="0" w:line="126" w:lineRule="exact"/>
        <w:rPr>
          <w:sz w:val="20"/>
          <w:szCs w:val="20"/>
          <w:color w:val="auto"/>
        </w:rPr>
      </w:pPr>
    </w:p>
    <w:p>
      <w:pPr>
        <w:ind w:left="380" w:right="20" w:firstLine="534"/>
        <w:spacing w:after="0" w:line="242" w:lineRule="auto"/>
        <w:rPr>
          <w:sz w:val="20"/>
          <w:szCs w:val="20"/>
          <w:color w:val="auto"/>
        </w:rPr>
      </w:pPr>
      <w:r>
        <w:rPr>
          <w:rFonts w:ascii="Arial" w:cs="Arial" w:eastAsia="Arial" w:hAnsi="Arial"/>
          <w:sz w:val="17"/>
          <w:szCs w:val="17"/>
          <w:color w:val="auto"/>
        </w:rPr>
        <w:t>In addition to seeking patents for some of our technology and products, in our activities we also rely substantially on trade secrets, including unpatented know-how, technology and other proprietary materials and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However, these steps may be inadequate, we may fail to enter into agreements with all such parties or any of these parties may breach the agreements and disclose our proprietary information and there may be no adequate remedy available for such breach of an agreement. We cannot assure you that our proprietary information will not be disclosed or that we can meaningfully protect our trade secrets.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Intellectual property rights do not necessarily address all potential threats.</w:t>
      </w:r>
    </w:p>
    <w:p>
      <w:pPr>
        <w:spacing w:after="0" w:line="126" w:lineRule="exact"/>
        <w:rPr>
          <w:sz w:val="20"/>
          <w:szCs w:val="20"/>
          <w:color w:val="auto"/>
        </w:rPr>
      </w:pPr>
    </w:p>
    <w:p>
      <w:pPr>
        <w:ind w:left="380" w:right="380" w:firstLine="534"/>
        <w:spacing w:after="0" w:line="258"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90" w:lineRule="exact"/>
        <w:rPr>
          <w:sz w:val="20"/>
          <w:szCs w:val="20"/>
          <w:color w:val="auto"/>
        </w:rPr>
      </w:pPr>
    </w:p>
    <w:p>
      <w:pPr>
        <w:ind w:left="1100" w:right="100" w:hanging="205"/>
        <w:spacing w:after="0" w:line="258" w:lineRule="auto"/>
        <w:tabs>
          <w:tab w:leader="none" w:pos="11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others may be able to make products that are similar to any product candidates we may develop or utilize similar technology but that are not covered by the claims of the patents that we license or may own in the future;</w:t>
      </w:r>
    </w:p>
    <w:p>
      <w:pPr>
        <w:spacing w:after="0" w:line="90" w:lineRule="exact"/>
        <w:rPr>
          <w:rFonts w:ascii="Arial" w:cs="Arial" w:eastAsia="Arial" w:hAnsi="Arial"/>
          <w:sz w:val="17"/>
          <w:szCs w:val="17"/>
          <w:color w:val="auto"/>
        </w:rPr>
      </w:pPr>
    </w:p>
    <w:p>
      <w:pPr>
        <w:ind w:left="1100" w:right="40" w:hanging="205"/>
        <w:spacing w:after="0" w:line="258" w:lineRule="auto"/>
        <w:tabs>
          <w:tab w:leader="none" w:pos="11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or our current or future collaborators, might not have been the first to make the inventions covered by the issued patents and pending patent applications that we license or may own in the future;</w:t>
      </w:r>
    </w:p>
    <w:p>
      <w:pPr>
        <w:spacing w:after="0" w:line="90" w:lineRule="exact"/>
        <w:rPr>
          <w:rFonts w:ascii="Arial" w:cs="Arial" w:eastAsia="Arial" w:hAnsi="Arial"/>
          <w:sz w:val="17"/>
          <w:szCs w:val="17"/>
          <w:color w:val="auto"/>
        </w:rPr>
      </w:pPr>
    </w:p>
    <w:p>
      <w:pPr>
        <w:ind w:left="1100" w:right="200" w:hanging="205"/>
        <w:spacing w:after="0" w:line="258" w:lineRule="auto"/>
        <w:tabs>
          <w:tab w:leader="none" w:pos="11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or our current or future collaborators, might not have been the first to file patent applications covering certain of our or their inventions;</w:t>
      </w:r>
    </w:p>
    <w:p>
      <w:pPr>
        <w:spacing w:after="0" w:line="90" w:lineRule="exact"/>
        <w:rPr>
          <w:rFonts w:ascii="Arial" w:cs="Arial" w:eastAsia="Arial" w:hAnsi="Arial"/>
          <w:sz w:val="17"/>
          <w:szCs w:val="17"/>
          <w:color w:val="auto"/>
        </w:rPr>
      </w:pPr>
    </w:p>
    <w:p>
      <w:pPr>
        <w:ind w:left="1100" w:right="200" w:hanging="205"/>
        <w:spacing w:after="0" w:line="258" w:lineRule="auto"/>
        <w:tabs>
          <w:tab w:leader="none" w:pos="11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 without infringing our owned or licensed intellectual property rights;</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it is possible that our pending patent applications or those that we may own in the future will not lead to issued patents;</w:t>
      </w:r>
    </w:p>
    <w:p>
      <w:pPr>
        <w:spacing w:after="0" w:line="118" w:lineRule="exact"/>
        <w:rPr>
          <w:rFonts w:ascii="Arial" w:cs="Arial" w:eastAsia="Arial" w:hAnsi="Arial"/>
          <w:sz w:val="17"/>
          <w:szCs w:val="17"/>
          <w:color w:val="auto"/>
        </w:rPr>
      </w:pPr>
    </w:p>
    <w:p>
      <w:pPr>
        <w:ind w:left="1100" w:right="600" w:hanging="205"/>
        <w:spacing w:after="0" w:line="258" w:lineRule="auto"/>
        <w:tabs>
          <w:tab w:leader="none" w:pos="11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060"/>
          </w:cols>
          <w:pgMar w:left="240" w:top="449" w:right="59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1100" w:hanging="205"/>
        <w:spacing w:after="0" w:line="258" w:lineRule="auto"/>
        <w:tabs>
          <w:tab w:leader="none" w:pos="11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that are patentable;</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patents of others may harm our business; and</w:t>
      </w:r>
    </w:p>
    <w:p>
      <w:pPr>
        <w:spacing w:after="0" w:line="118" w:lineRule="exact"/>
        <w:rPr>
          <w:rFonts w:ascii="Arial" w:cs="Arial" w:eastAsia="Arial" w:hAnsi="Arial"/>
          <w:sz w:val="17"/>
          <w:szCs w:val="17"/>
          <w:color w:val="auto"/>
        </w:rPr>
      </w:pPr>
    </w:p>
    <w:p>
      <w:pPr>
        <w:ind w:left="1100" w:right="460" w:hanging="205"/>
        <w:spacing w:after="0" w:line="258" w:lineRule="auto"/>
        <w:tabs>
          <w:tab w:leader="none" w:pos="11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may choose not to file a patent application in order to maintain certain trade secrets or know-how, and a third party may subsequently file a patent covering such intellectual property.</w:t>
      </w:r>
    </w:p>
    <w:p>
      <w:pPr>
        <w:spacing w:after="0" w:line="182" w:lineRule="exact"/>
        <w:rPr>
          <w:sz w:val="20"/>
          <w:szCs w:val="20"/>
          <w:color w:val="auto"/>
        </w:rPr>
      </w:pPr>
    </w:p>
    <w:p>
      <w:pPr>
        <w:ind w:left="380" w:right="40"/>
        <w:spacing w:after="0" w:line="258" w:lineRule="auto"/>
        <w:rPr>
          <w:sz w:val="20"/>
          <w:szCs w:val="20"/>
          <w:color w:val="auto"/>
        </w:rPr>
      </w:pPr>
      <w:r>
        <w:rPr>
          <w:rFonts w:ascii="Arial" w:cs="Arial" w:eastAsia="Arial" w:hAnsi="Arial"/>
          <w:sz w:val="17"/>
          <w:szCs w:val="17"/>
          <w:color w:val="auto"/>
        </w:rPr>
        <w:t>Should any of these events occur, they could have a material adverse effect on our business, financial condition, results of operations and prospects.</w:t>
      </w:r>
    </w:p>
    <w:p>
      <w:pPr>
        <w:spacing w:after="0" w:line="265"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Risks Related to this Offering and Ownership of Our Common Stock</w:t>
      </w:r>
    </w:p>
    <w:p>
      <w:pPr>
        <w:spacing w:after="0" w:line="212" w:lineRule="exact"/>
        <w:rPr>
          <w:sz w:val="20"/>
          <w:szCs w:val="20"/>
          <w:color w:val="auto"/>
        </w:rPr>
      </w:pPr>
    </w:p>
    <w:p>
      <w:pPr>
        <w:ind w:left="380"/>
        <w:spacing w:after="0" w:line="283" w:lineRule="auto"/>
        <w:rPr>
          <w:sz w:val="20"/>
          <w:szCs w:val="20"/>
          <w:color w:val="auto"/>
        </w:rPr>
      </w:pPr>
      <w:r>
        <w:rPr>
          <w:rFonts w:ascii="Arial" w:cs="Arial" w:eastAsia="Arial" w:hAnsi="Arial"/>
          <w:sz w:val="17"/>
          <w:szCs w:val="17"/>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57" w:lineRule="exact"/>
        <w:rPr>
          <w:sz w:val="20"/>
          <w:szCs w:val="20"/>
          <w:color w:val="auto"/>
        </w:rPr>
      </w:pPr>
    </w:p>
    <w:p>
      <w:pPr>
        <w:ind w:left="380" w:right="20" w:firstLine="534"/>
        <w:spacing w:after="0" w:line="243" w:lineRule="auto"/>
        <w:rPr>
          <w:sz w:val="20"/>
          <w:szCs w:val="20"/>
          <w:color w:val="auto"/>
        </w:rPr>
      </w:pPr>
      <w:r>
        <w:rPr>
          <w:rFonts w:ascii="Arial" w:cs="Arial" w:eastAsia="Arial" w:hAnsi="Arial"/>
          <w:sz w:val="17"/>
          <w:szCs w:val="17"/>
          <w:color w:val="auto"/>
        </w:rPr>
        <w:t>Prior to this offering, no market for shares of our common stock existed and an active trading market for our shares may never develop or be sustained following this offering. We will determine the initial public offering price for our common stock through negotiations with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shares of our common stock as consideration.</w:t>
      </w:r>
    </w:p>
    <w:p>
      <w:pPr>
        <w:spacing w:after="0" w:line="28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The market price of our stock may be volatile, and you could lose all or part of your investment.</w:t>
      </w:r>
    </w:p>
    <w:p>
      <w:pPr>
        <w:spacing w:after="0" w:line="126" w:lineRule="exact"/>
        <w:rPr>
          <w:sz w:val="20"/>
          <w:szCs w:val="20"/>
          <w:color w:val="auto"/>
        </w:rPr>
      </w:pPr>
    </w:p>
    <w:p>
      <w:pPr>
        <w:ind w:left="380" w:right="580" w:firstLine="534"/>
        <w:spacing w:after="0" w:line="250" w:lineRule="auto"/>
        <w:rPr>
          <w:sz w:val="20"/>
          <w:szCs w:val="20"/>
          <w:color w:val="auto"/>
        </w:rPr>
      </w:pPr>
      <w:r>
        <w:rPr>
          <w:rFonts w:ascii="Arial" w:cs="Arial" w:eastAsia="Arial" w:hAnsi="Arial"/>
          <w:sz w:val="17"/>
          <w:szCs w:val="17"/>
          <w:color w:val="auto"/>
        </w:rPr>
        <w:t>The trading price of our common stock following this offering is likely to be highly volatile and subject to wide fluctuations in response to various factors, some of which we cannot control. In addition to the factors discussed in this “Risk Factors” section and elsewhere in this prospectus, these factors include:</w:t>
      </w:r>
    </w:p>
    <w:p>
      <w:pPr>
        <w:spacing w:after="0" w:line="96" w:lineRule="exact"/>
        <w:rPr>
          <w:sz w:val="20"/>
          <w:szCs w:val="20"/>
          <w:color w:val="auto"/>
        </w:rPr>
      </w:pPr>
    </w:p>
    <w:p>
      <w:pPr>
        <w:ind w:left="1100" w:right="540" w:hanging="205"/>
        <w:spacing w:after="0" w:line="258" w:lineRule="auto"/>
        <w:tabs>
          <w:tab w:leader="none" w:pos="11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developments associated with our collaboration with Merck, including any non-renewal, termination or other change in our relationship with Merck;</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success of competitive products or technologies;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regulatory actions with respect to our product candidates or our competitors’ product candidates or products;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results of clinical trials of our product candidates or those of our competitors;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actual or anticipated changes in our growth rate relative to our competitors;</w:t>
      </w:r>
    </w:p>
    <w:p>
      <w:pPr>
        <w:spacing w:after="0" w:line="118" w:lineRule="exact"/>
        <w:rPr>
          <w:rFonts w:ascii="Arial" w:cs="Arial" w:eastAsia="Arial" w:hAnsi="Arial"/>
          <w:sz w:val="17"/>
          <w:szCs w:val="17"/>
          <w:color w:val="auto"/>
        </w:rPr>
      </w:pPr>
    </w:p>
    <w:p>
      <w:pPr>
        <w:ind w:left="1100" w:right="480" w:hanging="205"/>
        <w:spacing w:after="0" w:line="258" w:lineRule="auto"/>
        <w:tabs>
          <w:tab w:leader="none" w:pos="11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announcements by us or our competitors or collaborators of significant acquisitions, strategic collaborations, joint ventures, collaborations or capital commitments;</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regulatory, legal or payor developments in the United States and other countries;</w:t>
      </w:r>
    </w:p>
    <w:p>
      <w:pPr>
        <w:spacing w:after="0" w:line="14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040"/>
          </w:cols>
          <w:pgMar w:left="240" w:top="449" w:right="61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1100" w:hanging="205"/>
        <w:spacing w:after="0"/>
        <w:tabs>
          <w:tab w:leader="none" w:pos="11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recruitment or departure of key personnel;</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level of expenses related to any of our product candidates or clinical development programs;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results of our efforts to in-license or acquire additional product candidates or products;</w:t>
      </w:r>
    </w:p>
    <w:p>
      <w:pPr>
        <w:spacing w:after="0" w:line="118" w:lineRule="exact"/>
        <w:rPr>
          <w:rFonts w:ascii="Arial" w:cs="Arial" w:eastAsia="Arial" w:hAnsi="Arial"/>
          <w:sz w:val="17"/>
          <w:szCs w:val="17"/>
          <w:color w:val="auto"/>
        </w:rPr>
      </w:pPr>
    </w:p>
    <w:p>
      <w:pPr>
        <w:ind w:left="1100" w:right="540" w:hanging="205"/>
        <w:spacing w:after="0" w:line="258" w:lineRule="auto"/>
        <w:tabs>
          <w:tab w:leader="none" w:pos="11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fluctuations in the valuation of companies perceived by investors to be comparable to us;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share price and volume fluctuations attributable to inconsistent trading volume levels of our shares;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announcement or expectation of additional financing efforts;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sales of our common stock by us, our insiders or our other stockholders;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market conditions in the pharmaceutical and biotechnology sectors; and</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general economic, industry and market conditions.</w:t>
      </w:r>
    </w:p>
    <w:p>
      <w:pPr>
        <w:spacing w:after="0" w:line="210" w:lineRule="exact"/>
        <w:rPr>
          <w:sz w:val="20"/>
          <w:szCs w:val="20"/>
          <w:color w:val="auto"/>
        </w:rPr>
      </w:pPr>
    </w:p>
    <w:p>
      <w:pPr>
        <w:ind w:left="380" w:right="80" w:firstLine="534"/>
        <w:spacing w:after="0" w:line="245" w:lineRule="auto"/>
        <w:rPr>
          <w:sz w:val="20"/>
          <w:szCs w:val="20"/>
          <w:color w:val="auto"/>
        </w:rPr>
      </w:pPr>
      <w:r>
        <w:rPr>
          <w:rFonts w:ascii="Arial" w:cs="Arial" w:eastAsia="Arial" w:hAnsi="Arial"/>
          <w:sz w:val="17"/>
          <w:szCs w:val="17"/>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material adverse impact on the market price of our common stock.</w:t>
      </w:r>
    </w:p>
    <w:p>
      <w:pPr>
        <w:spacing w:after="0" w:line="279" w:lineRule="exact"/>
        <w:rPr>
          <w:sz w:val="20"/>
          <w:szCs w:val="20"/>
          <w:color w:val="auto"/>
        </w:rPr>
      </w:pPr>
    </w:p>
    <w:p>
      <w:pPr>
        <w:ind w:left="380" w:right="820"/>
        <w:spacing w:after="0" w:line="283" w:lineRule="auto"/>
        <w:rPr>
          <w:sz w:val="20"/>
          <w:szCs w:val="20"/>
          <w:color w:val="auto"/>
        </w:rPr>
      </w:pPr>
      <w:r>
        <w:rPr>
          <w:rFonts w:ascii="Arial" w:cs="Arial" w:eastAsia="Arial" w:hAnsi="Arial"/>
          <w:sz w:val="17"/>
          <w:szCs w:val="17"/>
          <w:b w:val="1"/>
          <w:bCs w:val="1"/>
          <w:i w:val="1"/>
          <w:iCs w:val="1"/>
          <w:color w:val="auto"/>
        </w:rPr>
        <w:t>Because of potential volatility in our trading price and trading volume, we may incur significant costs from class action securities litigation.</w:t>
      </w:r>
    </w:p>
    <w:p>
      <w:pPr>
        <w:spacing w:after="0" w:line="57" w:lineRule="exact"/>
        <w:rPr>
          <w:sz w:val="20"/>
          <w:szCs w:val="20"/>
          <w:color w:val="auto"/>
        </w:rPr>
      </w:pPr>
    </w:p>
    <w:p>
      <w:pPr>
        <w:ind w:left="380" w:firstLine="534"/>
        <w:spacing w:after="0" w:line="245" w:lineRule="auto"/>
        <w:rPr>
          <w:sz w:val="20"/>
          <w:szCs w:val="20"/>
          <w:color w:val="auto"/>
        </w:rPr>
      </w:pPr>
      <w:r>
        <w:rPr>
          <w:rFonts w:ascii="Arial" w:cs="Arial" w:eastAsia="Arial" w:hAnsi="Arial"/>
          <w:sz w:val="17"/>
          <w:szCs w:val="17"/>
          <w:color w:val="auto"/>
        </w:rPr>
        <w:t>Holders of stock in companies that have a volatile stock price frequently bring securities class action litigation against the company that issued the stock. We may be the target of this type of litigation in the future. If any of our stockholders were to bring a lawsuit of this type against us, even if the lawsuit is without merit, we could incur substantial costs defending the lawsuit. A stockholder lawsuit could also divert the time and attention of our management. Securities litigation against us could result in substantial costs and divert our management’s attention from other business concerns, which could seriously harm our business.</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We have broad discretion in the use of the net proceeds from this offering and may not use them effectively.</w:t>
      </w:r>
    </w:p>
    <w:p>
      <w:pPr>
        <w:spacing w:after="0" w:line="126" w:lineRule="exact"/>
        <w:rPr>
          <w:sz w:val="20"/>
          <w:szCs w:val="20"/>
          <w:color w:val="auto"/>
        </w:rPr>
      </w:pPr>
    </w:p>
    <w:p>
      <w:pPr>
        <w:ind w:left="380" w:right="200" w:firstLine="534"/>
        <w:spacing w:after="0" w:line="245"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and you will be relying on the judgment of our management regarding the application of these proceeds. You will not have the opportunity, as part of your investment decision, to assess whether we are using the proceeds appropriately. Our management might not apply our net proceeds in ways that ultimately increase the value of your investment. If we do not invest or apply the net proceeds from this offering in ways that enhance stockholder value, we may fail to achieve expected financial results, which could cause our stock price to decline.</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060"/>
          </w:cols>
          <w:pgMar w:left="240" w:top="449" w:right="59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80" w:right="420"/>
        <w:spacing w:after="0" w:line="283" w:lineRule="auto"/>
        <w:rPr>
          <w:sz w:val="20"/>
          <w:szCs w:val="20"/>
          <w:color w:val="auto"/>
        </w:rPr>
      </w:pPr>
      <w:r>
        <w:rPr>
          <w:rFonts w:ascii="Arial" w:cs="Arial" w:eastAsia="Arial" w:hAnsi="Arial"/>
          <w:sz w:val="17"/>
          <w:szCs w:val="17"/>
          <w:b w:val="1"/>
          <w:bCs w:val="1"/>
          <w:i w:val="1"/>
          <w:iCs w:val="1"/>
          <w:color w:val="auto"/>
        </w:rPr>
        <w:t>Our principal stockholders, including Merck, and management own a significant percentage of our stock and will be able to exert significant control over matters subject to stockholder approval.</w:t>
      </w:r>
    </w:p>
    <w:p>
      <w:pPr>
        <w:spacing w:after="0" w:line="57" w:lineRule="exact"/>
        <w:rPr>
          <w:sz w:val="20"/>
          <w:szCs w:val="20"/>
          <w:color w:val="auto"/>
        </w:rPr>
      </w:pPr>
    </w:p>
    <w:p>
      <w:pPr>
        <w:ind w:left="380" w:firstLine="534"/>
        <w:spacing w:after="0" w:line="242" w:lineRule="auto"/>
        <w:rPr>
          <w:sz w:val="20"/>
          <w:szCs w:val="20"/>
          <w:color w:val="auto"/>
        </w:rPr>
      </w:pPr>
      <w:r>
        <w:rPr>
          <w:rFonts w:ascii="Arial" w:cs="Arial" w:eastAsia="Arial" w:hAnsi="Arial"/>
          <w:sz w:val="17"/>
          <w:szCs w:val="17"/>
          <w:color w:val="auto"/>
        </w:rPr>
        <w:t>Prior to this offering and the concurrent private placement to Merck, our executive officers, directors, holders of 5% or more of our capital stock and their respective affiliates beneficially owned approximately 77.3% of our voting stock and, upon completion of this offering and the concurrent private placement to Merck, and assuming entities affiliated with the Column Group purchase 2,000,000 shares of our common stock in this offering, that same group will hold approximately 80.4% of our outstanding voting stock (assuming no exercise of the underwriters’ option to purchase additional shares, no exercise of outstanding options and no purchases of shares in this offering by any of this group), in each case assuming the conversion of all outstanding shares of our convertible preferred stock into shares of our common stock in connection with this offering. In particular, after this offering and the concurrent private placement, Merck is expected to own approximately 19.9% of our voting stock. After this offering and the concurrent private placement to Merck, this group of stockholders will have the ability to control us through this ownership position even if they do not purchase any additional shares in this offering. However, Merck has granted a proxy to the chairman of our board of directors to vote Merck’s shares in favor of any action recommended and approved by our board of directors, subject to certain exceptions.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83" w:lineRule="exact"/>
        <w:rPr>
          <w:sz w:val="20"/>
          <w:szCs w:val="20"/>
          <w:color w:val="auto"/>
        </w:rPr>
      </w:pPr>
    </w:p>
    <w:p>
      <w:pPr>
        <w:ind w:left="380" w:right="180"/>
        <w:spacing w:after="0" w:line="262" w:lineRule="auto"/>
        <w:rPr>
          <w:sz w:val="20"/>
          <w:szCs w:val="20"/>
          <w:color w:val="auto"/>
        </w:rPr>
      </w:pPr>
      <w:r>
        <w:rPr>
          <w:rFonts w:ascii="Arial" w:cs="Arial" w:eastAsia="Arial" w:hAnsi="Arial"/>
          <w:sz w:val="17"/>
          <w:szCs w:val="17"/>
          <w:b w:val="1"/>
          <w:bCs w:val="1"/>
          <w:i w:val="1"/>
          <w:iCs w:val="1"/>
          <w:color w:val="auto"/>
        </w:rPr>
        <w:t>We are an “emerging growth company” as defined in the JOBS Act and will be able to avail ourselves of reduced disclosure requirements applicable to emerging growth companies, which could make our common stock less attractive to investors and adversely affect the market price of our common stock.</w:t>
      </w:r>
    </w:p>
    <w:p>
      <w:pPr>
        <w:spacing w:after="0" w:line="74" w:lineRule="exact"/>
        <w:rPr>
          <w:sz w:val="20"/>
          <w:szCs w:val="20"/>
          <w:color w:val="auto"/>
        </w:rPr>
      </w:pPr>
    </w:p>
    <w:p>
      <w:pPr>
        <w:ind w:left="380" w:right="840" w:firstLine="534"/>
        <w:spacing w:after="0" w:line="258" w:lineRule="auto"/>
        <w:rPr>
          <w:sz w:val="20"/>
          <w:szCs w:val="20"/>
          <w:color w:val="auto"/>
        </w:rPr>
      </w:pPr>
      <w:r>
        <w:rPr>
          <w:rFonts w:ascii="Arial" w:cs="Arial" w:eastAsia="Arial" w:hAnsi="Arial"/>
          <w:sz w:val="17"/>
          <w:szCs w:val="17"/>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90" w:lineRule="exact"/>
        <w:rPr>
          <w:sz w:val="20"/>
          <w:szCs w:val="20"/>
          <w:color w:val="auto"/>
        </w:rPr>
      </w:pPr>
    </w:p>
    <w:p>
      <w:pPr>
        <w:ind w:left="1100" w:right="140" w:hanging="205"/>
        <w:spacing w:after="0" w:line="258" w:lineRule="auto"/>
        <w:tabs>
          <w:tab w:leader="none" w:pos="11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provisions of Section 404(b) of the Sarbanes-Oxley Act of 2002 requiring that our independent registered public accounting firm provide an attestation report on the effectiveness of our internal control over financial reporting;</w:t>
      </w:r>
    </w:p>
    <w:p>
      <w:pPr>
        <w:spacing w:after="0" w:line="90" w:lineRule="exact"/>
        <w:rPr>
          <w:rFonts w:ascii="Arial" w:cs="Arial" w:eastAsia="Arial" w:hAnsi="Arial"/>
          <w:sz w:val="17"/>
          <w:szCs w:val="17"/>
          <w:color w:val="auto"/>
        </w:rPr>
      </w:pPr>
    </w:p>
    <w:p>
      <w:pPr>
        <w:ind w:left="1100" w:right="20" w:hanging="205"/>
        <w:spacing w:after="0" w:line="247" w:lineRule="auto"/>
        <w:tabs>
          <w:tab w:leader="none" w:pos="11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“say on pay” provisions (requiring a non-binding shareholder vote to approve compensation of certain executive officers) and the “say on golden parachute” provisions (requiring a non-binding shareholder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 and</w:t>
      </w:r>
    </w:p>
    <w:p>
      <w:pPr>
        <w:spacing w:after="0" w:line="98" w:lineRule="exact"/>
        <w:rPr>
          <w:rFonts w:ascii="Arial" w:cs="Arial" w:eastAsia="Arial" w:hAnsi="Arial"/>
          <w:sz w:val="17"/>
          <w:szCs w:val="17"/>
          <w:color w:val="auto"/>
        </w:rPr>
      </w:pPr>
    </w:p>
    <w:p>
      <w:pPr>
        <w:ind w:left="1100" w:right="560" w:hanging="205"/>
        <w:spacing w:after="0" w:line="250" w:lineRule="auto"/>
        <w:tabs>
          <w:tab w:leader="none" w:pos="11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w:t>
      </w:r>
    </w:p>
    <w:p>
      <w:pPr>
        <w:spacing w:after="0" w:line="188" w:lineRule="exact"/>
        <w:rPr>
          <w:sz w:val="20"/>
          <w:szCs w:val="20"/>
          <w:color w:val="auto"/>
        </w:rPr>
      </w:pPr>
    </w:p>
    <w:p>
      <w:pPr>
        <w:ind w:left="380" w:firstLine="534"/>
        <w:spacing w:after="0" w:line="250" w:lineRule="auto"/>
        <w:rPr>
          <w:sz w:val="20"/>
          <w:szCs w:val="20"/>
          <w:color w:val="auto"/>
        </w:rPr>
      </w:pPr>
      <w:r>
        <w:rPr>
          <w:rFonts w:ascii="Arial" w:cs="Arial" w:eastAsia="Arial" w:hAnsi="Arial"/>
          <w:sz w:val="17"/>
          <w:szCs w:val="17"/>
          <w:color w:val="auto"/>
        </w:rPr>
        <w:t>We may take advantage of these reporting exemptions until we are no longer an emerging growth company, which in certain circumstances could be for up to five years. We will cease to be an “emerging growth company” upon the earliest of: (1) the last day of the fiscal year following the fifth</w:t>
      </w:r>
    </w:p>
    <w:p>
      <w:pPr>
        <w:spacing w:after="0" w:line="12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020"/>
          </w:cols>
          <w:pgMar w:left="240" w:top="449" w:right="63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120"/>
        <w:spacing w:after="0" w:line="250" w:lineRule="auto"/>
        <w:rPr>
          <w:sz w:val="20"/>
          <w:szCs w:val="20"/>
          <w:color w:val="auto"/>
        </w:rPr>
      </w:pPr>
      <w:r>
        <w:rPr>
          <w:rFonts w:ascii="Arial" w:cs="Arial" w:eastAsia="Arial" w:hAnsi="Arial"/>
          <w:sz w:val="17"/>
          <w:szCs w:val="17"/>
          <w:color w:val="auto"/>
        </w:rPr>
        <w:t>anniversary of this offering; (2) the last day of the first fiscal year in which our annual gross revenue is $1.07 billion or more; (3) the date on which we have, during the previous rolling three-year period, issued more than $1 billion in non-convertible debt securities; and (4) the date on which we are deemed to be a “large accelerated filer” as defined in the Exchange Act.</w:t>
      </w:r>
    </w:p>
    <w:p>
      <w:pPr>
        <w:spacing w:after="0" w:line="188" w:lineRule="exact"/>
        <w:rPr>
          <w:sz w:val="20"/>
          <w:szCs w:val="20"/>
          <w:color w:val="auto"/>
        </w:rPr>
      </w:pPr>
    </w:p>
    <w:p>
      <w:pPr>
        <w:ind w:left="380" w:firstLine="534"/>
        <w:spacing w:after="0" w:line="242" w:lineRule="auto"/>
        <w:rPr>
          <w:sz w:val="20"/>
          <w:szCs w:val="20"/>
          <w:color w:val="auto"/>
        </w:rPr>
      </w:pPr>
      <w:r>
        <w:rPr>
          <w:rFonts w:ascii="Arial" w:cs="Arial" w:eastAsia="Arial" w:hAnsi="Arial"/>
          <w:sz w:val="17"/>
          <w:szCs w:val="17"/>
          <w:color w:val="auto"/>
        </w:rPr>
        <w:t>Although we are still evaluating the JOBS Act, we currently intend to take advantage of some, but not all, of the reduced regulatory and reporting requirements that will be available to us so long as we qualify as an “emerging growth company.” We have elected to avail ourselves of this exemption and, therefore, we are not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 In addition,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285" w:lineRule="exact"/>
        <w:rPr>
          <w:sz w:val="20"/>
          <w:szCs w:val="20"/>
          <w:color w:val="auto"/>
        </w:rPr>
      </w:pPr>
    </w:p>
    <w:p>
      <w:pPr>
        <w:ind w:left="380" w:right="380"/>
        <w:spacing w:after="0" w:line="283" w:lineRule="auto"/>
        <w:rPr>
          <w:sz w:val="20"/>
          <w:szCs w:val="20"/>
          <w:color w:val="auto"/>
        </w:rPr>
      </w:pPr>
      <w:r>
        <w:rPr>
          <w:rFonts w:ascii="Arial" w:cs="Arial" w:eastAsia="Arial" w:hAnsi="Arial"/>
          <w:sz w:val="17"/>
          <w:szCs w:val="17"/>
          <w:b w:val="1"/>
          <w:bCs w:val="1"/>
          <w:i w:val="1"/>
          <w:iCs w:val="1"/>
          <w:color w:val="auto"/>
        </w:rPr>
        <w:t>Future changes in financial accounting standards or practices may cause adverse and unexpected revenue fluctuations and adversely affect our reported results of operations.</w:t>
      </w:r>
    </w:p>
    <w:p>
      <w:pPr>
        <w:spacing w:after="0" w:line="57" w:lineRule="exact"/>
        <w:rPr>
          <w:sz w:val="20"/>
          <w:szCs w:val="20"/>
          <w:color w:val="auto"/>
        </w:rPr>
      </w:pPr>
    </w:p>
    <w:p>
      <w:pPr>
        <w:ind w:left="380" w:right="20" w:firstLine="534"/>
        <w:spacing w:after="0" w:line="243" w:lineRule="auto"/>
        <w:rPr>
          <w:sz w:val="20"/>
          <w:szCs w:val="20"/>
          <w:color w:val="auto"/>
        </w:rPr>
      </w:pPr>
      <w:r>
        <w:rPr>
          <w:rFonts w:ascii="Arial" w:cs="Arial" w:eastAsia="Arial" w:hAnsi="Arial"/>
          <w:sz w:val="17"/>
          <w:szCs w:val="17"/>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 See “Management’s Discussion and Analysis of Financial Condition and Results of Operations—Newly Issued Accounting Pronouncements.”</w:t>
      </w:r>
    </w:p>
    <w:p>
      <w:pPr>
        <w:spacing w:after="0" w:line="178" w:lineRule="exact"/>
        <w:rPr>
          <w:sz w:val="20"/>
          <w:szCs w:val="20"/>
          <w:color w:val="auto"/>
        </w:rPr>
      </w:pPr>
    </w:p>
    <w:p>
      <w:pPr>
        <w:ind w:left="380" w:right="40" w:firstLine="534"/>
        <w:spacing w:after="0" w:line="246" w:lineRule="auto"/>
        <w:rPr>
          <w:sz w:val="20"/>
          <w:szCs w:val="20"/>
          <w:color w:val="auto"/>
        </w:rPr>
      </w:pPr>
      <w:r>
        <w:rPr>
          <w:rFonts w:ascii="Arial" w:cs="Arial" w:eastAsia="Arial" w:hAnsi="Arial"/>
          <w:sz w:val="17"/>
          <w:szCs w:val="17"/>
          <w:color w:val="auto"/>
        </w:rPr>
        <w:t xml:space="preserve">In particular, 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which supersedes the revenue recognition requirements in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The core principle of ASU 2014-09 is that an entity should recognize revenue to depict the transfer of promised goods or services to customers in an amount that reflects the consideration to which the entity expects to be entitled in exchange for those goods or services. As an “emerging growth company,” the JOBS Act allows us to delay adoption of new or revised accounting standards applicable to public companies until such pronouncements are made applicable to private companies. We have elected to use this extended transition period under the JOBS Act with respect to ASU 2014-09 and anticipate adopting ASU 2014-09 effective January 1, 2019, under the modified retrospective method. While we have not completed our final assessment of the impact, the adoption of ASU 2014-09 may have a material effect on our consolidated financial statements.</w:t>
      </w:r>
    </w:p>
    <w:p>
      <w:pPr>
        <w:spacing w:after="0" w:line="13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060"/>
          </w:cols>
          <w:pgMar w:left="240" w:top="449" w:right="59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80" w:right="140"/>
        <w:spacing w:after="0" w:line="283"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public company, and our management will devote substantial time to new compliance initiatives.</w:t>
      </w:r>
    </w:p>
    <w:p>
      <w:pPr>
        <w:spacing w:after="0" w:line="57" w:lineRule="exact"/>
        <w:rPr>
          <w:sz w:val="20"/>
          <w:szCs w:val="20"/>
          <w:color w:val="auto"/>
        </w:rPr>
      </w:pPr>
    </w:p>
    <w:p>
      <w:pPr>
        <w:ind w:left="380" w:firstLine="534"/>
        <w:spacing w:after="0" w:line="242" w:lineRule="auto"/>
        <w:rPr>
          <w:sz w:val="20"/>
          <w:szCs w:val="20"/>
          <w:color w:val="auto"/>
        </w:rPr>
      </w:pPr>
      <w:r>
        <w:rPr>
          <w:rFonts w:ascii="Arial" w:cs="Arial" w:eastAsia="Arial" w:hAnsi="Arial"/>
          <w:sz w:val="17"/>
          <w:szCs w:val="17"/>
          <w:color w:val="auto"/>
        </w:rPr>
        <w:t>As a public company, we will incur significant legal, accounting and other expenses that we did not incur as a private company, and these expenses may increase even more after we are no longer an “emerging growth company.” As a public company, we will be subject to the reporting requirements of the Exchange Act, the Sarbanes-Oxley Act of 2002, the Dodd-Frank Wall Street Reform and Protection Act, as well as rules adopted, and to be adopted, by the SEC and the Nasdaq Global Select Market.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02" w:lineRule="exact"/>
        <w:rPr>
          <w:sz w:val="20"/>
          <w:szCs w:val="20"/>
          <w:color w:val="auto"/>
        </w:rPr>
      </w:pPr>
    </w:p>
    <w:p>
      <w:pPr>
        <w:ind w:left="380" w:right="20" w:firstLine="534"/>
        <w:spacing w:after="0" w:line="242" w:lineRule="auto"/>
        <w:rPr>
          <w:sz w:val="20"/>
          <w:szCs w:val="20"/>
          <w:color w:val="auto"/>
        </w:rPr>
      </w:pPr>
      <w:r>
        <w:rPr>
          <w:rFonts w:ascii="Arial" w:cs="Arial" w:eastAsia="Arial" w:hAnsi="Arial"/>
          <w:sz w:val="17"/>
          <w:szCs w:val="17"/>
          <w:color w:val="auto"/>
        </w:rPr>
        <w:t>Specifically, in order to comply with the requirements of being a public company, we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Any failure to develop or maintain effective controls could adversely affect the results of periodic management evaluations.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common stock could decline. In addition, if we are unable to continue to meet these requirements, we may not be able to remain listed on the Nasdaq Global Select Market.</w:t>
      </w:r>
    </w:p>
    <w:p>
      <w:pPr>
        <w:spacing w:after="0" w:line="202" w:lineRule="exact"/>
        <w:rPr>
          <w:sz w:val="20"/>
          <w:szCs w:val="20"/>
          <w:color w:val="auto"/>
        </w:rPr>
      </w:pPr>
    </w:p>
    <w:p>
      <w:pPr>
        <w:ind w:left="380" w:right="60" w:firstLine="534"/>
        <w:spacing w:after="0" w:line="242" w:lineRule="auto"/>
        <w:rPr>
          <w:sz w:val="20"/>
          <w:szCs w:val="20"/>
          <w:color w:val="auto"/>
        </w:rPr>
      </w:pPr>
      <w:r>
        <w:rPr>
          <w:rFonts w:ascii="Arial" w:cs="Arial" w:eastAsia="Arial" w:hAnsi="Arial"/>
          <w:sz w:val="17"/>
          <w:szCs w:val="17"/>
          <w:color w:val="auto"/>
        </w:rPr>
        <w:t>We are not currently required to comply with the SEC’s rules that implement Section 404 of the Sarbanes-Oxley Act, or Section 404, and are therefore not yet required to make a formal assessment of the effectiveness of our internal control over financial reporting for that purpose. Upon becoming a public company, we will be required to comply with certain of these rules, which will require management to certify financial and other information in our quarterly and annual reports and provide an annual management report on the effectiveness of our internal control over financial reporting commencing with our second annual report. This assessment will need to include the disclosure of any material weaknesses in our internal control over financial reporting identified by our management or our independent registered public accounting firm. To achieve compliance with Section 404 within the prescribed period, we will need to continue to dedicate internal resources, outside consultants and continue to execute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 and we cannot assure you that there will not be material weaknesses or significant deficiencies in our internal controls in the future.</w:t>
      </w:r>
    </w:p>
    <w:p>
      <w:pPr>
        <w:spacing w:after="0" w:line="13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060"/>
          </w:cols>
          <w:pgMar w:left="240" w:top="449" w:right="59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in the public market could cause our stock price to fall.</w:t>
      </w:r>
    </w:p>
    <w:p>
      <w:pPr>
        <w:spacing w:after="0" w:line="126" w:lineRule="exact"/>
        <w:rPr>
          <w:sz w:val="20"/>
          <w:szCs w:val="20"/>
          <w:color w:val="auto"/>
        </w:rPr>
      </w:pPr>
    </w:p>
    <w:p>
      <w:pPr>
        <w:ind w:left="380" w:firstLine="534"/>
        <w:spacing w:after="0" w:line="242"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 have outstanding 64,993,706 shares of common stock based on the number of shares outstanding as of December 31, 2018, assuming: (i) no exercise of the underwriters’ option to purchase up to 1,000,000 additional shares; and (ii) the conversion of all outstanding shares of our convertible preferred stock into 47,267,466 shares of common stock upon the completion of this offering. This includes the shares that we sell in this offering, which may be resold in the public market immediately without restriction, unless purchased by our affiliates, and the private placement to Merck. Substantially all of the shares of our common stock not sold in this offering (including shares issuable upon exercise or conversion of existing securities and shares issuable to Merck in the concurrent private placement) will be locked up as a result of securities laws or lock-up agreements but will be able to be sold after this offering as described in the section titled “Shares Eligible for Future Sale.” Moreover, after this offering, holders of an aggregate of 47,267,466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section titled “Underwriting.”</w:t>
      </w:r>
    </w:p>
    <w:p>
      <w:pPr>
        <w:spacing w:after="0" w:line="200" w:lineRule="exact"/>
        <w:rPr>
          <w:sz w:val="20"/>
          <w:szCs w:val="20"/>
          <w:color w:val="auto"/>
        </w:rPr>
      </w:pPr>
    </w:p>
    <w:p>
      <w:pPr>
        <w:spacing w:after="0" w:line="281" w:lineRule="exact"/>
        <w:rPr>
          <w:sz w:val="20"/>
          <w:szCs w:val="20"/>
          <w:color w:val="auto"/>
        </w:rPr>
      </w:pPr>
    </w:p>
    <w:p>
      <w:pPr>
        <w:ind w:left="380" w:right="220"/>
        <w:spacing w:after="0" w:line="283" w:lineRule="auto"/>
        <w:rPr>
          <w:sz w:val="20"/>
          <w:szCs w:val="20"/>
          <w:color w:val="auto"/>
        </w:rPr>
      </w:pPr>
      <w:r>
        <w:rPr>
          <w:rFonts w:ascii="Arial" w:cs="Arial" w:eastAsia="Arial" w:hAnsi="Arial"/>
          <w:sz w:val="17"/>
          <w:szCs w:val="17"/>
          <w:b w:val="1"/>
          <w:bCs w:val="1"/>
          <w:i w:val="1"/>
          <w:iCs w:val="1"/>
          <w:color w:val="auto"/>
        </w:rPr>
        <w:t>If you purchase our common stock in this offering, you will incur immediate and substantial dilution in the book value of your shares.</w:t>
      </w:r>
    </w:p>
    <w:p>
      <w:pPr>
        <w:spacing w:after="0" w:line="57" w:lineRule="exact"/>
        <w:rPr>
          <w:sz w:val="20"/>
          <w:szCs w:val="20"/>
          <w:color w:val="auto"/>
        </w:rPr>
      </w:pPr>
    </w:p>
    <w:p>
      <w:pPr>
        <w:ind w:left="380" w:right="60" w:firstLine="534"/>
        <w:spacing w:after="0" w:line="244" w:lineRule="auto"/>
        <w:rPr>
          <w:sz w:val="20"/>
          <w:szCs w:val="20"/>
          <w:color w:val="auto"/>
        </w:rPr>
      </w:pPr>
      <w:r>
        <w:rPr>
          <w:rFonts w:ascii="Arial" w:cs="Arial" w:eastAsia="Arial" w:hAnsi="Arial"/>
          <w:sz w:val="17"/>
          <w:szCs w:val="17"/>
          <w:color w:val="auto"/>
        </w:rPr>
        <w:t>The initial public offering price is substantially higher than the net tangible book value per share of our common stock. Investors purchasing common stock in this offering will pay a price per share that substantially exceeds the book value of our tangible assets after subtracting our liabilities. As a result, investors purchasing common stock in this offering will incur immediate dilution of $9.80 per share, based on an assumed initial public offering price of $15.00 per share, the midpoint of the price range set forth on the cover of this prospectus. Further, investors purchasing common stock in this offering will contribute approximately 21% of the total amount invested by stockholders since our inception, but will own only approximately 10% of the shares of common stock outstanding.</w:t>
      </w:r>
    </w:p>
    <w:p>
      <w:pPr>
        <w:spacing w:after="0" w:line="196" w:lineRule="exact"/>
        <w:rPr>
          <w:sz w:val="20"/>
          <w:szCs w:val="20"/>
          <w:color w:val="auto"/>
        </w:rPr>
      </w:pPr>
    </w:p>
    <w:p>
      <w:pPr>
        <w:ind w:left="380" w:right="40" w:firstLine="534"/>
        <w:spacing w:after="0" w:line="244" w:lineRule="auto"/>
        <w:rPr>
          <w:sz w:val="20"/>
          <w:szCs w:val="20"/>
          <w:color w:val="auto"/>
        </w:rPr>
      </w:pPr>
      <w:r>
        <w:rPr>
          <w:rFonts w:ascii="Arial" w:cs="Arial" w:eastAsia="Arial" w:hAnsi="Arial"/>
          <w:sz w:val="17"/>
          <w:szCs w:val="17"/>
          <w:color w:val="auto"/>
        </w:rPr>
        <w:t>This dilution is due to our investors who purchased shares prior to this offering having paid substantially less than the price offered to the public in this offering when they purchased their shares including the exercise of stock options granted to our employees. As of December 31, 2018, options to purchase 9,806,689 shares of our common stock at a weighted average exercise price of $5.86 per share were outstanding, and all options are currently exercisable. The exercise of any of these options would result in additional dilution. As a result of the dilution to investors purchasing shares in this offering, investors may receive significantly less than the purchase price paid in this offering, if anything, in the event of a liquidation.</w:t>
      </w:r>
    </w:p>
    <w:p>
      <w:pPr>
        <w:spacing w:after="0" w:line="280"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We do not intend to pay dividends on our common stock so any returns will be limited to the value of our stock.</w:t>
      </w:r>
    </w:p>
    <w:p>
      <w:pPr>
        <w:spacing w:after="0" w:line="126" w:lineRule="exact"/>
        <w:rPr>
          <w:sz w:val="20"/>
          <w:szCs w:val="20"/>
          <w:color w:val="auto"/>
        </w:rPr>
      </w:pPr>
    </w:p>
    <w:p>
      <w:pPr>
        <w:ind w:left="380" w:right="20" w:firstLine="534"/>
        <w:spacing w:after="0" w:line="250" w:lineRule="auto"/>
        <w:rPr>
          <w:sz w:val="20"/>
          <w:szCs w:val="20"/>
          <w:color w:val="auto"/>
        </w:rPr>
      </w:pPr>
      <w:r>
        <w:rPr>
          <w:rFonts w:ascii="Arial" w:cs="Arial" w:eastAsia="Arial" w:hAnsi="Arial"/>
          <w:sz w:val="17"/>
          <w:szCs w:val="17"/>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2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000"/>
          </w:cols>
          <w:pgMar w:left="240" w:top="449" w:right="65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126" w:lineRule="exact"/>
        <w:rPr>
          <w:sz w:val="20"/>
          <w:szCs w:val="20"/>
          <w:color w:val="auto"/>
        </w:rPr>
      </w:pPr>
    </w:p>
    <w:p>
      <w:pPr>
        <w:ind w:left="380" w:right="80" w:firstLine="534"/>
        <w:spacing w:after="0" w:line="244" w:lineRule="auto"/>
        <w:rPr>
          <w:sz w:val="20"/>
          <w:szCs w:val="20"/>
          <w:color w:val="auto"/>
        </w:rPr>
      </w:pPr>
      <w:r>
        <w:rPr>
          <w:rFonts w:ascii="Arial" w:cs="Arial" w:eastAsia="Arial" w:hAnsi="Arial"/>
          <w:sz w:val="17"/>
          <w:szCs w:val="17"/>
          <w:color w:val="auto"/>
        </w:rPr>
        <w:t>Upon completion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96" w:lineRule="exact"/>
        <w:rPr>
          <w:sz w:val="20"/>
          <w:szCs w:val="20"/>
          <w:color w:val="auto"/>
        </w:rPr>
      </w:pPr>
    </w:p>
    <w:p>
      <w:pPr>
        <w:ind w:left="380" w:right="80" w:firstLine="534"/>
        <w:spacing w:after="0" w:line="247" w:lineRule="auto"/>
        <w:rPr>
          <w:sz w:val="20"/>
          <w:szCs w:val="20"/>
          <w:color w:val="auto"/>
        </w:rPr>
      </w:pPr>
      <w:r>
        <w:rPr>
          <w:rFonts w:ascii="Arial" w:cs="Arial" w:eastAsia="Arial" w:hAnsi="Arial"/>
          <w:sz w:val="17"/>
          <w:szCs w:val="17"/>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75" w:lineRule="exact"/>
        <w:rPr>
          <w:sz w:val="20"/>
          <w:szCs w:val="20"/>
          <w:color w:val="auto"/>
        </w:rPr>
      </w:pPr>
    </w:p>
    <w:p>
      <w:pPr>
        <w:jc w:val="both"/>
        <w:ind w:left="380" w:right="100"/>
        <w:spacing w:after="0" w:line="262" w:lineRule="auto"/>
        <w:rPr>
          <w:sz w:val="20"/>
          <w:szCs w:val="20"/>
          <w:color w:val="auto"/>
        </w:rPr>
      </w:pPr>
      <w:r>
        <w:rPr>
          <w:rFonts w:ascii="Arial" w:cs="Arial" w:eastAsia="Arial" w:hAnsi="Arial"/>
          <w:sz w:val="17"/>
          <w:szCs w:val="17"/>
          <w:b w:val="1"/>
          <w:bCs w:val="1"/>
          <w:i w:val="1"/>
          <w:iCs w:val="1"/>
          <w:color w:val="auto"/>
        </w:rPr>
        <w:t>Some provisions of our charter documents, Delaware law and our collaboration agreement with Merck may have anti-takeover effects or could otherwise discourage an acquisition of us by others, even if an acquisition would benefit our stockholders and may prevent attempts by our stockholders to replace or remove our current management.</w:t>
      </w:r>
    </w:p>
    <w:p>
      <w:pPr>
        <w:spacing w:after="0" w:line="74" w:lineRule="exact"/>
        <w:rPr>
          <w:sz w:val="20"/>
          <w:szCs w:val="20"/>
          <w:color w:val="auto"/>
        </w:rPr>
      </w:pPr>
    </w:p>
    <w:p>
      <w:pPr>
        <w:ind w:left="380" w:right="140" w:firstLine="534"/>
        <w:spacing w:after="0" w:line="247"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that will become effective upon the completion of this offering, as well as provisions of Delaware law, could make it more difficult for a third party to acquire us or increase the cost of acquiring us, even if doing so would benefit our stockholders, or remove our current management. These provisions include:</w:t>
      </w:r>
    </w:p>
    <w:p>
      <w:pPr>
        <w:spacing w:after="0" w:line="99" w:lineRule="exact"/>
        <w:rPr>
          <w:sz w:val="20"/>
          <w:szCs w:val="20"/>
          <w:color w:val="auto"/>
        </w:rPr>
      </w:pPr>
    </w:p>
    <w:p>
      <w:pPr>
        <w:ind w:left="1100" w:right="20" w:hanging="205"/>
        <w:spacing w:after="0" w:line="258" w:lineRule="auto"/>
        <w:tabs>
          <w:tab w:leader="none" w:pos="11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board of directors divided into three classes serving staggered three-year terms, such that not all members of the board will be elected at one time;</w:t>
      </w:r>
    </w:p>
    <w:p>
      <w:pPr>
        <w:spacing w:after="0" w:line="90" w:lineRule="exact"/>
        <w:rPr>
          <w:rFonts w:ascii="Arial" w:cs="Arial" w:eastAsia="Arial" w:hAnsi="Arial"/>
          <w:sz w:val="17"/>
          <w:szCs w:val="17"/>
          <w:color w:val="auto"/>
        </w:rPr>
      </w:pPr>
    </w:p>
    <w:p>
      <w:pPr>
        <w:ind w:left="1100" w:right="360" w:hanging="205"/>
        <w:spacing w:after="0" w:line="258" w:lineRule="auto"/>
        <w:tabs>
          <w:tab w:leader="none" w:pos="11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authorizing the issuance of “blank check” preferred stock, the terms of which we may establish and shares of which we may issue without stockholder approval;</w:t>
      </w:r>
    </w:p>
    <w:p>
      <w:pPr>
        <w:spacing w:after="0" w:line="90" w:lineRule="exact"/>
        <w:rPr>
          <w:rFonts w:ascii="Arial" w:cs="Arial" w:eastAsia="Arial" w:hAnsi="Arial"/>
          <w:sz w:val="17"/>
          <w:szCs w:val="17"/>
          <w:color w:val="auto"/>
        </w:rPr>
      </w:pPr>
    </w:p>
    <w:p>
      <w:pPr>
        <w:ind w:left="1100" w:right="140" w:hanging="205"/>
        <w:spacing w:after="0" w:line="258" w:lineRule="auto"/>
        <w:tabs>
          <w:tab w:leader="none" w:pos="11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prohibiting cumulative voting in the election of directors, which would otherwise allow for less than a majority of stockholders to elect director candidates;</w:t>
      </w:r>
    </w:p>
    <w:p>
      <w:pPr>
        <w:spacing w:after="0" w:line="90" w:lineRule="exact"/>
        <w:rPr>
          <w:rFonts w:ascii="Arial" w:cs="Arial" w:eastAsia="Arial" w:hAnsi="Arial"/>
          <w:sz w:val="17"/>
          <w:szCs w:val="17"/>
          <w:color w:val="auto"/>
        </w:rPr>
      </w:pPr>
    </w:p>
    <w:p>
      <w:pPr>
        <w:ind w:left="1100" w:right="600" w:hanging="205"/>
        <w:spacing w:after="0" w:line="258" w:lineRule="auto"/>
        <w:tabs>
          <w:tab w:leader="none" w:pos="11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prohibiting stockholder action by written consent, thereby requiring all stockholder actions to be taken at a meeting of our stockholders;</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eliminating the ability of stockholders to call a special meeting of stockholders; and</w:t>
      </w:r>
    </w:p>
    <w:p>
      <w:pPr>
        <w:spacing w:after="0" w:line="118" w:lineRule="exact"/>
        <w:rPr>
          <w:rFonts w:ascii="Arial" w:cs="Arial" w:eastAsia="Arial" w:hAnsi="Arial"/>
          <w:sz w:val="17"/>
          <w:szCs w:val="17"/>
          <w:color w:val="auto"/>
        </w:rPr>
      </w:pPr>
    </w:p>
    <w:p>
      <w:pPr>
        <w:ind w:left="1100" w:right="80" w:hanging="205"/>
        <w:spacing w:after="0" w:line="258" w:lineRule="auto"/>
        <w:tabs>
          <w:tab w:leader="none" w:pos="11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establishing advance notice requirements for nominations for election to the board of directors or for proposing matters that can be acted upon at stockholder meetings.</w:t>
      </w:r>
    </w:p>
    <w:p>
      <w:pPr>
        <w:spacing w:after="0" w:line="182"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In addition, Section 203 of the DGCL, prohibits a publicly-held Delaware corporation from engaging in a business combination with an interested stockholder, which is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3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000"/>
          </w:cols>
          <w:pgMar w:left="240" w:top="449" w:right="65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200" w:firstLine="534"/>
        <w:spacing w:after="0" w:line="247" w:lineRule="auto"/>
        <w:rPr>
          <w:sz w:val="20"/>
          <w:szCs w:val="20"/>
          <w:color w:val="auto"/>
        </w:rPr>
      </w:pPr>
      <w:r>
        <w:rPr>
          <w:rFonts w:ascii="Arial" w:cs="Arial" w:eastAsia="Arial" w:hAnsi="Arial"/>
          <w:sz w:val="17"/>
          <w:szCs w:val="17"/>
          <w:color w:val="auto"/>
        </w:rPr>
        <w:t>Certain provisions in our collaboration agreements may also deter a change of control. For example, under our agreement with Merck, a change of control gives Merck the right to terminate our research and early development program as well as additional rights if our acquirer is a qualifying large pharmaceutical company or has a research, development or commercialization program that competes with a program optioned by Merck. See the section titled “Business—Our Collaboration with Merck” for more information.</w:t>
      </w:r>
    </w:p>
    <w:p>
      <w:pPr>
        <w:spacing w:after="0" w:line="190" w:lineRule="exact"/>
        <w:rPr>
          <w:sz w:val="20"/>
          <w:szCs w:val="20"/>
          <w:color w:val="auto"/>
        </w:rPr>
      </w:pPr>
    </w:p>
    <w:p>
      <w:pPr>
        <w:ind w:left="380" w:right="120" w:firstLine="534"/>
        <w:spacing w:after="0" w:line="247" w:lineRule="auto"/>
        <w:rPr>
          <w:sz w:val="20"/>
          <w:szCs w:val="20"/>
          <w:color w:val="auto"/>
        </w:rPr>
      </w:pPr>
      <w:r>
        <w:rPr>
          <w:rFonts w:ascii="Arial" w:cs="Arial" w:eastAsia="Arial" w:hAnsi="Arial"/>
          <w:sz w:val="17"/>
          <w:szCs w:val="17"/>
          <w:color w:val="auto"/>
        </w:rPr>
        <w:t>Any provision of our amended and restated certificate of incorporation, amended and restated bylaws, Delaware law or our collaboration agreement with Merck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75" w:lineRule="exact"/>
        <w:rPr>
          <w:sz w:val="20"/>
          <w:szCs w:val="20"/>
          <w:color w:val="auto"/>
        </w:rPr>
      </w:pPr>
    </w:p>
    <w:p>
      <w:pPr>
        <w:ind w:left="380" w:right="460"/>
        <w:spacing w:after="0" w:line="255"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spacing w:after="0" w:line="80" w:lineRule="exact"/>
        <w:rPr>
          <w:sz w:val="20"/>
          <w:szCs w:val="20"/>
          <w:color w:val="auto"/>
        </w:rPr>
      </w:pPr>
    </w:p>
    <w:p>
      <w:pPr>
        <w:ind w:left="380" w:right="60" w:firstLine="534"/>
        <w:spacing w:after="0" w:line="242" w:lineRule="auto"/>
        <w:rPr>
          <w:sz w:val="20"/>
          <w:szCs w:val="20"/>
          <w:color w:val="auto"/>
        </w:rPr>
      </w:pPr>
      <w:r>
        <w:rPr>
          <w:rFonts w:ascii="Arial" w:cs="Arial" w:eastAsia="Arial" w:hAnsi="Arial"/>
          <w:sz w:val="17"/>
          <w:szCs w:val="17"/>
          <w:color w:val="auto"/>
        </w:rPr>
        <w:t>Our amended and restated certificate of incorporation to be in effect upon the completion of this offering will provide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DGCL, our amended and restated certificate of incorporation or our amended and restated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to be in effect upon the completion of this offering will provide further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 These choice of forum provisions may limit a stockholder’s ability to bring a claim in a judicial forum that it finds favorable for disputes with us or our directors, officers or other employees. If a court were to find either choice of forum provision contained in our amended and restated certificate of incorporation to be inapplicable or unenforceable in an action, we may incur additional costs associated with resolving such action in other jurisdictions, which could harm our business. For example, the Court of Chancery of the State of Delaware recently determined that the exclusive forum provision of federal district courts of the United States for resolving any complaint asserting a cause of action arising under the Securities Act is not enforceable. However, this decision may be reviewed and ultimately overturned by the Delaware Supreme Court. If this ultimate adjudication were to occur, the federal district court exclusive forum provision in our amended and restated certificate of incorporation would no longer be contingent.</w:t>
      </w:r>
    </w:p>
    <w:p>
      <w:pPr>
        <w:spacing w:after="0" w:line="283" w:lineRule="exact"/>
        <w:rPr>
          <w:sz w:val="20"/>
          <w:szCs w:val="20"/>
          <w:color w:val="auto"/>
        </w:rPr>
      </w:pPr>
    </w:p>
    <w:p>
      <w:pPr>
        <w:ind w:left="380" w:right="300"/>
        <w:spacing w:after="0" w:line="283"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our stock price and trading volume could decline.</w:t>
      </w:r>
    </w:p>
    <w:p>
      <w:pPr>
        <w:spacing w:after="0" w:line="57" w:lineRule="exact"/>
        <w:rPr>
          <w:sz w:val="20"/>
          <w:szCs w:val="20"/>
          <w:color w:val="auto"/>
        </w:rPr>
      </w:pPr>
    </w:p>
    <w:p>
      <w:pPr>
        <w:ind w:left="380" w:firstLine="534"/>
        <w:spacing w:after="0" w:line="245" w:lineRule="auto"/>
        <w:rPr>
          <w:sz w:val="20"/>
          <w:szCs w:val="20"/>
          <w:color w:val="auto"/>
        </w:rPr>
      </w:pPr>
      <w:r>
        <w:rPr>
          <w:rFonts w:ascii="Arial" w:cs="Arial" w:eastAsia="Arial" w:hAnsi="Arial"/>
          <w:sz w:val="17"/>
          <w:szCs w:val="17"/>
          <w:color w:val="auto"/>
        </w:rPr>
        <w:t>The trading market for our common stock will depend, in part, on the research and reports that securities or industry analysts publish about us or our business. Securities and industry analysts do not currently, and may never, publish research on our company. If no securities or industry analysts commence coverage of our company or if they cease to cover our company, the trading price for our stock would likely be negatively impacted. In the event that securities or industry analysts initiate coverage, if one or more of the analysts who cover us downgrade our stock or publish inaccurate or</w:t>
      </w:r>
    </w:p>
    <w:p>
      <w:pPr>
        <w:spacing w:after="0" w:line="12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020"/>
          </w:cols>
          <w:pgMar w:left="240" w:top="449" w:right="63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jc w:val="both"/>
        <w:ind w:left="380"/>
        <w:spacing w:after="0" w:line="250" w:lineRule="auto"/>
        <w:rPr>
          <w:sz w:val="20"/>
          <w:szCs w:val="20"/>
          <w:color w:val="auto"/>
        </w:rPr>
      </w:pPr>
      <w:r>
        <w:rPr>
          <w:rFonts w:ascii="Arial" w:cs="Arial" w:eastAsia="Arial" w:hAnsi="Arial"/>
          <w:sz w:val="17"/>
          <w:szCs w:val="17"/>
          <w:color w:val="auto"/>
        </w:rPr>
        <w:t>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22"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0920"/>
          </w:cols>
          <w:pgMar w:left="240" w:top="449" w:right="73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32"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This prospectus, including the sections titled “Prospectus Summary,” “Risk Factors,” “Management’s Discussion and Analysis of Financial Condition and Results of Operations” and “Business,” contains forward-looking statements. We may, in some cases, use words such as “anticipate,” “believe,” “could,” “estimate,” “expect,” “intend,” “may,”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Forward-looking statements in this prospectus include, but are not limited to, statements about:</w:t>
      </w:r>
    </w:p>
    <w:p>
      <w:pPr>
        <w:spacing w:after="0" w:line="104" w:lineRule="exact"/>
        <w:rPr>
          <w:sz w:val="20"/>
          <w:szCs w:val="20"/>
          <w:color w:val="auto"/>
        </w:rPr>
      </w:pPr>
    </w:p>
    <w:p>
      <w:pPr>
        <w:ind w:left="1100" w:hanging="205"/>
        <w:spacing w:after="0"/>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success, cost and timing of our product development activities and clinical trials;</w:t>
      </w:r>
    </w:p>
    <w:p>
      <w:pPr>
        <w:spacing w:after="0" w:line="118" w:lineRule="exact"/>
        <w:rPr>
          <w:rFonts w:ascii="Arial" w:cs="Arial" w:eastAsia="Arial" w:hAnsi="Arial"/>
          <w:sz w:val="17"/>
          <w:szCs w:val="17"/>
          <w:color w:val="auto"/>
        </w:rPr>
      </w:pPr>
    </w:p>
    <w:p>
      <w:pPr>
        <w:jc w:val="both"/>
        <w:ind w:left="1100" w:right="380" w:hanging="205"/>
        <w:spacing w:after="0" w:line="250" w:lineRule="auto"/>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or our partners’ ability to obtain and maintain regulatory approval for NGM282, NGM313, NGM386, NGM395, NGM120, NGM217, NGM621 and any of our future product candidates, and any related restrictions, limitations, and/or warnings in the label of an approved product candidate;</w:t>
      </w:r>
    </w:p>
    <w:p>
      <w:pPr>
        <w:spacing w:after="0" w:line="96" w:lineRule="exact"/>
        <w:rPr>
          <w:rFonts w:ascii="Arial" w:cs="Arial" w:eastAsia="Arial" w:hAnsi="Arial"/>
          <w:sz w:val="17"/>
          <w:szCs w:val="17"/>
          <w:color w:val="auto"/>
        </w:rPr>
      </w:pPr>
    </w:p>
    <w:p>
      <w:pPr>
        <w:ind w:left="1100" w:right="260" w:hanging="205"/>
        <w:spacing w:after="0" w:line="258" w:lineRule="auto"/>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belief that NGM282 will have a superior therapeutic profile in NASH patients with moderate to advanced fibrosis based on clinical data showing reduced liver fat content, liver aminotransferase levels and fibrosis marker levels;</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belief in the impact of our product candidate side effects and our ability to effectively manage these side effects;</w:t>
      </w:r>
    </w:p>
    <w:p>
      <w:pPr>
        <w:spacing w:after="0" w:line="118" w:lineRule="exact"/>
        <w:rPr>
          <w:rFonts w:ascii="Arial" w:cs="Arial" w:eastAsia="Arial" w:hAnsi="Arial"/>
          <w:sz w:val="17"/>
          <w:szCs w:val="17"/>
          <w:color w:val="auto"/>
        </w:rPr>
      </w:pPr>
    </w:p>
    <w:p>
      <w:pPr>
        <w:ind w:left="1100" w:right="180" w:hanging="205"/>
        <w:spacing w:after="0" w:line="258" w:lineRule="auto"/>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belief that NGM313 will have a superior therapeutic profile in NASH patients with early stage fibrosis based on clinical data showing reduced liver fat content and liver aminotransferase levels, along with improved measures of insulin sensitivity;</w:t>
      </w:r>
    </w:p>
    <w:p>
      <w:pPr>
        <w:spacing w:after="0" w:line="90" w:lineRule="exact"/>
        <w:rPr>
          <w:rFonts w:ascii="Arial" w:cs="Arial" w:eastAsia="Arial" w:hAnsi="Arial"/>
          <w:sz w:val="17"/>
          <w:szCs w:val="17"/>
          <w:color w:val="auto"/>
        </w:rPr>
      </w:pPr>
    </w:p>
    <w:p>
      <w:pPr>
        <w:ind w:left="1100" w:right="280" w:hanging="205"/>
        <w:spacing w:after="0" w:line="258" w:lineRule="auto"/>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renewal of our collaboration agreement with Merck and Merck’s decision to exercise its option to license certain programs upon our completion of a proof-of-concept study in humans;</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ability to obtain funding for our operations;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commercialization of our product candidates, if approved;</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plans to research, develop and commercialize our product candidates;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ability to attract additional collaborators with development, regulatory and commercialization expertise;</w:t>
      </w:r>
    </w:p>
    <w:p>
      <w:pPr>
        <w:spacing w:after="0" w:line="118" w:lineRule="exact"/>
        <w:rPr>
          <w:rFonts w:ascii="Arial" w:cs="Arial" w:eastAsia="Arial" w:hAnsi="Arial"/>
          <w:sz w:val="17"/>
          <w:szCs w:val="17"/>
          <w:color w:val="auto"/>
        </w:rPr>
      </w:pPr>
    </w:p>
    <w:p>
      <w:pPr>
        <w:ind w:left="1100" w:right="520" w:hanging="205"/>
        <w:spacing w:after="0" w:line="258" w:lineRule="auto"/>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current and future agreements with third parties in connection with the commercialization of NGM282, NGM313, NGM386, NGM395, NGM217, NGM120 and NGM621, or any other future approved product;</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size and growth potential of the markets for our product candidates, and our ability to serve those markets;</w:t>
      </w:r>
    </w:p>
    <w:p>
      <w:pPr>
        <w:spacing w:after="0" w:line="118" w:lineRule="exact"/>
        <w:rPr>
          <w:rFonts w:ascii="Arial" w:cs="Arial" w:eastAsia="Arial" w:hAnsi="Arial"/>
          <w:sz w:val="17"/>
          <w:szCs w:val="17"/>
          <w:color w:val="auto"/>
        </w:rPr>
      </w:pPr>
    </w:p>
    <w:p>
      <w:pPr>
        <w:ind w:left="1100" w:right="360" w:hanging="205"/>
        <w:spacing w:after="0" w:line="258" w:lineRule="auto"/>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rate and degree of market acceptance of our product candidates, as well as the reimbursement coverage for our product candidates;</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regulatory developments in the United States and foreign countries;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performance of third-party suppliers and manufacturers;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success of competing therapies that are or may become available;</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ability to attract and retain key scientific or management personnel;</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estimates regarding future expenses, revenue, capital requirements and needs for additional financing;</w:t>
      </w:r>
    </w:p>
    <w:p>
      <w:pPr>
        <w:spacing w:after="0" w:line="14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040"/>
          </w:cols>
          <w:pgMar w:left="240" w:top="449" w:right="61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1100" w:hanging="205"/>
        <w:spacing w:after="0"/>
        <w:tabs>
          <w:tab w:leader="none" w:pos="11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expectations regarding the period during which we qualify as an emerging growth company under the JOBS Act;</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use of the net proceeds from this offering; and</w:t>
      </w:r>
    </w:p>
    <w:p>
      <w:pPr>
        <w:spacing w:after="0" w:line="118" w:lineRule="exact"/>
        <w:rPr>
          <w:rFonts w:ascii="Arial" w:cs="Arial" w:eastAsia="Arial" w:hAnsi="Arial"/>
          <w:sz w:val="17"/>
          <w:szCs w:val="17"/>
          <w:color w:val="auto"/>
        </w:rPr>
      </w:pPr>
    </w:p>
    <w:p>
      <w:pPr>
        <w:ind w:left="1100" w:right="420" w:hanging="205"/>
        <w:spacing w:after="0" w:line="258" w:lineRule="auto"/>
        <w:tabs>
          <w:tab w:leader="none" w:pos="11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expectations regarding our ability to obtain, maintain, protect and enforce intellectual property protection for our product candidates.</w:t>
      </w:r>
    </w:p>
    <w:p>
      <w:pPr>
        <w:spacing w:after="0" w:line="182"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These forward-looking statements reflect our management’s beliefs and views with respect to future events and are based on estimates and assumptions as of the date of this prospectus and are subject to risks and uncertainties. We discuss many of these risks in greater detail under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w:t>
      </w:r>
    </w:p>
    <w:p>
      <w:pPr>
        <w:spacing w:after="0" w:line="193" w:lineRule="exact"/>
        <w:rPr>
          <w:sz w:val="20"/>
          <w:szCs w:val="20"/>
          <w:color w:val="auto"/>
        </w:rPr>
      </w:pPr>
    </w:p>
    <w:p>
      <w:pPr>
        <w:ind w:left="380" w:right="80" w:firstLine="534"/>
        <w:spacing w:after="0" w:line="245"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 Except as required by law, we undertake no obligation to publicly update any forward-looking statements, whether as a result of new information, future events or otherwise.</w:t>
      </w:r>
    </w:p>
    <w:p>
      <w:pPr>
        <w:spacing w:after="0" w:line="12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020"/>
          </w:cols>
          <w:pgMar w:left="240" w:top="449" w:right="63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INDUSTRY AND MARKET DATA</w:t>
      </w:r>
    </w:p>
    <w:p>
      <w:pPr>
        <w:spacing w:after="0" w:line="232" w:lineRule="exact"/>
        <w:rPr>
          <w:sz w:val="20"/>
          <w:szCs w:val="20"/>
          <w:color w:val="auto"/>
        </w:rPr>
      </w:pPr>
    </w:p>
    <w:p>
      <w:pPr>
        <w:ind w:left="380" w:right="40" w:firstLine="534"/>
        <w:spacing w:after="0" w:line="247" w:lineRule="auto"/>
        <w:rPr>
          <w:sz w:val="20"/>
          <w:szCs w:val="20"/>
          <w:color w:val="auto"/>
        </w:rPr>
      </w:pPr>
      <w:r>
        <w:rPr>
          <w:rFonts w:ascii="Arial" w:cs="Arial" w:eastAsia="Arial" w:hAnsi="Arial"/>
          <w:sz w:val="17"/>
          <w:szCs w:val="17"/>
          <w:color w:val="auto"/>
        </w:rPr>
        <w:t>This prospectus contains estimates, projections and other information concerning our industry and our business, including estimated market size, projected growth rates and the prevalence of certain medical conditions. Unless otherwise expressly stated, we obtained this industry, business, market, medical and other information from reports, research surveys, studies and similar data prepared by third parties, industry, medical and general publications, government data and similar sources.</w:t>
      </w:r>
    </w:p>
    <w:p>
      <w:pPr>
        <w:spacing w:after="0" w:line="190"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This industry, business, market, medical and other information involves a number of assumptions and limitations, and you are cautioned not to give undue weight to such estimates. We have not independently verified any third-party information and cannot assure you of its accuracy or completeness. Although we are responsible for all of the disclosure contained in this prospectus and we believe the market position, market opportunity, market size and medical information included in this prospectus is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the independent parties and by us.</w:t>
      </w:r>
    </w:p>
    <w:p>
      <w:pPr>
        <w:spacing w:after="0" w:line="198" w:lineRule="exact"/>
        <w:rPr>
          <w:sz w:val="20"/>
          <w:szCs w:val="20"/>
          <w:color w:val="auto"/>
        </w:rPr>
      </w:pPr>
    </w:p>
    <w:p>
      <w:pPr>
        <w:jc w:val="both"/>
        <w:ind w:left="380" w:right="60" w:firstLine="534"/>
        <w:spacing w:after="0" w:line="250" w:lineRule="auto"/>
        <w:rPr>
          <w:sz w:val="20"/>
          <w:szCs w:val="20"/>
          <w:color w:val="auto"/>
        </w:rPr>
      </w:pPr>
      <w:r>
        <w:rPr>
          <w:rFonts w:ascii="Arial" w:cs="Arial" w:eastAsia="Arial" w:hAnsi="Arial"/>
          <w:sz w:val="17"/>
          <w:szCs w:val="17"/>
          <w:color w:val="auto"/>
        </w:rPr>
        <w:t>In some cases, we do not expressly refer to the sources from which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2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0960"/>
          </w:cols>
          <w:pgMar w:left="240" w:top="449" w:right="69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USE OF PROCEEDS</w:t>
      </w:r>
    </w:p>
    <w:p>
      <w:pPr>
        <w:spacing w:after="0" w:line="232" w:lineRule="exact"/>
        <w:rPr>
          <w:sz w:val="20"/>
          <w:szCs w:val="20"/>
          <w:color w:val="auto"/>
        </w:rPr>
      </w:pPr>
    </w:p>
    <w:p>
      <w:pPr>
        <w:ind w:left="380" w:right="40" w:firstLine="534"/>
        <w:spacing w:after="0" w:line="245" w:lineRule="auto"/>
        <w:rPr>
          <w:sz w:val="20"/>
          <w:szCs w:val="20"/>
          <w:color w:val="auto"/>
        </w:rPr>
      </w:pPr>
      <w:r>
        <w:rPr>
          <w:rFonts w:ascii="Arial" w:cs="Arial" w:eastAsia="Arial" w:hAnsi="Arial"/>
          <w:sz w:val="17"/>
          <w:szCs w:val="17"/>
          <w:color w:val="auto"/>
        </w:rPr>
        <w:t>We estimate that we will receive net proceeds of approximately $89.5 million, or approximately $103.5 million if the underwriters exercise their option to purchase additional shares in full, from the sale of the shares of common stock offered by us in this offering, based on an assumed initial public offering price of $15.00 per share, the midpoint of the estimated offering price range set forth on the cover page of this prospectus, and after deducting the underwriting discounts and commissions and estimated offering expenses payable by us. Additionally, we estimate that our net proceeds from the concurrent private placement to Merck will be $61.8 million.</w:t>
      </w:r>
    </w:p>
    <w:p>
      <w:pPr>
        <w:spacing w:after="0" w:line="194" w:lineRule="exact"/>
        <w:rPr>
          <w:sz w:val="20"/>
          <w:szCs w:val="20"/>
          <w:color w:val="auto"/>
        </w:rPr>
      </w:pPr>
    </w:p>
    <w:p>
      <w:pPr>
        <w:ind w:left="380" w:right="20" w:firstLine="534"/>
        <w:spacing w:after="0" w:line="244" w:lineRule="auto"/>
        <w:rPr>
          <w:sz w:val="20"/>
          <w:szCs w:val="20"/>
          <w:color w:val="auto"/>
        </w:rPr>
      </w:pPr>
      <w:r>
        <w:rPr>
          <w:rFonts w:ascii="Arial" w:cs="Arial" w:eastAsia="Arial" w:hAnsi="Arial"/>
          <w:sz w:val="17"/>
          <w:szCs w:val="17"/>
          <w:color w:val="auto"/>
        </w:rPr>
        <w:t>A $1.00 increase (decrease) in the assumed initial public offering price of $15.00 per share, the midpoint of the estimated offering price range set forth on the cover page of this prospectus, would increase (decrease) the net proceeds to us from this offering by approximately $6.7 million, assuming that the number of shares offered by us, as set forth on the cover page of this prospectus, along with the number of shares to be sold to Merck in the concurrent private placement, remain the same and after deducting the underwriting discounts and commissions and estimated offering expenses payable by us, and the net proceeds from the concurrent private placement with Merck by approximately $4.1 million.</w:t>
      </w:r>
    </w:p>
    <w:p>
      <w:pPr>
        <w:spacing w:after="0" w:line="196" w:lineRule="exact"/>
        <w:rPr>
          <w:sz w:val="20"/>
          <w:szCs w:val="20"/>
          <w:color w:val="auto"/>
        </w:rPr>
      </w:pPr>
    </w:p>
    <w:p>
      <w:pPr>
        <w:ind w:left="380" w:firstLine="534"/>
        <w:spacing w:after="0" w:line="245" w:lineRule="auto"/>
        <w:rPr>
          <w:sz w:val="20"/>
          <w:szCs w:val="20"/>
          <w:color w:val="auto"/>
        </w:rPr>
      </w:pPr>
      <w:r>
        <w:rPr>
          <w:rFonts w:ascii="Arial" w:cs="Arial" w:eastAsia="Arial" w:hAnsi="Arial"/>
          <w:sz w:val="17"/>
          <w:szCs w:val="17"/>
          <w:color w:val="auto"/>
        </w:rPr>
        <w:t>Similarly, a 1.0 million share increase (decrease) in the number of shares offered by us would increase (decrease) the net proceeds to us by $ 14.0 million, assuming the assumed initial public offering price of $ 15.00 per share, the midpoint of the estimated offering price range set forth on the cover page of this prospectus, remains the same, and after deducting underwriting discounts and commissions and estimated offering expenses payable by us, and the net proceeds from the concurrent private placement with Merck by approximately $3.7 million.</w:t>
      </w:r>
    </w:p>
    <w:p>
      <w:pPr>
        <w:spacing w:after="0" w:line="393" w:lineRule="exact"/>
        <w:rPr>
          <w:sz w:val="20"/>
          <w:szCs w:val="20"/>
          <w:color w:val="auto"/>
        </w:rPr>
      </w:pPr>
    </w:p>
    <w:p>
      <w:pPr>
        <w:ind w:left="380" w:right="100" w:firstLine="534"/>
        <w:spacing w:after="0" w:line="250" w:lineRule="auto"/>
        <w:rPr>
          <w:sz w:val="20"/>
          <w:szCs w:val="20"/>
          <w:color w:val="auto"/>
        </w:rPr>
      </w:pPr>
      <w:r>
        <w:rPr>
          <w:rFonts w:ascii="Arial" w:cs="Arial" w:eastAsia="Arial" w:hAnsi="Arial"/>
          <w:sz w:val="17"/>
          <w:szCs w:val="17"/>
          <w:color w:val="auto"/>
        </w:rPr>
        <w:t>The principal purposes of this offering are to obtain additional capital to support our operations, to establish a public market for our common stock and to facilitate our future access to the public equity markets. We anticipate that we will use the net proceeds of this offering, together with our existing cash, cash equivalents and short-term marketable securities, for the following purposes:</w:t>
      </w:r>
    </w:p>
    <w:p>
      <w:pPr>
        <w:spacing w:after="0" w:line="96" w:lineRule="exact"/>
        <w:rPr>
          <w:sz w:val="20"/>
          <w:szCs w:val="20"/>
          <w:color w:val="auto"/>
        </w:rPr>
      </w:pPr>
    </w:p>
    <w:p>
      <w:pPr>
        <w:ind w:left="1100" w:hanging="205"/>
        <w:spacing w:after="0"/>
        <w:tabs>
          <w:tab w:leader="none" w:pos="11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approximately $95.0 to $105.0 million to fund the further development of the NGM282 program and related product candidates;</w:t>
      </w:r>
    </w:p>
    <w:p>
      <w:pPr>
        <w:spacing w:after="0" w:line="118" w:lineRule="exact"/>
        <w:rPr>
          <w:rFonts w:ascii="Arial" w:cs="Arial" w:eastAsia="Arial" w:hAnsi="Arial"/>
          <w:sz w:val="17"/>
          <w:szCs w:val="17"/>
          <w:color w:val="auto"/>
        </w:rPr>
      </w:pPr>
    </w:p>
    <w:p>
      <w:pPr>
        <w:ind w:left="1100" w:right="320" w:hanging="205"/>
        <w:spacing w:after="0" w:line="258" w:lineRule="auto"/>
        <w:tabs>
          <w:tab w:leader="none" w:pos="11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approximately $45.0 to $55.0 million to fund the development of our other programs, including our early-stage drug discovery programs and pre-commercialization activities; and</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remainder for working capital and general operating expenses.</w:t>
      </w:r>
    </w:p>
    <w:p>
      <w:pPr>
        <w:spacing w:after="0" w:line="21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We expect to decide whether to advance NGM386 and/or NGM395 following our analysis of the results of the NGM386 Phase 1</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trial.</w:t>
      </w:r>
    </w:p>
    <w:p>
      <w:pPr>
        <w:spacing w:after="0" w:line="210" w:lineRule="exact"/>
        <w:rPr>
          <w:sz w:val="20"/>
          <w:szCs w:val="20"/>
          <w:color w:val="auto"/>
        </w:rPr>
      </w:pPr>
    </w:p>
    <w:p>
      <w:pPr>
        <w:ind w:left="380" w:right="920" w:firstLine="534"/>
        <w:spacing w:after="0" w:line="258" w:lineRule="auto"/>
        <w:rPr>
          <w:sz w:val="20"/>
          <w:szCs w:val="20"/>
          <w:color w:val="auto"/>
        </w:rPr>
      </w:pPr>
      <w:r>
        <w:rPr>
          <w:rFonts w:ascii="Arial" w:cs="Arial" w:eastAsia="Arial" w:hAnsi="Arial"/>
          <w:sz w:val="17"/>
          <w:szCs w:val="17"/>
          <w:color w:val="auto"/>
        </w:rPr>
        <w:t>We may also use a portion of the remaining net proceeds to in-license, acquire, or invest in complementary businesses, technologies, products or assets. However, we have no current commitments or obligations to do so.</w:t>
      </w:r>
    </w:p>
    <w:p>
      <w:pPr>
        <w:spacing w:after="0" w:line="182" w:lineRule="exact"/>
        <w:rPr>
          <w:sz w:val="20"/>
          <w:szCs w:val="20"/>
          <w:color w:val="auto"/>
        </w:rPr>
      </w:pPr>
    </w:p>
    <w:p>
      <w:pPr>
        <w:ind w:left="380" w:right="220" w:firstLine="534"/>
        <w:spacing w:after="0" w:line="245" w:lineRule="auto"/>
        <w:rPr>
          <w:sz w:val="20"/>
          <w:szCs w:val="20"/>
          <w:color w:val="auto"/>
        </w:rPr>
      </w:pPr>
      <w:r>
        <w:rPr>
          <w:rFonts w:ascii="Arial" w:cs="Arial" w:eastAsia="Arial" w:hAnsi="Arial"/>
          <w:sz w:val="17"/>
          <w:szCs w:val="17"/>
          <w:color w:val="auto"/>
        </w:rPr>
        <w:t>We believe that the net proceeds from this offering, together with our existing cash, cash equivalents and short-term marketable securities and the funding we expect to receive under the initial term of our existing agreement with Merck, will be sufficient to fund our operations through 2020, or through 2021 with the additional proceeds from the concurrent private placement to Merck. In particular, we expect that these funds will allow us to complete our ongoing Phase 2 and planned Phase 2b clinical trials and begin preparation for Phase 3 clinical trials of NGM282 for NASH.</w:t>
      </w:r>
    </w:p>
    <w:p>
      <w:pPr>
        <w:spacing w:after="0" w:line="194" w:lineRule="exact"/>
        <w:rPr>
          <w:sz w:val="20"/>
          <w:szCs w:val="20"/>
          <w:color w:val="auto"/>
        </w:rPr>
      </w:pPr>
    </w:p>
    <w:p>
      <w:pPr>
        <w:ind w:left="380" w:right="520" w:firstLine="534"/>
        <w:spacing w:after="0" w:line="258" w:lineRule="auto"/>
        <w:rPr>
          <w:sz w:val="20"/>
          <w:szCs w:val="20"/>
          <w:color w:val="auto"/>
        </w:rPr>
      </w:pPr>
      <w:r>
        <w:rPr>
          <w:rFonts w:ascii="Arial" w:cs="Arial" w:eastAsia="Arial" w:hAnsi="Arial"/>
          <w:sz w:val="17"/>
          <w:szCs w:val="17"/>
          <w:color w:val="auto"/>
        </w:rPr>
        <w:t>Following this offering, we will require substantial capital to complete clinical development, seek regulatory approval of and, if approved, commercialize NGM282 and our other programs. For each</w:t>
      </w:r>
    </w:p>
    <w:p>
      <w:pPr>
        <w:spacing w:after="0" w:line="1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040"/>
          </w:cols>
          <w:pgMar w:left="240" w:top="449" w:right="61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20"/>
        <w:spacing w:after="0" w:line="243" w:lineRule="auto"/>
        <w:rPr>
          <w:sz w:val="20"/>
          <w:szCs w:val="20"/>
          <w:color w:val="auto"/>
        </w:rPr>
      </w:pPr>
      <w:r>
        <w:rPr>
          <w:rFonts w:ascii="Arial" w:cs="Arial" w:eastAsia="Arial" w:hAnsi="Arial"/>
          <w:sz w:val="17"/>
          <w:szCs w:val="17"/>
          <w:color w:val="auto"/>
        </w:rPr>
        <w:t>compound subject to our agreement with Merck, Merck has a one-time option to obtain an exclusive, worldwide license. If Merck chooses to exercise its option with respect to a compound, from that point forward all development costs relating to that compound will be paid for by Merck, unless we elect to exercise our worldwide cost and profit sharing option at the commencement of Phase 3 testing, at which point we would be responsible for a portion of the future development expense. We will incur additional expenses for the development of any compound for which Merck does not exercise its option, for which Merck elects to terminate its license, such as NGM386 and NGM395, or for which we elect to exercise our worldwide cost and profit sharing option. We may seek additional funds through public or private equity, debt financings or other sources, including strategic collaborations. However, changing circumstances may cause us to consume capital significantly faster than we currently anticipate, and we may need to spend more money than currently expected because of circumstances beyond our control.</w:t>
      </w:r>
    </w:p>
    <w:p>
      <w:pPr>
        <w:spacing w:after="0" w:line="196"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Our expected use of net proceeds from this offering represents our current intentions based upon our present plans and business condition. As of the date of this prospectus, we cannot predict with certainty all of the particular uses for the net proceeds to be received upon the completion of this offering, or the amounts that we will actually spend on the uses set forth above. The amounts and timing of our actual use of the net proceeds will vary depending on numerous factors, including the progress of our clinical trials and other development efforts for our product candidates and other factors described in the section titled “Risk Factors,” as well as the amount of cash we use in our operations. As a result, our management will have broad discretion in the application of the net proceeds, and investors will be relying on our judgment regarding the application of the net proceeds of this offering. In addition, we might decide to postpone or not pursue clinical trials or preclinical activities if the net proceeds from this offering and the other sources of cash are less than expected.</w:t>
      </w:r>
    </w:p>
    <w:p>
      <w:pPr>
        <w:spacing w:after="0" w:line="198" w:lineRule="exact"/>
        <w:rPr>
          <w:sz w:val="20"/>
          <w:szCs w:val="20"/>
          <w:color w:val="auto"/>
        </w:rPr>
      </w:pPr>
    </w:p>
    <w:p>
      <w:pPr>
        <w:ind w:left="380" w:firstLine="534"/>
        <w:spacing w:after="0" w:line="258" w:lineRule="auto"/>
        <w:rPr>
          <w:sz w:val="20"/>
          <w:szCs w:val="20"/>
          <w:color w:val="auto"/>
        </w:rPr>
      </w:pPr>
      <w:r>
        <w:rPr>
          <w:rFonts w:ascii="Arial" w:cs="Arial" w:eastAsia="Arial" w:hAnsi="Arial"/>
          <w:sz w:val="17"/>
          <w:szCs w:val="17"/>
          <w:color w:val="auto"/>
        </w:rPr>
        <w:t>Pending their use, we plan to invest the net proceeds from this offering in short- and intermediate-term, interest-bearing obligations, investment-grade instruments, certificates of deposit or direct or guaranteed obligations of the U.S. government.</w:t>
      </w:r>
    </w:p>
    <w:p>
      <w:pPr>
        <w:spacing w:after="0" w:line="11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040"/>
          </w:cols>
          <w:pgMar w:left="240" w:top="449" w:right="61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579"/>
        <w:spacing w:after="0"/>
        <w:rPr>
          <w:sz w:val="20"/>
          <w:szCs w:val="20"/>
          <w:color w:val="auto"/>
        </w:rPr>
      </w:pPr>
      <w:r>
        <w:rPr>
          <w:rFonts w:ascii="Arial" w:cs="Arial" w:eastAsia="Arial" w:hAnsi="Arial"/>
          <w:sz w:val="17"/>
          <w:szCs w:val="17"/>
          <w:b w:val="1"/>
          <w:bCs w:val="1"/>
          <w:color w:val="auto"/>
        </w:rPr>
        <w:t>DIVIDEND POLICY</w:t>
      </w:r>
    </w:p>
    <w:p>
      <w:pPr>
        <w:spacing w:after="0" w:line="232" w:lineRule="exact"/>
        <w:rPr>
          <w:sz w:val="20"/>
          <w:szCs w:val="20"/>
          <w:color w:val="auto"/>
        </w:rPr>
      </w:pPr>
    </w:p>
    <w:p>
      <w:pPr>
        <w:ind w:left="380" w:firstLine="534"/>
        <w:spacing w:after="0" w:line="245"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spacing w:after="0" w:line="12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0840"/>
          </w:cols>
          <w:pgMar w:left="240" w:top="449" w:right="81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CAPITALIZATION</w:t>
      </w:r>
    </w:p>
    <w:p>
      <w:pPr>
        <w:spacing w:after="0" w:line="23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following table sets forth our cash, cash equivalents and short-term marketable securities, and our capitalization as of</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December 31, 2018, as follows:</w:t>
      </w:r>
    </w:p>
    <w:p>
      <w:pPr>
        <w:spacing w:after="0" w:line="119" w:lineRule="exact"/>
        <w:rPr>
          <w:sz w:val="20"/>
          <w:szCs w:val="20"/>
          <w:color w:val="auto"/>
        </w:rPr>
      </w:pPr>
    </w:p>
    <w:p>
      <w:pPr>
        <w:ind w:left="1100" w:hanging="205"/>
        <w:spacing w:after="0"/>
        <w:tabs>
          <w:tab w:leader="none" w:pos="11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118" w:lineRule="exact"/>
        <w:rPr>
          <w:rFonts w:ascii="Arial" w:cs="Arial" w:eastAsia="Arial" w:hAnsi="Arial"/>
          <w:sz w:val="17"/>
          <w:szCs w:val="17"/>
          <w:color w:val="auto"/>
        </w:rPr>
      </w:pPr>
    </w:p>
    <w:p>
      <w:pPr>
        <w:ind w:left="1100" w:right="260" w:hanging="205"/>
        <w:spacing w:after="0" w:line="245" w:lineRule="auto"/>
        <w:tabs>
          <w:tab w:leader="none" w:pos="11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on a pro forma basis, giving effect to (1) the automatic conversion of all our outstanding convertible preferred stock as of December 31, 2018 into an aggregate of 47,267,466 shares of our common stock in connection with the completion of this offering, (2) the conversion of our Series A convertible preferred stock warrant as of December 31, 2018 into 19,637 shares of our common stock in connection with the completion of this offering, and (3) the filing and effectiveness of our amended and restated certificate of incorporation, which will occur upon the completion of this offering; and</w:t>
      </w:r>
    </w:p>
    <w:p>
      <w:pPr>
        <w:spacing w:after="0" w:line="102" w:lineRule="exact"/>
        <w:rPr>
          <w:rFonts w:ascii="Arial" w:cs="Arial" w:eastAsia="Arial" w:hAnsi="Arial"/>
          <w:sz w:val="17"/>
          <w:szCs w:val="17"/>
          <w:color w:val="auto"/>
        </w:rPr>
      </w:pPr>
    </w:p>
    <w:p>
      <w:pPr>
        <w:ind w:left="1100" w:right="100" w:hanging="205"/>
        <w:spacing w:after="0" w:line="245" w:lineRule="auto"/>
        <w:tabs>
          <w:tab w:leader="none" w:pos="11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on a pro forma as adjusted basis, giving effect to the pro forma adjustments discussed above and giving further effect to the receipt of the estimated net proceeds from the sale of 10,788,350 shares of common stock in this offering and the concurrent private placement to Merck at an assumed initial public offering price and private placement purchase price of $15.00 per share, the midpoint of the price range set forth on the cover page of this prospectus, and after deducting underwriting discounts and commissions and estimated offering expenses payable by us.</w:t>
      </w:r>
    </w:p>
    <w:p>
      <w:pPr>
        <w:spacing w:after="0" w:line="194" w:lineRule="exact"/>
        <w:rPr>
          <w:sz w:val="20"/>
          <w:szCs w:val="20"/>
          <w:color w:val="auto"/>
        </w:rPr>
      </w:pPr>
    </w:p>
    <w:p>
      <w:pPr>
        <w:jc w:val="both"/>
        <w:ind w:left="380" w:right="280" w:firstLine="534"/>
        <w:spacing w:after="0" w:line="247" w:lineRule="auto"/>
        <w:rPr>
          <w:sz w:val="20"/>
          <w:szCs w:val="20"/>
          <w:color w:val="auto"/>
        </w:rPr>
      </w:pPr>
      <w:r>
        <w:rPr>
          <w:rFonts w:ascii="Arial" w:cs="Arial" w:eastAsia="Arial" w:hAnsi="Arial"/>
          <w:sz w:val="17"/>
          <w:szCs w:val="17"/>
          <w:color w:val="auto"/>
        </w:rPr>
        <w:t>The pro forma information below is illustrative only and our capitalization following the completion of this offering will be adjusted based on the actual initial public offering price and other terms of this offering determined at pricing. You should read this table together with the sections titled “Selected Consolidated Financial Data” and “Management’s Discussion and Analysis of Financial Condition and Results of Operations” and our consolidated financial statements and the related notes included elsewhere in this prospectus.</w:t>
      </w:r>
    </w:p>
    <w:p>
      <w:pPr>
        <w:spacing w:after="0" w:line="202"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As of December 31, 2018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gridSpan w:val="10"/>
          </w:tcPr>
          <w:p>
            <w:pPr>
              <w:jc w:val="center"/>
              <w:ind w:right="220"/>
              <w:spacing w:after="0"/>
              <w:rPr>
                <w:sz w:val="20"/>
                <w:szCs w:val="20"/>
                <w:color w:val="auto"/>
              </w:rPr>
            </w:pPr>
            <w:r>
              <w:rPr>
                <w:rFonts w:ascii="Arial" w:cs="Arial" w:eastAsia="Arial" w:hAnsi="Arial"/>
                <w:sz w:val="14"/>
                <w:szCs w:val="14"/>
                <w:b w:val="1"/>
                <w:bCs w:val="1"/>
                <w:color w:val="auto"/>
                <w:w w:val="99"/>
              </w:rPr>
              <w:t>(in thousands, except share amounts)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spacing w:after="0" w:line="139" w:lineRule="exact"/>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Actual</w:t>
            </w:r>
          </w:p>
        </w:tc>
        <w:tc>
          <w:tcPr>
            <w:tcW w:w="440" w:type="dxa"/>
            <w:vAlign w:val="bottom"/>
          </w:tcPr>
          <w:p>
            <w:pPr>
              <w:spacing w:after="0"/>
              <w:rPr>
                <w:sz w:val="14"/>
                <w:szCs w:val="14"/>
                <w:color w:val="auto"/>
              </w:rPr>
            </w:pPr>
          </w:p>
        </w:tc>
        <w:tc>
          <w:tcPr>
            <w:tcW w:w="12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9"/>
              </w:rPr>
              <w:t>Pro Forma</w:t>
            </w:r>
          </w:p>
        </w:tc>
        <w:tc>
          <w:tcPr>
            <w:tcW w:w="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Cash, cash equivalents and short-term marketable securities</w:t>
            </w:r>
          </w:p>
        </w:tc>
        <w:tc>
          <w:tcPr>
            <w:tcW w:w="1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206,633</w:t>
            </w:r>
          </w:p>
        </w:tc>
        <w:tc>
          <w:tcPr>
            <w:tcW w:w="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206,633</w:t>
            </w:r>
          </w:p>
        </w:tc>
        <w:tc>
          <w:tcPr>
            <w:tcW w:w="4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357,958</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1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100" w:type="dxa"/>
            <w:vAlign w:val="bottom"/>
            <w:gridSpan w:val="2"/>
          </w:tcPr>
          <w:p>
            <w:pPr>
              <w:spacing w:after="0" w:line="189" w:lineRule="exact"/>
              <w:rPr>
                <w:sz w:val="20"/>
                <w:szCs w:val="20"/>
                <w:color w:val="auto"/>
              </w:rPr>
            </w:pPr>
            <w:r>
              <w:rPr>
                <w:rFonts w:ascii="Arial" w:cs="Arial" w:eastAsia="Arial" w:hAnsi="Arial"/>
                <w:sz w:val="17"/>
                <w:szCs w:val="17"/>
                <w:color w:val="auto"/>
              </w:rPr>
              <w:t>Convertible preferred stock warrant liability</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198</w:t>
            </w:r>
          </w:p>
        </w:tc>
        <w:tc>
          <w:tcPr>
            <w:tcW w:w="5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w:t>
            </w:r>
          </w:p>
        </w:tc>
        <w:tc>
          <w:tcPr>
            <w:tcW w:w="180" w:type="dxa"/>
            <w:vAlign w:val="bottom"/>
            <w:gridSpan w:val="2"/>
          </w:tcPr>
          <w:p>
            <w:pPr>
              <w:ind w:left="60"/>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Convertible preferred stock, $0.001 par value; 96,268,206 shares authorized,</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47,267,466 shares issued and outstanding, actual; no shares authorized, issued and</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outstanding, pro forma and pro forma as adjusted</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294,874</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7"/>
                <w:szCs w:val="17"/>
                <w:color w:val="auto"/>
              </w:rPr>
              <w:t>Stockholders’ equity (deficit):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 $0.001 par value; no shares authorized, issued and outstanding,</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actual; 10,000,000 shares authorized, no shares issued and outstanding, pro forma</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and pro forma as adjusted</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7"/>
                <w:szCs w:val="17"/>
                <w:color w:val="auto"/>
              </w:rPr>
              <w:t>Common stock, $0.001 par value; 129,000,000 shares authorized, 6,937,890 shares</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issued and outstanding, actual; 400,000,000 shares authorized, 54,224,993 shares</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issued and outstanding, pro forma; 65,013,343 issued and outstanding, pro forma as</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adjusted</w:t>
            </w:r>
          </w:p>
        </w:tc>
        <w:tc>
          <w:tcPr>
            <w:tcW w:w="1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7</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7"/>
                <w:szCs w:val="17"/>
                <w:color w:val="auto"/>
              </w:rPr>
              <w:t>54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39,258</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334,283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496,597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7"/>
                <w:szCs w:val="17"/>
                <w:color w:val="auto"/>
              </w:rPr>
              <w:t>Accumulated other comprehensive loss</w:t>
            </w:r>
          </w:p>
        </w:tc>
        <w:tc>
          <w:tcPr>
            <w:tcW w:w="10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(267)</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7"/>
                <w:szCs w:val="17"/>
                <w:color w:val="auto"/>
              </w:rPr>
              <w:t>(267)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(147,193)</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(147,193)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(147,193)</w:t>
            </w:r>
          </w:p>
        </w:tc>
        <w:tc>
          <w:tcPr>
            <w:tcW w:w="0" w:type="dxa"/>
            <w:vAlign w:val="bottom"/>
          </w:tcPr>
          <w:p>
            <w:pPr>
              <w:spacing w:after="0"/>
              <w:rPr>
                <w:sz w:val="1"/>
                <w:szCs w:val="1"/>
                <w:color w:val="auto"/>
              </w:rPr>
            </w:pPr>
          </w:p>
        </w:tc>
      </w:tr>
      <w:tr>
        <w:trPr>
          <w:trHeight w:val="20"/>
        </w:trPr>
        <w:tc>
          <w:tcPr>
            <w:tcW w:w="71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00" w:type="dxa"/>
            <w:vAlign w:val="bottom"/>
            <w:gridSpan w:val="2"/>
          </w:tcPr>
          <w:p>
            <w:pPr>
              <w:spacing w:after="0"/>
              <w:rPr>
                <w:sz w:val="20"/>
                <w:szCs w:val="20"/>
                <w:color w:val="auto"/>
              </w:rPr>
            </w:pPr>
            <w:r>
              <w:rPr>
                <w:rFonts w:ascii="Arial" w:cs="Arial" w:eastAsia="Arial" w:hAnsi="Arial"/>
                <w:sz w:val="17"/>
                <w:szCs w:val="17"/>
                <w:color w:val="auto"/>
              </w:rPr>
              <w:t>Total stockholders’ equity (deficit)</w:t>
            </w:r>
          </w:p>
        </w:tc>
        <w:tc>
          <w:tcPr>
            <w:tcW w:w="10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(108,195)</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7"/>
                <w:szCs w:val="17"/>
                <w:color w:val="auto"/>
              </w:rPr>
              <w:t>186,877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338,202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Total capitalization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186,877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186,877</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338,202</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jc w:val="right"/>
              <w:ind w:right="1573"/>
              <w:spacing w:after="0"/>
              <w:rPr>
                <w:sz w:val="20"/>
                <w:szCs w:val="20"/>
                <w:color w:val="auto"/>
              </w:rPr>
            </w:pPr>
            <w:r>
              <w:rPr>
                <w:rFonts w:ascii="Arial" w:cs="Arial" w:eastAsia="Arial" w:hAnsi="Arial"/>
                <w:sz w:val="17"/>
                <w:szCs w:val="17"/>
                <w:color w:val="auto"/>
              </w:rPr>
              <w:t>71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1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49" w:right="59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jc w:val="both"/>
        <w:ind w:left="380" w:right="80" w:firstLine="534"/>
        <w:spacing w:after="0" w:line="250" w:lineRule="auto"/>
        <w:rPr>
          <w:sz w:val="20"/>
          <w:szCs w:val="20"/>
          <w:color w:val="auto"/>
        </w:rPr>
      </w:pPr>
      <w:r>
        <w:rPr>
          <w:rFonts w:ascii="Arial" w:cs="Arial" w:eastAsia="Arial" w:hAnsi="Arial"/>
          <w:sz w:val="17"/>
          <w:szCs w:val="17"/>
          <w:color w:val="auto"/>
        </w:rPr>
        <w:t>The number of shares of our common stock outstanding after the offering and the concurrent private placement to Merck is based on 54,205,356 shares of our common stock outstanding as of December 31, 2018 (including convertible preferred stock then outstanding on an as-converted basis), and</w:t>
      </w:r>
    </w:p>
    <w:p>
      <w:pPr>
        <w:spacing w:after="0" w:line="96" w:lineRule="exact"/>
        <w:rPr>
          <w:sz w:val="20"/>
          <w:szCs w:val="20"/>
          <w:color w:val="auto"/>
        </w:rPr>
      </w:pPr>
    </w:p>
    <w:p>
      <w:pPr>
        <w:ind w:left="1100" w:right="200" w:hanging="205"/>
        <w:spacing w:after="0" w:line="258" w:lineRule="auto"/>
        <w:tabs>
          <w:tab w:leader="none" w:pos="11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9,806,689 shares of our common stock issuable upon the exercise of stock options outstanding as of December 31, 2018 at a weighted-average exercise price of $5.86 per share;</w:t>
      </w:r>
    </w:p>
    <w:p>
      <w:pPr>
        <w:spacing w:after="0" w:line="90" w:lineRule="exact"/>
        <w:rPr>
          <w:rFonts w:ascii="Arial" w:cs="Arial" w:eastAsia="Arial" w:hAnsi="Arial"/>
          <w:sz w:val="17"/>
          <w:szCs w:val="17"/>
          <w:color w:val="auto"/>
        </w:rPr>
      </w:pPr>
    </w:p>
    <w:p>
      <w:pPr>
        <w:ind w:left="1100" w:right="40" w:hanging="205"/>
        <w:spacing w:after="0" w:line="258" w:lineRule="auto"/>
        <w:tabs>
          <w:tab w:leader="none" w:pos="11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1,550,250 shares of our common stock issuable upon the exercise of stock options granted after December 31, 2018 but before March 20, 2019 at an exercise price of $12.06 per share;</w:t>
      </w:r>
    </w:p>
    <w:p>
      <w:pPr>
        <w:spacing w:after="0" w:line="90" w:lineRule="exact"/>
        <w:rPr>
          <w:rFonts w:ascii="Arial" w:cs="Arial" w:eastAsia="Arial" w:hAnsi="Arial"/>
          <w:sz w:val="17"/>
          <w:szCs w:val="17"/>
          <w:color w:val="auto"/>
        </w:rPr>
      </w:pPr>
    </w:p>
    <w:p>
      <w:pPr>
        <w:ind w:left="1100" w:right="200" w:hanging="205"/>
        <w:spacing w:after="0" w:line="250" w:lineRule="auto"/>
        <w:tabs>
          <w:tab w:leader="none" w:pos="11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19,637 shares of our common stock (on an as-converted basis) issuable upon exercise of an outstanding Series A convertible preferred stock warrant at an exercise price of $2.00 per share, which automatically net exercised into shares of our Series A convertible preferred stock that are convertible into 16,380 shares of our common stock on February 3, 2019;</w:t>
      </w:r>
    </w:p>
    <w:p>
      <w:pPr>
        <w:spacing w:after="0" w:line="96" w:lineRule="exact"/>
        <w:rPr>
          <w:rFonts w:ascii="Arial" w:cs="Arial" w:eastAsia="Arial" w:hAnsi="Arial"/>
          <w:sz w:val="17"/>
          <w:szCs w:val="17"/>
          <w:color w:val="auto"/>
        </w:rPr>
      </w:pPr>
    </w:p>
    <w:p>
      <w:pPr>
        <w:ind w:left="1100" w:hanging="205"/>
        <w:spacing w:after="0" w:line="250" w:lineRule="auto"/>
        <w:tabs>
          <w:tab w:leader="none" w:pos="11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17,874,624 shares of our common stock reserved for future issuance under the Restated 2018 Plan, which will become effective immediately prior to the completion of this offering, as well as any automatic increase in the number of shares of common stock reserved for future issuance under this benefit plan;</w:t>
      </w:r>
    </w:p>
    <w:p>
      <w:pPr>
        <w:spacing w:after="0" w:line="96" w:lineRule="exact"/>
        <w:rPr>
          <w:rFonts w:ascii="Arial" w:cs="Arial" w:eastAsia="Arial" w:hAnsi="Arial"/>
          <w:sz w:val="17"/>
          <w:szCs w:val="17"/>
          <w:color w:val="auto"/>
        </w:rPr>
      </w:pPr>
    </w:p>
    <w:p>
      <w:pPr>
        <w:ind w:left="1100" w:right="100" w:hanging="205"/>
        <w:spacing w:after="0" w:line="250" w:lineRule="auto"/>
        <w:tabs>
          <w:tab w:leader="none" w:pos="11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1,000,000 shares of our common stock to be reserved for future issuance under the ESPP, which will become effective immediately prior to the completion of this offering, as well as any automatic increase in the number of shares of common stock reserved for future issuance under this benefit plan; and</w:t>
      </w:r>
    </w:p>
    <w:p>
      <w:pPr>
        <w:spacing w:after="0" w:line="96" w:lineRule="exact"/>
        <w:rPr>
          <w:rFonts w:ascii="Arial" w:cs="Arial" w:eastAsia="Arial" w:hAnsi="Arial"/>
          <w:sz w:val="17"/>
          <w:szCs w:val="17"/>
          <w:color w:val="auto"/>
        </w:rPr>
      </w:pPr>
    </w:p>
    <w:p>
      <w:pPr>
        <w:ind w:left="1100" w:right="380" w:hanging="205"/>
        <w:spacing w:after="0" w:line="258" w:lineRule="auto"/>
        <w:tabs>
          <w:tab w:leader="none" w:pos="11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36,751 shares of our common stock reserved for future issuance under our NGM Biopharmaceuticals Matching Plan, or the 401(k) Matching Plan, as of December 31, 2018.</w:t>
      </w:r>
    </w:p>
    <w:p>
      <w:pPr>
        <w:spacing w:after="0" w:line="11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000"/>
          </w:cols>
          <w:pgMar w:left="240" w:top="449" w:right="65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DILUTION</w:t>
      </w:r>
    </w:p>
    <w:p>
      <w:pPr>
        <w:spacing w:after="0" w:line="232" w:lineRule="exact"/>
        <w:rPr>
          <w:sz w:val="20"/>
          <w:szCs w:val="20"/>
          <w:color w:val="auto"/>
        </w:rPr>
      </w:pPr>
    </w:p>
    <w:p>
      <w:pPr>
        <w:jc w:val="both"/>
        <w:ind w:left="380" w:right="80" w:firstLine="534"/>
        <w:spacing w:after="0" w:line="250" w:lineRule="auto"/>
        <w:rPr>
          <w:sz w:val="20"/>
          <w:szCs w:val="20"/>
          <w:color w:val="auto"/>
        </w:rPr>
      </w:pPr>
      <w:r>
        <w:rPr>
          <w:rFonts w:ascii="Arial" w:cs="Arial" w:eastAsia="Arial" w:hAnsi="Arial"/>
          <w:sz w:val="17"/>
          <w:szCs w:val="17"/>
          <w:color w:val="auto"/>
        </w:rPr>
        <w:t>If you invest in our common stock in this offering, your ownership interest will be immediately diluted to the extent of the difference between the initial public offering price per share of our common stock and the pro forma as adjusted net tangible book value per share of our common stock after this offering.</w:t>
      </w:r>
    </w:p>
    <w:p>
      <w:pPr>
        <w:spacing w:after="0" w:line="188" w:lineRule="exact"/>
        <w:rPr>
          <w:sz w:val="20"/>
          <w:szCs w:val="20"/>
          <w:color w:val="auto"/>
        </w:rPr>
      </w:pPr>
    </w:p>
    <w:p>
      <w:pPr>
        <w:ind w:left="380" w:right="160" w:firstLine="534"/>
        <w:spacing w:after="0" w:line="247" w:lineRule="auto"/>
        <w:rPr>
          <w:sz w:val="20"/>
          <w:szCs w:val="20"/>
          <w:color w:val="auto"/>
        </w:rPr>
      </w:pPr>
      <w:r>
        <w:rPr>
          <w:rFonts w:ascii="Arial" w:cs="Arial" w:eastAsia="Arial" w:hAnsi="Arial"/>
          <w:sz w:val="17"/>
          <w:szCs w:val="17"/>
          <w:color w:val="auto"/>
        </w:rPr>
        <w:t>Our historical net tangible book value (deficit) as of December 31, 2018 was approximately ($110.5) million, or ($15.93) per share of our common stock. Our historical net tangible book deficit is the amount of our total tangible assets less our deferred IPO costs, liabilities and convertible preferred stock, which is not included within stockholders’ deficit. Historical net tangible book deficit per share is our historical net tangible book deficit divided by the number of shares of common stock outstanding as of December 31, 2018.</w:t>
      </w:r>
    </w:p>
    <w:p>
      <w:pPr>
        <w:spacing w:after="0" w:line="190" w:lineRule="exact"/>
        <w:rPr>
          <w:sz w:val="20"/>
          <w:szCs w:val="20"/>
          <w:color w:val="auto"/>
        </w:rPr>
      </w:pPr>
    </w:p>
    <w:p>
      <w:pPr>
        <w:ind w:left="380" w:right="340" w:firstLine="534"/>
        <w:spacing w:after="0" w:line="245" w:lineRule="auto"/>
        <w:rPr>
          <w:sz w:val="20"/>
          <w:szCs w:val="20"/>
          <w:color w:val="auto"/>
        </w:rPr>
      </w:pPr>
      <w:r>
        <w:rPr>
          <w:rFonts w:ascii="Arial" w:cs="Arial" w:eastAsia="Arial" w:hAnsi="Arial"/>
          <w:sz w:val="17"/>
          <w:szCs w:val="17"/>
          <w:color w:val="auto"/>
        </w:rPr>
        <w:t>Our pro forma net tangible book value as of December 31, 2018 was $184.6 million, or $ 3.40 per share of common stock. Pro forma net tangible book value gives effect to the conversion of all of our outstanding convertible preferred stock into an aggregate of 47,267,466 shares of our common stock and the reclassification to additional paid-in capital of our Series A convertible preferred stock warrant liability in connection with the conversion of our outstanding Series A convertible preferred stock warrant into a common stock warrant, which are included in stockholders’ equity, which will occur automatically in connection with the completion of this offering.</w:t>
      </w:r>
    </w:p>
    <w:p>
      <w:pPr>
        <w:spacing w:after="0" w:line="194" w:lineRule="exact"/>
        <w:rPr>
          <w:sz w:val="20"/>
          <w:szCs w:val="20"/>
          <w:color w:val="auto"/>
        </w:rPr>
      </w:pPr>
    </w:p>
    <w:p>
      <w:pPr>
        <w:ind w:left="380" w:right="20" w:firstLine="534"/>
        <w:spacing w:after="0" w:line="244" w:lineRule="auto"/>
        <w:rPr>
          <w:sz w:val="20"/>
          <w:szCs w:val="20"/>
          <w:color w:val="auto"/>
        </w:rPr>
      </w:pPr>
      <w:r>
        <w:rPr>
          <w:rFonts w:ascii="Arial" w:cs="Arial" w:eastAsia="Arial" w:hAnsi="Arial"/>
          <w:sz w:val="17"/>
          <w:szCs w:val="17"/>
          <w:color w:val="auto"/>
        </w:rPr>
        <w:t>Pro forma as adjusted net tangible book value is our pro forma net tangible book value, plus the effect of the sale of up to 10,788,350 shares of our common stock in this offering and the concurrent private placement to Merck at an assumed initial public offering price and private placement purchase price of $15.00 per share, the midpoint of the price range set forth on the cover page of this prospectus, after deducting the underwriting discounts and commissions and estimated offering expenses payable by us. This amount represents an immediate increase in pro forma as adjusted net tangible book value of $1.80 per share to our existing stockholders, and an immediate dilution of $9.80 per share to new investors participating in this offering.</w:t>
      </w:r>
    </w:p>
    <w:p>
      <w:pPr>
        <w:spacing w:after="0" w:line="196" w:lineRule="exact"/>
        <w:rPr>
          <w:sz w:val="20"/>
          <w:szCs w:val="20"/>
          <w:color w:val="auto"/>
        </w:rPr>
      </w:pPr>
    </w:p>
    <w:tbl>
      <w:tblPr>
        <w:tblLayout w:type="fixed"/>
        <w:tblInd w:w="38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9080" w:type="dxa"/>
            <w:vAlign w:val="bottom"/>
          </w:tcPr>
          <w:p>
            <w:pPr>
              <w:ind w:left="500"/>
              <w:spacing w:after="0"/>
              <w:rPr>
                <w:sz w:val="20"/>
                <w:szCs w:val="20"/>
                <w:color w:val="auto"/>
              </w:rPr>
            </w:pPr>
            <w:r>
              <w:rPr>
                <w:rFonts w:ascii="Arial" w:cs="Arial" w:eastAsia="Arial" w:hAnsi="Arial"/>
                <w:sz w:val="17"/>
                <w:szCs w:val="17"/>
                <w:color w:val="auto"/>
              </w:rPr>
              <w:t>The following table illustrates this dilution on a per share basis: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15.00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80" w:type="dxa"/>
            <w:vAlign w:val="bottom"/>
          </w:tcPr>
          <w:p>
            <w:pPr>
              <w:ind w:left="320"/>
              <w:spacing w:after="0"/>
              <w:rPr>
                <w:sz w:val="20"/>
                <w:szCs w:val="20"/>
                <w:color w:val="auto"/>
              </w:rPr>
            </w:pPr>
            <w:r>
              <w:rPr>
                <w:rFonts w:ascii="Arial" w:cs="Arial" w:eastAsia="Arial" w:hAnsi="Arial"/>
                <w:sz w:val="17"/>
                <w:szCs w:val="17"/>
                <w:color w:val="auto"/>
              </w:rPr>
              <w:t>Pro forma net tangible book value per share as of December 31, 2018 before giving effect to this offering and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080" w:type="dxa"/>
            <w:vAlign w:val="bottom"/>
          </w:tcPr>
          <w:p>
            <w:pPr>
              <w:ind w:left="500"/>
              <w:spacing w:after="0"/>
              <w:rPr>
                <w:sz w:val="20"/>
                <w:szCs w:val="20"/>
                <w:color w:val="auto"/>
              </w:rPr>
            </w:pPr>
            <w:r>
              <w:rPr>
                <w:rFonts w:ascii="Arial" w:cs="Arial" w:eastAsia="Arial" w:hAnsi="Arial"/>
                <w:sz w:val="17"/>
                <w:szCs w:val="17"/>
                <w:color w:val="auto"/>
              </w:rPr>
              <w:t>the concurrent private placement</w:t>
            </w:r>
          </w:p>
        </w:tc>
        <w:tc>
          <w:tcPr>
            <w:tcW w:w="980" w:type="dxa"/>
            <w:vAlign w:val="bottom"/>
          </w:tcPr>
          <w:p>
            <w:pPr>
              <w:jc w:val="right"/>
              <w:ind w:right="293"/>
              <w:spacing w:after="0"/>
              <w:rPr>
                <w:sz w:val="20"/>
                <w:szCs w:val="20"/>
                <w:color w:val="auto"/>
              </w:rPr>
            </w:pPr>
            <w:r>
              <w:rPr>
                <w:rFonts w:ascii="Arial" w:cs="Arial" w:eastAsia="Arial" w:hAnsi="Arial"/>
                <w:sz w:val="17"/>
                <w:szCs w:val="17"/>
                <w:color w:val="auto"/>
              </w:rPr>
              <w:t>$3.40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Increase in pro forma net tangible book value per share attributable to investors participating in this offering and</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0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the concurrent private placement</w:t>
            </w:r>
          </w:p>
        </w:tc>
        <w:tc>
          <w:tcPr>
            <w:tcW w:w="98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1.80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spacing w:after="0"/>
              <w:rPr>
                <w:sz w:val="20"/>
                <w:szCs w:val="20"/>
                <w:color w:val="auto"/>
              </w:rPr>
            </w:pPr>
            <w:r>
              <w:rPr>
                <w:rFonts w:ascii="Arial" w:cs="Arial" w:eastAsia="Arial" w:hAnsi="Arial"/>
                <w:sz w:val="17"/>
                <w:szCs w:val="17"/>
                <w:color w:val="auto"/>
              </w:rPr>
              <w:t>Pro forma as adjusted net tangible book value per share after this offering and the concurrent private placement</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5.20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7"/>
                <w:szCs w:val="17"/>
                <w:color w:val="auto"/>
              </w:rPr>
              <w:t>Pro forma as adjusted dilution per share to investors participating in this offering and the concurrent private</w:t>
            </w:r>
          </w:p>
        </w:tc>
        <w:tc>
          <w:tcPr>
            <w:tcW w:w="9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placement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380" w:right="140" w:firstLine="534"/>
        <w:spacing w:after="0" w:line="244" w:lineRule="auto"/>
        <w:rPr>
          <w:sz w:val="20"/>
          <w:szCs w:val="20"/>
          <w:color w:val="auto"/>
        </w:rPr>
      </w:pPr>
      <w:r>
        <w:rPr>
          <w:rFonts w:ascii="Arial" w:cs="Arial" w:eastAsia="Arial" w:hAnsi="Arial"/>
          <w:sz w:val="17"/>
          <w:szCs w:val="17"/>
          <w:color w:val="auto"/>
        </w:rPr>
        <w:t>Each $1.00 increase (decrease) in the assumed initial public offering price of $15.00 per share, the midpoint of the price range set forth on the cover page of this prospectus, would increase (decrease) the pro forma as adjusted net tangible book value per share after this offering and the concurrent private placement to Merck by approximately $0.16 per share and the dilution in pro forma per share to new investors participating in this offering by approximately $0.84 per share, assuming that the number of shares offered by us, as set forth on the cover page of this prospectus, along with the number of shares to be sold to Merck in the concurrent private placement remains the same and after deducting the underwriting discounts and commissions and estimated offering expenses payable by us.</w:t>
      </w:r>
    </w:p>
    <w:p>
      <w:pPr>
        <w:spacing w:after="0" w:line="13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060"/>
          </w:cols>
          <w:pgMar w:left="240" w:top="449" w:right="59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20" w:firstLine="534"/>
        <w:spacing w:after="0" w:line="244" w:lineRule="auto"/>
        <w:rPr>
          <w:sz w:val="20"/>
          <w:szCs w:val="20"/>
          <w:color w:val="auto"/>
        </w:rPr>
      </w:pPr>
      <w:r>
        <w:rPr>
          <w:rFonts w:ascii="Arial" w:cs="Arial" w:eastAsia="Arial" w:hAnsi="Arial"/>
          <w:sz w:val="17"/>
          <w:szCs w:val="17"/>
          <w:color w:val="auto"/>
        </w:rPr>
        <w:t>Similarly, each increase (decrease) of 1,000,000 shares in the number of shares offered by us (including a concurrent increase (decrease) in the private placement to Merck) would increase (decrease) the pro forma as adjusted net tangible book value per share after this offering and the concurrent private placement to Merck by approximately $0.17 and decrease (increase) the dilution in pro forma per share to investors participating in this offering to $9.63 and $9.97 per share, respectively, assuming an initial public offering price of $15.00 per share, the midpoint of the price range set forth on the cover page of this prospectus, remains the same, and after deducting the underwriting discounts and commissions and estimated offering expenses payable by us.</w:t>
      </w:r>
    </w:p>
    <w:p>
      <w:pPr>
        <w:spacing w:after="0" w:line="196" w:lineRule="exact"/>
        <w:rPr>
          <w:sz w:val="20"/>
          <w:szCs w:val="20"/>
          <w:color w:val="auto"/>
        </w:rPr>
      </w:pPr>
    </w:p>
    <w:p>
      <w:pPr>
        <w:ind w:left="380" w:right="100" w:firstLine="534"/>
        <w:spacing w:after="0" w:line="247" w:lineRule="auto"/>
        <w:rPr>
          <w:sz w:val="20"/>
          <w:szCs w:val="20"/>
          <w:color w:val="auto"/>
        </w:rPr>
      </w:pPr>
      <w:r>
        <w:rPr>
          <w:rFonts w:ascii="Arial" w:cs="Arial" w:eastAsia="Arial" w:hAnsi="Arial"/>
          <w:sz w:val="17"/>
          <w:szCs w:val="17"/>
          <w:color w:val="auto"/>
        </w:rPr>
        <w:t>If the underwriters exercise in full their option to purchase 1,000,000 additional shares of our common stock in this offering, the pro forma as adjusted net tangible book value would be $5.33 per share, representing an immediate increase in pro forma as adjusted net tangible book value to existing stockholders of $1.93 per share, and the dilution to new investors purchasing shares in this offering would be $9.67 per share.</w:t>
      </w:r>
    </w:p>
    <w:p>
      <w:pPr>
        <w:spacing w:after="0" w:line="190" w:lineRule="exact"/>
        <w:rPr>
          <w:sz w:val="20"/>
          <w:szCs w:val="20"/>
          <w:color w:val="auto"/>
        </w:rPr>
      </w:pPr>
    </w:p>
    <w:p>
      <w:pPr>
        <w:ind w:left="380" w:right="120" w:firstLine="534"/>
        <w:spacing w:after="0" w:line="245" w:lineRule="auto"/>
        <w:rPr>
          <w:sz w:val="20"/>
          <w:szCs w:val="20"/>
          <w:color w:val="auto"/>
        </w:rPr>
      </w:pPr>
      <w:r>
        <w:rPr>
          <w:rFonts w:ascii="Arial" w:cs="Arial" w:eastAsia="Arial" w:hAnsi="Arial"/>
          <w:sz w:val="17"/>
          <w:szCs w:val="17"/>
          <w:color w:val="auto"/>
        </w:rPr>
        <w:t>The following table summarizes, on a pro forma as adjusted basis as of December 31, 2018, the number of shares of our common stock, the total consideration and the average price per share (i) paid to us by our existing stockholders and (ii) to be paid by new investors participating in this offering and the concurrent private placement to Merck at an assumed initial public offering price and private placement purchase price of $15.00 per share, the midpoint of the price range set forth on the cover page of this prospectus, before deducting underwriting discounts and commissions and estimated offering expenses payable by us.</w:t>
      </w:r>
    </w:p>
    <w:p>
      <w:pPr>
        <w:spacing w:after="0" w:line="206"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vMerge w:val="restart"/>
          </w:tcPr>
          <w:p>
            <w:pPr>
              <w:jc w:val="center"/>
              <w:ind w:left="446"/>
              <w:spacing w:after="0"/>
              <w:rPr>
                <w:sz w:val="20"/>
                <w:szCs w:val="20"/>
                <w:color w:val="auto"/>
              </w:rPr>
            </w:pPr>
            <w:r>
              <w:rPr>
                <w:rFonts w:ascii="Arial" w:cs="Arial" w:eastAsia="Arial" w:hAnsi="Arial"/>
                <w:sz w:val="14"/>
                <w:szCs w:val="14"/>
                <w:b w:val="1"/>
                <w:bCs w:val="1"/>
                <w:color w:val="auto"/>
                <w:w w:val="95"/>
              </w:rPr>
              <w:t>Total</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92"/>
        </w:trPr>
        <w:tc>
          <w:tcPr>
            <w:tcW w:w="50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gridSpan w:val="2"/>
            <w:vMerge w:val="restart"/>
          </w:tcPr>
          <w:p>
            <w:pPr>
              <w:jc w:val="center"/>
              <w:ind w:right="160"/>
              <w:spacing w:after="0" w:line="157" w:lineRule="exact"/>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65"/>
        </w:trPr>
        <w:tc>
          <w:tcPr>
            <w:tcW w:w="5040" w:type="dxa"/>
            <w:vAlign w:val="bottom"/>
          </w:tcPr>
          <w:p>
            <w:pPr>
              <w:spacing w:after="0"/>
              <w:rPr>
                <w:sz w:val="5"/>
                <w:szCs w:val="5"/>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Shares</w:t>
            </w: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20" w:type="dxa"/>
            <w:vAlign w:val="bottom"/>
            <w:gridSpan w:val="2"/>
            <w:vMerge w:val="restart"/>
          </w:tcPr>
          <w:p>
            <w:pPr>
              <w:jc w:val="center"/>
              <w:ind w:left="466"/>
              <w:spacing w:after="0"/>
              <w:rPr>
                <w:sz w:val="20"/>
                <w:szCs w:val="20"/>
                <w:color w:val="auto"/>
              </w:rPr>
            </w:pPr>
            <w:r>
              <w:rPr>
                <w:rFonts w:ascii="Arial" w:cs="Arial" w:eastAsia="Arial" w:hAnsi="Arial"/>
                <w:sz w:val="14"/>
                <w:szCs w:val="14"/>
                <w:b w:val="1"/>
                <w:bCs w:val="1"/>
                <w:color w:val="auto"/>
                <w:w w:val="99"/>
              </w:rPr>
              <w:t>Consideration</w:t>
            </w: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5040" w:type="dxa"/>
            <w:vAlign w:val="bottom"/>
          </w:tcPr>
          <w:p>
            <w:pPr>
              <w:spacing w:after="0"/>
              <w:rPr>
                <w:sz w:val="8"/>
                <w:szCs w:val="8"/>
                <w:color w:val="auto"/>
              </w:rPr>
            </w:pPr>
          </w:p>
        </w:tc>
        <w:tc>
          <w:tcPr>
            <w:tcW w:w="1340" w:type="dxa"/>
            <w:vAlign w:val="bottom"/>
            <w:tcBorders>
              <w:bottom w:val="single" w:sz="8" w:color="auto"/>
            </w:tcBorders>
            <w:gridSpan w:val="2"/>
            <w:vMerge w:val="continue"/>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tcBorders>
              <w:bottom w:val="single" w:sz="8" w:color="auto"/>
            </w:tcBorders>
            <w:gridSpan w:val="2"/>
            <w:vMerge w:val="continue"/>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vMerge w:val="restart"/>
          </w:tcPr>
          <w:p>
            <w:pPr>
              <w:jc w:val="center"/>
              <w:ind w:right="160"/>
              <w:spacing w:after="0" w:line="157" w:lineRule="exact"/>
              <w:rPr>
                <w:sz w:val="20"/>
                <w:szCs w:val="20"/>
                <w:color w:val="auto"/>
              </w:rPr>
            </w:pPr>
            <w:r>
              <w:rPr>
                <w:rFonts w:ascii="Arial" w:cs="Arial" w:eastAsia="Arial" w:hAnsi="Arial"/>
                <w:sz w:val="14"/>
                <w:szCs w:val="14"/>
                <w:b w:val="1"/>
                <w:bCs w:val="1"/>
                <w:color w:val="auto"/>
              </w:rPr>
              <w:t>per</w:t>
            </w:r>
          </w:p>
        </w:tc>
        <w:tc>
          <w:tcPr>
            <w:tcW w:w="0" w:type="dxa"/>
            <w:vAlign w:val="bottom"/>
          </w:tcPr>
          <w:p>
            <w:pPr>
              <w:spacing w:after="0"/>
              <w:rPr>
                <w:sz w:val="1"/>
                <w:szCs w:val="1"/>
                <w:color w:val="auto"/>
              </w:rPr>
            </w:pPr>
          </w:p>
        </w:tc>
      </w:tr>
      <w:tr>
        <w:trPr>
          <w:trHeight w:val="34"/>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0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Number</w:t>
            </w:r>
          </w:p>
        </w:tc>
        <w:tc>
          <w:tcPr>
            <w:tcW w:w="4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Percent</w:t>
            </w: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Percent</w:t>
            </w:r>
          </w:p>
        </w:tc>
        <w:tc>
          <w:tcPr>
            <w:tcW w:w="3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Share</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Existing stockholders before this offering</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54,205,356</w:t>
            </w:r>
          </w:p>
        </w:tc>
        <w:tc>
          <w:tcPr>
            <w:tcW w:w="4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84%</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9"/>
              </w:rPr>
              <w:t>$ 317,324,191</w:t>
            </w:r>
          </w:p>
        </w:tc>
        <w:tc>
          <w:tcPr>
            <w:tcW w:w="4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66%</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5.85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20"/>
                <w:szCs w:val="20"/>
                <w:color w:val="auto"/>
              </w:rPr>
            </w:pPr>
            <w:r>
              <w:rPr>
                <w:rFonts w:ascii="Arial" w:cs="Arial" w:eastAsia="Arial" w:hAnsi="Arial"/>
                <w:sz w:val="17"/>
                <w:szCs w:val="17"/>
                <w:color w:val="auto"/>
              </w:rPr>
              <w:t>Merck participation in the concurrent private placement</w:t>
            </w:r>
          </w:p>
        </w:tc>
        <w:tc>
          <w:tcPr>
            <w:tcW w:w="1340" w:type="dxa"/>
            <w:vAlign w:val="bottom"/>
            <w:gridSpan w:val="2"/>
          </w:tcPr>
          <w:p>
            <w:pPr>
              <w:jc w:val="right"/>
              <w:ind w:right="420"/>
              <w:spacing w:after="0"/>
              <w:rPr>
                <w:sz w:val="20"/>
                <w:szCs w:val="20"/>
                <w:color w:val="auto"/>
              </w:rPr>
            </w:pPr>
            <w:r>
              <w:rPr>
                <w:rFonts w:ascii="Arial" w:cs="Arial" w:eastAsia="Arial" w:hAnsi="Arial"/>
                <w:sz w:val="17"/>
                <w:szCs w:val="17"/>
                <w:color w:val="auto"/>
              </w:rPr>
              <w:t>4,121,683</w:t>
            </w: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6</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61,825,258</w:t>
            </w:r>
          </w:p>
        </w:tc>
        <w:tc>
          <w:tcPr>
            <w:tcW w:w="42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13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15.00</w:t>
            </w:r>
          </w:p>
        </w:tc>
        <w:tc>
          <w:tcPr>
            <w:tcW w:w="0" w:type="dxa"/>
            <w:vAlign w:val="bottom"/>
          </w:tcPr>
          <w:p>
            <w:pPr>
              <w:spacing w:after="0"/>
              <w:rPr>
                <w:sz w:val="1"/>
                <w:szCs w:val="1"/>
                <w:color w:val="auto"/>
              </w:rPr>
            </w:pPr>
          </w:p>
        </w:tc>
      </w:tr>
      <w:tr>
        <w:trPr>
          <w:trHeight w:val="196"/>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Investors participating in this offering</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6,666,667</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10</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100,000,000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15.00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tcPr>
          <w:p>
            <w:pPr>
              <w:ind w:left="340"/>
              <w:spacing w:after="0"/>
              <w:rPr>
                <w:sz w:val="20"/>
                <w:szCs w:val="20"/>
                <w:color w:val="auto"/>
              </w:rPr>
            </w:pPr>
            <w:r>
              <w:rPr>
                <w:rFonts w:ascii="Arial" w:cs="Arial" w:eastAsia="Arial" w:hAnsi="Arial"/>
                <w:sz w:val="17"/>
                <w:szCs w:val="17"/>
                <w:color w:val="auto"/>
              </w:rPr>
              <w:t>Total</w:t>
            </w:r>
          </w:p>
        </w:tc>
        <w:tc>
          <w:tcPr>
            <w:tcW w:w="1340" w:type="dxa"/>
            <w:vAlign w:val="bottom"/>
            <w:gridSpan w:val="2"/>
          </w:tcPr>
          <w:p>
            <w:pPr>
              <w:jc w:val="right"/>
              <w:ind w:right="420"/>
              <w:spacing w:after="0"/>
              <w:rPr>
                <w:sz w:val="20"/>
                <w:szCs w:val="20"/>
                <w:color w:val="auto"/>
              </w:rPr>
            </w:pPr>
            <w:r>
              <w:rPr>
                <w:rFonts w:ascii="Arial" w:cs="Arial" w:eastAsia="Arial" w:hAnsi="Arial"/>
                <w:sz w:val="17"/>
                <w:szCs w:val="17"/>
                <w:color w:val="auto"/>
              </w:rPr>
              <w:t>64,993,706</w:t>
            </w: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100%</w:t>
            </w:r>
          </w:p>
        </w:tc>
        <w:tc>
          <w:tcPr>
            <w:tcW w:w="1720" w:type="dxa"/>
            <w:vAlign w:val="bottom"/>
            <w:gridSpan w:val="3"/>
          </w:tcPr>
          <w:p>
            <w:pPr>
              <w:jc w:val="right"/>
              <w:ind w:right="4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 xml:space="preserve"> 479,149,449</w:t>
            </w: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100%</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7.37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380" w:right="80" w:firstLine="534"/>
        <w:spacing w:after="0" w:line="245" w:lineRule="auto"/>
        <w:rPr>
          <w:sz w:val="20"/>
          <w:szCs w:val="20"/>
          <w:color w:val="auto"/>
        </w:rPr>
      </w:pPr>
      <w:r>
        <w:rPr>
          <w:rFonts w:ascii="Arial" w:cs="Arial" w:eastAsia="Arial" w:hAnsi="Arial"/>
          <w:sz w:val="17"/>
          <w:szCs w:val="17"/>
          <w:color w:val="auto"/>
        </w:rPr>
        <w:t>Each $1.00 increase (decrease) in the assumed initial public offering price of $15.00 per share, the midpoint of the price range set forth on the cover page of this prospectus, would increase (decrease) the total consideration paid by investors participating in this offering and the total consideration paid by all stockholders by $10.3 million, assuming that the number of shares offered by us, as set forth on the cover page of this prospectus, remains the same and before deducting the underwriting discounts and commissions and estimated offering expenses payable by us.</w:t>
      </w:r>
    </w:p>
    <w:p>
      <w:pPr>
        <w:spacing w:after="0" w:line="194" w:lineRule="exact"/>
        <w:rPr>
          <w:sz w:val="20"/>
          <w:szCs w:val="20"/>
          <w:color w:val="auto"/>
        </w:rPr>
      </w:pPr>
    </w:p>
    <w:p>
      <w:pPr>
        <w:ind w:left="380" w:right="160" w:firstLine="534"/>
        <w:spacing w:after="0" w:line="245" w:lineRule="auto"/>
        <w:rPr>
          <w:sz w:val="20"/>
          <w:szCs w:val="20"/>
          <w:color w:val="auto"/>
        </w:rPr>
      </w:pPr>
      <w:r>
        <w:rPr>
          <w:rFonts w:ascii="Arial" w:cs="Arial" w:eastAsia="Arial" w:hAnsi="Arial"/>
          <w:sz w:val="17"/>
          <w:szCs w:val="17"/>
          <w:color w:val="auto"/>
        </w:rPr>
        <w:t>Similarly, each increase (decrease) of 1,000,000 shares in the number of shares offered by us (including a concurrent increase (decrease) in the private placement to Merck) would increase (decrease) the total consideration paid by investors participating in this offering and total consideration paid by all stockholders by $ 17.7 million, assuming the estimated initial public offering price of $15.00 per share (the midpoint of the price range set forth on the cover page of this prospectus) remains the same, and after deducting the underwriting discounts and commissions and estimated offering expenses payable by us.</w:t>
      </w:r>
    </w:p>
    <w:p>
      <w:pPr>
        <w:spacing w:after="0" w:line="194" w:lineRule="exact"/>
        <w:rPr>
          <w:sz w:val="20"/>
          <w:szCs w:val="20"/>
          <w:color w:val="auto"/>
        </w:rPr>
      </w:pPr>
    </w:p>
    <w:p>
      <w:pPr>
        <w:ind w:left="380" w:right="40" w:firstLine="534"/>
        <w:spacing w:after="0" w:line="245" w:lineRule="auto"/>
        <w:rPr>
          <w:sz w:val="20"/>
          <w:szCs w:val="20"/>
          <w:color w:val="auto"/>
        </w:rPr>
      </w:pPr>
      <w:r>
        <w:rPr>
          <w:rFonts w:ascii="Arial" w:cs="Arial" w:eastAsia="Arial" w:hAnsi="Arial"/>
          <w:sz w:val="17"/>
          <w:szCs w:val="17"/>
          <w:color w:val="auto"/>
        </w:rPr>
        <w:t>If the underwriters exercise their option in full to purchase 1,000,000 additional shares of our common stock in this offering, the number of shares of common stock held by existing stockholders will be reduced to 82% of the total number of shares of common stock to be outstanding after this offering and the concurrent private placement to Merck, and the number of shares of common stock held by investors participating in this offering will be further increased to 11,788,350, or 18% of the total number of shares of common stock to be outstanding after this offering and the concurrent private placement to Merck.</w:t>
      </w:r>
    </w:p>
    <w:p>
      <w:pPr>
        <w:spacing w:after="0" w:line="12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060"/>
          </w:cols>
          <w:pgMar w:left="240" w:top="449" w:right="59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120" w:firstLine="534"/>
        <w:spacing w:after="0" w:line="258" w:lineRule="auto"/>
        <w:rPr>
          <w:sz w:val="20"/>
          <w:szCs w:val="20"/>
          <w:color w:val="auto"/>
        </w:rPr>
      </w:pPr>
      <w:r>
        <w:rPr>
          <w:rFonts w:ascii="Arial" w:cs="Arial" w:eastAsia="Arial" w:hAnsi="Arial"/>
          <w:sz w:val="17"/>
          <w:szCs w:val="17"/>
          <w:color w:val="auto"/>
        </w:rPr>
        <w:t>The foregoing discussion and tables are based on 54,205,356 shares of our common stock outstanding as of December 31, 2018 (including convertible preferred stock then outstanding on an as-converted basis), and</w:t>
      </w:r>
    </w:p>
    <w:p>
      <w:pPr>
        <w:spacing w:after="0" w:line="90" w:lineRule="exact"/>
        <w:rPr>
          <w:sz w:val="20"/>
          <w:szCs w:val="20"/>
          <w:color w:val="auto"/>
        </w:rPr>
      </w:pPr>
    </w:p>
    <w:p>
      <w:pPr>
        <w:ind w:left="1100" w:right="200" w:hanging="205"/>
        <w:spacing w:after="0" w:line="258" w:lineRule="auto"/>
        <w:tabs>
          <w:tab w:leader="none" w:pos="11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9,806,689 shares of our common stock issuable upon the exercise of stock options outstanding as of December 31, 2018 at a weighted-average exercise price of $5.86 per share;</w:t>
      </w:r>
    </w:p>
    <w:p>
      <w:pPr>
        <w:spacing w:after="0" w:line="90" w:lineRule="exact"/>
        <w:rPr>
          <w:rFonts w:ascii="Arial" w:cs="Arial" w:eastAsia="Arial" w:hAnsi="Arial"/>
          <w:sz w:val="17"/>
          <w:szCs w:val="17"/>
          <w:color w:val="auto"/>
        </w:rPr>
      </w:pPr>
    </w:p>
    <w:p>
      <w:pPr>
        <w:ind w:left="1100" w:right="40" w:hanging="205"/>
        <w:spacing w:after="0" w:line="258" w:lineRule="auto"/>
        <w:tabs>
          <w:tab w:leader="none" w:pos="11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1,550,250 shares of our common stock issuable upon the exercise of stock options granted after December 31, 2018 but before March 20, 2019 at an exercise price of $12.06 per share;</w:t>
      </w:r>
    </w:p>
    <w:p>
      <w:pPr>
        <w:spacing w:after="0" w:line="90" w:lineRule="exact"/>
        <w:rPr>
          <w:rFonts w:ascii="Arial" w:cs="Arial" w:eastAsia="Arial" w:hAnsi="Arial"/>
          <w:sz w:val="17"/>
          <w:szCs w:val="17"/>
          <w:color w:val="auto"/>
        </w:rPr>
      </w:pPr>
    </w:p>
    <w:p>
      <w:pPr>
        <w:ind w:left="1100" w:right="200" w:hanging="205"/>
        <w:spacing w:after="0" w:line="250" w:lineRule="auto"/>
        <w:tabs>
          <w:tab w:leader="none" w:pos="11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19,637 shares of our common stock (on an as-converted basis) issuable upon exercise of an outstanding Series A convertible preferred stock warrant at an exercise price of $2.00 per share, which automatically net exercised into shares of our Series A convertible preferred stock that are convertible into 16,380 shares of our common stock on February 3, 2019;</w:t>
      </w:r>
    </w:p>
    <w:p>
      <w:pPr>
        <w:spacing w:after="0" w:line="96" w:lineRule="exact"/>
        <w:rPr>
          <w:rFonts w:ascii="Arial" w:cs="Arial" w:eastAsia="Arial" w:hAnsi="Arial"/>
          <w:sz w:val="17"/>
          <w:szCs w:val="17"/>
          <w:color w:val="auto"/>
        </w:rPr>
      </w:pPr>
    </w:p>
    <w:p>
      <w:pPr>
        <w:ind w:left="1100" w:hanging="205"/>
        <w:spacing w:after="0" w:line="250" w:lineRule="auto"/>
        <w:tabs>
          <w:tab w:leader="none" w:pos="11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17,874,624 shares of our common stock reserved for future issuance under the Restated 2018 Plan, which will become effective immediately prior to the completion of this offering, as well as any automatic increase in the number of shares of common stock reserved for future issuance under this benefit plan;</w:t>
      </w:r>
    </w:p>
    <w:p>
      <w:pPr>
        <w:spacing w:after="0" w:line="96" w:lineRule="exact"/>
        <w:rPr>
          <w:rFonts w:ascii="Arial" w:cs="Arial" w:eastAsia="Arial" w:hAnsi="Arial"/>
          <w:sz w:val="17"/>
          <w:szCs w:val="17"/>
          <w:color w:val="auto"/>
        </w:rPr>
      </w:pPr>
    </w:p>
    <w:p>
      <w:pPr>
        <w:ind w:left="1100" w:right="100" w:hanging="205"/>
        <w:spacing w:after="0" w:line="250" w:lineRule="auto"/>
        <w:tabs>
          <w:tab w:leader="none" w:pos="11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1,000,000 shares of our common stock to be reserved for future issuance under the ESPP, which will become effective immediately prior to the completion of this offering, as well as any automatic increase in the number of shares of common stock reserved for future issuance under this benefit plan; and</w:t>
      </w:r>
    </w:p>
    <w:p>
      <w:pPr>
        <w:spacing w:after="0" w:line="96" w:lineRule="exact"/>
        <w:rPr>
          <w:rFonts w:ascii="Arial" w:cs="Arial" w:eastAsia="Arial" w:hAnsi="Arial"/>
          <w:sz w:val="17"/>
          <w:szCs w:val="17"/>
          <w:color w:val="auto"/>
        </w:rPr>
      </w:pPr>
    </w:p>
    <w:p>
      <w:pPr>
        <w:ind w:left="1100" w:right="380" w:hanging="205"/>
        <w:spacing w:after="0" w:line="258" w:lineRule="auto"/>
        <w:tabs>
          <w:tab w:leader="none" w:pos="11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36,751 shares of our common stock reserved for future issuance under our NGM Biopharmaceuticals Matching Plan, or the 401(k) Matching Plan, as of December 31, 2018.</w:t>
      </w:r>
    </w:p>
    <w:p>
      <w:pPr>
        <w:spacing w:after="0" w:line="182" w:lineRule="exact"/>
        <w:rPr>
          <w:sz w:val="20"/>
          <w:szCs w:val="20"/>
          <w:color w:val="auto"/>
        </w:rPr>
      </w:pPr>
    </w:p>
    <w:p>
      <w:pPr>
        <w:ind w:left="380" w:right="420" w:firstLine="534"/>
        <w:spacing w:after="0" w:line="247" w:lineRule="auto"/>
        <w:rPr>
          <w:sz w:val="20"/>
          <w:szCs w:val="20"/>
          <w:color w:val="auto"/>
        </w:rPr>
      </w:pPr>
      <w:r>
        <w:rPr>
          <w:rFonts w:ascii="Arial" w:cs="Arial" w:eastAsia="Arial" w:hAnsi="Arial"/>
          <w:sz w:val="17"/>
          <w:szCs w:val="17"/>
          <w:color w:val="auto"/>
        </w:rPr>
        <w:t>We may choose to raise additional capital through the sale of equity or convertible debt securities due to market conditions or strategic considerations even if we believe we have sufficient funds for our current or future operating plans. To the extent we issue additional shares of common stock or other equity or convertible debt securities in the future, there will be further dilution to investors participating in this offering.</w:t>
      </w:r>
    </w:p>
    <w:p>
      <w:pPr>
        <w:spacing w:after="0" w:line="12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000"/>
          </w:cols>
          <w:pgMar w:left="240" w:top="449" w:right="65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SELECTED CONSOLIDATED FINANCIAL DATA</w:t>
      </w:r>
    </w:p>
    <w:p>
      <w:pPr>
        <w:spacing w:after="0" w:line="232" w:lineRule="exact"/>
        <w:rPr>
          <w:sz w:val="20"/>
          <w:szCs w:val="20"/>
          <w:color w:val="auto"/>
        </w:rPr>
      </w:pPr>
    </w:p>
    <w:p>
      <w:pPr>
        <w:ind w:left="380" w:right="140" w:firstLine="534"/>
        <w:spacing w:after="0" w:line="244" w:lineRule="auto"/>
        <w:rPr>
          <w:sz w:val="20"/>
          <w:szCs w:val="20"/>
          <w:color w:val="auto"/>
        </w:rPr>
      </w:pPr>
      <w:r>
        <w:rPr>
          <w:rFonts w:ascii="Arial" w:cs="Arial" w:eastAsia="Arial" w:hAnsi="Arial"/>
          <w:sz w:val="17"/>
          <w:szCs w:val="17"/>
          <w:color w:val="auto"/>
        </w:rPr>
        <w:t>The following selected consolidated financial data should be read together with our consolidated financial statements and related notes and “Management’s Discussion and Analysis of Financial Condition and Results of Operations” appearing elsewhere in this prospectus. We derived the selected consolidated statements of operations data for the years ended December 31, 2017 and 2018 and the selected consolidated balance sheet data as of December 31, 2017 and 2018 from our audited consolidated financial statements and related notes appearing elsewhere in this prospectus. The selected consolidated financial data in this section are not intended to replace our consolidated financial statements and the related notes. Our historical results are not necessarily indicative of the results to be expected in the future.</w:t>
      </w:r>
    </w:p>
    <w:p>
      <w:pPr>
        <w:spacing w:after="0" w:line="205"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8"/>
              </w:rPr>
              <w:t>Year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9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7"/>
              <w:spacing w:after="0" w:line="150"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54"/>
              <w:spacing w:after="0" w:line="150"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5"/>
          </w:tcPr>
          <w:p>
            <w:pPr>
              <w:jc w:val="center"/>
              <w:ind w:right="14"/>
              <w:spacing w:after="0" w:line="139" w:lineRule="exact"/>
              <w:rPr>
                <w:sz w:val="20"/>
                <w:szCs w:val="20"/>
                <w:color w:val="auto"/>
              </w:rPr>
            </w:pPr>
            <w:r>
              <w:rPr>
                <w:rFonts w:ascii="Arial" w:cs="Arial" w:eastAsia="Arial" w:hAnsi="Arial"/>
                <w:sz w:val="14"/>
                <w:szCs w:val="14"/>
                <w:b w:val="1"/>
                <w:bCs w:val="1"/>
                <w:color w:val="auto"/>
              </w:rPr>
              <w:t>(in thousands, except share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9"/>
              </w:rPr>
              <w:t>and per share amounts)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Related party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330"/>
              <w:spacing w:after="0"/>
              <w:rPr>
                <w:sz w:val="20"/>
                <w:szCs w:val="20"/>
                <w:color w:val="auto"/>
              </w:rPr>
            </w:pPr>
            <w:r>
              <w:rPr>
                <w:rFonts w:ascii="Arial" w:cs="Arial" w:eastAsia="Arial" w:hAnsi="Arial"/>
                <w:sz w:val="17"/>
                <w:szCs w:val="17"/>
                <w:color w:val="auto"/>
              </w:rPr>
              <w:t>77,141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108,665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7"/>
                <w:szCs w:val="17"/>
                <w:color w:val="auto"/>
              </w:rPr>
              <w:t>Operating expenses: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30"/>
              <w:spacing w:after="0"/>
              <w:rPr>
                <w:sz w:val="20"/>
                <w:szCs w:val="20"/>
                <w:color w:val="auto"/>
              </w:rPr>
            </w:pPr>
            <w:r>
              <w:rPr>
                <w:rFonts w:ascii="Arial" w:cs="Arial" w:eastAsia="Arial" w:hAnsi="Arial"/>
                <w:sz w:val="17"/>
                <w:szCs w:val="17"/>
                <w:color w:val="auto"/>
              </w:rPr>
              <w:t>79,736</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95,714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Pr>
          <w:p>
            <w:pPr>
              <w:ind w:left="320"/>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7"/>
                <w:szCs w:val="17"/>
                <w:color w:val="auto"/>
              </w:rPr>
            </w:pPr>
          </w:p>
        </w:tc>
        <w:tc>
          <w:tcPr>
            <w:tcW w:w="1180" w:type="dxa"/>
            <w:vAlign w:val="bottom"/>
            <w:gridSpan w:val="2"/>
          </w:tcPr>
          <w:p>
            <w:pPr>
              <w:jc w:val="right"/>
              <w:ind w:right="330"/>
              <w:spacing w:after="0"/>
              <w:rPr>
                <w:sz w:val="20"/>
                <w:szCs w:val="20"/>
                <w:color w:val="auto"/>
              </w:rPr>
            </w:pPr>
            <w:r>
              <w:rPr>
                <w:rFonts w:ascii="Arial" w:cs="Arial" w:eastAsia="Arial" w:hAnsi="Arial"/>
                <w:sz w:val="17"/>
                <w:szCs w:val="17"/>
                <w:color w:val="auto"/>
              </w:rPr>
              <w:t>14,830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17,265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30"/>
              <w:spacing w:after="0"/>
              <w:rPr>
                <w:sz w:val="20"/>
                <w:szCs w:val="20"/>
                <w:color w:val="auto"/>
              </w:rPr>
            </w:pPr>
            <w:r>
              <w:rPr>
                <w:rFonts w:ascii="Arial" w:cs="Arial" w:eastAsia="Arial" w:hAnsi="Arial"/>
                <w:sz w:val="17"/>
                <w:szCs w:val="17"/>
                <w:color w:val="auto"/>
              </w:rPr>
              <w:t>94,566</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112,979</w:t>
            </w:r>
          </w:p>
        </w:tc>
        <w:tc>
          <w:tcPr>
            <w:tcW w:w="0" w:type="dxa"/>
            <w:vAlign w:val="bottom"/>
          </w:tcPr>
          <w:p>
            <w:pPr>
              <w:spacing w:after="0"/>
              <w:rPr>
                <w:sz w:val="1"/>
                <w:szCs w:val="1"/>
                <w:color w:val="auto"/>
              </w:rPr>
            </w:pPr>
          </w:p>
        </w:tc>
      </w:tr>
      <w:tr>
        <w:trPr>
          <w:trHeight w:val="20"/>
        </w:trPr>
        <w:tc>
          <w:tcPr>
            <w:tcW w:w="79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gridSpan w:val="2"/>
          </w:tcPr>
          <w:p>
            <w:pPr>
              <w:spacing w:after="0"/>
              <w:rPr>
                <w:sz w:val="20"/>
                <w:szCs w:val="20"/>
                <w:color w:val="auto"/>
              </w:rPr>
            </w:pPr>
            <w:r>
              <w:rPr>
                <w:rFonts w:ascii="Arial" w:cs="Arial" w:eastAsia="Arial" w:hAnsi="Arial"/>
                <w:sz w:val="17"/>
                <w:szCs w:val="17"/>
                <w:color w:val="auto"/>
              </w:rPr>
              <w:t>Loss from operations</w:t>
            </w:r>
          </w:p>
        </w:tc>
        <w:tc>
          <w:tcPr>
            <w:tcW w:w="100" w:type="dxa"/>
            <w:vAlign w:val="bottom"/>
          </w:tcPr>
          <w:p>
            <w:pPr>
              <w:spacing w:after="0"/>
              <w:rPr>
                <w:sz w:val="17"/>
                <w:szCs w:val="17"/>
                <w:color w:val="auto"/>
              </w:rPr>
            </w:pPr>
          </w:p>
        </w:tc>
        <w:tc>
          <w:tcPr>
            <w:tcW w:w="1180" w:type="dxa"/>
            <w:vAlign w:val="bottom"/>
            <w:gridSpan w:val="2"/>
          </w:tcPr>
          <w:p>
            <w:pPr>
              <w:jc w:val="right"/>
              <w:ind w:right="270"/>
              <w:spacing w:after="0"/>
              <w:rPr>
                <w:sz w:val="20"/>
                <w:szCs w:val="20"/>
                <w:color w:val="auto"/>
              </w:rPr>
            </w:pPr>
            <w:r>
              <w:rPr>
                <w:rFonts w:ascii="Arial" w:cs="Arial" w:eastAsia="Arial" w:hAnsi="Arial"/>
                <w:sz w:val="17"/>
                <w:szCs w:val="17"/>
                <w:color w:val="auto"/>
              </w:rPr>
              <w:t>(17,425)</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(4,314)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30"/>
              <w:spacing w:after="0"/>
              <w:rPr>
                <w:sz w:val="20"/>
                <w:szCs w:val="20"/>
                <w:color w:val="auto"/>
              </w:rPr>
            </w:pPr>
            <w:r>
              <w:rPr>
                <w:rFonts w:ascii="Arial" w:cs="Arial" w:eastAsia="Arial" w:hAnsi="Arial"/>
                <w:sz w:val="17"/>
                <w:szCs w:val="17"/>
                <w:color w:val="auto"/>
              </w:rPr>
              <w:t>2,358</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00" w:type="dxa"/>
            <w:vAlign w:val="bottom"/>
          </w:tcPr>
          <w:p>
            <w:pPr>
              <w:spacing w:after="0"/>
              <w:rPr>
                <w:sz w:val="17"/>
                <w:szCs w:val="17"/>
                <w:color w:val="auto"/>
              </w:rPr>
            </w:pPr>
          </w:p>
        </w:tc>
        <w:tc>
          <w:tcPr>
            <w:tcW w:w="1180" w:type="dxa"/>
            <w:vAlign w:val="bottom"/>
            <w:gridSpan w:val="2"/>
          </w:tcPr>
          <w:p>
            <w:pPr>
              <w:jc w:val="right"/>
              <w:ind w:right="270"/>
              <w:spacing w:after="0"/>
              <w:rPr>
                <w:sz w:val="20"/>
                <w:szCs w:val="20"/>
                <w:color w:val="auto"/>
              </w:rPr>
            </w:pPr>
            <w:r>
              <w:rPr>
                <w:rFonts w:ascii="Arial" w:cs="Arial" w:eastAsia="Arial" w:hAnsi="Arial"/>
                <w:sz w:val="17"/>
                <w:szCs w:val="17"/>
                <w:color w:val="auto"/>
              </w:rPr>
              <w:t>(152)</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Net loss before taxes</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70"/>
              <w:spacing w:after="0"/>
              <w:rPr>
                <w:sz w:val="20"/>
                <w:szCs w:val="20"/>
                <w:color w:val="auto"/>
              </w:rPr>
            </w:pPr>
            <w:r>
              <w:rPr>
                <w:rFonts w:ascii="Arial" w:cs="Arial" w:eastAsia="Arial" w:hAnsi="Arial"/>
                <w:sz w:val="17"/>
                <w:szCs w:val="17"/>
                <w:color w:val="auto"/>
              </w:rPr>
              <w:t>(15,219)</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7"/>
                <w:szCs w:val="17"/>
                <w:color w:val="auto"/>
              </w:rPr>
              <w:t>Benefit from income taxes</w:t>
            </w:r>
          </w:p>
        </w:tc>
        <w:tc>
          <w:tcPr>
            <w:tcW w:w="100" w:type="dxa"/>
            <w:vAlign w:val="bottom"/>
          </w:tcPr>
          <w:p>
            <w:pPr>
              <w:spacing w:after="0"/>
              <w:rPr>
                <w:sz w:val="17"/>
                <w:szCs w:val="17"/>
                <w:color w:val="auto"/>
              </w:rPr>
            </w:pPr>
          </w:p>
        </w:tc>
        <w:tc>
          <w:tcPr>
            <w:tcW w:w="1180" w:type="dxa"/>
            <w:vAlign w:val="bottom"/>
            <w:gridSpan w:val="2"/>
          </w:tcPr>
          <w:p>
            <w:pPr>
              <w:jc w:val="right"/>
              <w:ind w:right="270"/>
              <w:spacing w:after="0"/>
              <w:rPr>
                <w:sz w:val="20"/>
                <w:szCs w:val="20"/>
                <w:color w:val="auto"/>
              </w:rPr>
            </w:pPr>
            <w:r>
              <w:rPr>
                <w:rFonts w:ascii="Arial" w:cs="Arial" w:eastAsia="Arial" w:hAnsi="Arial"/>
                <w:sz w:val="17"/>
                <w:szCs w:val="17"/>
                <w:color w:val="auto"/>
              </w:rPr>
              <w:t>(1,060)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70"/>
              <w:spacing w:after="0"/>
              <w:rPr>
                <w:sz w:val="20"/>
                <w:szCs w:val="20"/>
                <w:color w:val="auto"/>
              </w:rPr>
            </w:pPr>
            <w:r>
              <w:rPr>
                <w:rFonts w:ascii="Arial" w:cs="Arial" w:eastAsia="Arial" w:hAnsi="Arial"/>
                <w:sz w:val="17"/>
                <w:szCs w:val="17"/>
                <w:color w:val="auto"/>
              </w:rPr>
              <w:t>(14,159)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(493)</w:t>
            </w:r>
          </w:p>
        </w:tc>
        <w:tc>
          <w:tcPr>
            <w:tcW w:w="0" w:type="dxa"/>
            <w:vAlign w:val="bottom"/>
          </w:tcPr>
          <w:p>
            <w:pPr>
              <w:spacing w:after="0"/>
              <w:rPr>
                <w:sz w:val="1"/>
                <w:szCs w:val="1"/>
                <w:color w:val="auto"/>
              </w:rPr>
            </w:pPr>
          </w:p>
        </w:tc>
      </w:tr>
      <w:tr>
        <w:trPr>
          <w:trHeight w:val="20"/>
        </w:trPr>
        <w:tc>
          <w:tcPr>
            <w:tcW w:w="79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980" w:type="dxa"/>
            <w:vAlign w:val="bottom"/>
            <w:gridSpan w:val="2"/>
          </w:tcPr>
          <w:p>
            <w:pPr>
              <w:spacing w:after="0" w:line="189" w:lineRule="exact"/>
              <w:rPr>
                <w:sz w:val="20"/>
                <w:szCs w:val="20"/>
                <w:color w:val="auto"/>
              </w:rPr>
            </w:pPr>
            <w:r>
              <w:rPr>
                <w:rFonts w:ascii="Arial" w:cs="Arial" w:eastAsia="Arial" w:hAnsi="Arial"/>
                <w:sz w:val="17"/>
                <w:szCs w:val="17"/>
                <w:color w:val="auto"/>
              </w:rPr>
              <w:t>Net loss per common share, basic and diluted(1)</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70"/>
              <w:spacing w:after="0" w:line="189" w:lineRule="exact"/>
              <w:rPr>
                <w:sz w:val="20"/>
                <w:szCs w:val="20"/>
                <w:color w:val="auto"/>
              </w:rPr>
            </w:pPr>
            <w:r>
              <w:rPr>
                <w:rFonts w:ascii="Arial" w:cs="Arial" w:eastAsia="Arial" w:hAnsi="Arial"/>
                <w:sz w:val="17"/>
                <w:szCs w:val="17"/>
                <w:color w:val="auto"/>
              </w:rPr>
              <w:t>(2.37)</w:t>
            </w:r>
          </w:p>
        </w:tc>
        <w:tc>
          <w:tcPr>
            <w:tcW w:w="4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Weighted average shares used to compute net loss per common share, basic and diluted(1)</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30"/>
              <w:spacing w:after="0" w:line="189" w:lineRule="exact"/>
              <w:rPr>
                <w:sz w:val="20"/>
                <w:szCs w:val="20"/>
                <w:color w:val="auto"/>
              </w:rPr>
            </w:pPr>
            <w:r>
              <w:rPr>
                <w:rFonts w:ascii="Arial" w:cs="Arial" w:eastAsia="Arial" w:hAnsi="Arial"/>
                <w:sz w:val="17"/>
                <w:szCs w:val="17"/>
                <w:color w:val="auto"/>
              </w:rPr>
              <w:t>5,961,767</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6,383,751</w:t>
            </w:r>
          </w:p>
        </w:tc>
        <w:tc>
          <w:tcPr>
            <w:tcW w:w="0" w:type="dxa"/>
            <w:vAlign w:val="bottom"/>
          </w:tcPr>
          <w:p>
            <w:pPr>
              <w:spacing w:after="0"/>
              <w:rPr>
                <w:sz w:val="1"/>
                <w:szCs w:val="1"/>
                <w:color w:val="auto"/>
              </w:rPr>
            </w:pPr>
          </w:p>
        </w:tc>
      </w:tr>
      <w:tr>
        <w:trPr>
          <w:trHeight w:val="20"/>
        </w:trPr>
        <w:tc>
          <w:tcPr>
            <w:tcW w:w="79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980" w:type="dxa"/>
            <w:vAlign w:val="bottom"/>
            <w:gridSpan w:val="2"/>
          </w:tcPr>
          <w:p>
            <w:pPr>
              <w:spacing w:after="0" w:line="189" w:lineRule="exact"/>
              <w:rPr>
                <w:sz w:val="20"/>
                <w:szCs w:val="20"/>
                <w:color w:val="auto"/>
              </w:rPr>
            </w:pPr>
            <w:r>
              <w:rPr>
                <w:rFonts w:ascii="Arial" w:cs="Arial" w:eastAsia="Arial" w:hAnsi="Arial"/>
                <w:sz w:val="17"/>
                <w:szCs w:val="17"/>
                <w:color w:val="auto"/>
              </w:rPr>
              <w:t>Pro forma net loss per common share, basic and diluted (unaudited)(1)</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9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Weighted average shares used to compute pro forma net loss per common share, basic and</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diluted (unaudited)(1)</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53,651,217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91440</wp:posOffset>
            </wp:positionV>
            <wp:extent cx="6819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1990" cy="8255"/>
                    </a:xfrm>
                    <a:prstGeom prst="rect">
                      <a:avLst/>
                    </a:prstGeom>
                    <a:noFill/>
                  </pic:spPr>
                </pic:pic>
              </a:graphicData>
            </a:graphic>
          </wp:anchor>
        </w:drawing>
      </w:r>
    </w:p>
    <w:p>
      <w:pPr>
        <w:spacing w:after="0" w:line="176" w:lineRule="exact"/>
        <w:rPr>
          <w:sz w:val="20"/>
          <w:szCs w:val="20"/>
          <w:color w:val="auto"/>
        </w:rPr>
      </w:pPr>
    </w:p>
    <w:p>
      <w:pPr>
        <w:ind w:left="900" w:right="120" w:hanging="529"/>
        <w:spacing w:after="0" w:line="250"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See Note 2 to our consolidated financial statements appearing elsewhere in this prospectus for an explanation of the method used to calculate the historical and pro forma basic and diluted net loss per share and the number of shares used in the computation of the per share amounts.</w:t>
      </w:r>
    </w:p>
    <w:p>
      <w:pPr>
        <w:spacing w:after="0" w:line="204" w:lineRule="exact"/>
        <w:rPr>
          <w:sz w:val="20"/>
          <w:szCs w:val="20"/>
          <w:color w:val="auto"/>
        </w:rPr>
      </w:pPr>
    </w:p>
    <w:tbl>
      <w:tblPr>
        <w:tblLayout w:type="fixed"/>
        <w:tblInd w:w="380" w:type="dxa"/>
        <w:tblCellMar>
          <w:top w:w="0" w:type="dxa"/>
          <w:left w:w="0" w:type="dxa"/>
          <w:bottom w:w="0" w:type="dxa"/>
          <w:right w:w="0" w:type="dxa"/>
        </w:tblCellMar>
      </w:tblPr>
      <w:tr>
        <w:trPr>
          <w:trHeight w:val="169"/>
        </w:trPr>
        <w:tc>
          <w:tcPr>
            <w:tcW w:w="49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As of December 31,</w:t>
            </w:r>
          </w:p>
        </w:tc>
      </w:tr>
      <w:tr>
        <w:trPr>
          <w:trHeight w:val="150"/>
        </w:trPr>
        <w:tc>
          <w:tcPr>
            <w:tcW w:w="49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080" w:type="dxa"/>
            <w:vAlign w:val="bottom"/>
            <w:tcBorders>
              <w:top w:val="single" w:sz="8" w:color="auto"/>
              <w:bottom w:val="single" w:sz="8" w:color="auto"/>
            </w:tcBorders>
          </w:tcPr>
          <w:p>
            <w:pPr>
              <w:jc w:val="right"/>
              <w:ind w:right="450"/>
              <w:spacing w:after="0" w:line="150" w:lineRule="exact"/>
              <w:rPr>
                <w:sz w:val="20"/>
                <w:szCs w:val="20"/>
                <w:color w:val="auto"/>
              </w:rPr>
            </w:pPr>
            <w:r>
              <w:rPr>
                <w:rFonts w:ascii="Arial" w:cs="Arial" w:eastAsia="Arial" w:hAnsi="Arial"/>
                <w:sz w:val="14"/>
                <w:szCs w:val="14"/>
                <w:b w:val="1"/>
                <w:bCs w:val="1"/>
                <w:color w:val="auto"/>
              </w:rPr>
              <w:t>2017</w:t>
            </w:r>
          </w:p>
        </w:tc>
        <w:tc>
          <w:tcPr>
            <w:tcW w:w="1040" w:type="dxa"/>
            <w:vAlign w:val="bottom"/>
            <w:tcBorders>
              <w:top w:val="single" w:sz="8" w:color="auto"/>
              <w:bottom w:val="single" w:sz="8" w:color="auto"/>
            </w:tcBorders>
          </w:tcPr>
          <w:p>
            <w:pPr>
              <w:jc w:val="right"/>
              <w:ind w:right="155"/>
              <w:spacing w:after="0" w:line="150"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r>
      <w:tr>
        <w:trPr>
          <w:trHeight w:val="150"/>
        </w:trPr>
        <w:tc>
          <w:tcPr>
            <w:tcW w:w="49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120" w:type="dxa"/>
            <w:vAlign w:val="bottom"/>
            <w:gridSpan w:val="2"/>
          </w:tcPr>
          <w:p>
            <w:pPr>
              <w:jc w:val="right"/>
              <w:ind w:right="495"/>
              <w:spacing w:after="0" w:line="150"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r>
      <w:tr>
        <w:trPr>
          <w:trHeight w:val="196"/>
        </w:trPr>
        <w:tc>
          <w:tcPr>
            <w:tcW w:w="4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3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6"/>
        </w:trPr>
        <w:tc>
          <w:tcPr>
            <w:tcW w:w="4980" w:type="dxa"/>
            <w:vAlign w:val="bottom"/>
          </w:tcPr>
          <w:p>
            <w:pPr>
              <w:spacing w:after="0"/>
              <w:rPr>
                <w:sz w:val="20"/>
                <w:szCs w:val="20"/>
                <w:color w:val="auto"/>
              </w:rPr>
            </w:pPr>
            <w:r>
              <w:rPr>
                <w:rFonts w:ascii="Arial" w:cs="Arial" w:eastAsia="Arial" w:hAnsi="Arial"/>
                <w:sz w:val="17"/>
                <w:szCs w:val="17"/>
                <w:color w:val="auto"/>
              </w:rPr>
              <w:t>Cash, cash equivalents, and short-term marketable securities</w:t>
            </w:r>
          </w:p>
        </w:tc>
        <w:tc>
          <w:tcPr>
            <w:tcW w:w="4540" w:type="dxa"/>
            <w:vAlign w:val="bottom"/>
            <w:gridSpan w:val="2"/>
          </w:tcPr>
          <w:p>
            <w:pPr>
              <w:jc w:val="right"/>
              <w:ind w:right="210"/>
              <w:spacing w:after="0"/>
              <w:rPr>
                <w:sz w:val="20"/>
                <w:szCs w:val="20"/>
                <w:color w:val="auto"/>
              </w:rPr>
            </w:pPr>
            <w:r>
              <w:rPr>
                <w:rFonts w:ascii="Arial" w:cs="Arial" w:eastAsia="Arial" w:hAnsi="Arial"/>
                <w:sz w:val="17"/>
                <w:szCs w:val="17"/>
                <w:color w:val="auto"/>
              </w:rPr>
              <w:t>$ 173,685</w:t>
            </w: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$ 206,633</w:t>
            </w:r>
          </w:p>
        </w:tc>
      </w:tr>
      <w:tr>
        <w:trPr>
          <w:trHeight w:val="196"/>
        </w:trPr>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Working capital (excluding deferred revenue)</w:t>
            </w:r>
          </w:p>
        </w:tc>
        <w:tc>
          <w:tcPr>
            <w:tcW w:w="4540" w:type="dxa"/>
            <w:vAlign w:val="bottom"/>
            <w:gridSpan w:val="2"/>
            <w:shd w:val="clear" w:color="auto" w:fill="CCEEFF"/>
          </w:tcPr>
          <w:p>
            <w:pPr>
              <w:jc w:val="right"/>
              <w:ind w:right="210"/>
              <w:spacing w:after="0"/>
              <w:rPr>
                <w:sz w:val="20"/>
                <w:szCs w:val="20"/>
                <w:color w:val="auto"/>
              </w:rPr>
            </w:pPr>
            <w:r>
              <w:rPr>
                <w:rFonts w:ascii="Arial" w:cs="Arial" w:eastAsia="Arial" w:hAnsi="Arial"/>
                <w:sz w:val="17"/>
                <w:szCs w:val="17"/>
                <w:color w:val="auto"/>
              </w:rPr>
              <w:t>159,998</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192,096</w:t>
            </w:r>
          </w:p>
        </w:tc>
      </w:tr>
      <w:tr>
        <w:trPr>
          <w:trHeight w:val="196"/>
        </w:trPr>
        <w:tc>
          <w:tcPr>
            <w:tcW w:w="4980" w:type="dxa"/>
            <w:vAlign w:val="bottom"/>
          </w:tcPr>
          <w:p>
            <w:pPr>
              <w:spacing w:after="0"/>
              <w:rPr>
                <w:sz w:val="20"/>
                <w:szCs w:val="20"/>
                <w:color w:val="auto"/>
              </w:rPr>
            </w:pPr>
            <w:r>
              <w:rPr>
                <w:rFonts w:ascii="Arial" w:cs="Arial" w:eastAsia="Arial" w:hAnsi="Arial"/>
                <w:sz w:val="17"/>
                <w:szCs w:val="17"/>
                <w:color w:val="auto"/>
              </w:rPr>
              <w:t>Total assets</w:t>
            </w:r>
          </w:p>
        </w:tc>
        <w:tc>
          <w:tcPr>
            <w:tcW w:w="4540" w:type="dxa"/>
            <w:vAlign w:val="bottom"/>
            <w:gridSpan w:val="2"/>
          </w:tcPr>
          <w:p>
            <w:pPr>
              <w:jc w:val="right"/>
              <w:ind w:right="210"/>
              <w:spacing w:after="0"/>
              <w:rPr>
                <w:sz w:val="20"/>
                <w:szCs w:val="20"/>
                <w:color w:val="auto"/>
              </w:rPr>
            </w:pPr>
            <w:r>
              <w:rPr>
                <w:rFonts w:ascii="Arial" w:cs="Arial" w:eastAsia="Arial" w:hAnsi="Arial"/>
                <w:sz w:val="17"/>
                <w:szCs w:val="17"/>
                <w:color w:val="auto"/>
              </w:rPr>
              <w:t>248,941</w:t>
            </w: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246,085</w:t>
            </w:r>
          </w:p>
        </w:tc>
      </w:tr>
      <w:tr>
        <w:trPr>
          <w:trHeight w:val="196"/>
        </w:trPr>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4540" w:type="dxa"/>
            <w:vAlign w:val="bottom"/>
            <w:gridSpan w:val="2"/>
            <w:shd w:val="clear" w:color="auto" w:fill="CCEEFF"/>
          </w:tcPr>
          <w:p>
            <w:pPr>
              <w:jc w:val="right"/>
              <w:ind w:right="210"/>
              <w:spacing w:after="0"/>
              <w:rPr>
                <w:sz w:val="20"/>
                <w:szCs w:val="20"/>
                <w:color w:val="auto"/>
              </w:rPr>
            </w:pPr>
            <w:r>
              <w:rPr>
                <w:rFonts w:ascii="Arial" w:cs="Arial" w:eastAsia="Arial" w:hAnsi="Arial"/>
                <w:sz w:val="17"/>
                <w:szCs w:val="17"/>
                <w:color w:val="auto"/>
              </w:rPr>
              <w:t>75,045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59,406</w:t>
            </w:r>
          </w:p>
        </w:tc>
      </w:tr>
      <w:tr>
        <w:trPr>
          <w:trHeight w:val="196"/>
        </w:trPr>
        <w:tc>
          <w:tcPr>
            <w:tcW w:w="4980" w:type="dxa"/>
            <w:vAlign w:val="bottom"/>
          </w:tcPr>
          <w:p>
            <w:pPr>
              <w:spacing w:after="0"/>
              <w:rPr>
                <w:sz w:val="20"/>
                <w:szCs w:val="20"/>
                <w:color w:val="auto"/>
              </w:rPr>
            </w:pPr>
            <w:r>
              <w:rPr>
                <w:rFonts w:ascii="Arial" w:cs="Arial" w:eastAsia="Arial" w:hAnsi="Arial"/>
                <w:sz w:val="17"/>
                <w:szCs w:val="17"/>
                <w:color w:val="auto"/>
              </w:rPr>
              <w:t>Convertible preferred stock warrant liability</w:t>
            </w:r>
          </w:p>
        </w:tc>
        <w:tc>
          <w:tcPr>
            <w:tcW w:w="4540" w:type="dxa"/>
            <w:vAlign w:val="bottom"/>
            <w:gridSpan w:val="2"/>
          </w:tcPr>
          <w:p>
            <w:pPr>
              <w:jc w:val="right"/>
              <w:ind w:right="210"/>
              <w:spacing w:after="0"/>
              <w:rPr>
                <w:sz w:val="20"/>
                <w:szCs w:val="20"/>
                <w:color w:val="auto"/>
              </w:rPr>
            </w:pPr>
            <w:r>
              <w:rPr>
                <w:rFonts w:ascii="Arial" w:cs="Arial" w:eastAsia="Arial" w:hAnsi="Arial"/>
                <w:sz w:val="17"/>
                <w:szCs w:val="17"/>
                <w:color w:val="auto"/>
              </w:rPr>
              <w:t>121</w:t>
            </w: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198</w:t>
            </w:r>
          </w:p>
        </w:tc>
      </w:tr>
      <w:tr>
        <w:trPr>
          <w:trHeight w:val="196"/>
        </w:trPr>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Convertible preferred stock</w:t>
            </w:r>
          </w:p>
        </w:tc>
        <w:tc>
          <w:tcPr>
            <w:tcW w:w="4540" w:type="dxa"/>
            <w:vAlign w:val="bottom"/>
            <w:gridSpan w:val="2"/>
            <w:shd w:val="clear" w:color="auto" w:fill="CCEEFF"/>
          </w:tcPr>
          <w:p>
            <w:pPr>
              <w:jc w:val="right"/>
              <w:ind w:right="210"/>
              <w:spacing w:after="0"/>
              <w:rPr>
                <w:sz w:val="20"/>
                <w:szCs w:val="20"/>
                <w:color w:val="auto"/>
              </w:rPr>
            </w:pPr>
            <w:r>
              <w:rPr>
                <w:rFonts w:ascii="Arial" w:cs="Arial" w:eastAsia="Arial" w:hAnsi="Arial"/>
                <w:sz w:val="17"/>
                <w:szCs w:val="17"/>
                <w:color w:val="auto"/>
              </w:rPr>
              <w:t>294,874</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294,874</w:t>
            </w:r>
          </w:p>
        </w:tc>
      </w:tr>
      <w:tr>
        <w:trPr>
          <w:trHeight w:val="196"/>
        </w:trPr>
        <w:tc>
          <w:tcPr>
            <w:tcW w:w="4980" w:type="dxa"/>
            <w:vAlign w:val="bottom"/>
          </w:tcPr>
          <w:p>
            <w:pPr>
              <w:spacing w:after="0"/>
              <w:rPr>
                <w:sz w:val="20"/>
                <w:szCs w:val="20"/>
                <w:color w:val="auto"/>
              </w:rPr>
            </w:pPr>
            <w:r>
              <w:rPr>
                <w:rFonts w:ascii="Arial" w:cs="Arial" w:eastAsia="Arial" w:hAnsi="Arial"/>
                <w:sz w:val="17"/>
                <w:szCs w:val="17"/>
                <w:color w:val="auto"/>
              </w:rPr>
              <w:t>Accumulated deficit</w:t>
            </w:r>
          </w:p>
        </w:tc>
        <w:tc>
          <w:tcPr>
            <w:tcW w:w="4540" w:type="dxa"/>
            <w:vAlign w:val="bottom"/>
            <w:gridSpan w:val="2"/>
          </w:tcPr>
          <w:p>
            <w:pPr>
              <w:jc w:val="right"/>
              <w:ind w:right="150"/>
              <w:spacing w:after="0"/>
              <w:rPr>
                <w:sz w:val="20"/>
                <w:szCs w:val="20"/>
                <w:color w:val="auto"/>
              </w:rPr>
            </w:pPr>
            <w:r>
              <w:rPr>
                <w:rFonts w:ascii="Arial" w:cs="Arial" w:eastAsia="Arial" w:hAnsi="Arial"/>
                <w:sz w:val="17"/>
                <w:szCs w:val="17"/>
                <w:color w:val="auto"/>
              </w:rPr>
              <w:t>(146,700)</w:t>
            </w: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(147,193)</w:t>
            </w:r>
          </w:p>
        </w:tc>
      </w:tr>
      <w:tr>
        <w:trPr>
          <w:trHeight w:val="196"/>
        </w:trPr>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deficit</w:t>
            </w:r>
          </w:p>
        </w:tc>
        <w:tc>
          <w:tcPr>
            <w:tcW w:w="4540" w:type="dxa"/>
            <w:vAlign w:val="bottom"/>
            <w:gridSpan w:val="2"/>
            <w:shd w:val="clear" w:color="auto" w:fill="CCEEFF"/>
          </w:tcPr>
          <w:p>
            <w:pPr>
              <w:jc w:val="right"/>
              <w:ind w:right="150"/>
              <w:spacing w:after="0"/>
              <w:rPr>
                <w:sz w:val="20"/>
                <w:szCs w:val="20"/>
                <w:color w:val="auto"/>
              </w:rPr>
            </w:pPr>
            <w:r>
              <w:rPr>
                <w:rFonts w:ascii="Arial" w:cs="Arial" w:eastAsia="Arial" w:hAnsi="Arial"/>
                <w:sz w:val="17"/>
                <w:szCs w:val="17"/>
                <w:color w:val="auto"/>
              </w:rPr>
              <w:t>(120,978)</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(108,195)</w:t>
            </w:r>
          </w:p>
        </w:tc>
      </w:tr>
      <w:tr>
        <w:trPr>
          <w:trHeight w:val="353"/>
        </w:trPr>
        <w:tc>
          <w:tcPr>
            <w:tcW w:w="4980" w:type="dxa"/>
            <w:vAlign w:val="bottom"/>
          </w:tcPr>
          <w:p>
            <w:pPr>
              <w:spacing w:after="0"/>
              <w:rPr>
                <w:sz w:val="24"/>
                <w:szCs w:val="24"/>
                <w:color w:val="auto"/>
              </w:rPr>
            </w:pPr>
          </w:p>
        </w:tc>
        <w:tc>
          <w:tcPr>
            <w:tcW w:w="3460" w:type="dxa"/>
            <w:vAlign w:val="bottom"/>
          </w:tcPr>
          <w:p>
            <w:pPr>
              <w:jc w:val="right"/>
              <w:ind w:right="2913"/>
              <w:spacing w:after="0"/>
              <w:rPr>
                <w:sz w:val="20"/>
                <w:szCs w:val="20"/>
                <w:color w:val="auto"/>
              </w:rPr>
            </w:pPr>
            <w:r>
              <w:rPr>
                <w:rFonts w:ascii="Arial" w:cs="Arial" w:eastAsia="Arial" w:hAnsi="Arial"/>
                <w:sz w:val="17"/>
                <w:szCs w:val="17"/>
                <w:color w:val="auto"/>
              </w:rPr>
              <w:t>76</w:t>
            </w: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60"/>
          </w:cols>
          <w:pgMar w:left="240" w:top="449" w:right="59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MANAGEMENT’S DISCUSSION AND ANALYSIS OF FINANCIAL CONDITION AND</w:t>
      </w:r>
    </w:p>
    <w:p>
      <w:pPr>
        <w:spacing w:after="0" w:line="23"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RESULTS OF OPERATIONS</w:t>
      </w:r>
    </w:p>
    <w:p>
      <w:pPr>
        <w:spacing w:after="0" w:line="192" w:lineRule="exact"/>
        <w:rPr>
          <w:sz w:val="20"/>
          <w:szCs w:val="20"/>
          <w:color w:val="auto"/>
        </w:rPr>
      </w:pPr>
    </w:p>
    <w:p>
      <w:pPr>
        <w:ind w:left="380" w:firstLine="534"/>
        <w:spacing w:after="0" w:line="246" w:lineRule="auto"/>
        <w:rPr>
          <w:sz w:val="20"/>
          <w:szCs w:val="20"/>
          <w:color w:val="auto"/>
        </w:rPr>
      </w:pPr>
      <w:r>
        <w:rPr>
          <w:rFonts w:ascii="Arial" w:cs="Arial" w:eastAsia="Arial" w:hAnsi="Arial"/>
          <w:sz w:val="17"/>
          <w:szCs w:val="17"/>
          <w:i w:val="1"/>
          <w:iCs w:val="1"/>
          <w:color w:val="auto"/>
        </w:rPr>
        <w:t>The following discussion and analysis should be read in conjunction with “Selected Consolidated Financial Data” and our consolidated financial statements and related notes included elsewhere in this prospectus. This discussion and analysis and other parts of this prospectus contain forward-looking statements based upon current beliefs, plans and expectations that involve risks, uncertainties and assumptions, such as statements regarding our plans, objectives, expectations, intentions and projections. Our actual results and the timing of events could differ materially from those anticipated in these forward-looking statements as a result of several factors, including those set forth under “Risk Factors” and elsewhere in this prospectus. You should carefully read the “Risk Factors” section of this prospectus to gain an understanding of the important factors that could cause actual results to differ materially from our forward-looking statements. Please also see the section titled “Special Note Regarding Forward-Looking Statements.”</w:t>
      </w:r>
    </w:p>
    <w:p>
      <w:pPr>
        <w:spacing w:after="0" w:line="279"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Overview</w:t>
      </w:r>
    </w:p>
    <w:p>
      <w:pPr>
        <w:spacing w:after="0" w:line="232" w:lineRule="exact"/>
        <w:rPr>
          <w:sz w:val="20"/>
          <w:szCs w:val="20"/>
          <w:color w:val="auto"/>
        </w:rPr>
      </w:pPr>
    </w:p>
    <w:p>
      <w:pPr>
        <w:ind w:left="380" w:right="60" w:firstLine="534"/>
        <w:spacing w:after="0" w:line="243" w:lineRule="auto"/>
        <w:rPr>
          <w:sz w:val="20"/>
          <w:szCs w:val="20"/>
          <w:color w:val="auto"/>
        </w:rPr>
      </w:pPr>
      <w:r>
        <w:rPr>
          <w:rFonts w:ascii="Arial" w:cs="Arial" w:eastAsia="Arial" w:hAnsi="Arial"/>
          <w:sz w:val="17"/>
          <w:szCs w:val="17"/>
          <w:color w:val="auto"/>
        </w:rPr>
        <w:t>We are a clinical-stage biopharmaceutical company developing novel therapeutics based on our scientific understanding of key biological pathways underlying cardio-metabolic, liver, oncologic and ophthalmic diseases. These diseases are among the largest unmet medical needs globally and represent leading causes of morbidity and mortality and a significant burden for healthcare systems. Since the commencement of our operations in 2008, we have generated a robust portfolio of seven product candidates, five of which are in clinical testing. Our most advanced product candidate, NGM282, is wholly-owned and will enter Phase 2b development for the treatment of non-alcoholic steatohepatitis, or NASH, in mid-2019. In an ongoing Phase 2 clinical trial, NGM282 has demonstrated the ability to rapidly improve NASH and reverse liver fibrosis at 12 weeks. Our other programs are in Phase 1 clinical or preclinical testing and subject to our Merck collaboration described below.</w:t>
      </w:r>
    </w:p>
    <w:p>
      <w:pPr>
        <w:spacing w:after="0" w:line="198" w:lineRule="exact"/>
        <w:rPr>
          <w:sz w:val="20"/>
          <w:szCs w:val="20"/>
          <w:color w:val="auto"/>
        </w:rPr>
      </w:pPr>
    </w:p>
    <w:p>
      <w:pPr>
        <w:ind w:left="380" w:right="100" w:firstLine="534"/>
        <w:spacing w:after="0" w:line="244" w:lineRule="auto"/>
        <w:rPr>
          <w:sz w:val="20"/>
          <w:szCs w:val="20"/>
          <w:color w:val="auto"/>
        </w:rPr>
      </w:pPr>
      <w:r>
        <w:rPr>
          <w:rFonts w:ascii="Arial" w:cs="Arial" w:eastAsia="Arial" w:hAnsi="Arial"/>
          <w:sz w:val="17"/>
          <w:szCs w:val="17"/>
          <w:color w:val="auto"/>
        </w:rPr>
        <w:t>In February 2015, we entered into a five-year research collaboration, product development and license agreement with Merck Sharp &amp; Dohme Corp., or Merck, that allows us to develop multiple product candidates in parallel without bearing substantially greater costs or incurring significantly greater risk compared to developing candidates on our own. For a detailed explanation see the section “Business—Our Collaboration with Merck.” Through December 31, 2018, Merck has paid us $336.4 million, of which $94.0 million was an upfront payment, $20.0 million was to license NGM313 and related compounds and $ 222.4 million was reimbursement of research and development expenses. On March 15, 2019, Merck exercised its option to extend the collaboration through March 17, 2022, and has the right to extend it again through March 17, 2024.</w:t>
      </w:r>
    </w:p>
    <w:p>
      <w:pPr>
        <w:spacing w:after="0" w:line="193" w:lineRule="exact"/>
        <w:rPr>
          <w:sz w:val="20"/>
          <w:szCs w:val="20"/>
          <w:color w:val="auto"/>
        </w:rPr>
      </w:pPr>
    </w:p>
    <w:p>
      <w:pPr>
        <w:ind w:left="380" w:right="140" w:firstLine="534"/>
        <w:spacing w:after="0" w:line="245" w:lineRule="auto"/>
        <w:rPr>
          <w:sz w:val="20"/>
          <w:szCs w:val="20"/>
          <w:color w:val="auto"/>
        </w:rPr>
      </w:pPr>
      <w:r>
        <w:rPr>
          <w:rFonts w:ascii="Arial" w:cs="Arial" w:eastAsia="Arial" w:hAnsi="Arial"/>
          <w:sz w:val="17"/>
          <w:szCs w:val="17"/>
          <w:color w:val="auto"/>
        </w:rPr>
        <w:t>We have incurred net losses in each year since our inception. Our consolidated net losses were $14.2 million and $0.5 million for the years ended December 31, 2017 and 2018, respectively. As of December 31, 2018, we had an accumulated deficit of $147.2 million. Substantially all of our net losses have resulted from costs incurred in connection with our research and development programs and from general and administrative costs associated with our operations. Our net losses may fluctuate significantly from quarter to quarter and year to year, depending on the timing of our clinical trials and our expenses on other research and development activities.</w:t>
      </w:r>
    </w:p>
    <w:p>
      <w:pPr>
        <w:spacing w:after="0" w:line="194" w:lineRule="exact"/>
        <w:rPr>
          <w:sz w:val="20"/>
          <w:szCs w:val="20"/>
          <w:color w:val="auto"/>
        </w:rPr>
      </w:pPr>
    </w:p>
    <w:p>
      <w:pPr>
        <w:ind w:left="380" w:right="180" w:firstLine="534"/>
        <w:spacing w:after="0" w:line="247" w:lineRule="auto"/>
        <w:rPr>
          <w:sz w:val="20"/>
          <w:szCs w:val="20"/>
          <w:color w:val="auto"/>
        </w:rPr>
      </w:pPr>
      <w:r>
        <w:rPr>
          <w:rFonts w:ascii="Arial" w:cs="Arial" w:eastAsia="Arial" w:hAnsi="Arial"/>
          <w:sz w:val="17"/>
          <w:szCs w:val="17"/>
          <w:color w:val="auto"/>
        </w:rPr>
        <w:t>Since inception, we have funded our operations primarily through the private placement of convertible preferred stock totaling $294.9 million, upfront license fees paid by collaboration partners of $123.0 million, the license of NGM313 and related compounds to Merck for $20.0 million and research and development service fees provided by collaboration partners of $239.2 million. We do not have any products approved for sale and do not anticipate generating revenue from product sales for the</w:t>
      </w:r>
    </w:p>
    <w:p>
      <w:pPr>
        <w:spacing w:after="0" w:line="12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060"/>
          </w:cols>
          <w:pgMar w:left="240" w:top="449" w:right="59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80"/>
        <w:spacing w:after="0" w:line="244" w:lineRule="auto"/>
        <w:rPr>
          <w:sz w:val="20"/>
          <w:szCs w:val="20"/>
          <w:color w:val="auto"/>
        </w:rPr>
      </w:pPr>
      <w:r>
        <w:rPr>
          <w:rFonts w:ascii="Arial" w:cs="Arial" w:eastAsia="Arial" w:hAnsi="Arial"/>
          <w:sz w:val="17"/>
          <w:szCs w:val="17"/>
          <w:color w:val="auto"/>
        </w:rPr>
        <w:t>foreseeable future, if ever. Accordingly, to fund further operations we may need to raise capital in addition to the net proceeds from this offering, the concurrent private placement to Merck and amounts that may be available under our collaboration agreement with Merck. Until such time as we can generate meaningful revenue from product sales, if ever, we expect to finance our operating activities through public or private equity or debt financings, collaborations, strategic alliances and licensing arrangements, government or other third-party funding, or a combination of these. We may not be able to secure additional funding on terms acceptable to us, or at all, and any failure to secure funding as and when needed could compromise our ability to execute on our business plan, which could materially and adversely affect our business, financial condition and results of operations.</w:t>
      </w:r>
    </w:p>
    <w:p>
      <w:pPr>
        <w:spacing w:after="0" w:line="193" w:lineRule="exact"/>
        <w:rPr>
          <w:sz w:val="20"/>
          <w:szCs w:val="20"/>
          <w:color w:val="auto"/>
        </w:rPr>
      </w:pPr>
    </w:p>
    <w:p>
      <w:pPr>
        <w:jc w:val="both"/>
        <w:ind w:left="380" w:right="460" w:firstLine="534"/>
        <w:spacing w:after="0" w:line="250" w:lineRule="auto"/>
        <w:rPr>
          <w:sz w:val="20"/>
          <w:szCs w:val="20"/>
          <w:color w:val="auto"/>
        </w:rPr>
      </w:pPr>
      <w:r>
        <w:rPr>
          <w:rFonts w:ascii="Arial" w:cs="Arial" w:eastAsia="Arial" w:hAnsi="Arial"/>
          <w:sz w:val="17"/>
          <w:szCs w:val="17"/>
          <w:color w:val="auto"/>
        </w:rPr>
        <w:t>We have no manufacturing facilities, and all of our manufacturing activities are contracted out to third parties. Additionally, we currently utilize third-party clinical research organizations, or CROs, to carry out our clinical development and we do not have a sales organization.</w:t>
      </w:r>
    </w:p>
    <w:p>
      <w:pPr>
        <w:spacing w:after="0" w:line="27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Financial Operations Overview</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Collaboration Revenue</w:t>
      </w:r>
    </w:p>
    <w:p>
      <w:pPr>
        <w:spacing w:after="0" w:line="126" w:lineRule="exact"/>
        <w:rPr>
          <w:sz w:val="20"/>
          <w:szCs w:val="20"/>
          <w:color w:val="auto"/>
        </w:rPr>
      </w:pPr>
    </w:p>
    <w:p>
      <w:pPr>
        <w:ind w:left="380" w:right="60" w:firstLine="534"/>
        <w:spacing w:after="0" w:line="243" w:lineRule="auto"/>
        <w:rPr>
          <w:sz w:val="20"/>
          <w:szCs w:val="20"/>
          <w:color w:val="auto"/>
        </w:rPr>
      </w:pPr>
      <w:r>
        <w:rPr>
          <w:rFonts w:ascii="Arial" w:cs="Arial" w:eastAsia="Arial" w:hAnsi="Arial"/>
          <w:sz w:val="17"/>
          <w:szCs w:val="17"/>
          <w:color w:val="auto"/>
        </w:rPr>
        <w:t>Our revenue to date has been generated primarily from recognition of license fees and research and development service funding pursuant to our collaboration agreements, the most significant of which is with Merck. Merck is also a significant stockholder and, as such, collaboration revenue from Merck is referred to as related party revenue. We have not generated any revenue from commercial product sales to date. We receive research and development funding pursuant to our collaboration agreements, and we may also be entitled to receive additional milestone and other contingent payments pursuant to our research collaboration product development and license agreement with Merck upon the occurrence of specific events. Due to the nature of these collaboration agreements and the nonlinearity of the related revenue recognition, our revenue has fluctuated from period to period in the past and we expect that it will continue to fluctuate in future periods. In addition, we are required to adopt ASC 606 for the year ending December 31, 2019, which may have a material impact on the timing of our revenue recognition.</w:t>
      </w:r>
    </w:p>
    <w:p>
      <w:pPr>
        <w:spacing w:after="0" w:line="19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following table summarizes the sources of our collaboration revenue for the years ended December 31, 2017 and 2018:</w:t>
      </w:r>
    </w:p>
    <w:p>
      <w:pPr>
        <w:spacing w:after="0" w:line="222"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8860" w:type="dxa"/>
            <w:vAlign w:val="bottom"/>
          </w:tcPr>
          <w:p>
            <w:pPr>
              <w:spacing w:after="0"/>
              <w:rPr>
                <w:sz w:val="13"/>
                <w:szCs w:val="13"/>
                <w:color w:val="auto"/>
              </w:rPr>
            </w:pPr>
          </w:p>
        </w:tc>
        <w:tc>
          <w:tcPr>
            <w:tcW w:w="182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8"/>
              </w:rPr>
              <w:t>Year Ended</w:t>
            </w:r>
          </w:p>
        </w:tc>
      </w:tr>
      <w:tr>
        <w:trPr>
          <w:trHeight w:val="169"/>
        </w:trPr>
        <w:tc>
          <w:tcPr>
            <w:tcW w:w="8860" w:type="dxa"/>
            <w:vAlign w:val="bottom"/>
          </w:tcPr>
          <w:p>
            <w:pPr>
              <w:spacing w:after="0"/>
              <w:rPr>
                <w:sz w:val="14"/>
                <w:szCs w:val="14"/>
                <w:color w:val="auto"/>
              </w:rPr>
            </w:pPr>
          </w:p>
        </w:tc>
        <w:tc>
          <w:tcPr>
            <w:tcW w:w="182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8"/>
              </w:rPr>
              <w:t>December 31,</w:t>
            </w:r>
          </w:p>
        </w:tc>
      </w:tr>
      <w:tr>
        <w:trPr>
          <w:trHeight w:val="150"/>
        </w:trPr>
        <w:tc>
          <w:tcPr>
            <w:tcW w:w="88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ind w:right="101"/>
              <w:spacing w:after="0" w:line="150"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36"/>
              <w:spacing w:after="0" w:line="150"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50"/>
        </w:trPr>
        <w:tc>
          <w:tcPr>
            <w:tcW w:w="8860" w:type="dxa"/>
            <w:vAlign w:val="bottom"/>
          </w:tcPr>
          <w:p>
            <w:pPr>
              <w:spacing w:after="0"/>
              <w:rPr>
                <w:sz w:val="13"/>
                <w:szCs w:val="13"/>
                <w:color w:val="auto"/>
              </w:rPr>
            </w:pPr>
          </w:p>
        </w:tc>
        <w:tc>
          <w:tcPr>
            <w:tcW w:w="1760" w:type="dxa"/>
            <w:vAlign w:val="bottom"/>
            <w:gridSpan w:val="5"/>
          </w:tcPr>
          <w:p>
            <w:pPr>
              <w:jc w:val="center"/>
              <w:spacing w:after="0" w:line="150" w:lineRule="exact"/>
              <w:rPr>
                <w:sz w:val="20"/>
                <w:szCs w:val="20"/>
                <w:color w:val="auto"/>
              </w:rPr>
            </w:pPr>
            <w:r>
              <w:rPr>
                <w:rFonts w:ascii="Arial" w:cs="Arial" w:eastAsia="Arial" w:hAnsi="Arial"/>
                <w:sz w:val="14"/>
                <w:szCs w:val="14"/>
                <w:b w:val="1"/>
                <w:bCs w:val="1"/>
                <w:color w:val="auto"/>
                <w:w w:val="99"/>
              </w:rPr>
              <w:t>(in thousands)</w:t>
            </w:r>
          </w:p>
        </w:tc>
        <w:tc>
          <w:tcPr>
            <w:tcW w:w="60" w:type="dxa"/>
            <w:vAlign w:val="bottom"/>
          </w:tcPr>
          <w:p>
            <w:pPr>
              <w:spacing w:after="0"/>
              <w:rPr>
                <w:sz w:val="13"/>
                <w:szCs w:val="13"/>
                <w:color w:val="auto"/>
              </w:rPr>
            </w:pPr>
          </w:p>
        </w:tc>
      </w:tr>
      <w:tr>
        <w:trPr>
          <w:trHeight w:val="196"/>
        </w:trPr>
        <w:tc>
          <w:tcPr>
            <w:tcW w:w="8860" w:type="dxa"/>
            <w:vAlign w:val="bottom"/>
            <w:shd w:val="clear" w:color="auto" w:fill="CCEEFF"/>
          </w:tcPr>
          <w:p>
            <w:pPr>
              <w:spacing w:after="0"/>
              <w:rPr>
                <w:sz w:val="20"/>
                <w:szCs w:val="20"/>
                <w:color w:val="auto"/>
              </w:rPr>
            </w:pPr>
            <w:r>
              <w:rPr>
                <w:rFonts w:ascii="Arial" w:cs="Arial" w:eastAsia="Arial" w:hAnsi="Arial"/>
                <w:sz w:val="17"/>
                <w:szCs w:val="17"/>
                <w:color w:val="auto"/>
              </w:rPr>
              <w:t>Related party revenue</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6"/>
        </w:trPr>
        <w:tc>
          <w:tcPr>
            <w:tcW w:w="8860" w:type="dxa"/>
            <w:vAlign w:val="bottom"/>
          </w:tcPr>
          <w:p>
            <w:pPr>
              <w:ind w:left="340"/>
              <w:spacing w:after="0"/>
              <w:rPr>
                <w:sz w:val="20"/>
                <w:szCs w:val="20"/>
                <w:color w:val="auto"/>
              </w:rPr>
            </w:pPr>
            <w:r>
              <w:rPr>
                <w:rFonts w:ascii="Arial" w:cs="Arial" w:eastAsia="Arial" w:hAnsi="Arial"/>
                <w:sz w:val="17"/>
                <w:szCs w:val="17"/>
                <w:color w:val="auto"/>
              </w:rPr>
              <w:t>Recognition of upfront fee</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$18,800</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18,800</w:t>
            </w:r>
          </w:p>
        </w:tc>
      </w:tr>
      <w:tr>
        <w:trPr>
          <w:trHeight w:val="196"/>
        </w:trPr>
        <w:tc>
          <w:tcPr>
            <w:tcW w:w="8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License revenue</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20,000</w:t>
            </w:r>
          </w:p>
        </w:tc>
      </w:tr>
      <w:tr>
        <w:trPr>
          <w:trHeight w:val="196"/>
        </w:trPr>
        <w:tc>
          <w:tcPr>
            <w:tcW w:w="8860" w:type="dxa"/>
            <w:vAlign w:val="bottom"/>
          </w:tcPr>
          <w:p>
            <w:pPr>
              <w:ind w:left="340"/>
              <w:spacing w:after="0"/>
              <w:rPr>
                <w:sz w:val="20"/>
                <w:szCs w:val="20"/>
                <w:color w:val="auto"/>
              </w:rPr>
            </w:pPr>
            <w:r>
              <w:rPr>
                <w:rFonts w:ascii="Arial" w:cs="Arial" w:eastAsia="Arial" w:hAnsi="Arial"/>
                <w:sz w:val="17"/>
                <w:szCs w:val="17"/>
                <w:color w:val="auto"/>
              </w:rPr>
              <w:t>Collaboration service revenue</w:t>
            </w:r>
          </w:p>
        </w:tc>
        <w:tc>
          <w:tcPr>
            <w:tcW w:w="660" w:type="dxa"/>
            <w:vAlign w:val="bottom"/>
          </w:tcPr>
          <w:p>
            <w:pPr>
              <w:jc w:val="right"/>
              <w:spacing w:after="0"/>
              <w:rPr>
                <w:sz w:val="20"/>
                <w:szCs w:val="20"/>
                <w:color w:val="auto"/>
              </w:rPr>
            </w:pPr>
            <w:r>
              <w:rPr>
                <w:rFonts w:ascii="Arial" w:cs="Arial" w:eastAsia="Arial" w:hAnsi="Arial"/>
                <w:sz w:val="17"/>
                <w:szCs w:val="17"/>
                <w:color w:val="auto"/>
              </w:rPr>
              <w:t>58,341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69,865</w:t>
            </w:r>
          </w:p>
        </w:tc>
      </w:tr>
      <w:tr>
        <w:trPr>
          <w:trHeight w:val="26"/>
        </w:trPr>
        <w:tc>
          <w:tcPr>
            <w:tcW w:w="88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96"/>
        </w:trPr>
        <w:tc>
          <w:tcPr>
            <w:tcW w:w="88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related party revenue</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77,141</w:t>
            </w:r>
          </w:p>
        </w:tc>
        <w:tc>
          <w:tcPr>
            <w:tcW w:w="1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108,665</w:t>
            </w:r>
          </w:p>
        </w:tc>
        <w:tc>
          <w:tcPr>
            <w:tcW w:w="60" w:type="dxa"/>
            <w:vAlign w:val="bottom"/>
            <w:shd w:val="clear" w:color="auto" w:fill="CCEEFF"/>
          </w:tcPr>
          <w:p>
            <w:pPr>
              <w:spacing w:after="0"/>
              <w:rPr>
                <w:sz w:val="17"/>
                <w:szCs w:val="17"/>
                <w:color w:val="auto"/>
              </w:rPr>
            </w:pPr>
          </w:p>
        </w:tc>
      </w:tr>
      <w:tr>
        <w:trPr>
          <w:trHeight w:val="20"/>
        </w:trPr>
        <w:tc>
          <w:tcPr>
            <w:tcW w:w="88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26" w:lineRule="exact"/>
        <w:rPr>
          <w:sz w:val="20"/>
          <w:szCs w:val="20"/>
          <w:color w:val="auto"/>
        </w:rPr>
      </w:pPr>
    </w:p>
    <w:p>
      <w:pPr>
        <w:ind w:left="380" w:right="440" w:firstLine="534"/>
        <w:spacing w:after="0" w:line="258" w:lineRule="auto"/>
        <w:rPr>
          <w:sz w:val="20"/>
          <w:szCs w:val="20"/>
          <w:color w:val="auto"/>
        </w:rPr>
      </w:pPr>
      <w:r>
        <w:rPr>
          <w:rFonts w:ascii="Arial" w:cs="Arial" w:eastAsia="Arial" w:hAnsi="Arial"/>
          <w:sz w:val="17"/>
          <w:szCs w:val="17"/>
          <w:color w:val="auto"/>
        </w:rPr>
        <w:t>Research and development efforts relating to our product candidates include manufacturing drug substance, drug product and clinical trial material, conducting preclinical testing and clinical trials and providing support for these operations.</w:t>
      </w:r>
    </w:p>
    <w:p>
      <w:pPr>
        <w:spacing w:after="0" w:line="182" w:lineRule="exact"/>
        <w:rPr>
          <w:sz w:val="20"/>
          <w:szCs w:val="20"/>
          <w:color w:val="auto"/>
        </w:rPr>
      </w:pPr>
    </w:p>
    <w:p>
      <w:pPr>
        <w:ind w:left="380" w:right="360" w:firstLine="534"/>
        <w:spacing w:after="0" w:line="247" w:lineRule="auto"/>
        <w:rPr>
          <w:sz w:val="20"/>
          <w:szCs w:val="20"/>
          <w:color w:val="auto"/>
        </w:rPr>
      </w:pPr>
      <w:r>
        <w:rPr>
          <w:rFonts w:ascii="Arial" w:cs="Arial" w:eastAsia="Arial" w:hAnsi="Arial"/>
          <w:sz w:val="17"/>
          <w:szCs w:val="17"/>
          <w:color w:val="auto"/>
        </w:rPr>
        <w:t>Our research and development expenses consist of both internal and external costs. Our internal costs include employee, consultant, facility and other research and development operating expenses. Our external costs include fees paid to CROs and other service providers in connection with our clinical trials and preclinical studies, third party license fees and costs related to acquiring and manufacturing drug substance, drug product and clinical trial materials.</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060"/>
          </w:cols>
          <w:pgMar w:left="240" w:top="449" w:right="59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80" w:firstLine="534"/>
        <w:spacing w:after="0" w:line="244" w:lineRule="auto"/>
        <w:rPr>
          <w:sz w:val="20"/>
          <w:szCs w:val="20"/>
          <w:color w:val="auto"/>
        </w:rPr>
      </w:pPr>
      <w:r>
        <w:rPr>
          <w:rFonts w:ascii="Arial" w:cs="Arial" w:eastAsia="Arial" w:hAnsi="Arial"/>
          <w:sz w:val="17"/>
          <w:szCs w:val="17"/>
          <w:color w:val="auto"/>
        </w:rPr>
        <w:t>Our clinical development efforts are focused on multiple programs. Our lead product candidate, NGM282, is the subject of ongoing and planned Phase 2 clinical trials for NASH. We anticipate the majority of our financial resources outside of the Merck collaboration will be dedicated to the development of NGM282 for the foreseeable future, however, we may also devote financial resources to the development of our GDF15 receptor agonist program, or to our other programs in the event Merck does not elect to license these programs upon completion of a proof-of-concept study, or in the event Merck elects to terminate its license to a program. Additionally, if our research and development expenses were to exceed the funding caps provided in our collaboration agreement with Merck, we could be required to devote our financial resources toward the development of those programs subject to the collaboration.</w:t>
      </w:r>
    </w:p>
    <w:p>
      <w:pPr>
        <w:spacing w:after="0" w:line="193" w:lineRule="exact"/>
        <w:rPr>
          <w:sz w:val="20"/>
          <w:szCs w:val="20"/>
          <w:color w:val="auto"/>
        </w:rPr>
      </w:pPr>
    </w:p>
    <w:p>
      <w:pPr>
        <w:ind w:left="380" w:right="40" w:firstLine="534"/>
        <w:spacing w:after="0" w:line="244" w:lineRule="auto"/>
        <w:rPr>
          <w:sz w:val="20"/>
          <w:szCs w:val="20"/>
          <w:color w:val="auto"/>
        </w:rPr>
      </w:pPr>
      <w:r>
        <w:rPr>
          <w:rFonts w:ascii="Arial" w:cs="Arial" w:eastAsia="Arial" w:hAnsi="Arial"/>
          <w:sz w:val="17"/>
          <w:szCs w:val="17"/>
          <w:color w:val="auto"/>
        </w:rPr>
        <w:t>The NGM282 clinical trials we have initiated or plan to initiate include: (1) a 24-week expansion cohort of NGM282 (cohort 4) under our ongoing Phase 2 protocol as a double-blind, placebo-controlled study of once-daily 1 mg NGM282 for the treatment of patients with fibrosis stage F2 or F3 NASH, (2) a Phase 2b clinical trial of NGM282 in a double-blind, placebo-controlled format testing 0.3 mg, 1 mg and 3 mg daily doses of NGM282 for 24 weeks for the treatment of patients with fibrosis stage F2 or F3 NASH and (3) a Phase 2b clinical trial of NGM282 for the treatment of NASH patients with early cirrhosis (F4 stage fibrosis). Significant portions of our research and development resources are focused on these clinical trials and other work needed to prepare NGM282 for regulatory approval for the treatment of NASH, including preparation for Phase 3 testing of NGM282 in NASH.</w:t>
      </w:r>
    </w:p>
    <w:p>
      <w:pPr>
        <w:spacing w:after="0" w:line="193" w:lineRule="exact"/>
        <w:rPr>
          <w:sz w:val="20"/>
          <w:szCs w:val="20"/>
          <w:color w:val="auto"/>
        </w:rPr>
      </w:pPr>
    </w:p>
    <w:p>
      <w:pPr>
        <w:ind w:left="380" w:firstLine="534"/>
        <w:spacing w:after="0" w:line="245" w:lineRule="auto"/>
        <w:rPr>
          <w:sz w:val="20"/>
          <w:szCs w:val="20"/>
          <w:color w:val="auto"/>
        </w:rPr>
      </w:pPr>
      <w:r>
        <w:rPr>
          <w:rFonts w:ascii="Arial" w:cs="Arial" w:eastAsia="Arial" w:hAnsi="Arial"/>
          <w:sz w:val="17"/>
          <w:szCs w:val="17"/>
          <w:color w:val="auto"/>
        </w:rPr>
        <w:t>Our NGM313 product candidate has completed single ascending dose and multiple ascending dose Phase 1 testing in overweight or obese but otherwise healthy adults, as well as a Phase 1b study in obese insulin resistant subjects with nonalcoholic fatty liver disease, or NAFLD. Merck exercised its option to license the NGM313 program, and all future development expenses will be paid for by Merck unless we elect to exercise our worldwide cost and profit sharing option at the commencement of Phase 3 testing, at which point we would be responsible for a portion of the future development expense.</w:t>
      </w:r>
    </w:p>
    <w:p>
      <w:pPr>
        <w:spacing w:after="0" w:line="194" w:lineRule="exact"/>
        <w:rPr>
          <w:sz w:val="20"/>
          <w:szCs w:val="20"/>
          <w:color w:val="auto"/>
        </w:rPr>
      </w:pPr>
    </w:p>
    <w:p>
      <w:pPr>
        <w:ind w:left="380" w:right="160" w:firstLine="534"/>
        <w:spacing w:after="0" w:line="245" w:lineRule="auto"/>
        <w:rPr>
          <w:sz w:val="20"/>
          <w:szCs w:val="20"/>
          <w:color w:val="auto"/>
        </w:rPr>
      </w:pPr>
      <w:r>
        <w:rPr>
          <w:rFonts w:ascii="Arial" w:cs="Arial" w:eastAsia="Arial" w:hAnsi="Arial"/>
          <w:sz w:val="17"/>
          <w:szCs w:val="17"/>
          <w:color w:val="auto"/>
        </w:rPr>
        <w:t>We are also conducting Phase 1 clinical trials for NGM120 and NGM217, each of which is subject to reimbursement under our Merck collaboration up to the funding caps provided in the agreement. NGM120 is currently in a Phase 1 clinical trial assessing safety, tolerability and pharmacokinetics. In 2019 we are planning to conduct a clinical study with NGM120 in cancer patients to explore proof of concept as an agent to treat CACS and, possibly, cancer. Merck has the option to license NGM120 following completion of a proof-of-concept study in humans.</w:t>
      </w:r>
    </w:p>
    <w:p>
      <w:pPr>
        <w:spacing w:after="0" w:line="194" w:lineRule="exact"/>
        <w:rPr>
          <w:sz w:val="20"/>
          <w:szCs w:val="20"/>
          <w:color w:val="auto"/>
        </w:rPr>
      </w:pPr>
    </w:p>
    <w:p>
      <w:pPr>
        <w:ind w:left="380" w:right="100" w:firstLine="534"/>
        <w:spacing w:after="0" w:line="247" w:lineRule="auto"/>
        <w:rPr>
          <w:sz w:val="20"/>
          <w:szCs w:val="20"/>
          <w:color w:val="auto"/>
        </w:rPr>
      </w:pPr>
      <w:r>
        <w:rPr>
          <w:rFonts w:ascii="Arial" w:cs="Arial" w:eastAsia="Arial" w:hAnsi="Arial"/>
          <w:sz w:val="17"/>
          <w:szCs w:val="17"/>
          <w:color w:val="auto"/>
        </w:rPr>
        <w:t>We are also conducting a Phase 1 clinical trial with NGM217 to assess safety and tolerability and to inform dose-range finding for future studies. Thereafter, we plan to commence a Phase 1b/2a proof-of-concept study in diabetic patients to assess the ability of the agent to increase insulin production by the pancreas. Merck has the option to license NGM217 following completion of a proof-of-concept study in humans.</w:t>
      </w:r>
    </w:p>
    <w:p>
      <w:pPr>
        <w:spacing w:after="0" w:line="190" w:lineRule="exact"/>
        <w:rPr>
          <w:sz w:val="20"/>
          <w:szCs w:val="20"/>
          <w:color w:val="auto"/>
        </w:rPr>
      </w:pPr>
    </w:p>
    <w:p>
      <w:pPr>
        <w:ind w:left="380" w:right="40" w:firstLine="534"/>
        <w:spacing w:after="0" w:line="250" w:lineRule="auto"/>
        <w:rPr>
          <w:sz w:val="20"/>
          <w:szCs w:val="20"/>
          <w:color w:val="auto"/>
        </w:rPr>
      </w:pPr>
      <w:r>
        <w:rPr>
          <w:rFonts w:ascii="Arial" w:cs="Arial" w:eastAsia="Arial" w:hAnsi="Arial"/>
          <w:sz w:val="17"/>
          <w:szCs w:val="17"/>
          <w:color w:val="auto"/>
        </w:rPr>
        <w:t>NGM621 is currently in IND-enabling studies to enable initiation of a Phase 1 clinical trial in the second half of 2019. We expect the Phase 1 clinical trial will assess the safety and tolerability of up to two intravitreal injections of NGM621 in patients with the dry form of age-related macular degeneration. Merck has the option to license NGM621 following completion of a proof-of-concept study in humans.</w:t>
      </w:r>
    </w:p>
    <w:p>
      <w:pPr>
        <w:spacing w:after="0" w:line="188" w:lineRule="exact"/>
        <w:rPr>
          <w:sz w:val="20"/>
          <w:szCs w:val="20"/>
          <w:color w:val="auto"/>
        </w:rPr>
      </w:pPr>
    </w:p>
    <w:p>
      <w:pPr>
        <w:ind w:left="380" w:right="140" w:firstLine="534"/>
        <w:spacing w:after="0" w:line="245" w:lineRule="auto"/>
        <w:rPr>
          <w:sz w:val="20"/>
          <w:szCs w:val="20"/>
          <w:color w:val="auto"/>
        </w:rPr>
      </w:pPr>
      <w:r>
        <w:rPr>
          <w:rFonts w:ascii="Arial" w:cs="Arial" w:eastAsia="Arial" w:hAnsi="Arial"/>
          <w:sz w:val="17"/>
          <w:szCs w:val="17"/>
          <w:color w:val="auto"/>
        </w:rPr>
        <w:t>NGM386 and NGM395 were both licensed to Merck at the inception of our collaboration with Merck, and substantially all of the related research and development expenses were borne directly by Merck under our collaboration agreement; however, on March 1, 2019, Merck notified us of its intent to terminate its license, effective May 31, 2019. Upon termination of the license, we will regain full rights to NGM386 and NGM395. We may incur further research and development expenses following our assessment of the suitability of this program for further development.</w:t>
      </w:r>
    </w:p>
    <w:p>
      <w:pPr>
        <w:spacing w:after="0" w:line="1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040"/>
          </w:cols>
          <w:pgMar w:left="240" w:top="449" w:right="61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420" w:firstLine="534"/>
        <w:spacing w:after="0" w:line="258" w:lineRule="auto"/>
        <w:rPr>
          <w:sz w:val="20"/>
          <w:szCs w:val="20"/>
          <w:color w:val="auto"/>
        </w:rPr>
      </w:pPr>
      <w:r>
        <w:rPr>
          <w:rFonts w:ascii="Arial" w:cs="Arial" w:eastAsia="Arial" w:hAnsi="Arial"/>
          <w:sz w:val="17"/>
          <w:szCs w:val="17"/>
          <w:color w:val="auto"/>
        </w:rPr>
        <w:t>Our research and development expenses related to the development of NGM282, NGM313, NGM120, NGM217 and NGM621 consist primarily of:</w:t>
      </w:r>
    </w:p>
    <w:p>
      <w:pPr>
        <w:spacing w:after="0" w:line="90" w:lineRule="exact"/>
        <w:rPr>
          <w:sz w:val="20"/>
          <w:szCs w:val="20"/>
          <w:color w:val="auto"/>
        </w:rPr>
      </w:pPr>
    </w:p>
    <w:p>
      <w:pPr>
        <w:ind w:left="1100" w:hanging="205"/>
        <w:spacing w:after="0"/>
        <w:tabs>
          <w:tab w:leader="none" w:pos="11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fees paid to our CROs in connection with our clinical trials, and other related clinical trial fees;</w:t>
      </w:r>
    </w:p>
    <w:p>
      <w:pPr>
        <w:spacing w:after="0" w:line="118" w:lineRule="exact"/>
        <w:rPr>
          <w:rFonts w:ascii="Arial" w:cs="Arial" w:eastAsia="Arial" w:hAnsi="Arial"/>
          <w:sz w:val="17"/>
          <w:szCs w:val="17"/>
          <w:color w:val="auto"/>
        </w:rPr>
      </w:pPr>
    </w:p>
    <w:p>
      <w:pPr>
        <w:ind w:left="1100" w:right="620" w:hanging="205"/>
        <w:spacing w:after="0" w:line="258" w:lineRule="auto"/>
        <w:tabs>
          <w:tab w:leader="none" w:pos="11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costs related to acquiring and manufacturing drug substance, drug product and clinical trial materials, including continued testing, such as process validation and stability, of drug substance and drug product;</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costs related to toxicology testing and other research and preclinical related studies;</w:t>
      </w:r>
    </w:p>
    <w:p>
      <w:pPr>
        <w:spacing w:after="0" w:line="118" w:lineRule="exact"/>
        <w:rPr>
          <w:rFonts w:ascii="Arial" w:cs="Arial" w:eastAsia="Arial" w:hAnsi="Arial"/>
          <w:sz w:val="17"/>
          <w:szCs w:val="17"/>
          <w:color w:val="auto"/>
        </w:rPr>
      </w:pPr>
    </w:p>
    <w:p>
      <w:pPr>
        <w:ind w:left="1100" w:right="220" w:hanging="205"/>
        <w:spacing w:after="0" w:line="258" w:lineRule="auto"/>
        <w:tabs>
          <w:tab w:leader="none" w:pos="11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salaries and related overhead expenses, which include stock-based compensation and benefits, for personnel in research and development functions;</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fees paid to consultants for research and development activities;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research and development operating expenses, including facility costs and depreciation expenses; and</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costs related to compliance with regulatory requirements.</w:t>
      </w:r>
    </w:p>
    <w:p>
      <w:pPr>
        <w:spacing w:after="0" w:line="210" w:lineRule="exact"/>
        <w:rPr>
          <w:sz w:val="20"/>
          <w:szCs w:val="20"/>
          <w:color w:val="auto"/>
        </w:rPr>
      </w:pPr>
    </w:p>
    <w:p>
      <w:pPr>
        <w:ind w:left="380" w:right="20" w:firstLine="534"/>
        <w:spacing w:after="0" w:line="245" w:lineRule="auto"/>
        <w:rPr>
          <w:sz w:val="20"/>
          <w:szCs w:val="20"/>
          <w:color w:val="auto"/>
        </w:rPr>
      </w:pPr>
      <w:r>
        <w:rPr>
          <w:rFonts w:ascii="Arial" w:cs="Arial" w:eastAsia="Arial" w:hAnsi="Arial"/>
          <w:sz w:val="17"/>
          <w:szCs w:val="17"/>
          <w:color w:val="auto"/>
        </w:rPr>
        <w:t>The process of supplying materials for, and conducting, preclinical studies and clinical trials necessary to obtain regulatory approval of our product candidates is costly and time consuming. We may never succeed in achieving marketing approval for our product candidates. The success of each product candidate may be affected by numerous factors, including preclinical data, clinical data, competition, manufacturing capability, our sales capabilities, our ability to work effectively with our collaboration partners, regulatory matters, third-party payor matters and commercial viability.</w:t>
      </w:r>
    </w:p>
    <w:p>
      <w:pPr>
        <w:spacing w:after="0" w:line="19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following is a comparison of research and development expenses for the years ended December 31, 2017 and 2018:</w:t>
      </w:r>
    </w:p>
    <w:p>
      <w:pPr>
        <w:spacing w:after="0" w:line="222"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8"/>
              </w:rPr>
              <w:t>Year Ended</w:t>
            </w:r>
          </w:p>
        </w:tc>
      </w:tr>
      <w:tr>
        <w:trPr>
          <w:trHeight w:val="169"/>
        </w:trPr>
        <w:tc>
          <w:tcPr>
            <w:tcW w:w="8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December 31,</w:t>
            </w:r>
          </w:p>
        </w:tc>
      </w:tr>
      <w:tr>
        <w:trPr>
          <w:trHeight w:val="150"/>
        </w:trPr>
        <w:tc>
          <w:tcPr>
            <w:tcW w:w="8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83"/>
              <w:spacing w:after="0" w:line="150"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74"/>
              <w:spacing w:after="0" w:line="150"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50"/>
        </w:trPr>
        <w:tc>
          <w:tcPr>
            <w:tcW w:w="8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gridSpan w:val="3"/>
          </w:tcPr>
          <w:p>
            <w:pPr>
              <w:jc w:val="center"/>
              <w:spacing w:after="0" w:line="150" w:lineRule="exact"/>
              <w:rPr>
                <w:sz w:val="20"/>
                <w:szCs w:val="20"/>
                <w:color w:val="auto"/>
              </w:rPr>
            </w:pPr>
            <w:r>
              <w:rPr>
                <w:rFonts w:ascii="Arial" w:cs="Arial" w:eastAsia="Arial" w:hAnsi="Arial"/>
                <w:sz w:val="14"/>
                <w:szCs w:val="14"/>
                <w:b w:val="1"/>
                <w:bCs w:val="1"/>
                <w:color w:val="auto"/>
                <w:w w:val="99"/>
              </w:rPr>
              <w:t>(in thousands)</w:t>
            </w:r>
          </w:p>
        </w:tc>
        <w:tc>
          <w:tcPr>
            <w:tcW w:w="60" w:type="dxa"/>
            <w:vAlign w:val="bottom"/>
          </w:tcPr>
          <w:p>
            <w:pPr>
              <w:spacing w:after="0"/>
              <w:rPr>
                <w:sz w:val="13"/>
                <w:szCs w:val="13"/>
                <w:color w:val="auto"/>
              </w:rPr>
            </w:pPr>
          </w:p>
        </w:tc>
      </w:tr>
      <w:tr>
        <w:trPr>
          <w:trHeight w:val="196"/>
        </w:trPr>
        <w:tc>
          <w:tcPr>
            <w:tcW w:w="8980" w:type="dxa"/>
            <w:vAlign w:val="bottom"/>
            <w:shd w:val="clear" w:color="auto" w:fill="CCEEFF"/>
          </w:tcPr>
          <w:p>
            <w:pPr>
              <w:spacing w:after="0"/>
              <w:rPr>
                <w:sz w:val="20"/>
                <w:szCs w:val="20"/>
                <w:color w:val="auto"/>
              </w:rPr>
            </w:pPr>
            <w:r>
              <w:rPr>
                <w:rFonts w:ascii="Arial" w:cs="Arial" w:eastAsia="Arial" w:hAnsi="Arial"/>
                <w:sz w:val="17"/>
                <w:szCs w:val="17"/>
                <w:color w:val="auto"/>
              </w:rPr>
              <w:t>External research and development expenses:</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6"/>
        </w:trPr>
        <w:tc>
          <w:tcPr>
            <w:tcW w:w="8980" w:type="dxa"/>
            <w:vAlign w:val="bottom"/>
          </w:tcPr>
          <w:p>
            <w:pPr>
              <w:ind w:left="340"/>
              <w:spacing w:after="0"/>
              <w:rPr>
                <w:sz w:val="20"/>
                <w:szCs w:val="20"/>
                <w:color w:val="auto"/>
              </w:rPr>
            </w:pPr>
            <w:r>
              <w:rPr>
                <w:rFonts w:ascii="Arial" w:cs="Arial" w:eastAsia="Arial" w:hAnsi="Arial"/>
                <w:sz w:val="17"/>
                <w:szCs w:val="17"/>
                <w:color w:val="auto"/>
              </w:rPr>
              <w:t>NGM282 (FGF19 analog)</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$15,126</w:t>
            </w:r>
          </w:p>
        </w:tc>
        <w:tc>
          <w:tcPr>
            <w:tcW w:w="3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$15,359</w:t>
            </w:r>
          </w:p>
        </w:tc>
      </w:tr>
      <w:tr>
        <w:trPr>
          <w:trHeight w:val="196"/>
        </w:trPr>
        <w:tc>
          <w:tcPr>
            <w:tcW w:w="8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NGM313 (FGFR1c/KLB agonist)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3,948</w:t>
            </w:r>
          </w:p>
        </w:tc>
        <w:tc>
          <w:tcPr>
            <w:tcW w:w="3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3,544</w:t>
            </w:r>
          </w:p>
        </w:tc>
      </w:tr>
      <w:tr>
        <w:trPr>
          <w:trHeight w:val="196"/>
        </w:trPr>
        <w:tc>
          <w:tcPr>
            <w:tcW w:w="8980" w:type="dxa"/>
            <w:vAlign w:val="bottom"/>
          </w:tcPr>
          <w:p>
            <w:pPr>
              <w:ind w:left="340"/>
              <w:spacing w:after="0"/>
              <w:rPr>
                <w:sz w:val="20"/>
                <w:szCs w:val="20"/>
                <w:color w:val="auto"/>
              </w:rPr>
            </w:pPr>
            <w:r>
              <w:rPr>
                <w:rFonts w:ascii="Arial" w:cs="Arial" w:eastAsia="Arial" w:hAnsi="Arial"/>
                <w:sz w:val="17"/>
                <w:szCs w:val="17"/>
                <w:color w:val="auto"/>
              </w:rPr>
              <w:t>NGM386 and NGM395 (GDF15 analogs)</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787</w:t>
            </w:r>
          </w:p>
        </w:tc>
        <w:tc>
          <w:tcPr>
            <w:tcW w:w="3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1,286</w:t>
            </w:r>
          </w:p>
        </w:tc>
      </w:tr>
      <w:tr>
        <w:trPr>
          <w:trHeight w:val="196"/>
        </w:trPr>
        <w:tc>
          <w:tcPr>
            <w:tcW w:w="8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NGM120 (GFRAL antagonist)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3,621</w:t>
            </w:r>
          </w:p>
        </w:tc>
        <w:tc>
          <w:tcPr>
            <w:tcW w:w="3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3,442</w:t>
            </w:r>
          </w:p>
        </w:tc>
      </w:tr>
      <w:tr>
        <w:trPr>
          <w:trHeight w:val="196"/>
        </w:trPr>
        <w:tc>
          <w:tcPr>
            <w:tcW w:w="8980" w:type="dxa"/>
            <w:vAlign w:val="bottom"/>
          </w:tcPr>
          <w:p>
            <w:pPr>
              <w:ind w:left="340"/>
              <w:spacing w:after="0"/>
              <w:rPr>
                <w:sz w:val="20"/>
                <w:szCs w:val="20"/>
                <w:color w:val="auto"/>
              </w:rPr>
            </w:pPr>
            <w:r>
              <w:rPr>
                <w:rFonts w:ascii="Arial" w:cs="Arial" w:eastAsia="Arial" w:hAnsi="Arial"/>
                <w:sz w:val="17"/>
                <w:szCs w:val="17"/>
                <w:color w:val="auto"/>
              </w:rPr>
              <w:t>NGM217 (undisclosed)</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3,764</w:t>
            </w:r>
          </w:p>
        </w:tc>
        <w:tc>
          <w:tcPr>
            <w:tcW w:w="3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2,808</w:t>
            </w:r>
          </w:p>
        </w:tc>
      </w:tr>
      <w:tr>
        <w:trPr>
          <w:trHeight w:val="196"/>
        </w:trPr>
        <w:tc>
          <w:tcPr>
            <w:tcW w:w="8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NGM621 (undisclosed)</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3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6,791</w:t>
            </w:r>
          </w:p>
        </w:tc>
      </w:tr>
      <w:tr>
        <w:trPr>
          <w:trHeight w:val="20"/>
        </w:trPr>
        <w:tc>
          <w:tcPr>
            <w:tcW w:w="8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8980" w:type="dxa"/>
            <w:vAlign w:val="bottom"/>
          </w:tcPr>
          <w:p>
            <w:pPr>
              <w:spacing w:after="0"/>
              <w:rPr>
                <w:sz w:val="20"/>
                <w:szCs w:val="20"/>
                <w:color w:val="auto"/>
              </w:rPr>
            </w:pPr>
            <w:r>
              <w:rPr>
                <w:rFonts w:ascii="Arial" w:cs="Arial" w:eastAsia="Arial" w:hAnsi="Arial"/>
                <w:sz w:val="17"/>
                <w:szCs w:val="17"/>
                <w:color w:val="auto"/>
              </w:rPr>
              <w:t>Total external research and development expenses</w:t>
            </w:r>
          </w:p>
        </w:tc>
        <w:tc>
          <w:tcPr>
            <w:tcW w:w="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27,432</w:t>
            </w:r>
          </w:p>
        </w:tc>
        <w:tc>
          <w:tcPr>
            <w:tcW w:w="3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33,230</w:t>
            </w:r>
          </w:p>
        </w:tc>
      </w:tr>
      <w:tr>
        <w:trPr>
          <w:trHeight w:val="196"/>
        </w:trPr>
        <w:tc>
          <w:tcPr>
            <w:tcW w:w="8980" w:type="dxa"/>
            <w:vAlign w:val="bottom"/>
            <w:shd w:val="clear" w:color="auto" w:fill="CCEEFF"/>
          </w:tcPr>
          <w:p>
            <w:pPr>
              <w:spacing w:after="0"/>
              <w:rPr>
                <w:sz w:val="20"/>
                <w:szCs w:val="20"/>
                <w:color w:val="auto"/>
              </w:rPr>
            </w:pPr>
            <w:r>
              <w:rPr>
                <w:rFonts w:ascii="Arial" w:cs="Arial" w:eastAsia="Arial" w:hAnsi="Arial"/>
                <w:sz w:val="17"/>
                <w:szCs w:val="17"/>
                <w:color w:val="auto"/>
              </w:rPr>
              <w:t>Internal and unallocated research and development expenses(1)</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52,304</w:t>
            </w:r>
          </w:p>
        </w:tc>
        <w:tc>
          <w:tcPr>
            <w:tcW w:w="3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62,484</w:t>
            </w:r>
          </w:p>
        </w:tc>
      </w:tr>
      <w:tr>
        <w:trPr>
          <w:trHeight w:val="20"/>
        </w:trPr>
        <w:tc>
          <w:tcPr>
            <w:tcW w:w="8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8980" w:type="dxa"/>
            <w:vAlign w:val="bottom"/>
          </w:tcPr>
          <w:p>
            <w:pPr>
              <w:spacing w:after="0"/>
              <w:rPr>
                <w:sz w:val="20"/>
                <w:szCs w:val="20"/>
                <w:color w:val="auto"/>
              </w:rPr>
            </w:pPr>
            <w:r>
              <w:rPr>
                <w:rFonts w:ascii="Arial" w:cs="Arial" w:eastAsia="Arial" w:hAnsi="Arial"/>
                <w:sz w:val="17"/>
                <w:szCs w:val="17"/>
                <w:color w:val="auto"/>
              </w:rPr>
              <w:t>Total research and development expenses</w:t>
            </w:r>
          </w:p>
        </w:tc>
        <w:tc>
          <w:tcPr>
            <w:tcW w:w="6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79,736</w:t>
            </w:r>
          </w:p>
        </w:tc>
        <w:tc>
          <w:tcPr>
            <w:tcW w:w="3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95,714</w:t>
            </w:r>
          </w:p>
        </w:tc>
      </w:tr>
      <w:tr>
        <w:trPr>
          <w:trHeight w:val="20"/>
        </w:trPr>
        <w:tc>
          <w:tcPr>
            <w:tcW w:w="8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91440</wp:posOffset>
            </wp:positionV>
            <wp:extent cx="6819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1990" cy="8255"/>
                    </a:xfrm>
                    <a:prstGeom prst="rect">
                      <a:avLst/>
                    </a:prstGeom>
                    <a:noFill/>
                  </pic:spPr>
                </pic:pic>
              </a:graphicData>
            </a:graphic>
          </wp:anchor>
        </w:drawing>
      </w:r>
    </w:p>
    <w:p>
      <w:pPr>
        <w:spacing w:after="0" w:line="176" w:lineRule="exact"/>
        <w:rPr>
          <w:sz w:val="20"/>
          <w:szCs w:val="20"/>
          <w:color w:val="auto"/>
        </w:rPr>
      </w:pPr>
    </w:p>
    <w:p>
      <w:pPr>
        <w:ind w:left="900" w:right="300" w:hanging="529"/>
        <w:spacing w:after="0" w:line="258" w:lineRule="auto"/>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Internal and unallocated research and development expenses consist mainly of employee compensation, research supplies and consulting fees, which we deploy across multiple research and development programs.</w:t>
      </w:r>
    </w:p>
    <w:p>
      <w:pPr>
        <w:spacing w:after="0" w:line="182" w:lineRule="exact"/>
        <w:rPr>
          <w:sz w:val="20"/>
          <w:szCs w:val="20"/>
          <w:color w:val="auto"/>
        </w:rPr>
      </w:pPr>
    </w:p>
    <w:p>
      <w:pPr>
        <w:jc w:val="both"/>
        <w:ind w:left="380" w:right="120" w:firstLine="534"/>
        <w:spacing w:after="0" w:line="250" w:lineRule="auto"/>
        <w:rPr>
          <w:sz w:val="20"/>
          <w:szCs w:val="20"/>
          <w:color w:val="auto"/>
        </w:rPr>
      </w:pPr>
      <w:r>
        <w:rPr>
          <w:rFonts w:ascii="Arial" w:cs="Arial" w:eastAsia="Arial" w:hAnsi="Arial"/>
          <w:sz w:val="17"/>
          <w:szCs w:val="17"/>
          <w:color w:val="auto"/>
        </w:rPr>
        <w:t>The successful development of our product candidates is highly uncertain. At this time, we cannot reasonably estimate the nature, timing or costs of the efforts that will be necessary to complete the remainder of the development of our product candidates or the period, if any, in which material net</w:t>
      </w:r>
    </w:p>
    <w:p>
      <w:pPr>
        <w:spacing w:after="0" w:line="12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060"/>
          </w:cols>
          <w:pgMar w:left="240" w:top="449" w:right="59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760"/>
        <w:spacing w:after="0" w:line="258" w:lineRule="auto"/>
        <w:rPr>
          <w:sz w:val="20"/>
          <w:szCs w:val="20"/>
          <w:color w:val="auto"/>
        </w:rPr>
      </w:pPr>
      <w:r>
        <w:rPr>
          <w:rFonts w:ascii="Arial" w:cs="Arial" w:eastAsia="Arial" w:hAnsi="Arial"/>
          <w:sz w:val="17"/>
          <w:szCs w:val="17"/>
          <w:color w:val="auto"/>
        </w:rPr>
        <w:t>cash inflows from these product candidates may commence. This is due to the numerous risks and uncertainties associated with developing drugs, including the uncertainty of:</w:t>
      </w:r>
    </w:p>
    <w:p>
      <w:pPr>
        <w:spacing w:after="0" w:line="90" w:lineRule="exact"/>
        <w:rPr>
          <w:sz w:val="20"/>
          <w:szCs w:val="20"/>
          <w:color w:val="auto"/>
        </w:rPr>
      </w:pPr>
    </w:p>
    <w:p>
      <w:pPr>
        <w:ind w:left="1100" w:hanging="205"/>
        <w:spacing w:after="0"/>
        <w:tabs>
          <w:tab w:leader="none" w:pos="11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ability to hire and retain key research and development personnel;</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whether Merck will elect to license or terminate its license to any of our programs and the timing of such election or termination;</w:t>
      </w:r>
    </w:p>
    <w:p>
      <w:pPr>
        <w:spacing w:after="0" w:line="118" w:lineRule="exact"/>
        <w:rPr>
          <w:rFonts w:ascii="Arial" w:cs="Arial" w:eastAsia="Arial" w:hAnsi="Arial"/>
          <w:sz w:val="17"/>
          <w:szCs w:val="17"/>
          <w:color w:val="auto"/>
        </w:rPr>
      </w:pPr>
    </w:p>
    <w:p>
      <w:pPr>
        <w:ind w:left="1100" w:right="160" w:hanging="205"/>
        <w:spacing w:after="0" w:line="258" w:lineRule="auto"/>
        <w:tabs>
          <w:tab w:leader="none" w:pos="11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scope, rate of progress, results and expense of our ongoing, as well as any additional, clinical trials and other research and development activities; and</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timing and receipt of any regulatory approvals.</w:t>
      </w:r>
    </w:p>
    <w:p>
      <w:pPr>
        <w:spacing w:after="0" w:line="210" w:lineRule="exact"/>
        <w:rPr>
          <w:sz w:val="20"/>
          <w:szCs w:val="20"/>
          <w:color w:val="auto"/>
        </w:rPr>
      </w:pPr>
    </w:p>
    <w:p>
      <w:pPr>
        <w:ind w:left="380" w:firstLine="534"/>
        <w:spacing w:after="0" w:line="245" w:lineRule="auto"/>
        <w:rPr>
          <w:sz w:val="20"/>
          <w:szCs w:val="20"/>
          <w:color w:val="auto"/>
        </w:rPr>
      </w:pPr>
      <w:r>
        <w:rPr>
          <w:rFonts w:ascii="Arial" w:cs="Arial" w:eastAsia="Arial" w:hAnsi="Arial"/>
          <w:sz w:val="17"/>
          <w:szCs w:val="17"/>
          <w:color w:val="auto"/>
        </w:rPr>
        <w:t>A change in the outcome of any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26" w:lineRule="exact"/>
        <w:rPr>
          <w:sz w:val="20"/>
          <w:szCs w:val="20"/>
          <w:color w:val="auto"/>
        </w:rPr>
      </w:pPr>
    </w:p>
    <w:p>
      <w:pPr>
        <w:jc w:val="both"/>
        <w:ind w:left="380" w:right="320" w:firstLine="534"/>
        <w:spacing w:after="0" w:line="250"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Other significant costs include legal fees relating to patent and corporate matters, facility costs not otherwise included in research and development expenses and fees for accounting and other consulting services.</w:t>
      </w:r>
    </w:p>
    <w:p>
      <w:pPr>
        <w:spacing w:after="0" w:line="188"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We anticipate that our general and administrative expenses will increase in the future to support our continued research and development activities and potential commercialization of our product candidates. These increases will likely include increased costs related to the hiring of additional personnel and fees to outside consultants, lawyers and accountants, among other expenses. Additionally, we anticipate increased costs associated with being a public company, including expenses related to services associated with maintaining compliance with Nasdaq listing rules and related SEC requirements and insurance and investor relations costs. In addition, we may incur expenses associated with building a commercial organization in connection with, and prior to, potential future regulatory approval of our product candidates.</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040"/>
          </w:cols>
          <w:pgMar w:left="240" w:top="449" w:right="61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Results of Operations</w:t>
      </w:r>
    </w:p>
    <w:p>
      <w:pPr>
        <w:spacing w:after="0" w:line="31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Comparison of the Years Ended December 31, 2017 and 2018</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following table summarizes our results of operations for the years ended December 31, 2017 and 2018:</w:t>
      </w:r>
    </w:p>
    <w:p>
      <w:pPr>
        <w:spacing w:after="0" w:line="222"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2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8"/>
              </w:rPr>
              <w:t>Year Ended</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2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8"/>
              </w:rPr>
              <w:t>December 31,</w:t>
            </w:r>
          </w:p>
        </w:tc>
        <w:tc>
          <w:tcPr>
            <w:tcW w:w="12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9"/>
              </w:rPr>
              <w:t xml:space="preserve">Change </w:t>
            </w: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w:t>
            </w: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8"/>
              </w:rPr>
              <w:t>Change (%)</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00" w:type="dxa"/>
            <w:vAlign w:val="bottom"/>
            <w:tcBorders>
              <w:top w:val="single" w:sz="8" w:color="auto"/>
            </w:tcBorders>
          </w:tcPr>
          <w:p>
            <w:pPr>
              <w:jc w:val="right"/>
              <w:ind w:right="119"/>
              <w:spacing w:after="0" w:line="150"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54"/>
              <w:spacing w:after="0" w:line="150"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940" w:type="dxa"/>
            <w:vAlign w:val="bottom"/>
            <w:tcBorders>
              <w:top w:val="single" w:sz="8" w:color="auto"/>
            </w:tcBorders>
            <w:gridSpan w:val="5"/>
          </w:tcPr>
          <w:p>
            <w:pPr>
              <w:jc w:val="center"/>
              <w:spacing w:after="0" w:line="150" w:lineRule="exact"/>
              <w:rPr>
                <w:sz w:val="20"/>
                <w:szCs w:val="20"/>
                <w:color w:val="auto"/>
              </w:rPr>
            </w:pPr>
            <w:r>
              <w:rPr>
                <w:rFonts w:ascii="Arial" w:cs="Arial" w:eastAsia="Arial" w:hAnsi="Arial"/>
                <w:sz w:val="14"/>
                <w:szCs w:val="14"/>
                <w:b w:val="1"/>
                <w:bCs w:val="1"/>
                <w:color w:val="auto"/>
                <w:w w:val="99"/>
              </w:rPr>
              <w:t>(in thousands)</w:t>
            </w:r>
          </w:p>
        </w:tc>
        <w:tc>
          <w:tcPr>
            <w:tcW w:w="4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Related party revenue</w:t>
            </w:r>
          </w:p>
        </w:tc>
        <w:tc>
          <w:tcPr>
            <w:tcW w:w="26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$ 77,141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108,665</w:t>
            </w:r>
          </w:p>
        </w:tc>
        <w:tc>
          <w:tcPr>
            <w:tcW w:w="4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$ 31,524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03"/>
        </w:trPr>
        <w:tc>
          <w:tcPr>
            <w:tcW w:w="432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16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Research and development</w:t>
            </w:r>
          </w:p>
        </w:tc>
        <w:tc>
          <w:tcPr>
            <w:tcW w:w="26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79,736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95,714</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15,978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Pr>
          <w:p>
            <w:pPr>
              <w:ind w:left="320"/>
              <w:spacing w:after="0"/>
              <w:rPr>
                <w:sz w:val="20"/>
                <w:szCs w:val="20"/>
                <w:color w:val="auto"/>
              </w:rPr>
            </w:pPr>
            <w:r>
              <w:rPr>
                <w:rFonts w:ascii="Arial" w:cs="Arial" w:eastAsia="Arial" w:hAnsi="Arial"/>
                <w:sz w:val="17"/>
                <w:szCs w:val="17"/>
                <w:color w:val="auto"/>
              </w:rPr>
              <w:t>General and administrative</w:t>
            </w:r>
          </w:p>
        </w:tc>
        <w:tc>
          <w:tcPr>
            <w:tcW w:w="168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14,830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7"/>
                <w:szCs w:val="17"/>
                <w:color w:val="auto"/>
              </w:rPr>
              <w:t>17,265</w:t>
            </w:r>
          </w:p>
        </w:tc>
        <w:tc>
          <w:tcPr>
            <w:tcW w:w="1220" w:type="dxa"/>
            <w:vAlign w:val="bottom"/>
            <w:gridSpan w:val="2"/>
          </w:tcPr>
          <w:p>
            <w:pPr>
              <w:jc w:val="right"/>
              <w:ind w:right="480"/>
              <w:spacing w:after="0"/>
              <w:rPr>
                <w:sz w:val="20"/>
                <w:szCs w:val="20"/>
                <w:color w:val="auto"/>
              </w:rPr>
            </w:pPr>
            <w:r>
              <w:rPr>
                <w:rFonts w:ascii="Arial" w:cs="Arial" w:eastAsia="Arial" w:hAnsi="Arial"/>
                <w:sz w:val="17"/>
                <w:szCs w:val="17"/>
                <w:color w:val="auto"/>
              </w:rPr>
              <w:t>2,435</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Total operating expenses</w:t>
            </w:r>
          </w:p>
        </w:tc>
        <w:tc>
          <w:tcPr>
            <w:tcW w:w="16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94,566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112,979</w:t>
            </w:r>
          </w:p>
        </w:tc>
        <w:tc>
          <w:tcPr>
            <w:tcW w:w="4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18,413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
        </w:trPr>
        <w:tc>
          <w:tcPr>
            <w:tcW w:w="43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gridSpan w:val="2"/>
          </w:tcPr>
          <w:p>
            <w:pPr>
              <w:spacing w:after="0"/>
              <w:rPr>
                <w:sz w:val="20"/>
                <w:szCs w:val="20"/>
                <w:color w:val="auto"/>
              </w:rPr>
            </w:pPr>
            <w:r>
              <w:rPr>
                <w:rFonts w:ascii="Arial" w:cs="Arial" w:eastAsia="Arial" w:hAnsi="Arial"/>
                <w:sz w:val="17"/>
                <w:szCs w:val="17"/>
                <w:color w:val="auto"/>
              </w:rPr>
              <w:t>Loss from operations</w:t>
            </w:r>
          </w:p>
        </w:tc>
        <w:tc>
          <w:tcPr>
            <w:tcW w:w="16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(17,425)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7"/>
                <w:szCs w:val="17"/>
                <w:color w:val="auto"/>
              </w:rPr>
              <w:t>(4,314)</w:t>
            </w:r>
          </w:p>
        </w:tc>
        <w:tc>
          <w:tcPr>
            <w:tcW w:w="1220" w:type="dxa"/>
            <w:vAlign w:val="bottom"/>
            <w:gridSpan w:val="2"/>
          </w:tcPr>
          <w:p>
            <w:pPr>
              <w:jc w:val="right"/>
              <w:ind w:right="420"/>
              <w:spacing w:after="0"/>
              <w:rPr>
                <w:sz w:val="20"/>
                <w:szCs w:val="20"/>
                <w:color w:val="auto"/>
              </w:rPr>
            </w:pPr>
            <w:r>
              <w:rPr>
                <w:rFonts w:ascii="Arial" w:cs="Arial" w:eastAsia="Arial" w:hAnsi="Arial"/>
                <w:sz w:val="17"/>
                <w:szCs w:val="17"/>
                <w:color w:val="auto"/>
              </w:rPr>
              <w:t>(13,111)</w:t>
            </w: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26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2,358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3,622</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1,264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6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(152)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199</w:t>
            </w:r>
          </w:p>
        </w:tc>
        <w:tc>
          <w:tcPr>
            <w:tcW w:w="4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351</w:t>
            </w:r>
          </w:p>
        </w:tc>
        <w:tc>
          <w:tcPr>
            <w:tcW w:w="4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231%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Net loss before taxes</w:t>
            </w:r>
          </w:p>
        </w:tc>
        <w:tc>
          <w:tcPr>
            <w:tcW w:w="16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(15,219)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(493)</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(14,726)</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Benefit from income taxes</w:t>
            </w:r>
          </w:p>
        </w:tc>
        <w:tc>
          <w:tcPr>
            <w:tcW w:w="16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(1,060)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420"/>
              <w:spacing w:after="0"/>
              <w:rPr>
                <w:sz w:val="20"/>
                <w:szCs w:val="20"/>
                <w:color w:val="auto"/>
              </w:rPr>
            </w:pPr>
            <w:r>
              <w:rPr>
                <w:rFonts w:ascii="Arial" w:cs="Arial" w:eastAsia="Arial" w:hAnsi="Arial"/>
                <w:sz w:val="17"/>
                <w:szCs w:val="17"/>
                <w:color w:val="auto"/>
              </w:rPr>
              <w:t>(1,060)</w:t>
            </w: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6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(14,159)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(493)</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 (13,666)</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right="160" w:firstLine="534"/>
        <w:spacing w:after="0" w:line="251" w:lineRule="auto"/>
        <w:rPr>
          <w:sz w:val="20"/>
          <w:szCs w:val="20"/>
          <w:color w:val="auto"/>
        </w:rPr>
      </w:pPr>
      <w:r>
        <w:rPr>
          <w:rFonts w:ascii="Arial" w:cs="Arial" w:eastAsia="Arial" w:hAnsi="Arial"/>
          <w:sz w:val="17"/>
          <w:szCs w:val="17"/>
          <w:b w:val="1"/>
          <w:bCs w:val="1"/>
          <w:i w:val="1"/>
          <w:iCs w:val="1"/>
          <w:color w:val="auto"/>
        </w:rPr>
        <w:t xml:space="preserve">Total Related Party Revenue. </w:t>
      </w:r>
      <w:r>
        <w:rPr>
          <w:rFonts w:ascii="Arial" w:cs="Arial" w:eastAsia="Arial" w:hAnsi="Arial"/>
          <w:sz w:val="17"/>
          <w:szCs w:val="17"/>
          <w:color w:val="auto"/>
        </w:rPr>
        <w:t>Total related party revenue was $ 77.1 million and $108.7 million for the years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2017 and 2018, respectively, of which $18.8 million in both periods was related to the partial recognition of the upfront payment from Merck in 2015. The increase of $31.5 million in total revenue was due to an additional $20.0 million of revenue in 2018 recognized from the $20.0 million received from Merck to license NGM313 and related compounds and an increase in both reimbursable personnel related expenses and higher overall external research and development expenses that we incurred in 2018.</w:t>
      </w:r>
    </w:p>
    <w:p>
      <w:pPr>
        <w:spacing w:after="0" w:line="169" w:lineRule="exact"/>
        <w:rPr>
          <w:sz w:val="20"/>
          <w:szCs w:val="20"/>
          <w:color w:val="auto"/>
        </w:rPr>
      </w:pPr>
    </w:p>
    <w:p>
      <w:pPr>
        <w:ind w:left="380" w:right="280" w:firstLine="534"/>
        <w:spacing w:after="0" w:line="249" w:lineRule="auto"/>
        <w:rPr>
          <w:sz w:val="20"/>
          <w:szCs w:val="20"/>
          <w:color w:val="auto"/>
        </w:rPr>
      </w:pPr>
      <w:r>
        <w:rPr>
          <w:rFonts w:ascii="Arial" w:cs="Arial" w:eastAsia="Arial" w:hAnsi="Arial"/>
          <w:sz w:val="17"/>
          <w:szCs w:val="17"/>
          <w:b w:val="1"/>
          <w:bCs w:val="1"/>
          <w:i w:val="1"/>
          <w:iCs w:val="1"/>
          <w:color w:val="auto"/>
        </w:rPr>
        <w:t>Research and Development Expenses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Research and development expenses were $79.7 million and $95.7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years ended December 31, 2017 and 2018, respectively. The increase in research and development expenses of $16.0 million was primarily attributable to an increase of $10.2 million in unallocated research and development expenses, primarily related to hiring- and personnel-related expenses and early research testing, and $6.6 million in the NGM621 program external expenses primarily related to manufacturing costs of clinical materials. These increases were offset by a decrease of $1.0 million in the NGM217 program external expenses for manufacturing costs of clinical materials that occurred in 2017.</w:t>
      </w:r>
    </w:p>
    <w:p>
      <w:pPr>
        <w:spacing w:after="0" w:line="171" w:lineRule="exact"/>
        <w:rPr>
          <w:sz w:val="20"/>
          <w:szCs w:val="20"/>
          <w:color w:val="auto"/>
        </w:rPr>
      </w:pPr>
    </w:p>
    <w:p>
      <w:pPr>
        <w:ind w:left="380" w:right="60" w:firstLine="534"/>
        <w:spacing w:after="0" w:line="249" w:lineRule="auto"/>
        <w:rPr>
          <w:sz w:val="20"/>
          <w:szCs w:val="20"/>
          <w:color w:val="auto"/>
        </w:rPr>
      </w:pPr>
      <w:r>
        <w:rPr>
          <w:rFonts w:ascii="Arial" w:cs="Arial" w:eastAsia="Arial" w:hAnsi="Arial"/>
          <w:sz w:val="17"/>
          <w:szCs w:val="17"/>
          <w:b w:val="1"/>
          <w:bCs w:val="1"/>
          <w:i w:val="1"/>
          <w:iCs w:val="1"/>
          <w:color w:val="auto"/>
        </w:rPr>
        <w:t xml:space="preserve">General and Administrative Expenses. </w:t>
      </w:r>
      <w:r>
        <w:rPr>
          <w:rFonts w:ascii="Arial" w:cs="Arial" w:eastAsia="Arial" w:hAnsi="Arial"/>
          <w:sz w:val="17"/>
          <w:szCs w:val="17"/>
          <w:color w:val="auto"/>
        </w:rPr>
        <w:t>General and administrative expenses were $14.8 million and $17.3 million for the years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December 31, 2017 and 2018, respectively. The increase in general and administrative expenses of $2.4 million was primarily due to an increase of $2.8 million in personnel-related expenses, $0.7 million for increased rent expense and increases in professional fees and contract services expenses, including $ 0.4 million for legal expenses and $0.4 million in audit and tax expenses. These increases were offset by an increase of $1.9 million in allocated overhead expenses from general and administrative expenses to research and development expenses.</w:t>
      </w:r>
    </w:p>
    <w:p>
      <w:pPr>
        <w:spacing w:after="0" w:line="171" w:lineRule="exact"/>
        <w:rPr>
          <w:sz w:val="20"/>
          <w:szCs w:val="20"/>
          <w:color w:val="auto"/>
        </w:rPr>
      </w:pPr>
    </w:p>
    <w:p>
      <w:pPr>
        <w:ind w:left="380" w:right="900" w:firstLine="534"/>
        <w:spacing w:after="0" w:line="283" w:lineRule="auto"/>
        <w:rPr>
          <w:sz w:val="20"/>
          <w:szCs w:val="20"/>
          <w:color w:val="auto"/>
        </w:rPr>
      </w:pPr>
      <w:r>
        <w:rPr>
          <w:rFonts w:ascii="Arial" w:cs="Arial" w:eastAsia="Arial" w:hAnsi="Arial"/>
          <w:sz w:val="17"/>
          <w:szCs w:val="17"/>
          <w:b w:val="1"/>
          <w:bCs w:val="1"/>
          <w:i w:val="1"/>
          <w:iCs w:val="1"/>
          <w:color w:val="auto"/>
        </w:rPr>
        <w:t>Interest Income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income was $2.4 million and $3.6 million for the years ended December 31, 2017 and 2018,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respectively. The increase in interest income of $1.2 million was</w:t>
      </w:r>
    </w:p>
    <w:p>
      <w:pPr>
        <w:spacing w:after="0" w:line="9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060"/>
          </w:cols>
          <w:pgMar w:left="240" w:top="449" w:right="59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primarily attributable to higher yields on our available-for-sale marketable securities in 2018 compared to 2017.</w:t>
      </w:r>
    </w:p>
    <w:p>
      <w:pPr>
        <w:spacing w:after="0" w:line="190" w:lineRule="exact"/>
        <w:rPr>
          <w:sz w:val="20"/>
          <w:szCs w:val="20"/>
          <w:color w:val="auto"/>
        </w:rPr>
      </w:pPr>
    </w:p>
    <w:p>
      <w:pPr>
        <w:ind w:left="380" w:right="80" w:firstLine="534"/>
        <w:spacing w:after="0" w:line="262" w:lineRule="auto"/>
        <w:rPr>
          <w:sz w:val="20"/>
          <w:szCs w:val="20"/>
          <w:color w:val="auto"/>
        </w:rPr>
      </w:pPr>
      <w:r>
        <w:rPr>
          <w:rFonts w:ascii="Arial" w:cs="Arial" w:eastAsia="Arial" w:hAnsi="Arial"/>
          <w:sz w:val="17"/>
          <w:szCs w:val="17"/>
          <w:b w:val="1"/>
          <w:bCs w:val="1"/>
          <w:i w:val="1"/>
          <w:iCs w:val="1"/>
          <w:color w:val="auto"/>
        </w:rPr>
        <w:t xml:space="preserve">Benefit from Income Taxes. </w:t>
      </w:r>
      <w:r>
        <w:rPr>
          <w:rFonts w:ascii="Arial" w:cs="Arial" w:eastAsia="Arial" w:hAnsi="Arial"/>
          <w:sz w:val="17"/>
          <w:szCs w:val="17"/>
          <w:color w:val="auto"/>
        </w:rPr>
        <w:t>Benefit from income taxes was $1.1 million and $0.0 million for the years ended December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2017 and 2018, respectively. The benefit from income taxes in 2017 was due to a federal alternative minimum tax credit carryforward that became refundable as a result of the Tax Cuts and Jobs Act of 2017.</w:t>
      </w:r>
    </w:p>
    <w:p>
      <w:pPr>
        <w:spacing w:after="0" w:line="26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Liquidity and Capital Resources</w:t>
      </w:r>
    </w:p>
    <w:p>
      <w:pPr>
        <w:spacing w:after="0" w:line="23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We have incurred losses and negative cash flows from operating activities since our inception. As of December 31, 2018, our</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operations have been financed primarily through the private placement of convertible preferred stock totaling $294.9 million, upfront</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license fees paid by collaboration partners of $123.0 million and research and development funding provided by collaboration partners of</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$239.2 million. As of December 31, 2018, we had cash and cash equivalents of $56.9 million, short-term marketable securities of</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$149.7 million, working capital (excluding deferred revenue) of $192.1 million and an accumulated deficit of $147.2 million, compared to</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cash and cash equivalents of $25.6 million, short-term marketable securities of $148.1 million, working capital (excluding deferred</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revenue) of $160.0 million and an accumulated deficit of $146.7 million at December 31, 2017. The change from 2017 to 2018 is primarily</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attributed to the receipt of $20.0 million from Merck in December 2018 for the license of NGM313.</w:t>
      </w:r>
    </w:p>
    <w:p>
      <w:pPr>
        <w:spacing w:after="0" w:line="210" w:lineRule="exact"/>
        <w:rPr>
          <w:sz w:val="20"/>
          <w:szCs w:val="20"/>
          <w:color w:val="auto"/>
        </w:rPr>
      </w:pPr>
    </w:p>
    <w:p>
      <w:pPr>
        <w:ind w:left="380" w:firstLine="534"/>
        <w:spacing w:after="0" w:line="242" w:lineRule="auto"/>
        <w:rPr>
          <w:sz w:val="20"/>
          <w:szCs w:val="20"/>
          <w:color w:val="auto"/>
        </w:rPr>
      </w:pPr>
      <w:r>
        <w:rPr>
          <w:rFonts w:ascii="Arial" w:cs="Arial" w:eastAsia="Arial" w:hAnsi="Arial"/>
          <w:sz w:val="17"/>
          <w:szCs w:val="17"/>
          <w:color w:val="auto"/>
        </w:rPr>
        <w:t>We anticipate that we will continue to incur net losses for the foreseeable future as we continue the development of our product candidates, expand our corporate infrastructure, including the costs associated with becoming a public company, and conduct pre-commercialization activities. We will require substantial additional capital to achieve our development and commercialization goals for NGM282, for any Merck licensed programs that we opt to co-develop and for any programs that Merck does not opt to develop and that we choose to develop and for any programs for which Merck elects to terminate its license, including NGM386 and NGM395, for which Merck has given us notice of its intent to terminate the license and that we are considering whether to advance pending study results. If our Merck collaboration were to be terminated, we could require significant additional capital in order to proceed with development and commercialization of our product candidates, or we may require additional partnering in order to help fund such development and commercialization. We plan to continue to fund our operations and capital funding needs through public or private equity or debt financings, government or other third-party funding, collaborations, strategic alliances and licensing arrangements or a combination of these. The sale of convertible debt or additional equity could result in additional dilution to our stockholders. Incurring indebtedness would result in debt service obligations and could result in operating and financing covenants that would restrict our operations. We cannot assure you that financing will be available in the amounts we need or on terms acceptable to us, if at all. If we are not able to secure adequate additional funding we may be forced to make reductions in spending, extend payment terms with suppliers, liquidate assets where possible and/or suspend or curtail planned programs. Any of these actions could materially harm our business, results of operations and future prospects.</w:t>
      </w:r>
    </w:p>
    <w:p>
      <w:pPr>
        <w:spacing w:after="0" w:line="396" w:lineRule="exact"/>
        <w:rPr>
          <w:sz w:val="20"/>
          <w:szCs w:val="20"/>
          <w:color w:val="auto"/>
        </w:rPr>
      </w:pPr>
    </w:p>
    <w:p>
      <w:pPr>
        <w:ind w:left="380" w:right="40" w:firstLine="534"/>
        <w:spacing w:after="0" w:line="247" w:lineRule="auto"/>
        <w:rPr>
          <w:sz w:val="20"/>
          <w:szCs w:val="20"/>
          <w:color w:val="auto"/>
        </w:rPr>
      </w:pPr>
      <w:r>
        <w:rPr>
          <w:rFonts w:ascii="Arial" w:cs="Arial" w:eastAsia="Arial" w:hAnsi="Arial"/>
          <w:sz w:val="17"/>
          <w:szCs w:val="17"/>
          <w:color w:val="auto"/>
        </w:rPr>
        <w:t>We believe that our existing cash and cash equivalents, along with amounts available to us under our collaboration agreement with Merck will be sufficient to meet our anticipated cash requirements for at least the next 12 months. However, our forecast of the period of time through which our financial resources will be adequate to support our operations is a forward-looking statement that involves risks and uncertainties, and actual results could vary materially.</w:t>
      </w:r>
    </w:p>
    <w:p>
      <w:pPr>
        <w:spacing w:after="0" w:line="12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040"/>
          </w:cols>
          <w:pgMar w:left="240" w:top="449" w:right="61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Cash Flows</w:t>
      </w:r>
    </w:p>
    <w:p>
      <w:pPr>
        <w:spacing w:after="0" w:line="23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following table shows a summary of our cash flows for the years ended December 31, 2017 and 2018 (in thousands):</w:t>
      </w:r>
    </w:p>
    <w:p>
      <w:pPr>
        <w:spacing w:after="0" w:line="222"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9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9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440" w:type="dxa"/>
            <w:vAlign w:val="bottom"/>
            <w:tcBorders>
              <w:bottom w:val="single" w:sz="8" w:color="CCEEFF"/>
            </w:tcBorders>
          </w:tcPr>
          <w:p>
            <w:pPr>
              <w:spacing w:after="0"/>
              <w:rPr>
                <w:sz w:val="13"/>
                <w:szCs w:val="13"/>
                <w:color w:val="auto"/>
              </w:rPr>
            </w:pPr>
          </w:p>
        </w:tc>
        <w:tc>
          <w:tcPr>
            <w:tcW w:w="232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26"/>
              <w:spacing w:after="0" w:line="150"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76"/>
              <w:spacing w:after="0" w:line="150"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Net cash provided by (used in):</w:t>
            </w:r>
          </w:p>
        </w:tc>
        <w:tc>
          <w:tcPr>
            <w:tcW w:w="2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tcPr>
          <w:p>
            <w:pPr>
              <w:ind w:left="320"/>
              <w:spacing w:after="0"/>
              <w:rPr>
                <w:sz w:val="20"/>
                <w:szCs w:val="20"/>
                <w:color w:val="auto"/>
              </w:rPr>
            </w:pPr>
            <w:r>
              <w:rPr>
                <w:rFonts w:ascii="Arial" w:cs="Arial" w:eastAsia="Arial" w:hAnsi="Arial"/>
                <w:sz w:val="17"/>
                <w:szCs w:val="17"/>
                <w:color w:val="auto"/>
              </w:rPr>
              <w:t>Operating activities</w:t>
            </w:r>
          </w:p>
        </w:tc>
        <w:tc>
          <w:tcPr>
            <w:tcW w:w="3460" w:type="dxa"/>
            <w:vAlign w:val="bottom"/>
            <w:gridSpan w:val="3"/>
          </w:tcPr>
          <w:p>
            <w:pPr>
              <w:jc w:val="right"/>
              <w:ind w:right="380"/>
              <w:spacing w:after="0"/>
              <w:rPr>
                <w:sz w:val="20"/>
                <w:szCs w:val="20"/>
                <w:color w:val="auto"/>
              </w:rPr>
            </w:pPr>
            <w:r>
              <w:rPr>
                <w:rFonts w:ascii="Arial" w:cs="Arial" w:eastAsia="Arial" w:hAnsi="Arial"/>
                <w:sz w:val="17"/>
                <w:szCs w:val="17"/>
                <w:color w:val="auto"/>
              </w:rPr>
              <w:t>$(17,413)</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 (7,597)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Investing activities</w:t>
            </w:r>
          </w:p>
        </w:tc>
        <w:tc>
          <w:tcPr>
            <w:tcW w:w="346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(2,796)</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38,729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tcPr>
          <w:p>
            <w:pPr>
              <w:ind w:left="320"/>
              <w:spacing w:after="0"/>
              <w:rPr>
                <w:sz w:val="20"/>
                <w:szCs w:val="20"/>
                <w:color w:val="auto"/>
              </w:rPr>
            </w:pPr>
            <w:r>
              <w:rPr>
                <w:rFonts w:ascii="Arial" w:cs="Arial" w:eastAsia="Arial" w:hAnsi="Arial"/>
                <w:sz w:val="17"/>
                <w:szCs w:val="17"/>
                <w:color w:val="auto"/>
              </w:rPr>
              <w:t>Financing activities</w:t>
            </w:r>
          </w:p>
        </w:tc>
        <w:tc>
          <w:tcPr>
            <w:tcW w:w="2320" w:type="dxa"/>
            <w:vAlign w:val="bottom"/>
          </w:tcPr>
          <w:p>
            <w:pPr>
              <w:spacing w:after="0"/>
              <w:rPr>
                <w:sz w:val="17"/>
                <w:szCs w:val="17"/>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339</w:t>
            </w: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Net increase (decrease) in cash and cash equivalents</w:t>
            </w:r>
          </w:p>
        </w:tc>
        <w:tc>
          <w:tcPr>
            <w:tcW w:w="346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(19,870)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31,330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Cash Provided by (Used in) Operating Activities</w:t>
      </w:r>
    </w:p>
    <w:p>
      <w:pPr>
        <w:spacing w:after="0" w:line="126" w:lineRule="exact"/>
        <w:rPr>
          <w:sz w:val="20"/>
          <w:szCs w:val="20"/>
          <w:color w:val="auto"/>
        </w:rPr>
      </w:pPr>
    </w:p>
    <w:p>
      <w:pPr>
        <w:ind w:left="380" w:right="480" w:firstLine="534"/>
        <w:spacing w:after="0" w:line="241" w:lineRule="auto"/>
        <w:rPr>
          <w:sz w:val="20"/>
          <w:szCs w:val="20"/>
          <w:color w:val="auto"/>
        </w:rPr>
      </w:pPr>
      <w:r>
        <w:rPr>
          <w:rFonts w:ascii="Arial" w:cs="Arial" w:eastAsia="Arial" w:hAnsi="Arial"/>
          <w:sz w:val="17"/>
          <w:szCs w:val="17"/>
          <w:color w:val="auto"/>
        </w:rPr>
        <w:t>During the year ended December 31, 2018, cash used in operating activities was $7.6 million, which consisted of a net loss of $0.5 million, adjusted for non-cash charges of $16.5 million and cash used through changes in operating assets and liabilities of</w:t>
      </w:r>
    </w:p>
    <w:p>
      <w:pPr>
        <w:ind w:left="380" w:right="80"/>
        <w:spacing w:after="0" w:line="244" w:lineRule="auto"/>
        <w:rPr>
          <w:sz w:val="20"/>
          <w:szCs w:val="20"/>
          <w:color w:val="auto"/>
        </w:rPr>
      </w:pPr>
      <w:r>
        <w:rPr>
          <w:rFonts w:ascii="Arial" w:cs="Arial" w:eastAsia="Arial" w:hAnsi="Arial"/>
          <w:sz w:val="17"/>
          <w:szCs w:val="17"/>
          <w:color w:val="auto"/>
        </w:rPr>
        <w:t>$23.6 million. The non-cash charges consisted primarily of stock-based compensation expense of $10.0 million and depreciation expense of $7.2 million. The change in operating assets and liabilities was primarily due to an increase in receivable from related party collaboration of $3.7 million under our agreement with Merck, an increase in prepaid expenses and other current assets of $4.4 million, offset by increases in accounts payable and accrued expenses and other current liabilities of $3.5 million and $4.1 million, respectively, and decreases in deferred rent and deferred revenue of $2.0 million and $21.1 million, respectively. The decrease in deferred revenue is primarily due to the recognition of upfront fees from Merck and the timing of advance payments from Merck related to the reimbursement of costs associated with research and development activities.</w:t>
      </w:r>
    </w:p>
    <w:p>
      <w:pPr>
        <w:spacing w:after="0" w:line="19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During the year ended December 31, 2017, cash used in operating activities was $17.4 million, which consisted of a net loss of</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$14.2 million, adjusted for non-cash charges of $14.5 million and cash used through changes in operating assets and liabilities of</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$17.7 million. The non-cash charges consisted primarily of stock-based compensation expense of $7.7 million and depreciation expense</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of $6.4 million. The change in operating assets and liabilities was primarily due to an increase in prepaid expenses and other assets of</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$1.1 million primarily resulting from a federal tax receivable generated as a result of the Tax Cuts and Jobs Act of 2017 that was signed</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into law in December 2017, a decrease in accounts payable of $4.2 million and a decrease in deferred revenue of $16.5 million due to the</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recognition of revenue related to upfront fees from Merck and the timing of advance payments from Merck related to the reimbursement of</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costs associated with research and development activities. This was partially offset by a decrease in receivable from related party</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collaboration of $2.8 million due to payments received from Merck under the collaboration agreement and an increase in accrued</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expenses and other liabilities of $2.6 million resulting primarily from the timing of payments related to our clinical trial expenses and other</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research and development activities.</w:t>
      </w:r>
    </w:p>
    <w:p>
      <w:pPr>
        <w:spacing w:after="0" w:line="29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Cash Provided by (Used in) Investing Activities</w:t>
      </w:r>
    </w:p>
    <w:p>
      <w:pPr>
        <w:spacing w:after="0" w:line="126" w:lineRule="exact"/>
        <w:rPr>
          <w:sz w:val="20"/>
          <w:szCs w:val="20"/>
          <w:color w:val="auto"/>
        </w:rPr>
      </w:pPr>
    </w:p>
    <w:p>
      <w:pPr>
        <w:ind w:left="380" w:right="940" w:firstLine="534"/>
        <w:spacing w:after="0" w:line="250" w:lineRule="auto"/>
        <w:rPr>
          <w:sz w:val="20"/>
          <w:szCs w:val="20"/>
          <w:color w:val="auto"/>
        </w:rPr>
      </w:pPr>
      <w:r>
        <w:rPr>
          <w:rFonts w:ascii="Arial" w:cs="Arial" w:eastAsia="Arial" w:hAnsi="Arial"/>
          <w:sz w:val="17"/>
          <w:szCs w:val="17"/>
          <w:color w:val="auto"/>
        </w:rPr>
        <w:t>During the year ended December 31, 2018, cash provided by investing activities was $38.7 million, which consisted of $178.2 million in proceeds from the maturities of marketable securities, partially offset by purchases of marketable securities of $133.6 million and purchases of property and equipment of $5.8 million.</w:t>
      </w:r>
    </w:p>
    <w:p>
      <w:pPr>
        <w:spacing w:after="0" w:line="188" w:lineRule="exact"/>
        <w:rPr>
          <w:sz w:val="20"/>
          <w:szCs w:val="20"/>
          <w:color w:val="auto"/>
        </w:rPr>
      </w:pPr>
    </w:p>
    <w:p>
      <w:pPr>
        <w:ind w:left="380" w:right="200" w:firstLine="534"/>
        <w:spacing w:after="0" w:line="258" w:lineRule="auto"/>
        <w:rPr>
          <w:sz w:val="20"/>
          <w:szCs w:val="20"/>
          <w:color w:val="auto"/>
        </w:rPr>
      </w:pPr>
      <w:r>
        <w:rPr>
          <w:rFonts w:ascii="Arial" w:cs="Arial" w:eastAsia="Arial" w:hAnsi="Arial"/>
          <w:sz w:val="17"/>
          <w:szCs w:val="17"/>
          <w:color w:val="auto"/>
        </w:rPr>
        <w:t>During the year ended December 31, 2017, cash used in investing activities was $2.8 million, which consisted of $217.3 million in purchases of marketable securities and purchases of property and</w:t>
      </w:r>
    </w:p>
    <w:p>
      <w:pPr>
        <w:spacing w:after="0" w:line="11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060"/>
          </w:cols>
          <w:pgMar w:left="240" w:top="449" w:right="59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equipment of $6.4 million, partially offset by proceeds from the maturities of marketable securities of $220.9 million.</w:t>
      </w:r>
    </w:p>
    <w:p>
      <w:pPr>
        <w:spacing w:after="0" w:line="29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Cash Provided by Financing Activities</w:t>
      </w:r>
    </w:p>
    <w:p>
      <w:pPr>
        <w:spacing w:after="0" w:line="126" w:lineRule="exact"/>
        <w:rPr>
          <w:sz w:val="20"/>
          <w:szCs w:val="20"/>
          <w:color w:val="auto"/>
        </w:rPr>
      </w:pPr>
    </w:p>
    <w:p>
      <w:pPr>
        <w:ind w:left="380" w:right="180" w:firstLine="534"/>
        <w:spacing w:after="0" w:line="250" w:lineRule="auto"/>
        <w:rPr>
          <w:sz w:val="20"/>
          <w:szCs w:val="20"/>
          <w:color w:val="auto"/>
        </w:rPr>
      </w:pPr>
      <w:r>
        <w:rPr>
          <w:rFonts w:ascii="Arial" w:cs="Arial" w:eastAsia="Arial" w:hAnsi="Arial"/>
          <w:sz w:val="17"/>
          <w:szCs w:val="17"/>
          <w:color w:val="auto"/>
        </w:rPr>
        <w:t>During the year ended December 31, 2018, cash provided by financing activities was $0.2 million, which consisted proceeds from the issuance of common stock upon the exercise of previously granted stock options of $2.6 million less deferred initial public offering costs of $2.2 million and repurchases of common stock of $0.2 million.</w:t>
      </w:r>
    </w:p>
    <w:p>
      <w:pPr>
        <w:spacing w:after="0" w:line="188" w:lineRule="exact"/>
        <w:rPr>
          <w:sz w:val="20"/>
          <w:szCs w:val="20"/>
          <w:color w:val="auto"/>
        </w:rPr>
      </w:pPr>
    </w:p>
    <w:p>
      <w:pPr>
        <w:ind w:left="380" w:right="380" w:firstLine="534"/>
        <w:spacing w:after="0" w:line="258" w:lineRule="auto"/>
        <w:rPr>
          <w:sz w:val="20"/>
          <w:szCs w:val="20"/>
          <w:color w:val="auto"/>
        </w:rPr>
      </w:pPr>
      <w:r>
        <w:rPr>
          <w:rFonts w:ascii="Arial" w:cs="Arial" w:eastAsia="Arial" w:hAnsi="Arial"/>
          <w:sz w:val="17"/>
          <w:szCs w:val="17"/>
          <w:color w:val="auto"/>
        </w:rPr>
        <w:t>During the year ended December 31, 2017, cash provided by financing activities was $0.3 million, which consisted of proceeds from the issuance of common stock upon the exercise of previously granted stock options.</w:t>
      </w:r>
    </w:p>
    <w:p>
      <w:pPr>
        <w:spacing w:after="0" w:line="26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Off-Balance Sheet Arrangements</w:t>
      </w:r>
    </w:p>
    <w:p>
      <w:pPr>
        <w:spacing w:after="0" w:line="232" w:lineRule="exact"/>
        <w:rPr>
          <w:sz w:val="20"/>
          <w:szCs w:val="20"/>
          <w:color w:val="auto"/>
        </w:rPr>
      </w:pPr>
    </w:p>
    <w:p>
      <w:pPr>
        <w:ind w:left="380" w:right="160" w:firstLine="534"/>
        <w:spacing w:after="0" w:line="250" w:lineRule="auto"/>
        <w:rPr>
          <w:sz w:val="20"/>
          <w:szCs w:val="20"/>
          <w:color w:val="auto"/>
        </w:rPr>
      </w:pPr>
      <w:r>
        <w:rPr>
          <w:rFonts w:ascii="Arial" w:cs="Arial" w:eastAsia="Arial" w:hAnsi="Arial"/>
          <w:sz w:val="17"/>
          <w:szCs w:val="17"/>
          <w:color w:val="auto"/>
        </w:rPr>
        <w:t>We currently have not entered into and do not have any relationships with unconsolidated entities or financial collaborations, such as entities often referred to as structured finance or special purpose entities, which would have been established for the purpose of facilitating off-balance sheet arrangements or other contractually narrow or limited purpose.</w:t>
      </w:r>
    </w:p>
    <w:p>
      <w:pPr>
        <w:spacing w:after="0" w:line="27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Contractual Obligations</w:t>
      </w:r>
    </w:p>
    <w:p>
      <w:pPr>
        <w:spacing w:after="0" w:line="232" w:lineRule="exact"/>
        <w:rPr>
          <w:sz w:val="20"/>
          <w:szCs w:val="20"/>
          <w:color w:val="auto"/>
        </w:rPr>
      </w:pPr>
    </w:p>
    <w:p>
      <w:pPr>
        <w:jc w:val="both"/>
        <w:ind w:left="380" w:right="260" w:firstLine="534"/>
        <w:spacing w:after="0" w:line="250" w:lineRule="auto"/>
        <w:rPr>
          <w:sz w:val="20"/>
          <w:szCs w:val="20"/>
          <w:color w:val="auto"/>
        </w:rPr>
      </w:pPr>
      <w:r>
        <w:rPr>
          <w:rFonts w:ascii="Arial" w:cs="Arial" w:eastAsia="Arial" w:hAnsi="Arial"/>
          <w:sz w:val="17"/>
          <w:szCs w:val="17"/>
          <w:color w:val="auto"/>
        </w:rPr>
        <w:t>Our principal obligations consist of the operating lease for our facilities and non-cancelable purchase commitments with contract manufacturers or service providers. The following table sets out, as of December 31, 2018, our contractual obligations due by period (in thousands):</w:t>
      </w:r>
    </w:p>
    <w:p>
      <w:pPr>
        <w:spacing w:after="0" w:line="204" w:lineRule="exact"/>
        <w:rPr>
          <w:sz w:val="20"/>
          <w:szCs w:val="20"/>
          <w:color w:val="auto"/>
        </w:rPr>
      </w:pPr>
    </w:p>
    <w:tbl>
      <w:tblPr>
        <w:tblLayout w:type="fixed"/>
        <w:tblInd w:w="3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center"/>
              <w:ind w:left="330"/>
              <w:spacing w:after="0"/>
              <w:rPr>
                <w:sz w:val="20"/>
                <w:szCs w:val="20"/>
                <w:color w:val="auto"/>
              </w:rPr>
            </w:pPr>
            <w:r>
              <w:rPr>
                <w:rFonts w:ascii="Arial" w:cs="Arial" w:eastAsia="Arial" w:hAnsi="Arial"/>
                <w:sz w:val="14"/>
                <w:szCs w:val="14"/>
                <w:b w:val="1"/>
                <w:bCs w:val="1"/>
                <w:color w:val="auto"/>
              </w:rPr>
              <w:t>Payments due by period</w:t>
            </w: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8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Less than</w:t>
            </w:r>
          </w:p>
        </w:tc>
        <w:tc>
          <w:tcPr>
            <w:tcW w:w="220" w:type="dxa"/>
            <w:vAlign w:val="bottom"/>
          </w:tcPr>
          <w:p>
            <w:pPr>
              <w:spacing w:after="0"/>
              <w:rPr>
                <w:sz w:val="12"/>
                <w:szCs w:val="12"/>
                <w:color w:val="auto"/>
              </w:rPr>
            </w:pPr>
          </w:p>
        </w:tc>
        <w:tc>
          <w:tcPr>
            <w:tcW w:w="86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8"/>
              </w:rPr>
              <w:t>1 to 3</w:t>
            </w:r>
          </w:p>
        </w:tc>
        <w:tc>
          <w:tcPr>
            <w:tcW w:w="220" w:type="dxa"/>
            <w:vAlign w:val="bottom"/>
          </w:tcPr>
          <w:p>
            <w:pPr>
              <w:spacing w:after="0"/>
              <w:rPr>
                <w:sz w:val="12"/>
                <w:szCs w:val="12"/>
                <w:color w:val="auto"/>
              </w:rPr>
            </w:pPr>
          </w:p>
        </w:tc>
        <w:tc>
          <w:tcPr>
            <w:tcW w:w="1080" w:type="dxa"/>
            <w:vAlign w:val="bottom"/>
            <w:gridSpan w:val="2"/>
          </w:tcPr>
          <w:p>
            <w:pPr>
              <w:jc w:val="center"/>
              <w:ind w:right="440"/>
              <w:spacing w:after="0" w:line="139" w:lineRule="exact"/>
              <w:rPr>
                <w:sz w:val="20"/>
                <w:szCs w:val="20"/>
                <w:color w:val="auto"/>
              </w:rPr>
            </w:pPr>
            <w:r>
              <w:rPr>
                <w:rFonts w:ascii="Arial" w:cs="Arial" w:eastAsia="Arial" w:hAnsi="Arial"/>
                <w:sz w:val="14"/>
                <w:szCs w:val="14"/>
                <w:b w:val="1"/>
                <w:bCs w:val="1"/>
                <w:color w:val="auto"/>
                <w:w w:val="98"/>
              </w:rPr>
              <w:t>4 to 5</w:t>
            </w:r>
          </w:p>
        </w:tc>
        <w:tc>
          <w:tcPr>
            <w:tcW w:w="68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w w:val="95"/>
              </w:rPr>
              <w:t>More than</w:t>
            </w: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years</w:t>
            </w:r>
          </w:p>
        </w:tc>
        <w:tc>
          <w:tcPr>
            <w:tcW w:w="22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years</w:t>
            </w:r>
          </w:p>
        </w:tc>
        <w:tc>
          <w:tcPr>
            <w:tcW w:w="68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5 years</w:t>
            </w:r>
          </w:p>
        </w:tc>
        <w:tc>
          <w:tcPr>
            <w:tcW w:w="44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4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b w:val="1"/>
                <w:bCs w:val="1"/>
                <w:color w:val="auto"/>
              </w:rPr>
              <w:t>Contractual obligations:</w:t>
            </w:r>
          </w:p>
        </w:tc>
        <w:tc>
          <w:tcPr>
            <w:tcW w:w="16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Operating lease obligations(1)</w:t>
            </w:r>
          </w:p>
        </w:tc>
        <w:tc>
          <w:tcPr>
            <w:tcW w:w="1740" w:type="dxa"/>
            <w:vAlign w:val="bottom"/>
            <w:gridSpan w:val="2"/>
          </w:tcPr>
          <w:p>
            <w:pPr>
              <w:ind w:left="1640"/>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4,849</w:t>
            </w:r>
          </w:p>
        </w:tc>
        <w:tc>
          <w:tcPr>
            <w:tcW w:w="1080" w:type="dxa"/>
            <w:vAlign w:val="bottom"/>
            <w:gridSpan w:val="3"/>
          </w:tcPr>
          <w:p>
            <w:pPr>
              <w:jc w:val="center"/>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10,136</w:t>
            </w:r>
          </w:p>
        </w:tc>
        <w:tc>
          <w:tcPr>
            <w:tcW w:w="1300" w:type="dxa"/>
            <w:vAlign w:val="bottom"/>
            <w:gridSpan w:val="3"/>
          </w:tcPr>
          <w:p>
            <w:pPr>
              <w:jc w:val="center"/>
              <w:ind w:right="2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10,749</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center"/>
              <w:ind w:left="293"/>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25,734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Total contractual obligations</w:t>
            </w:r>
          </w:p>
        </w:tc>
        <w:tc>
          <w:tcPr>
            <w:tcW w:w="1740" w:type="dxa"/>
            <w:vAlign w:val="bottom"/>
            <w:gridSpan w:val="2"/>
            <w:shd w:val="clear" w:color="auto" w:fill="CCEEFF"/>
          </w:tcPr>
          <w:p>
            <w:pPr>
              <w:ind w:left="1640"/>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4,849</w:t>
            </w:r>
          </w:p>
        </w:tc>
        <w:tc>
          <w:tcPr>
            <w:tcW w:w="1080" w:type="dxa"/>
            <w:vAlign w:val="bottom"/>
            <w:gridSpan w:val="3"/>
            <w:shd w:val="clear" w:color="auto" w:fill="CCEEFF"/>
          </w:tcPr>
          <w:p>
            <w:pPr>
              <w:jc w:val="center"/>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10,136</w:t>
            </w:r>
          </w:p>
        </w:tc>
        <w:tc>
          <w:tcPr>
            <w:tcW w:w="1300" w:type="dxa"/>
            <w:vAlign w:val="bottom"/>
            <w:gridSpan w:val="3"/>
            <w:shd w:val="clear" w:color="auto" w:fill="CCEEFF"/>
          </w:tcPr>
          <w:p>
            <w:pPr>
              <w:jc w:val="center"/>
              <w:ind w:right="2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10,749</w:t>
            </w: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center"/>
              <w:ind w:left="293"/>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25,734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91440</wp:posOffset>
            </wp:positionV>
            <wp:extent cx="6819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1990" cy="8255"/>
                    </a:xfrm>
                    <a:prstGeom prst="rect">
                      <a:avLst/>
                    </a:prstGeom>
                    <a:noFill/>
                  </pic:spPr>
                </pic:pic>
              </a:graphicData>
            </a:graphic>
          </wp:anchor>
        </w:drawing>
      </w:r>
    </w:p>
    <w:p>
      <w:pPr>
        <w:spacing w:after="0" w:line="176" w:lineRule="exact"/>
        <w:rPr>
          <w:sz w:val="20"/>
          <w:szCs w:val="20"/>
          <w:color w:val="auto"/>
        </w:rPr>
      </w:pPr>
    </w:p>
    <w:p>
      <w:pPr>
        <w:ind w:left="900" w:right="80" w:hanging="529"/>
        <w:spacing w:after="0" w:line="258" w:lineRule="auto"/>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Consists of our corporate headquarters lease encompassing approximately 122,000 square feet of office and laboratory space that expires in December 2023.</w:t>
      </w:r>
    </w:p>
    <w:p>
      <w:pPr>
        <w:spacing w:after="0" w:line="182" w:lineRule="exact"/>
        <w:rPr>
          <w:sz w:val="20"/>
          <w:szCs w:val="20"/>
          <w:color w:val="auto"/>
        </w:rPr>
      </w:pPr>
    </w:p>
    <w:p>
      <w:pPr>
        <w:ind w:left="380" w:right="140" w:firstLine="534"/>
        <w:spacing w:after="0" w:line="250" w:lineRule="auto"/>
        <w:rPr>
          <w:sz w:val="20"/>
          <w:szCs w:val="20"/>
          <w:color w:val="auto"/>
        </w:rPr>
      </w:pPr>
      <w:r>
        <w:rPr>
          <w:rFonts w:ascii="Arial" w:cs="Arial" w:eastAsia="Arial" w:hAnsi="Arial"/>
          <w:sz w:val="17"/>
          <w:szCs w:val="17"/>
          <w:color w:val="auto"/>
        </w:rPr>
        <w:t>We enter into agreements in the normal course of business with contract research organizations for clinical trials and with vendors for preclinical studies and other services and products for operating purposes that are cancelable at any time by us, generally upon 30 days’ prior written notice. These payments are not included in this table of contractual obligations.</w:t>
      </w:r>
    </w:p>
    <w:p>
      <w:pPr>
        <w:spacing w:after="0" w:line="188" w:lineRule="exact"/>
        <w:rPr>
          <w:sz w:val="20"/>
          <w:szCs w:val="20"/>
          <w:color w:val="auto"/>
        </w:rPr>
      </w:pPr>
    </w:p>
    <w:p>
      <w:pPr>
        <w:ind w:left="380" w:right="180" w:firstLine="534"/>
        <w:spacing w:after="0" w:line="247" w:lineRule="auto"/>
        <w:rPr>
          <w:sz w:val="20"/>
          <w:szCs w:val="20"/>
          <w:color w:val="auto"/>
        </w:rPr>
      </w:pPr>
      <w:r>
        <w:rPr>
          <w:rFonts w:ascii="Arial" w:cs="Arial" w:eastAsia="Arial" w:hAnsi="Arial"/>
          <w:sz w:val="17"/>
          <w:szCs w:val="17"/>
          <w:color w:val="auto"/>
        </w:rPr>
        <w:t>We are obligated to make future payments to third parties under in-license agreements, including sublicense fees, low single-digit royalties and payments that become due and payable on the achievement of certain development and commercialization milestones. As the amount and timing of sublicense fees and the achievement and timing of these milestones are not probable and estimable, such commitments have not been included on our consolidated balance sheets or in the contractual obligations table above.</w:t>
      </w:r>
    </w:p>
    <w:p>
      <w:pPr>
        <w:spacing w:after="0" w:line="273" w:lineRule="exact"/>
        <w:rPr>
          <w:sz w:val="20"/>
          <w:szCs w:val="20"/>
          <w:color w:val="auto"/>
        </w:rPr>
      </w:pPr>
    </w:p>
    <w:p>
      <w:pPr>
        <w:ind w:left="3260"/>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232" w:lineRule="exact"/>
        <w:rPr>
          <w:sz w:val="20"/>
          <w:szCs w:val="20"/>
          <w:color w:val="auto"/>
        </w:rPr>
      </w:pPr>
    </w:p>
    <w:p>
      <w:pPr>
        <w:ind w:left="380" w:right="80" w:firstLine="534"/>
        <w:spacing w:after="0" w:line="258" w:lineRule="auto"/>
        <w:rPr>
          <w:sz w:val="20"/>
          <w:szCs w:val="20"/>
          <w:color w:val="auto"/>
        </w:rPr>
      </w:pPr>
      <w:r>
        <w:rPr>
          <w:rFonts w:ascii="Arial" w:cs="Arial" w:eastAsia="Arial" w:hAnsi="Arial"/>
          <w:sz w:val="17"/>
          <w:szCs w:val="17"/>
          <w:color w:val="auto"/>
        </w:rPr>
        <w:t>Our cash, cash equivalents and marketable securities as of December 31, 2018 consisted of readily available checking and money market funds, as well as available-for-sale securities. Our</w:t>
      </w:r>
    </w:p>
    <w:p>
      <w:pPr>
        <w:spacing w:after="0" w:line="11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060"/>
          </w:cols>
          <w:pgMar w:left="240" w:top="449" w:right="59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primary exposure to market risk is interest rate sensitivity, which is affected by changes in the general level of U.S. interest rates. However, because of the nature of the instruments in our portfolio, a sudden change in market interest rates would not be expected to have a material impact on our financial condition or results of operations. We believe that our exposure to interest rate risks is not significant and that a hypothetical 10% movement in market interest rates would not have a significant impact on the total value of our portfolio or our interest income. We do not believe that our cash, cash equivalents or marketable securities have significant risk of default or illiquidity. While we believe our cash, cash equivalents and marketable securities do not contain excessive risk, we cannot provide absolute assurance that in the future our investments will not be subject to adverse changes in market value. In addition, we maintain significant amounts of cash, cash equivalents and marketable securities at one or more financial institutions that are in excess of federally insured limits.</w:t>
      </w:r>
    </w:p>
    <w:p>
      <w:pPr>
        <w:spacing w:after="0" w:line="394" w:lineRule="exact"/>
        <w:rPr>
          <w:sz w:val="20"/>
          <w:szCs w:val="20"/>
          <w:color w:val="auto"/>
        </w:rPr>
      </w:pPr>
    </w:p>
    <w:p>
      <w:pPr>
        <w:ind w:left="380" w:right="280" w:firstLine="534"/>
        <w:spacing w:after="0" w:line="244" w:lineRule="auto"/>
        <w:rPr>
          <w:sz w:val="20"/>
          <w:szCs w:val="20"/>
          <w:color w:val="auto"/>
        </w:rPr>
      </w:pPr>
      <w:r>
        <w:rPr>
          <w:rFonts w:ascii="Arial" w:cs="Arial" w:eastAsia="Arial" w:hAnsi="Arial"/>
          <w:sz w:val="17"/>
          <w:szCs w:val="17"/>
          <w:color w:val="auto"/>
        </w:rPr>
        <w:t>We are also exposed to market risk related to changes in foreign currency exchange rates, mainly relating to our Australian subsidiary. In addition, we contract with vendors that are located in Asia and Europe, and the payments under such contracts are denominated in foreign currencies. We are subject to fluctuations in foreign currency rates in connection with these agreements. We do not currently hedge our foreign currency exchange rate risk. As of December 31, 2017 and 2018, our liabilities denominated in foreign currencies were not material. A 10% increase or decrease in current exchange rates would not have a material effect on our financial results.</w:t>
      </w:r>
    </w:p>
    <w:p>
      <w:pPr>
        <w:spacing w:after="0" w:line="278"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32" w:lineRule="exact"/>
        <w:rPr>
          <w:sz w:val="20"/>
          <w:szCs w:val="20"/>
          <w:color w:val="auto"/>
        </w:rPr>
      </w:pPr>
    </w:p>
    <w:p>
      <w:pPr>
        <w:ind w:left="380" w:right="180" w:firstLine="534"/>
        <w:spacing w:after="0" w:line="243"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we have prepared in accordance with U.S. generally accepted accounting principles, or U.S. GAAP. The preparation of our consolidated financial statements requires us to make estimates and assumptions that affect the reported amounts of assets and liabilities and the disclosure of contingent assets and liabilities at the date of our consolidated financial statements, as well as revenue and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98" w:lineRule="exact"/>
        <w:rPr>
          <w:sz w:val="20"/>
          <w:szCs w:val="20"/>
          <w:color w:val="auto"/>
        </w:rPr>
      </w:pPr>
    </w:p>
    <w:p>
      <w:pPr>
        <w:ind w:left="380" w:right="380" w:firstLine="534"/>
        <w:spacing w:after="0" w:line="250" w:lineRule="auto"/>
        <w:rPr>
          <w:sz w:val="20"/>
          <w:szCs w:val="20"/>
          <w:color w:val="auto"/>
        </w:rPr>
      </w:pPr>
      <w:r>
        <w:rPr>
          <w:rFonts w:ascii="Arial" w:cs="Arial" w:eastAsia="Arial" w:hAnsi="Arial"/>
          <w:sz w:val="17"/>
          <w:szCs w:val="17"/>
          <w:color w:val="auto"/>
        </w:rPr>
        <w:t>Our significant accounting policies are described in Note 1 to our consolidated financial statements appearing elsewhere in this prospectus. We believe that the following accounting policies are the most critical for fully understanding and evaluating our financial condition and results of operations.</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26" w:lineRule="exact"/>
        <w:rPr>
          <w:sz w:val="20"/>
          <w:szCs w:val="20"/>
          <w:color w:val="auto"/>
        </w:rPr>
      </w:pPr>
    </w:p>
    <w:p>
      <w:pPr>
        <w:ind w:left="380" w:right="320" w:firstLine="534"/>
        <w:spacing w:after="0" w:line="247" w:lineRule="auto"/>
        <w:rPr>
          <w:sz w:val="20"/>
          <w:szCs w:val="20"/>
          <w:color w:val="auto"/>
        </w:rPr>
      </w:pPr>
      <w:r>
        <w:rPr>
          <w:rFonts w:ascii="Arial" w:cs="Arial" w:eastAsia="Arial" w:hAnsi="Arial"/>
          <w:sz w:val="17"/>
          <w:szCs w:val="17"/>
          <w:color w:val="auto"/>
        </w:rPr>
        <w:t>All of our revenue to date has been generated from our collaboration agreements. Revenue from collaboration agreements may include non-refundable upfront license fees, partial or complete reimbursement of research and development costs, contingent consideration payments based on the achievement of defined collaboration objectives and royalties on sales of any commercialized products.</w:t>
      </w:r>
    </w:p>
    <w:p>
      <w:pPr>
        <w:spacing w:after="0" w:line="190" w:lineRule="exact"/>
        <w:rPr>
          <w:sz w:val="20"/>
          <w:szCs w:val="20"/>
          <w:color w:val="auto"/>
        </w:rPr>
      </w:pPr>
    </w:p>
    <w:p>
      <w:pPr>
        <w:jc w:val="both"/>
        <w:ind w:left="380" w:right="120" w:firstLine="534"/>
        <w:spacing w:after="0" w:line="247" w:lineRule="auto"/>
        <w:rPr>
          <w:sz w:val="20"/>
          <w:szCs w:val="20"/>
          <w:color w:val="auto"/>
        </w:rPr>
      </w:pPr>
      <w:r>
        <w:rPr>
          <w:rFonts w:ascii="Arial" w:cs="Arial" w:eastAsia="Arial" w:hAnsi="Arial"/>
          <w:sz w:val="17"/>
          <w:szCs w:val="17"/>
          <w:color w:val="auto"/>
        </w:rPr>
        <w:t>Revenues from research activities made under collaboration arrangements are recognized when there is persuasive evidence that an arrangement exists, services have been rendered, the price is fixed or determinable and collectability is reasonably assured. Revenue generated from our collaboration arrangements is not subject to repayment. Our obligations under collaboration agreements may include the transfer of intellectual property rights in the form of licenses, obligations to</w:t>
      </w:r>
    </w:p>
    <w:p>
      <w:pPr>
        <w:spacing w:after="0" w:line="12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060"/>
          </w:cols>
          <w:pgMar w:left="240" w:top="449" w:right="59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20"/>
        <w:spacing w:after="0" w:line="244" w:lineRule="auto"/>
        <w:rPr>
          <w:sz w:val="20"/>
          <w:szCs w:val="20"/>
          <w:color w:val="auto"/>
        </w:rPr>
      </w:pPr>
      <w:r>
        <w:rPr>
          <w:rFonts w:ascii="Arial" w:cs="Arial" w:eastAsia="Arial" w:hAnsi="Arial"/>
          <w:sz w:val="17"/>
          <w:szCs w:val="17"/>
          <w:color w:val="auto"/>
        </w:rPr>
        <w:t>provide research and development services and obligations to participate on certain development committees with the collaboration party. We make judgments that affect the period over which we recognize revenue. On a quarterly basis, we review our estimated period of performance for our collaboration and license revenue based on the progress under the arrangement and account for the impact of any changes in estimated periods of performance on a prospective basis. We record amounts received prior to satisfying the above revenue recognition criteria as deferred revenue until all applicable revenue recognition criteria are met. Deferred revenue represents the portion of research or license payments received that have not been earned.</w:t>
      </w:r>
    </w:p>
    <w:p>
      <w:pPr>
        <w:spacing w:after="0" w:line="196" w:lineRule="exact"/>
        <w:rPr>
          <w:sz w:val="20"/>
          <w:szCs w:val="20"/>
          <w:color w:val="auto"/>
        </w:rPr>
      </w:pPr>
    </w:p>
    <w:p>
      <w:pPr>
        <w:ind w:left="380" w:right="120" w:firstLine="534"/>
        <w:spacing w:after="0" w:line="245" w:lineRule="auto"/>
        <w:rPr>
          <w:sz w:val="20"/>
          <w:szCs w:val="20"/>
          <w:color w:val="auto"/>
        </w:rPr>
      </w:pPr>
      <w:r>
        <w:rPr>
          <w:rFonts w:ascii="Arial" w:cs="Arial" w:eastAsia="Arial" w:hAnsi="Arial"/>
          <w:sz w:val="17"/>
          <w:szCs w:val="17"/>
          <w:color w:val="auto"/>
        </w:rPr>
        <w:t>For revenue agreements with multiple-element arrangements, such as license and development agreements, we allocate revenue to each non-contingent element based on the relative selling price of each element. When applying the relative selling price method, we determine the selling price for each deliverable using vendor-specific objective evidence or third-party evidence. If neither exists, we use the best estimate of selling price for that deliverable. Revenue allocated is then recognized when the four basic revenue recognition criteria are met for each element.</w:t>
      </w:r>
    </w:p>
    <w:p>
      <w:pPr>
        <w:spacing w:after="0" w:line="194" w:lineRule="exact"/>
        <w:rPr>
          <w:sz w:val="20"/>
          <w:szCs w:val="20"/>
          <w:color w:val="auto"/>
        </w:rPr>
      </w:pPr>
    </w:p>
    <w:p>
      <w:pPr>
        <w:ind w:left="380" w:right="120" w:firstLine="534"/>
        <w:spacing w:after="0" w:line="241" w:lineRule="auto"/>
        <w:rPr>
          <w:sz w:val="20"/>
          <w:szCs w:val="20"/>
          <w:color w:val="auto"/>
        </w:rPr>
      </w:pPr>
      <w:r>
        <w:rPr>
          <w:rFonts w:ascii="Arial" w:cs="Arial" w:eastAsia="Arial" w:hAnsi="Arial"/>
          <w:sz w:val="17"/>
          <w:szCs w:val="17"/>
          <w:color w:val="auto"/>
        </w:rPr>
        <w:t>Payments that are contingent upon the achievement of a substantive milestone are recognized entirely as revenue in the period in which the milestone is achieved. A milestone is defined as an event: (a) that can only be achieved based in whole or in part on either</w:t>
      </w:r>
    </w:p>
    <w:p>
      <w:pPr>
        <w:ind w:left="380" w:hanging="9"/>
        <w:spacing w:after="0" w:line="243" w:lineRule="auto"/>
        <w:tabs>
          <w:tab w:leader="none" w:pos="642"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entity’s performance or (2) on the occurrence of a specific outcome resulting from the entity’s performance; (b) for which there is substantive uncertainty at the date the arrangement is entered into that the event will be achieved; and (c) that would result in additional payments being due to the entity. A milestone is considered substantive if the consideration earned from the achievement of the milestone meets all of the following criteria: (a) the consideration is commensurate with either (1) the entity’s performance to achieve the milestone, or (2) the enhancement of the value of the delivered item(s) as a result of a specific outcome resulting from the entity’s performance to achieve the milestone; (b) the consideration relates solely to past performance; and (c) the consideration is reasonable relative to all of the deliverables and payment terms (including other potential milestone consideration) within the arrangement. To the extent that non-substantive milestones are achieved and we have remaining performance obligations, payments in respect of such milestones are deferred and recognized as revenue over the estimated remaining period of performance. If there were no remaining performance obligations, we would recognize the revenue in the period it is earned.</w:t>
      </w:r>
    </w:p>
    <w:p>
      <w:pPr>
        <w:spacing w:after="0" w:line="195" w:lineRule="exact"/>
        <w:rPr>
          <w:sz w:val="20"/>
          <w:szCs w:val="20"/>
          <w:color w:val="auto"/>
        </w:rPr>
      </w:pPr>
    </w:p>
    <w:p>
      <w:pPr>
        <w:ind w:left="380" w:right="40" w:firstLine="534"/>
        <w:spacing w:after="0" w:line="243" w:lineRule="auto"/>
        <w:rPr>
          <w:sz w:val="20"/>
          <w:szCs w:val="20"/>
          <w:color w:val="auto"/>
        </w:rPr>
      </w:pPr>
      <w:r>
        <w:rPr>
          <w:rFonts w:ascii="Arial" w:cs="Arial" w:eastAsia="Arial" w:hAnsi="Arial"/>
          <w:sz w:val="17"/>
          <w:szCs w:val="17"/>
          <w:color w:val="auto"/>
        </w:rPr>
        <w:t>Payments related to options to license our program candidates are considered substantive if, at the inception of the arrangement, we are at risk as to whether the collaboration partner will choose to exercise the option. Factors that we consider in evaluating whether an option is substantive include the overall objective of the arrangement, the benefit the collaborator might obtain from the arrangement without exercising the option, the cost to exercise the option and the likelihood that the option will be exercised. For arrangements under which an option is considered substantive, we do not consider the item underlying the option to be a deliverable at the inception of the arrangement and the associated option fees are not included in allocable arrangement consideration, assuming the option is not priced at a significant and incremental discount. Conversely, for arrangements under which an option is not considered substantive or if an option is priced at a significant and incremental discount, we would consider the item underlying the option to be a deliverable at the inception of the arrangement and a corresponding amount would be included in allocable arrangement consideration.</w:t>
      </w:r>
    </w:p>
    <w:p>
      <w:pPr>
        <w:spacing w:after="0" w:line="196" w:lineRule="exact"/>
        <w:rPr>
          <w:sz w:val="20"/>
          <w:szCs w:val="20"/>
          <w:color w:val="auto"/>
        </w:rPr>
      </w:pPr>
    </w:p>
    <w:p>
      <w:pPr>
        <w:ind w:left="380" w:right="760" w:firstLine="534"/>
        <w:spacing w:after="0" w:line="258" w:lineRule="auto"/>
        <w:rPr>
          <w:sz w:val="20"/>
          <w:szCs w:val="20"/>
          <w:color w:val="auto"/>
        </w:rPr>
      </w:pPr>
      <w:r>
        <w:rPr>
          <w:rFonts w:ascii="Arial" w:cs="Arial" w:eastAsia="Arial" w:hAnsi="Arial"/>
          <w:sz w:val="17"/>
          <w:szCs w:val="17"/>
          <w:color w:val="auto"/>
        </w:rPr>
        <w:t>Revenues related to research collaboration services and grants are recognized as research costs are incurred, and/or the underlying services are performed over the term as specified in the related agreements.</w:t>
      </w:r>
    </w:p>
    <w:p>
      <w:pPr>
        <w:spacing w:after="0" w:line="11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040"/>
          </w:cols>
          <w:pgMar w:left="240" w:top="449" w:right="61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Accrued Research and Development Expenses</w:t>
      </w:r>
    </w:p>
    <w:p>
      <w:pPr>
        <w:spacing w:after="0" w:line="126" w:lineRule="exact"/>
        <w:rPr>
          <w:sz w:val="20"/>
          <w:szCs w:val="20"/>
          <w:color w:val="auto"/>
        </w:rPr>
      </w:pPr>
    </w:p>
    <w:p>
      <w:pPr>
        <w:ind w:left="380" w:right="60" w:firstLine="534"/>
        <w:spacing w:after="0" w:line="258" w:lineRule="auto"/>
        <w:rPr>
          <w:sz w:val="20"/>
          <w:szCs w:val="20"/>
          <w:color w:val="auto"/>
        </w:rPr>
      </w:pPr>
      <w:r>
        <w:rPr>
          <w:rFonts w:ascii="Arial" w:cs="Arial" w:eastAsia="Arial" w:hAnsi="Arial"/>
          <w:sz w:val="17"/>
          <w:szCs w:val="17"/>
          <w:color w:val="auto"/>
        </w:rPr>
        <w:t>As part of the process of preparing financial statements, we are required to estimate and accrue expenses, the largest of which are research and development expenses. This process involves:</w:t>
      </w:r>
    </w:p>
    <w:p>
      <w:pPr>
        <w:spacing w:after="0" w:line="90" w:lineRule="exact"/>
        <w:rPr>
          <w:sz w:val="20"/>
          <w:szCs w:val="20"/>
          <w:color w:val="auto"/>
        </w:rPr>
      </w:pPr>
    </w:p>
    <w:p>
      <w:pPr>
        <w:jc w:val="both"/>
        <w:ind w:left="1100" w:right="380" w:hanging="205"/>
        <w:spacing w:after="0" w:line="250" w:lineRule="auto"/>
        <w:tabs>
          <w:tab w:leader="none" w:pos="11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communicating with our applicable personnel to identify services that have been performed on our behalf and estimating the level of service performed and the associated cost incurred for the service when we have not yet been invoiced or otherwise notified of actual cost;</w:t>
      </w:r>
    </w:p>
    <w:p>
      <w:pPr>
        <w:spacing w:after="0" w:line="96" w:lineRule="exact"/>
        <w:rPr>
          <w:rFonts w:ascii="Arial" w:cs="Arial" w:eastAsia="Arial" w:hAnsi="Arial"/>
          <w:sz w:val="17"/>
          <w:szCs w:val="17"/>
          <w:color w:val="auto"/>
        </w:rPr>
      </w:pPr>
    </w:p>
    <w:p>
      <w:pPr>
        <w:ind w:left="1100" w:right="180" w:hanging="205"/>
        <w:spacing w:after="0" w:line="258" w:lineRule="auto"/>
        <w:tabs>
          <w:tab w:leader="none" w:pos="11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estimating and accruing expenses in our financial statements as of each balance sheet date based on facts and circumstances known to us at the time; and</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periodically confirming the accuracy of our estimates with selected service providers and making adjustments, if necessary.</w:t>
      </w:r>
    </w:p>
    <w:p>
      <w:pPr>
        <w:spacing w:after="0" w:line="21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Examples of estimated research and development expenses that we accrue include:</w:t>
      </w:r>
    </w:p>
    <w:p>
      <w:pPr>
        <w:spacing w:after="0" w:line="119" w:lineRule="exact"/>
        <w:rPr>
          <w:sz w:val="20"/>
          <w:szCs w:val="20"/>
          <w:color w:val="auto"/>
        </w:rPr>
      </w:pPr>
    </w:p>
    <w:p>
      <w:pPr>
        <w:ind w:left="1100" w:hanging="205"/>
        <w:spacing w:after="0"/>
        <w:tabs>
          <w:tab w:leader="none" w:pos="11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fees paid to clinical research organizations in connection with nonclinical studies and clinical studies;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fees paid to investigative sites in connection with clinical studies;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fees paid to contract manufacturing organizations in connection with the production of clinical study materials; and</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professional service fees for consulting and related services.</w:t>
      </w:r>
    </w:p>
    <w:p>
      <w:pPr>
        <w:spacing w:after="0" w:line="210"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We base our expense accruals related to clinical studies on our estimates of the services received and efforts expended pursuant to contracts with multiple research institutions and clinical research organizations that conduct and manage clinical studies on our behalf. The financial terms of these agreements vary from contract to contract and may result in uneven payment flows. Payments under some of these contracts depend on factors, such as the successful enrollment of patients and the completion of clinical study milestones. Our service providers generally invoice us monthly in arrears for services performed. In accruing service fees, we estimate the time period over which services will be performed and the level of effort to be expended in each period. If we do not identify costs that we have begun to incur or if we underestimate or overestimate the level of services performed or the costs of these services, our actual expenses could differ from our estimates.</w:t>
      </w:r>
    </w:p>
    <w:p>
      <w:pPr>
        <w:spacing w:after="0" w:line="198" w:lineRule="exact"/>
        <w:rPr>
          <w:sz w:val="20"/>
          <w:szCs w:val="20"/>
          <w:color w:val="auto"/>
        </w:rPr>
      </w:pPr>
    </w:p>
    <w:p>
      <w:pPr>
        <w:jc w:val="both"/>
        <w:ind w:left="380" w:right="340" w:firstLine="534"/>
        <w:spacing w:after="0" w:line="250" w:lineRule="auto"/>
        <w:rPr>
          <w:sz w:val="20"/>
          <w:szCs w:val="20"/>
          <w:color w:val="auto"/>
        </w:rPr>
      </w:pPr>
      <w:r>
        <w:rPr>
          <w:rFonts w:ascii="Arial" w:cs="Arial" w:eastAsia="Arial" w:hAnsi="Arial"/>
          <w:sz w:val="17"/>
          <w:szCs w:val="17"/>
          <w:color w:val="auto"/>
        </w:rPr>
        <w:t>To date, we have not experienced significant changes in our estimates of accrued research and development expenses after a reporting period. However, due to the nature of estimates, we cannot assure you that we will not make changes to our estimates in the future as we become aware of additional information about the status or conduct of our clinical studies and other research activities.</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26" w:lineRule="exact"/>
        <w:rPr>
          <w:sz w:val="20"/>
          <w:szCs w:val="20"/>
          <w:color w:val="auto"/>
        </w:rPr>
      </w:pPr>
    </w:p>
    <w:p>
      <w:pPr>
        <w:ind w:left="380" w:right="500" w:firstLine="534"/>
        <w:spacing w:after="0" w:line="258" w:lineRule="auto"/>
        <w:rPr>
          <w:sz w:val="20"/>
          <w:szCs w:val="20"/>
          <w:color w:val="auto"/>
        </w:rPr>
      </w:pPr>
      <w:r>
        <w:rPr>
          <w:rFonts w:ascii="Arial" w:cs="Arial" w:eastAsia="Arial" w:hAnsi="Arial"/>
          <w:sz w:val="17"/>
          <w:szCs w:val="17"/>
          <w:color w:val="auto"/>
        </w:rPr>
        <w:t>Stock-based compensation expense represents the grant date fair value of employee stock option grants recognized over the requisite service period of the awards (usually the vesting period) on a straight-line basis, net of estimated forfeitures.</w:t>
      </w:r>
    </w:p>
    <w:p>
      <w:pPr>
        <w:spacing w:after="0" w:line="182" w:lineRule="exact"/>
        <w:rPr>
          <w:sz w:val="20"/>
          <w:szCs w:val="20"/>
          <w:color w:val="auto"/>
        </w:rPr>
      </w:pPr>
    </w:p>
    <w:p>
      <w:pPr>
        <w:ind w:left="380" w:right="320" w:firstLine="534"/>
        <w:spacing w:after="0" w:line="250" w:lineRule="auto"/>
        <w:rPr>
          <w:sz w:val="20"/>
          <w:szCs w:val="20"/>
          <w:color w:val="auto"/>
        </w:rPr>
      </w:pPr>
      <w:r>
        <w:rPr>
          <w:rFonts w:ascii="Arial" w:cs="Arial" w:eastAsia="Arial" w:hAnsi="Arial"/>
          <w:sz w:val="17"/>
          <w:szCs w:val="17"/>
          <w:color w:val="auto"/>
        </w:rPr>
        <w:t>We account for stock options granted to non-employees using the fair value approach. These options are subject to periodic revaluation to reflect the current fair value at each reporting period until the non-employee completes the performance obligation or the date on which a performance commitment is reached.</w:t>
      </w:r>
    </w:p>
    <w:p>
      <w:pPr>
        <w:spacing w:after="0" w:line="188" w:lineRule="exact"/>
        <w:rPr>
          <w:sz w:val="20"/>
          <w:szCs w:val="20"/>
          <w:color w:val="auto"/>
        </w:rPr>
      </w:pPr>
    </w:p>
    <w:p>
      <w:pPr>
        <w:ind w:left="380" w:right="100" w:firstLine="534"/>
        <w:spacing w:after="0" w:line="258" w:lineRule="auto"/>
        <w:rPr>
          <w:sz w:val="20"/>
          <w:szCs w:val="20"/>
          <w:color w:val="auto"/>
        </w:rPr>
      </w:pPr>
      <w:r>
        <w:rPr>
          <w:rFonts w:ascii="Arial" w:cs="Arial" w:eastAsia="Arial" w:hAnsi="Arial"/>
          <w:sz w:val="17"/>
          <w:szCs w:val="17"/>
          <w:color w:val="auto"/>
        </w:rPr>
        <w:t>We calculate the fair value of stock-based compensation awards using the Black-Scholes option-pricing model. The Black-Scholes option-pricing model requires the use of subjective assumptions,</w:t>
      </w:r>
    </w:p>
    <w:p>
      <w:pPr>
        <w:spacing w:after="0" w:line="1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060"/>
          </w:cols>
          <w:pgMar w:left="240" w:top="449" w:right="59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220"/>
        <w:spacing w:after="0" w:line="258" w:lineRule="auto"/>
        <w:rPr>
          <w:sz w:val="20"/>
          <w:szCs w:val="20"/>
          <w:color w:val="auto"/>
        </w:rPr>
      </w:pPr>
      <w:r>
        <w:rPr>
          <w:rFonts w:ascii="Arial" w:cs="Arial" w:eastAsia="Arial" w:hAnsi="Arial"/>
          <w:sz w:val="17"/>
          <w:szCs w:val="17"/>
          <w:color w:val="auto"/>
        </w:rPr>
        <w:t>including stock price volatility, the expected life of stock options, risk free interest rate and the fair value of the underlying common stock on the date of grant. Our key assumptions are:</w:t>
      </w:r>
    </w:p>
    <w:p>
      <w:pPr>
        <w:spacing w:after="0" w:line="70" w:lineRule="exact"/>
        <w:rPr>
          <w:sz w:val="20"/>
          <w:szCs w:val="20"/>
          <w:color w:val="auto"/>
        </w:rPr>
      </w:pPr>
    </w:p>
    <w:p>
      <w:pPr>
        <w:ind w:left="1100" w:hanging="205"/>
        <w:spacing w:after="0" w:line="283" w:lineRule="auto"/>
        <w:tabs>
          <w:tab w:leader="none" w:pos="110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Expected Stock Price Volatility: </w:t>
      </w:r>
      <w:r>
        <w:rPr>
          <w:rFonts w:ascii="Arial" w:cs="Arial" w:eastAsia="Arial" w:hAnsi="Arial"/>
          <w:sz w:val="17"/>
          <w:szCs w:val="17"/>
          <w:color w:val="auto"/>
        </w:rPr>
        <w:t>The expected volatility is based on the historical volatility of the stock of similar entities within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industry over periods commensurate with our expected term assumption.</w:t>
      </w:r>
    </w:p>
    <w:p>
      <w:pPr>
        <w:spacing w:after="0" w:line="49" w:lineRule="exact"/>
        <w:rPr>
          <w:rFonts w:ascii="Arial" w:cs="Arial" w:eastAsia="Arial" w:hAnsi="Arial"/>
          <w:sz w:val="17"/>
          <w:szCs w:val="17"/>
          <w:color w:val="auto"/>
        </w:rPr>
      </w:pPr>
    </w:p>
    <w:p>
      <w:pPr>
        <w:ind w:left="1100" w:right="160" w:hanging="205"/>
        <w:spacing w:after="0" w:line="262" w:lineRule="auto"/>
        <w:tabs>
          <w:tab w:leader="none" w:pos="110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Expected Term of Options: </w:t>
      </w:r>
      <w:r>
        <w:rPr>
          <w:rFonts w:ascii="Arial" w:cs="Arial" w:eastAsia="Arial" w:hAnsi="Arial"/>
          <w:sz w:val="17"/>
          <w:szCs w:val="17"/>
          <w:color w:val="auto"/>
        </w:rPr>
        <w:t>The expected term of options represents the period of time options are expected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The expected term of the options granted is derived using the “simplified” method (that is, estimating the expected term as the mid-point between the vesting date and the end of the contractual term for each option).</w:t>
      </w:r>
    </w:p>
    <w:p>
      <w:pPr>
        <w:spacing w:after="0" w:line="66" w:lineRule="exact"/>
        <w:rPr>
          <w:rFonts w:ascii="Arial" w:cs="Arial" w:eastAsia="Arial" w:hAnsi="Arial"/>
          <w:sz w:val="17"/>
          <w:szCs w:val="17"/>
          <w:color w:val="auto"/>
        </w:rPr>
      </w:pPr>
    </w:p>
    <w:p>
      <w:pPr>
        <w:ind w:left="1100" w:right="40" w:hanging="205"/>
        <w:spacing w:after="0" w:line="283" w:lineRule="auto"/>
        <w:tabs>
          <w:tab w:leader="none" w:pos="110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Risk-free Interest Rate: </w:t>
      </w:r>
      <w:r>
        <w:rPr>
          <w:rFonts w:ascii="Arial" w:cs="Arial" w:eastAsia="Arial" w:hAnsi="Arial"/>
          <w:sz w:val="17"/>
          <w:szCs w:val="17"/>
          <w:color w:val="auto"/>
        </w:rPr>
        <w:t>We base the risk-free interest rate on the interest rate payable on U.S. Treasury securities in effect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time of grant for a period that is commensurate with the assumed expected option term.</w:t>
      </w:r>
    </w:p>
    <w:p>
      <w:pPr>
        <w:spacing w:after="0" w:line="49" w:lineRule="exact"/>
        <w:rPr>
          <w:rFonts w:ascii="Arial" w:cs="Arial" w:eastAsia="Arial" w:hAnsi="Arial"/>
          <w:sz w:val="17"/>
          <w:szCs w:val="17"/>
          <w:color w:val="auto"/>
        </w:rPr>
      </w:pPr>
    </w:p>
    <w:p>
      <w:pPr>
        <w:ind w:left="1100" w:right="100" w:hanging="205"/>
        <w:spacing w:after="0" w:line="283" w:lineRule="auto"/>
        <w:tabs>
          <w:tab w:leader="none" w:pos="110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Expected Annual Dividends: </w:t>
      </w:r>
      <w:r>
        <w:rPr>
          <w:rFonts w:ascii="Arial" w:cs="Arial" w:eastAsia="Arial" w:hAnsi="Arial"/>
          <w:sz w:val="17"/>
          <w:szCs w:val="17"/>
          <w:color w:val="auto"/>
        </w:rPr>
        <w:t>The estimate for annual dividends is zero because we have not historically paid dividends,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 not expect to pay dividends for the foreseeable future.</w:t>
      </w:r>
    </w:p>
    <w:p>
      <w:pPr>
        <w:spacing w:after="0" w:line="161" w:lineRule="exact"/>
        <w:rPr>
          <w:sz w:val="20"/>
          <w:szCs w:val="20"/>
          <w:color w:val="auto"/>
        </w:rPr>
      </w:pPr>
    </w:p>
    <w:p>
      <w:pPr>
        <w:ind w:left="380" w:firstLine="534"/>
        <w:spacing w:after="0" w:line="250" w:lineRule="auto"/>
        <w:rPr>
          <w:sz w:val="20"/>
          <w:szCs w:val="20"/>
          <w:color w:val="auto"/>
        </w:rPr>
      </w:pPr>
      <w:r>
        <w:rPr>
          <w:rFonts w:ascii="Arial" w:cs="Arial" w:eastAsia="Arial" w:hAnsi="Arial"/>
          <w:sz w:val="17"/>
          <w:szCs w:val="17"/>
          <w:color w:val="auto"/>
        </w:rPr>
        <w:t>We recorded stock-based compensation expense of $7.7 million and $10.0 million for the years ended December 31, 2017 and 2018, respectively. As of December 31, 2018, we had unrecognized stock-based compensation cost related to options granted to employees and directors of $16.7 million, net of forfeitures, which is expected to be recognized as expense over approximately 2.79 years.</w:t>
      </w:r>
    </w:p>
    <w:p>
      <w:pPr>
        <w:spacing w:after="0" w:line="188"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 xml:space="preserve">Historically, the fair value of the common stock underlying our share-based awards was estimated on each grant date by our board of directors. In order to determine the fair value of our common stock underlying option grants, our board of directors considered, among other things, timely valuations of our common stock prepared by an unrelated third-party valuation firm in accordance with the guidance provided by the American Institute of Certified Public Accountants Practice Guide, </w:t>
      </w:r>
      <w:r>
        <w:rPr>
          <w:rFonts w:ascii="Arial" w:cs="Arial" w:eastAsia="Arial" w:hAnsi="Arial"/>
          <w:sz w:val="17"/>
          <w:szCs w:val="17"/>
          <w:i w:val="1"/>
          <w:iCs w:val="1"/>
          <w:color w:val="auto"/>
        </w:rPr>
        <w:t>Valuation of Privately-Held-Company Equity Securities</w:t>
      </w:r>
      <w:r>
        <w:rPr>
          <w:rFonts w:ascii="Arial" w:cs="Arial" w:eastAsia="Arial" w:hAnsi="Arial"/>
          <w:sz w:val="17"/>
          <w:szCs w:val="17"/>
          <w:color w:val="auto"/>
        </w:rPr>
        <w:t xml:space="preserve"> </w:t>
      </w:r>
      <w:r>
        <w:rPr>
          <w:rFonts w:ascii="Arial" w:cs="Arial" w:eastAsia="Arial" w:hAnsi="Arial"/>
          <w:sz w:val="17"/>
          <w:szCs w:val="17"/>
          <w:i w:val="1"/>
          <w:iCs w:val="1"/>
          <w:color w:val="auto"/>
        </w:rPr>
        <w:t>Issued as Compensation</w:t>
      </w:r>
      <w:r>
        <w:rPr>
          <w:rFonts w:ascii="Arial" w:cs="Arial" w:eastAsia="Arial" w:hAnsi="Arial"/>
          <w:sz w:val="17"/>
          <w:szCs w:val="17"/>
          <w:color w:val="auto"/>
        </w:rPr>
        <w:t>. Given the absence of a public trading market for our common stock, our board of directors exercised reasonable</w:t>
      </w:r>
      <w:r>
        <w:rPr>
          <w:rFonts w:ascii="Arial" w:cs="Arial" w:eastAsia="Arial" w:hAnsi="Arial"/>
          <w:sz w:val="17"/>
          <w:szCs w:val="17"/>
          <w:i w:val="1"/>
          <w:iCs w:val="1"/>
          <w:color w:val="auto"/>
        </w:rPr>
        <w:t xml:space="preserve"> </w:t>
      </w:r>
      <w:r>
        <w:rPr>
          <w:rFonts w:ascii="Arial" w:cs="Arial" w:eastAsia="Arial" w:hAnsi="Arial"/>
          <w:sz w:val="17"/>
          <w:szCs w:val="17"/>
          <w:color w:val="auto"/>
        </w:rPr>
        <w:t>judgment and considered a number of objective and subjective factors to determine the best estimate of the fair value of our common stock, including our stage of development; progress of our research and development efforts; the rights, preferences and privileges of our convertible preferred stock relative to those of our common stock; equity market conditions affecting comparable public companies; and the lack of marketability of our common stock.</w:t>
      </w:r>
    </w:p>
    <w:p>
      <w:pPr>
        <w:spacing w:after="0" w:line="196" w:lineRule="exact"/>
        <w:rPr>
          <w:sz w:val="20"/>
          <w:szCs w:val="20"/>
          <w:color w:val="auto"/>
        </w:rPr>
      </w:pPr>
    </w:p>
    <w:p>
      <w:pPr>
        <w:ind w:left="380" w:firstLine="534"/>
        <w:spacing w:after="0" w:line="242" w:lineRule="auto"/>
        <w:rPr>
          <w:sz w:val="20"/>
          <w:szCs w:val="20"/>
          <w:color w:val="auto"/>
        </w:rPr>
      </w:pPr>
      <w:r>
        <w:rPr>
          <w:rFonts w:ascii="Arial" w:cs="Arial" w:eastAsia="Arial" w:hAnsi="Arial"/>
          <w:sz w:val="17"/>
          <w:szCs w:val="17"/>
          <w:color w:val="auto"/>
        </w:rPr>
        <w:t>We have utilized the probability-weighted expected return method, or PWERM, alone or in combination with the option pricing method, or OPM, as a hybrid method, or Hybrid Method, each an accepted valuation method under the AICPA Practice Guide, for determining the fair value of our common stock. The PWERM is a scenario-based analysis that estimates the value per share of common stock based on the probability-weighted present value of expected future equity values for the common stock, under various possible future liquidity event scenarios, in light of the rights and preferences of each class and series of stock, discounted for a lack of marketability. The OPM values each equity class by creating a series of call options on the equity value, with exercise prices based on the liquidation preferences, participation rights and strike prices of derivatives. The Hybrid Method is appropriate for a company expecting a near term liquidity event, but where, due to market or other factors, the likelihood of completing the liquidity event is uncertain. The Hybrid Method considers a company’s going concern nature, stage of development and the company’s ability to forecast near and long-term future liquidity scenarios. In connection with our preparation for filing a registration statement with the SEC, we evaluated whether or not in retrospect the valuation of our common stock as of the date of each option grant over the previous 12 months was appropriate for accounting purposes.</w:t>
      </w:r>
    </w:p>
    <w:p>
      <w:pPr>
        <w:spacing w:after="0" w:line="398" w:lineRule="exact"/>
        <w:rPr>
          <w:sz w:val="20"/>
          <w:szCs w:val="20"/>
          <w:color w:val="auto"/>
        </w:rPr>
      </w:pPr>
    </w:p>
    <w:p>
      <w:pPr>
        <w:ind w:left="380" w:right="160" w:firstLine="534"/>
        <w:spacing w:after="0" w:line="258" w:lineRule="auto"/>
        <w:rPr>
          <w:sz w:val="20"/>
          <w:szCs w:val="20"/>
          <w:color w:val="auto"/>
        </w:rPr>
      </w:pPr>
      <w:r>
        <w:rPr>
          <w:rFonts w:ascii="Arial" w:cs="Arial" w:eastAsia="Arial" w:hAnsi="Arial"/>
          <w:sz w:val="17"/>
          <w:szCs w:val="17"/>
          <w:color w:val="auto"/>
        </w:rPr>
        <w:t>The dates of our contemporaneous valuations have not always coincided with the dates of our stock option grants. In determining the exercise prices of the stock options, our board of directors</w:t>
      </w:r>
    </w:p>
    <w:p>
      <w:pPr>
        <w:spacing w:after="0" w:line="1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040"/>
          </w:cols>
          <w:pgMar w:left="240" w:top="449" w:right="61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220"/>
        <w:spacing w:after="0" w:line="247" w:lineRule="auto"/>
        <w:rPr>
          <w:sz w:val="20"/>
          <w:szCs w:val="20"/>
          <w:color w:val="auto"/>
        </w:rPr>
      </w:pPr>
      <w:r>
        <w:rPr>
          <w:rFonts w:ascii="Arial" w:cs="Arial" w:eastAsia="Arial" w:hAnsi="Arial"/>
          <w:sz w:val="17"/>
          <w:szCs w:val="17"/>
          <w:color w:val="auto"/>
        </w:rPr>
        <w:t>considered, among other things, the most recent contemporaneous valuations of our common stock and our assessment of additional objective and subjective factors we believed were relevant as of the grant date. The additional factors considered when determining any changes in fair value between the most recent contemporaneous valuation and the grant dates included our stage of research and development, our operating and financial performance and current business conditions.</w:t>
      </w:r>
    </w:p>
    <w:p>
      <w:pPr>
        <w:spacing w:after="0" w:line="190" w:lineRule="exact"/>
        <w:rPr>
          <w:sz w:val="20"/>
          <w:szCs w:val="20"/>
          <w:color w:val="auto"/>
        </w:rPr>
      </w:pPr>
    </w:p>
    <w:p>
      <w:pPr>
        <w:ind w:left="380" w:right="240" w:firstLine="534"/>
        <w:spacing w:after="0" w:line="258" w:lineRule="auto"/>
        <w:rPr>
          <w:sz w:val="20"/>
          <w:szCs w:val="20"/>
          <w:color w:val="auto"/>
        </w:rPr>
      </w:pPr>
      <w:r>
        <w:rPr>
          <w:rFonts w:ascii="Arial" w:cs="Arial" w:eastAsia="Arial" w:hAnsi="Arial"/>
          <w:sz w:val="17"/>
          <w:szCs w:val="17"/>
          <w:color w:val="auto"/>
        </w:rPr>
        <w:t>After the completion of this offering, the fair market value of each share of underlying common stock will be determined based on the closing price of our common stock as reported by the Nasdaq Global Select Market on the date of grant.</w:t>
      </w:r>
    </w:p>
    <w:p>
      <w:pPr>
        <w:spacing w:after="0" w:line="182" w:lineRule="exact"/>
        <w:rPr>
          <w:sz w:val="20"/>
          <w:szCs w:val="20"/>
          <w:color w:val="auto"/>
        </w:rPr>
      </w:pPr>
    </w:p>
    <w:p>
      <w:pPr>
        <w:jc w:val="both"/>
        <w:ind w:left="380" w:firstLine="534"/>
        <w:spacing w:after="0" w:line="250" w:lineRule="auto"/>
        <w:rPr>
          <w:sz w:val="20"/>
          <w:szCs w:val="20"/>
          <w:color w:val="auto"/>
        </w:rPr>
      </w:pPr>
      <w:r>
        <w:rPr>
          <w:rFonts w:ascii="Arial" w:cs="Arial" w:eastAsia="Arial" w:hAnsi="Arial"/>
          <w:sz w:val="17"/>
          <w:szCs w:val="17"/>
          <w:color w:val="auto"/>
        </w:rPr>
        <w:t>Based on an assumed initial public offering price of $15.00 per share, the midpoint of the price range set forth on the cover page of this prospectus, the intrinsic value of stock options outstanding at December 31, 2018 was $118.4 million, of which $82.3 million and $36.1 million related to stock options that were vested and unvested, respectively, at that date.</w:t>
      </w:r>
    </w:p>
    <w:p>
      <w:pPr>
        <w:spacing w:after="0" w:line="27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JOBS Act Accounting Election</w:t>
      </w:r>
    </w:p>
    <w:p>
      <w:pPr>
        <w:spacing w:after="0" w:line="232" w:lineRule="exact"/>
        <w:rPr>
          <w:sz w:val="20"/>
          <w:szCs w:val="20"/>
          <w:color w:val="auto"/>
        </w:rPr>
      </w:pPr>
    </w:p>
    <w:p>
      <w:pPr>
        <w:ind w:left="380" w:right="20" w:firstLine="534"/>
        <w:spacing w:after="0" w:line="250"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Under the JOBS Act, emerging growth companies may delay the adoption of new or revised accounting standards issued subsequent to the enactment of the JOBS Act until such time as those standards would otherwise apply to private companies.</w:t>
      </w:r>
    </w:p>
    <w:p>
      <w:pPr>
        <w:spacing w:after="0" w:line="188"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The JOBS Act permits an “emerging growth company” such as us to take advantage of an extended transition time to comply with new or revised accounting standards as applicable to public companies. We are choosing to elect the extended transition period for complying with new or revised accounting standards applicable to public companies. We have elected the extended transition period for complying with new or revised accounting standards pursuant to Section 107(b) of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93" w:lineRule="exact"/>
        <w:rPr>
          <w:sz w:val="20"/>
          <w:szCs w:val="20"/>
          <w:color w:val="auto"/>
        </w:rPr>
      </w:pPr>
    </w:p>
    <w:p>
      <w:pPr>
        <w:ind w:left="380" w:right="100" w:firstLine="534"/>
        <w:spacing w:after="0" w:line="245" w:lineRule="auto"/>
        <w:rPr>
          <w:sz w:val="20"/>
          <w:szCs w:val="20"/>
          <w:color w:val="auto"/>
        </w:rPr>
      </w:pPr>
      <w:r>
        <w:rPr>
          <w:rFonts w:ascii="Arial" w:cs="Arial" w:eastAsia="Arial" w:hAnsi="Arial"/>
          <w:sz w:val="17"/>
          <w:szCs w:val="17"/>
          <w:color w:val="auto"/>
        </w:rPr>
        <w:t>We will remain an emerging growth company until the earlier to occur of (1) (a) the last day of the fiscal year following the fifth anniversary of the completion of this offering, (b) the last day of the fiscal year in which our annual gross revenue is $1.07 billion or more, or (c) the date on which we are deemed to be a “large accelerated filer,” under the rules of the SEC, which means the market value of our equity securities that is held by non-affiliates exceeds $700 million as of the prior June 30th, and (2) the date on which we have issued more than $1.0 billion in non-convertible debt during the prior three-year period.</w:t>
      </w:r>
    </w:p>
    <w:p>
      <w:pPr>
        <w:spacing w:after="0" w:line="27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Newly Issued Accounting Pronouncements</w:t>
      </w:r>
    </w:p>
    <w:p>
      <w:pPr>
        <w:spacing w:after="0" w:line="214" w:lineRule="exact"/>
        <w:rPr>
          <w:sz w:val="20"/>
          <w:szCs w:val="20"/>
          <w:color w:val="auto"/>
        </w:rPr>
      </w:pPr>
    </w:p>
    <w:p>
      <w:pPr>
        <w:ind w:left="380" w:right="60" w:firstLine="534"/>
        <w:spacing w:after="0" w:line="247"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which supersedes the revenue recognition requirements in Accounting Standards Codification (ASC) 605, Revenue Recognition.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The ASU’s effective date will be for annual reporting periods beginning after December 15, 2018 and interim periods</w:t>
      </w:r>
    </w:p>
    <w:p>
      <w:pPr>
        <w:spacing w:after="0" w:line="12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060"/>
          </w:cols>
          <w:pgMar w:left="240" w:top="449" w:right="59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80"/>
        <w:spacing w:after="0" w:line="244" w:lineRule="auto"/>
        <w:rPr>
          <w:sz w:val="20"/>
          <w:szCs w:val="20"/>
          <w:color w:val="auto"/>
        </w:rPr>
      </w:pPr>
      <w:r>
        <w:rPr>
          <w:rFonts w:ascii="Arial" w:cs="Arial" w:eastAsia="Arial" w:hAnsi="Arial"/>
          <w:sz w:val="17"/>
          <w:szCs w:val="17"/>
          <w:color w:val="auto"/>
        </w:rPr>
        <w:t>beginning after December 15, 2019 using one of two retrospective application methods. The Company has engaged outside advisors to assist in analyzing its research collaboration, product development and license agreement with Merck to determine the differences in the accounting treatment under ASU 2014-09 compared to the current accounting treatment. The consideration the Company is eligible to receive under this agreement includes upfront payments, research and development funding, option payments, milestone payments, and royalties. The new revenue recognition standard differs from the current accounting standard in many respects, such as in the accounting for variable consideration and the measurement of progress toward completion of performance obligations. The Company currently anticipates adopting the new standard effective January 1, 2019 under the modified retrospective method.</w:t>
      </w:r>
    </w:p>
    <w:p>
      <w:pPr>
        <w:spacing w:after="0" w:line="175" w:lineRule="exact"/>
        <w:rPr>
          <w:sz w:val="20"/>
          <w:szCs w:val="20"/>
          <w:color w:val="auto"/>
        </w:rPr>
      </w:pPr>
    </w:p>
    <w:p>
      <w:pPr>
        <w:ind w:left="380" w:right="100" w:firstLine="534"/>
        <w:spacing w:after="0" w:line="251"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ASU 2016-02 is aimed at making leasing activities more transparent and comparable, and requires substantially all leases be recognized by lessees on their balance sheet as a right-of-use asset and corresponding lease liability, including leases currently accounted for as operating leases. ASU 2016-02 is effective for all annual reporting periods beginning after December 15, 2019. Early adoption is permitted. The Company is currently assessing the timing of adoption and the impact that the adoption of ASU 2016-02 will have on its consolidated financial statements and related disclosures.</w:t>
      </w:r>
    </w:p>
    <w:p>
      <w:pPr>
        <w:spacing w:after="0" w:line="169" w:lineRule="exact"/>
        <w:rPr>
          <w:sz w:val="20"/>
          <w:szCs w:val="20"/>
          <w:color w:val="auto"/>
        </w:rPr>
      </w:pPr>
    </w:p>
    <w:p>
      <w:pPr>
        <w:ind w:left="380" w:firstLine="534"/>
        <w:spacing w:after="0" w:line="247"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(Topic 718)—</w:t>
      </w:r>
      <w:r>
        <w:rPr>
          <w:rFonts w:ascii="Arial" w:cs="Arial" w:eastAsia="Arial" w:hAnsi="Arial"/>
          <w:sz w:val="17"/>
          <w:szCs w:val="17"/>
          <w:i w:val="1"/>
          <w:iCs w:val="1"/>
          <w:color w:val="auto"/>
        </w:rPr>
        <w:t>Improvements to Employee</w:t>
      </w:r>
      <w:r>
        <w:rPr>
          <w:rFonts w:ascii="Arial" w:cs="Arial" w:eastAsia="Arial" w:hAnsi="Arial"/>
          <w:sz w:val="17"/>
          <w:szCs w:val="17"/>
          <w:color w:val="auto"/>
        </w:rPr>
        <w:t xml:space="preserve"> </w:t>
      </w:r>
      <w:r>
        <w:rPr>
          <w:rFonts w:ascii="Arial" w:cs="Arial" w:eastAsia="Arial" w:hAnsi="Arial"/>
          <w:sz w:val="17"/>
          <w:szCs w:val="17"/>
          <w:i w:val="1"/>
          <w:iCs w:val="1"/>
          <w:color w:val="auto"/>
        </w:rPr>
        <w:t>Share Based Payment Accounting as part of the FASB simplification initiative</w:t>
      </w:r>
      <w:r>
        <w:rPr>
          <w:rFonts w:ascii="Arial" w:cs="Arial" w:eastAsia="Arial" w:hAnsi="Arial"/>
          <w:sz w:val="17"/>
          <w:szCs w:val="17"/>
          <w:color w:val="auto"/>
        </w:rPr>
        <w:t>. The new standard provides for changes to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stock compensation including 1) excess tax benefits and tax deficiencies related to share based payment awards will be recognized as income tax expense in the reporting period in which they occur; 2) excess tax benefits will be classified as an operating activity in the statement of cash flows; 3) the option to elect to estimate forfeitures or account for them when they occur; and 4) increase tax withholding requirements threshold to qualify for equity classification. The Company adopted ASU 2016-09 as of January 1, 2018; however, there was no impact on the Company’s consolidated financial statements as a result of adopting ASU 2016-09.</w:t>
      </w:r>
    </w:p>
    <w:p>
      <w:pPr>
        <w:spacing w:after="0" w:line="176" w:lineRule="exact"/>
        <w:rPr>
          <w:sz w:val="20"/>
          <w:szCs w:val="20"/>
          <w:color w:val="auto"/>
        </w:rPr>
      </w:pPr>
    </w:p>
    <w:p>
      <w:pPr>
        <w:ind w:left="380" w:firstLine="534"/>
        <w:spacing w:after="0" w:line="247"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(Topic 230)</w:t>
      </w:r>
      <w:r>
        <w:rPr>
          <w:rFonts w:ascii="Arial" w:cs="Arial" w:eastAsia="Arial" w:hAnsi="Arial"/>
          <w:sz w:val="17"/>
          <w:szCs w:val="17"/>
          <w:i w:val="1"/>
          <w:iCs w:val="1"/>
          <w:color w:val="auto"/>
        </w:rPr>
        <w:t>— Restricted Cash</w:t>
      </w:r>
      <w:r>
        <w:rPr>
          <w:rFonts w:ascii="Arial" w:cs="Arial" w:eastAsia="Arial" w:hAnsi="Arial"/>
          <w:sz w:val="17"/>
          <w:szCs w:val="17"/>
          <w:color w:val="auto"/>
        </w:rPr>
        <w:t>, to clarify the presentation of the change in restricted cash on the statement of cash flows. The new standard clarifies the FASB’s position that changes to restricted cash are not reflective of an entity’s operating, investing or financing activities, and therefore should be included with cash and cash equivalents when reconciling the beginning-of-period and end-of-period total amounts shown on the statement of cash flows. The ASU is effective for fiscal years beginning after December 15, 2018. The Company elected to early adopt this ASU for the year ended December 31, 2018, noting no impact of this ASU on the presentation of its consolidated statement of cash flows due to no changes in restricted cash during the year.</w:t>
      </w:r>
    </w:p>
    <w:p>
      <w:pPr>
        <w:spacing w:after="0" w:line="176" w:lineRule="exact"/>
        <w:rPr>
          <w:sz w:val="20"/>
          <w:szCs w:val="20"/>
          <w:color w:val="auto"/>
        </w:rPr>
      </w:pPr>
    </w:p>
    <w:p>
      <w:pPr>
        <w:ind w:left="380" w:firstLine="534"/>
        <w:spacing w:after="0" w:line="254" w:lineRule="auto"/>
        <w:rPr>
          <w:sz w:val="20"/>
          <w:szCs w:val="20"/>
          <w:color w:val="auto"/>
        </w:rPr>
      </w:pPr>
      <w:r>
        <w:rPr>
          <w:rFonts w:ascii="Arial" w:cs="Arial" w:eastAsia="Arial" w:hAnsi="Arial"/>
          <w:sz w:val="17"/>
          <w:szCs w:val="17"/>
          <w:color w:val="auto"/>
        </w:rPr>
        <w:t xml:space="preserve">In May 2017, the FASB issued ASU No. 2017-09, </w:t>
      </w:r>
      <w:r>
        <w:rPr>
          <w:rFonts w:ascii="Arial" w:cs="Arial" w:eastAsia="Arial" w:hAnsi="Arial"/>
          <w:sz w:val="17"/>
          <w:szCs w:val="17"/>
          <w:i w:val="1"/>
          <w:iCs w:val="1"/>
          <w:color w:val="auto"/>
        </w:rPr>
        <w:t>Compensation—Stock Compensation (Topic 718): Scope Modification</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ASU 2017-09 defines which changes to the terms or conditions of a share-based payment award require the Company to</w:t>
      </w:r>
      <w:r>
        <w:rPr>
          <w:rFonts w:ascii="Arial" w:cs="Arial" w:eastAsia="Arial" w:hAnsi="Arial"/>
          <w:sz w:val="17"/>
          <w:szCs w:val="17"/>
          <w:i w:val="1"/>
          <w:iCs w:val="1"/>
          <w:color w:val="auto"/>
        </w:rPr>
        <w:t xml:space="preserve"> </w:t>
      </w:r>
      <w:r>
        <w:rPr>
          <w:rFonts w:ascii="Arial" w:cs="Arial" w:eastAsia="Arial" w:hAnsi="Arial"/>
          <w:sz w:val="17"/>
          <w:szCs w:val="17"/>
          <w:color w:val="auto"/>
        </w:rPr>
        <w:t>apply modification accounting. The Company adopted ASU 2017-09 on January 1, 2018; however, there was no impact on the Company’s consolidated financial statements as a result of adopting ASU 2017-09.</w:t>
      </w:r>
    </w:p>
    <w:p>
      <w:pPr>
        <w:spacing w:after="0" w:line="168" w:lineRule="exact"/>
        <w:rPr>
          <w:sz w:val="20"/>
          <w:szCs w:val="20"/>
          <w:color w:val="auto"/>
        </w:rPr>
      </w:pPr>
    </w:p>
    <w:p>
      <w:pPr>
        <w:ind w:left="380" w:right="200" w:firstLine="534"/>
        <w:spacing w:after="0" w:line="261"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Compensation—Stock Compensation (Topic 718): 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Non-Employee Share-Based Payment Accounting </w:t>
      </w:r>
      <w:r>
        <w:rPr>
          <w:rFonts w:ascii="Arial" w:cs="Arial" w:eastAsia="Arial" w:hAnsi="Arial"/>
          <w:sz w:val="17"/>
          <w:szCs w:val="17"/>
          <w:color w:val="auto"/>
        </w:rPr>
        <w:t>as part of the FASB simplification initiative. The new standard expands the scope of</w:t>
      </w:r>
      <w:r>
        <w:rPr>
          <w:rFonts w:ascii="Arial" w:cs="Arial" w:eastAsia="Arial" w:hAnsi="Arial"/>
          <w:sz w:val="17"/>
          <w:szCs w:val="17"/>
          <w:i w:val="1"/>
          <w:iCs w:val="1"/>
          <w:color w:val="auto"/>
        </w:rPr>
        <w:t xml:space="preserve"> </w:t>
      </w:r>
      <w:r>
        <w:rPr>
          <w:rFonts w:ascii="Arial" w:cs="Arial" w:eastAsia="Arial" w:hAnsi="Arial"/>
          <w:sz w:val="17"/>
          <w:szCs w:val="17"/>
          <w:color w:val="auto"/>
        </w:rPr>
        <w:t>Topic 718, allowing the Company to apply the requirements of Topic 718 to certain non-employee awards to acquire goods and services</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040"/>
          </w:cols>
          <w:pgMar w:left="240" w:top="449" w:right="61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140"/>
        <w:spacing w:after="0" w:line="250" w:lineRule="auto"/>
        <w:rPr>
          <w:sz w:val="20"/>
          <w:szCs w:val="20"/>
          <w:color w:val="auto"/>
        </w:rPr>
      </w:pPr>
      <w:r>
        <w:rPr>
          <w:rFonts w:ascii="Arial" w:cs="Arial" w:eastAsia="Arial" w:hAnsi="Arial"/>
          <w:sz w:val="17"/>
          <w:szCs w:val="17"/>
          <w:color w:val="auto"/>
        </w:rPr>
        <w:t>from non-employees. This ASU will be effective for the Company for fiscal years beginning after December 15, 2019, and interim periods within fiscal years beginning after December 15, 2020, with early adoption permitted. The Company is currently assessing the timing of adoption and the impact that the adoption of ASU 2018-07 will have on its consolidated financial statements and related disclosures.</w:t>
      </w:r>
    </w:p>
    <w:p>
      <w:pPr>
        <w:spacing w:after="0" w:line="170" w:lineRule="exact"/>
        <w:rPr>
          <w:sz w:val="20"/>
          <w:szCs w:val="20"/>
          <w:color w:val="auto"/>
        </w:rPr>
      </w:pPr>
    </w:p>
    <w:p>
      <w:pPr>
        <w:ind w:left="380" w:firstLine="534"/>
        <w:spacing w:after="0" w:line="245" w:lineRule="auto"/>
        <w:rPr>
          <w:sz w:val="20"/>
          <w:szCs w:val="20"/>
          <w:color w:val="auto"/>
        </w:rPr>
      </w:pPr>
      <w:r>
        <w:rPr>
          <w:rFonts w:ascii="Arial" w:cs="Arial" w:eastAsia="Arial" w:hAnsi="Arial"/>
          <w:sz w:val="17"/>
          <w:szCs w:val="17"/>
          <w:color w:val="auto"/>
        </w:rPr>
        <w:t xml:space="preserve">In November 2018, the FASB issued ASU No. 2018-18, </w:t>
      </w:r>
      <w:r>
        <w:rPr>
          <w:rFonts w:ascii="Arial" w:cs="Arial" w:eastAsia="Arial" w:hAnsi="Arial"/>
          <w:sz w:val="17"/>
          <w:szCs w:val="17"/>
          <w:i w:val="1"/>
          <w:iCs w:val="1"/>
          <w:color w:val="auto"/>
        </w:rPr>
        <w:t>Collaborative Arrangements (Topic 808): Clarifying the Interaction between</w:t>
      </w:r>
      <w:r>
        <w:rPr>
          <w:rFonts w:ascii="Arial" w:cs="Arial" w:eastAsia="Arial" w:hAnsi="Arial"/>
          <w:sz w:val="17"/>
          <w:szCs w:val="17"/>
          <w:color w:val="auto"/>
        </w:rPr>
        <w:t xml:space="preserve"> </w:t>
      </w:r>
      <w:r>
        <w:rPr>
          <w:rFonts w:ascii="Arial" w:cs="Arial" w:eastAsia="Arial" w:hAnsi="Arial"/>
          <w:sz w:val="17"/>
          <w:szCs w:val="17"/>
          <w:i w:val="1"/>
          <w:iCs w:val="1"/>
          <w:color w:val="auto"/>
        </w:rPr>
        <w:t>Topic 808 and Topic 606</w:t>
      </w:r>
      <w:r>
        <w:rPr>
          <w:rFonts w:ascii="Arial" w:cs="Arial" w:eastAsia="Arial" w:hAnsi="Arial"/>
          <w:sz w:val="17"/>
          <w:szCs w:val="17"/>
          <w:color w:val="auto"/>
        </w:rPr>
        <w:t>, which clarifies that certain transactions between collaborative arrangement participants should be accounted for</w:t>
      </w:r>
      <w:r>
        <w:rPr>
          <w:rFonts w:ascii="Arial" w:cs="Arial" w:eastAsia="Arial" w:hAnsi="Arial"/>
          <w:sz w:val="17"/>
          <w:szCs w:val="17"/>
          <w:i w:val="1"/>
          <w:iCs w:val="1"/>
          <w:color w:val="auto"/>
        </w:rPr>
        <w:t xml:space="preserve"> </w:t>
      </w:r>
      <w:r>
        <w:rPr>
          <w:rFonts w:ascii="Arial" w:cs="Arial" w:eastAsia="Arial" w:hAnsi="Arial"/>
          <w:sz w:val="17"/>
          <w:szCs w:val="17"/>
          <w:color w:val="auto"/>
        </w:rPr>
        <w:t>as revenue under Topic 606 when then collaborative arrangement participant is a customer in the context of a unit of account. In those situations, all the guidance in Topic 606 should be applied, including recognition, measurement, presentation, and disclosure requirements. This ASU adds unit-of-account guidance in Topic 808 to align with the guidance in Topic 606 (that is, a distinct good or service) when an entity is assessing whether the collaborative arrangement or a part of the arrangement is within the scope of Topic 606, and requires that in a transaction with a collaborative arrangement participant that is not directly related to sales to third parties, presenting the transaction together with revenue recognized under Topic 606 is precluded if the collaborative arrangement participant is not a customer. This ASU will be effective for the Company for fiscal years beginning after December 15, 2020, and interim periods within fiscal years beginning after December 15, 2021. The Company is currently assessing the impact of this ASU on its consolidated financial statements.</w:t>
      </w:r>
    </w:p>
    <w:p>
      <w:pPr>
        <w:spacing w:after="0" w:line="32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040"/>
          </w:cols>
          <w:pgMar w:left="240" w:top="449" w:right="61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BUSINESS</w:t>
      </w:r>
    </w:p>
    <w:p>
      <w:pPr>
        <w:spacing w:after="0" w:line="2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Overview</w:t>
      </w:r>
    </w:p>
    <w:p>
      <w:pPr>
        <w:spacing w:after="0" w:line="232" w:lineRule="exact"/>
        <w:rPr>
          <w:sz w:val="20"/>
          <w:szCs w:val="20"/>
          <w:color w:val="auto"/>
        </w:rPr>
      </w:pPr>
    </w:p>
    <w:p>
      <w:pPr>
        <w:ind w:left="380" w:right="20" w:firstLine="534"/>
        <w:spacing w:after="0" w:line="242" w:lineRule="auto"/>
        <w:rPr>
          <w:sz w:val="20"/>
          <w:szCs w:val="20"/>
          <w:color w:val="auto"/>
        </w:rPr>
      </w:pPr>
      <w:r>
        <w:rPr>
          <w:rFonts w:ascii="Arial" w:cs="Arial" w:eastAsia="Arial" w:hAnsi="Arial"/>
          <w:sz w:val="17"/>
          <w:szCs w:val="17"/>
          <w:color w:val="auto"/>
        </w:rPr>
        <w:t xml:space="preserve">We are a clinical-stage biopharmaceutical company developing novel therapeutics based on our scientific understanding of key biological pathways underlying cardio-metabolic, liver, oncologic and ophthalmic diseases. These diseases are among the largest unmet medical needs globally and represent leading causes of morbidity and mortality and a significant burden for healthcare systems. Since the commencement of our operations in 2008, we have generated a robust portfolio of seven product candidates, five of which are in clinical testing. Our most advanced product candidate, NGM282, is wholly-owned and will enter Phase 2b development for the treatment of non-alcoholic steatohepatitis, or NASH, in mid-2019. In an ongoing Phase 2 clinical trial, NGM282 demonstrated the ability to rapidly improve NASH and reverse liver fibrosis at 12 weeks. We have created this portfolio using our research and drug discovery approach that employs unbiased, </w:t>
      </w:r>
      <w:r>
        <w:rPr>
          <w:rFonts w:ascii="Arial" w:cs="Arial" w:eastAsia="Arial" w:hAnsi="Arial"/>
          <w:sz w:val="17"/>
          <w:szCs w:val="17"/>
          <w:i w:val="1"/>
          <w:iCs w:val="1"/>
          <w:color w:val="auto"/>
        </w:rPr>
        <w:t>in vivo</w:t>
      </w:r>
      <w:r>
        <w:rPr>
          <w:rFonts w:ascii="Arial" w:cs="Arial" w:eastAsia="Arial" w:hAnsi="Arial"/>
          <w:sz w:val="17"/>
          <w:szCs w:val="17"/>
          <w:color w:val="auto"/>
        </w:rPr>
        <w:t>-based discovery to identify proprietary insights into critical biological processes. We combine this approach with our protein and antibody engineering expertise to find the appropriate modality to enhance each product candidate’s therapeutic potential. Our executives, directors and advisors have extensive track records of successfully discovering, developing and delivering to patients first-in-class drugs, which positions us well to maximize the potential of our drug discovery approach.</w:t>
      </w:r>
    </w:p>
    <w:p>
      <w:pPr>
        <w:spacing w:after="0" w:line="202" w:lineRule="exact"/>
        <w:rPr>
          <w:sz w:val="20"/>
          <w:szCs w:val="20"/>
          <w:color w:val="auto"/>
        </w:rPr>
      </w:pPr>
    </w:p>
    <w:p>
      <w:pPr>
        <w:ind w:left="380" w:firstLine="534"/>
        <w:spacing w:after="0" w:line="242" w:lineRule="auto"/>
        <w:rPr>
          <w:sz w:val="20"/>
          <w:szCs w:val="20"/>
          <w:color w:val="auto"/>
        </w:rPr>
      </w:pPr>
      <w:r>
        <w:rPr>
          <w:rFonts w:ascii="Arial" w:cs="Arial" w:eastAsia="Arial" w:hAnsi="Arial"/>
          <w:sz w:val="17"/>
          <w:szCs w:val="17"/>
          <w:color w:val="auto"/>
        </w:rPr>
        <w:t>In 2015, we entered into a five-year research collaboration, product development and license agreement with Merck Sharp &amp; Dohme Corp., or Merck. On March 15, 2019, Merck exercised its option to extend the collaboration for two additional years. The collaboration includes an exclusive worldwide license to our growth differentiation factor 15, or GDF15, program. On March 1, 2019, Merck notified us of its intent to terminate its license to the program, effective May 31, 2019. Under the collaboration agreement, we also granted Merck options to take exclusive, worldwide licenses for the programs in our research and development pipeline on a program-by-program basis. Merck generally has a one-time right to exercise its option when a program completes a human proof-of-concept trial. In November 2018, Merck exercised its option to license NGM313, an agonistic antibody selectively activating fibroblast growth factor receptor 1c-beta-klotho, or FGFR1c/KLB, which is a potential treatment for NASH and type 2 diabetes. The collaboration enables us to develop more product candidates for major indications than we could likely advance on our own, with Merck bearing a majority of the associated cost and risk. We retain an option, when a candidate has advanced to Phase 3 clinical trials, to participate in up to 50% of the economic return from that candidate if it becomes an approved medicine. Overall, the Merck collaboration provides us with robust research and development support, while we retain our research independence and the option to split costs and profits on product candidates Merck elects to advance. We excluded our fibroblast growth factor 19, or FGF19, program, including NGM282, from the agreement and it remains wholly-owned by us.</w:t>
      </w:r>
    </w:p>
    <w:p>
      <w:pPr>
        <w:spacing w:after="0" w:line="33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040"/>
          </w:cols>
          <w:pgMar w:left="240" w:top="449" w:right="61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100" w:firstLine="534"/>
        <w:spacing w:after="0" w:line="244" w:lineRule="auto"/>
        <w:rPr>
          <w:sz w:val="20"/>
          <w:szCs w:val="20"/>
          <w:color w:val="auto"/>
        </w:rPr>
      </w:pPr>
      <w:r>
        <w:rPr>
          <w:rFonts w:ascii="Arial" w:cs="Arial" w:eastAsia="Arial" w:hAnsi="Arial"/>
          <w:sz w:val="17"/>
          <w:szCs w:val="17"/>
          <w:color w:val="auto"/>
        </w:rPr>
        <w:t>Our most advanced programs have focused on novel discoveries in hormone pathways that regulate cardio-metabolic processes and liver function, including those driving NASH, type 2 diabetes and obesity. We have identified multiple hormone pathways of interest, the most advanced of which are: FGF19 which plays a critical role in controlling bile acid, lipid and glucose metabolism; FGFR1c/KLB, which regulates insulin sensitivity, blood glucose and liver fat; and GDF15, which drives profound metabolic activity by regulating fuel flux and has been considered a challenging therapeutic target. We believe these hormone pathways work through distinct mechanisms and play an important role in metabolic regulation. Our seven proprietary product candidates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1108710</wp:posOffset>
            </wp:positionH>
            <wp:positionV relativeFrom="paragraph">
              <wp:posOffset>141605</wp:posOffset>
            </wp:positionV>
            <wp:extent cx="5038725" cy="38830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038725" cy="388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We are currently focused on the following programs:</w:t>
      </w:r>
    </w:p>
    <w:p>
      <w:pPr>
        <w:spacing w:after="0" w:line="119" w:lineRule="exact"/>
        <w:rPr>
          <w:sz w:val="20"/>
          <w:szCs w:val="20"/>
          <w:color w:val="auto"/>
        </w:rPr>
      </w:pPr>
    </w:p>
    <w:p>
      <w:pPr>
        <w:ind w:left="1100" w:hanging="205"/>
        <w:spacing w:after="0" w:line="243" w:lineRule="auto"/>
        <w:tabs>
          <w:tab w:leader="none" w:pos="11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NGM282 is an engineered variant of the human hormone known as FGF19, which we are developing for the treatment of NASH. FGF19 is a highly specific and potent regulator of liver fat metabolism and bile acid synthesis that we believe is responsible for some of the beneficial effects of gastric bypass surgery on NASH. Preliminary results from Phase 2 clinical trials have provided clinical proof of concept for a once-daily injection of NGM282 by demonstrating statistically significant reductions in liver fat, liver transaminases and biomarkers of fibrosis, which has translated into improvements in liver histology and fibrosis at 12 weeks. We expect interim data in the second half of 2019 from our ongoing placebo-controlled Phase 2 clinical trial cohort assessing the histological effects of NGM282 after 24 weeks of treatment. We plan to commence testing of NGM282 in a Phase 2b dose range-finding clinical trial for the treatment of NASH patients with F2 and F3 liver fibrosis in mid-2019 and a Phase 2b clinical</w:t>
      </w:r>
    </w:p>
    <w:p>
      <w:pPr>
        <w:spacing w:after="0" w:line="13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020"/>
          </w:cols>
          <w:pgMar w:left="240" w:top="449" w:right="63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jc w:val="both"/>
        <w:ind w:left="1120"/>
        <w:spacing w:after="0" w:line="250" w:lineRule="auto"/>
        <w:rPr>
          <w:sz w:val="20"/>
          <w:szCs w:val="20"/>
          <w:color w:val="auto"/>
        </w:rPr>
      </w:pPr>
      <w:r>
        <w:rPr>
          <w:rFonts w:ascii="Arial" w:cs="Arial" w:eastAsia="Arial" w:hAnsi="Arial"/>
          <w:sz w:val="17"/>
          <w:szCs w:val="17"/>
          <w:color w:val="auto"/>
        </w:rPr>
        <w:t>trial in NASH patients with compensated cirrhosis in the second half of 2019. We expect to complete our Phase 2b clinical trial of NGM282 in NASH patients with F2 and F3 liver fibrosis in 2020. We excluded our FGF19 program, including NGM282, from our Merck collaboration, and it remains wholly-owned by us.</w:t>
      </w:r>
    </w:p>
    <w:p>
      <w:pPr>
        <w:spacing w:after="0" w:line="96" w:lineRule="exact"/>
        <w:rPr>
          <w:sz w:val="20"/>
          <w:szCs w:val="20"/>
          <w:color w:val="auto"/>
        </w:rPr>
      </w:pPr>
    </w:p>
    <w:p>
      <w:pPr>
        <w:ind w:left="1100" w:right="40" w:hanging="205"/>
        <w:spacing w:after="0" w:line="243" w:lineRule="auto"/>
        <w:tabs>
          <w:tab w:leader="none" w:pos="11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NGM313 is an agonistic antibody binding KLB and has the potential as an insulin sensitizer and regulator of lipid homeostasis to be a once-monthly treatment for NASH and type 2 diabetes. NGM313 works by selectively activating the FGFR1c/KLB co-receptor complex, which regulates energy expenditure and glucose uptake in fat cells and other tissues. Preliminary data from a Phase 1b early proof-of-concept clinical trial in obese insulin resistant subjects with nonalcoholic fatty liver disease, or NAFLD, demonstrated that a single dose of NGM313 resulted in a statistically significant reduction in liver fat content and improvements in multiple metabolic parameters. Following review of the NGM313 data package, Merck exercised its option to license the program in November 2018. We expect Merck to initiate a Phase 2b study of NGM313 in NASH patients in the late 2019 or early 2020.</w:t>
      </w:r>
    </w:p>
    <w:p>
      <w:pPr>
        <w:spacing w:after="0" w:line="303" w:lineRule="exact"/>
        <w:rPr>
          <w:rFonts w:ascii="Arial" w:cs="Arial" w:eastAsia="Arial" w:hAnsi="Arial"/>
          <w:sz w:val="17"/>
          <w:szCs w:val="17"/>
          <w:color w:val="auto"/>
        </w:rPr>
      </w:pPr>
    </w:p>
    <w:p>
      <w:pPr>
        <w:ind w:left="1100" w:right="140" w:hanging="205"/>
        <w:spacing w:after="0" w:line="243" w:lineRule="auto"/>
        <w:tabs>
          <w:tab w:leader="none" w:pos="11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NGM120 is an antagonistic antibody binding GFRAL that is designed to inhibit the effects of elevated GDF15 levels on cancer anorexia/cachexia syndrome, or CACS, and, possibly, cancer. NGM120 works by selectively inhibiting the interaction between GDF15 and its cognate receptor, GFRAL, through which the autonomic nervous system and, possibly, the neuroendocrine axis influence the body’s fuel flux to propel the cachectic state, and, possibly, the cancer itself, in cancer patients that have high serum levels of GDF15. We are currently testing NGM120 in healthy volunteers in a Phase 1 clinical trial to assess its safety, tolerability and pharmacokinetic profile. We expect to initiate a Phase 1a/1b clinical trial of NGM120 in cancer patients in the second half of 2019. Merck has a one-time option to license NGM120 upon our completion of a proof-of-concept study in humans.</w:t>
      </w:r>
    </w:p>
    <w:p>
      <w:pPr>
        <w:spacing w:after="0" w:line="303" w:lineRule="exact"/>
        <w:rPr>
          <w:rFonts w:ascii="Arial" w:cs="Arial" w:eastAsia="Arial" w:hAnsi="Arial"/>
          <w:sz w:val="17"/>
          <w:szCs w:val="17"/>
          <w:color w:val="auto"/>
        </w:rPr>
      </w:pPr>
    </w:p>
    <w:p>
      <w:pPr>
        <w:ind w:left="1100" w:right="300" w:hanging="205"/>
        <w:spacing w:after="0" w:line="245" w:lineRule="auto"/>
        <w:tabs>
          <w:tab w:leader="none" w:pos="11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NGM217 is an antibody binding an undisclosed target, designed to restore pancreatic islet function and increase insulin production in patients with diabetes. NGM217 is in a Phase 1 clinical trial in adults with diabetes, where we are assessing its ability to increase levels of C-peptide, a biomarker of insulin production. We expect to initiate a Phase 1b/2a proof-of-concept clinical trial in adults with diabetes in 2020. Merck has a one-time option to license NGM217 upon our completion of a proof-of-concept study in humans.</w:t>
      </w:r>
    </w:p>
    <w:p>
      <w:pPr>
        <w:spacing w:after="0" w:line="102" w:lineRule="exact"/>
        <w:rPr>
          <w:rFonts w:ascii="Arial" w:cs="Arial" w:eastAsia="Arial" w:hAnsi="Arial"/>
          <w:sz w:val="17"/>
          <w:szCs w:val="17"/>
          <w:color w:val="auto"/>
        </w:rPr>
      </w:pPr>
    </w:p>
    <w:p>
      <w:pPr>
        <w:ind w:left="1100" w:right="220" w:hanging="205"/>
        <w:spacing w:after="0" w:line="245" w:lineRule="auto"/>
        <w:tabs>
          <w:tab w:leader="none" w:pos="11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NGM621 is an antibody binding an undisclosed target, designed to decrease levels of a protein implicated in the dry form of age-related macular degeneration, or dry AMD. NGM621 is in IND-enabling studies, and we expect to begin a Phase 1 safety, tolerability and pharmacokinetics clinical trial in patients with geographic atrophy, or GA, an advanced form of dry AMD, in the second half of 2019. Merck has a one-time option to license NGM621 upon our completion of a proof-of-concept study in humans.</w:t>
      </w:r>
    </w:p>
    <w:p>
      <w:pPr>
        <w:spacing w:after="0" w:line="102" w:lineRule="exact"/>
        <w:rPr>
          <w:rFonts w:ascii="Arial" w:cs="Arial" w:eastAsia="Arial" w:hAnsi="Arial"/>
          <w:sz w:val="17"/>
          <w:szCs w:val="17"/>
          <w:color w:val="auto"/>
        </w:rPr>
      </w:pPr>
    </w:p>
    <w:p>
      <w:pPr>
        <w:ind w:left="1100" w:hanging="205"/>
        <w:spacing w:after="0" w:line="243" w:lineRule="auto"/>
        <w:tabs>
          <w:tab w:leader="none" w:pos="11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NGM386 and NGM395 are engineered variants of the human hormone known as GDF15, which were being developed by Merck under the collaboration for the treatment of obesity. We discovered that metabolic activity of GDF15 is mediated by glial cell-derived neurotrophic factor receptor alpha-like, or GFRAL, which is located in a region of the brain stem outside the blood-brain barrier. NGM386, a once-daily injection, and NGM395, a once-weekly or less frequent injection, are designed to stimulate a pathway that modulates the autonomic nervous system and, possibly, the neuroendocrine axis to modify body weight and fat levels in the body. Merck licensed this GDF15 receptor agonist program and completed the conduct of a Phase 1 clinical trial of NGM386 in overweight or obese but otherwise healthy adults. Preliminary data from the study indicated that NGM386 treatment for 28 days was generally well-tolerated but did not result in significant body weight loss in obese subjects. On March 1, 2019, Merck notified us of its intent to terminate its license to the GDF15 receptor agonist program, effective May 31, 2019. Upon effectiveness of this termination, we will regain full rights to the program, which</w:t>
      </w:r>
    </w:p>
    <w:p>
      <w:pPr>
        <w:spacing w:after="0" w:line="129"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020"/>
          </w:cols>
          <w:pgMar w:left="240" w:top="449" w:right="63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1120" w:right="240"/>
        <w:spacing w:after="0" w:line="258" w:lineRule="auto"/>
        <w:rPr>
          <w:sz w:val="20"/>
          <w:szCs w:val="20"/>
          <w:color w:val="auto"/>
        </w:rPr>
      </w:pPr>
      <w:r>
        <w:rPr>
          <w:rFonts w:ascii="Arial" w:cs="Arial" w:eastAsia="Arial" w:hAnsi="Arial"/>
          <w:sz w:val="17"/>
          <w:szCs w:val="17"/>
          <w:color w:val="auto"/>
        </w:rPr>
        <w:t>includes NGM386 and NGM395. We expect to decide whether to advance NGM386 and/or NGM395 following our analysis of the results of the NGM386 Phase 1 study.</w:t>
      </w:r>
    </w:p>
    <w:p>
      <w:pPr>
        <w:spacing w:after="0" w:line="182" w:lineRule="exact"/>
        <w:rPr>
          <w:sz w:val="20"/>
          <w:szCs w:val="20"/>
          <w:color w:val="auto"/>
        </w:rPr>
      </w:pPr>
    </w:p>
    <w:p>
      <w:pPr>
        <w:ind w:left="380" w:firstLine="534"/>
        <w:spacing w:after="0" w:line="245" w:lineRule="auto"/>
        <w:rPr>
          <w:sz w:val="20"/>
          <w:szCs w:val="20"/>
          <w:color w:val="auto"/>
        </w:rPr>
      </w:pPr>
      <w:r>
        <w:rPr>
          <w:rFonts w:ascii="Arial" w:cs="Arial" w:eastAsia="Arial" w:hAnsi="Arial"/>
          <w:sz w:val="17"/>
          <w:szCs w:val="17"/>
          <w:color w:val="auto"/>
        </w:rPr>
        <w:t>Using our drug discovery approach, we have identified and are actively investigating over ten additional biological pathways with potential to intervene in disease. For these pathways, we are further identifying mechanistic insights and their relevance to human biology, and generating biologic drug candidates that appropriately modulate the signals we have identified. These programs are in various stages of development, ranging from functional validation to lead candidate generation. Discovery activity in selected therapeutic areas beyond cardio-metabolic, liver, oncologic and ophthalmic diseases is ongoing and in various stages of research.</w:t>
      </w:r>
    </w:p>
    <w:p>
      <w:pPr>
        <w:spacing w:after="0" w:line="194" w:lineRule="exact"/>
        <w:rPr>
          <w:sz w:val="20"/>
          <w:szCs w:val="20"/>
          <w:color w:val="auto"/>
        </w:rPr>
      </w:pPr>
    </w:p>
    <w:p>
      <w:pPr>
        <w:ind w:left="380" w:right="40" w:firstLine="534"/>
        <w:spacing w:after="0" w:line="247" w:lineRule="auto"/>
        <w:rPr>
          <w:sz w:val="20"/>
          <w:szCs w:val="20"/>
          <w:color w:val="auto"/>
        </w:rPr>
      </w:pPr>
      <w:r>
        <w:rPr>
          <w:rFonts w:ascii="Arial" w:cs="Arial" w:eastAsia="Arial" w:hAnsi="Arial"/>
          <w:sz w:val="17"/>
          <w:szCs w:val="17"/>
          <w:color w:val="auto"/>
        </w:rPr>
        <w:t>Our management, scientists, board members and advisors have long track records of identifying multiple, class-defining drugs with meaningful clinical and commercial impact. Our scientific values and guiding principles have grown out of our team’s experience and involvement at companies that have built prolific drug discovery and development platforms, particularly Amgen Inc., Genentech, Inc. and Tularik Inc. We believe that this collective experience uniquely positions our team to execute on our strategy.</w:t>
      </w:r>
    </w:p>
    <w:p>
      <w:pPr>
        <w:spacing w:after="0" w:line="273"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Our Strategy</w:t>
      </w:r>
    </w:p>
    <w:p>
      <w:pPr>
        <w:spacing w:after="0" w:line="232" w:lineRule="exact"/>
        <w:rPr>
          <w:sz w:val="20"/>
          <w:szCs w:val="20"/>
          <w:color w:val="auto"/>
        </w:rPr>
      </w:pPr>
    </w:p>
    <w:p>
      <w:pPr>
        <w:ind w:left="380" w:right="280" w:firstLine="534"/>
        <w:spacing w:after="0" w:line="250" w:lineRule="auto"/>
        <w:rPr>
          <w:sz w:val="20"/>
          <w:szCs w:val="20"/>
          <w:color w:val="auto"/>
        </w:rPr>
      </w:pPr>
      <w:r>
        <w:rPr>
          <w:rFonts w:ascii="Arial" w:cs="Arial" w:eastAsia="Arial" w:hAnsi="Arial"/>
          <w:sz w:val="17"/>
          <w:szCs w:val="17"/>
          <w:color w:val="auto"/>
        </w:rPr>
        <w:t>Our strategy is to leverage our biology-centric drug discovery approach to uncover novel mechanisms of action and generate proprietary insights that will enable us to move rapidly into proof-of-concept studies and deliver to patients first-in-class medicines. Key elements of our strategy are:</w:t>
      </w:r>
    </w:p>
    <w:p>
      <w:pPr>
        <w:spacing w:after="0" w:line="76" w:lineRule="exact"/>
        <w:rPr>
          <w:sz w:val="20"/>
          <w:szCs w:val="20"/>
          <w:color w:val="auto"/>
        </w:rPr>
      </w:pPr>
    </w:p>
    <w:p>
      <w:pPr>
        <w:ind w:left="1100" w:hanging="205"/>
        <w:spacing w:after="0" w:line="246" w:lineRule="auto"/>
        <w:tabs>
          <w:tab w:leader="none" w:pos="110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Establish NGM282, Our Wholly-Owned Compound, as the Leading Treatment for NASH Patients with Moderate to Advanced Fibrosis: </w:t>
      </w:r>
      <w:r>
        <w:rPr>
          <w:rFonts w:ascii="Arial" w:cs="Arial" w:eastAsia="Arial" w:hAnsi="Arial"/>
          <w:sz w:val="17"/>
          <w:szCs w:val="17"/>
          <w:color w:val="auto"/>
        </w:rPr>
        <w:t>In Phase 2 clinical trials in NASH, patients taking NGM282 have experienced rapid and robust reductions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liver fat, liver transaminases, hepatocellular ballooning and fibrosis. These results suggest that NGM282 has the potential to resolve disease and reverse fibrosis in NASH patients with moderate to advanced liver fibrosis. We plan to initiate a Phase 2b clinical trial of NGM282 in NASH patients with fibrosis stage F2 and F3 in mid-2019 and a Phase 2b clinical trial in NASH patients with compensated cirrhosis in the second half of 2019, which will inform dose selection for a Phase 3 clinical trial in these patient populations to support a filing for initial marketing approval. As part of our life cycle management strategy, we intend to also develop a version of NGM282 with an extended half-life, or exposure duration in the blood, which will enable less frequent dosing.</w:t>
      </w:r>
    </w:p>
    <w:p>
      <w:pPr>
        <w:spacing w:after="0" w:line="282" w:lineRule="exact"/>
        <w:rPr>
          <w:rFonts w:ascii="Arial" w:cs="Arial" w:eastAsia="Arial" w:hAnsi="Arial"/>
          <w:sz w:val="17"/>
          <w:szCs w:val="17"/>
          <w:color w:val="auto"/>
        </w:rPr>
      </w:pPr>
    </w:p>
    <w:p>
      <w:pPr>
        <w:ind w:left="1100" w:right="120" w:hanging="205"/>
        <w:spacing w:after="0" w:line="249" w:lineRule="auto"/>
        <w:tabs>
          <w:tab w:leader="none" w:pos="110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Leverage Our Collaboration with Merck to Advance Our Pipeline: </w:t>
      </w:r>
      <w:r>
        <w:rPr>
          <w:rFonts w:ascii="Arial" w:cs="Arial" w:eastAsia="Arial" w:hAnsi="Arial"/>
          <w:sz w:val="17"/>
          <w:szCs w:val="17"/>
          <w:color w:val="auto"/>
        </w:rPr>
        <w:t>Our collaboration with Merck provides us with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resources and access to industry-leading, late-stage clinical development and commercialization capabilities, which we believe affords us substantial freedom to pursue and achieve our vision. We intend to leverage Merck’s financial support and translational expertise to accelerate and broaden our development efforts for our programs beyond NGM282, NGM386 and NGM395. Our option to elect a cost and profit share for collaboration products preserves our substantial economic participation in such programs.</w:t>
      </w:r>
    </w:p>
    <w:p>
      <w:pPr>
        <w:spacing w:after="0" w:line="79" w:lineRule="exact"/>
        <w:rPr>
          <w:rFonts w:ascii="Arial" w:cs="Arial" w:eastAsia="Arial" w:hAnsi="Arial"/>
          <w:sz w:val="17"/>
          <w:szCs w:val="17"/>
          <w:color w:val="auto"/>
        </w:rPr>
      </w:pPr>
    </w:p>
    <w:p>
      <w:pPr>
        <w:ind w:left="1100" w:right="40" w:hanging="205"/>
        <w:spacing w:after="0" w:line="250" w:lineRule="auto"/>
        <w:tabs>
          <w:tab w:leader="none" w:pos="110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Grow Our Pipeline and Extend Our Therapeutic Areas of Focus: </w:t>
      </w:r>
      <w:r>
        <w:rPr>
          <w:rFonts w:ascii="Arial" w:cs="Arial" w:eastAsia="Arial" w:hAnsi="Arial"/>
          <w:sz w:val="17"/>
          <w:szCs w:val="17"/>
          <w:color w:val="auto"/>
        </w:rPr>
        <w:t>Our initial research focus is on the biology underlying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cardio-metabolic, liver, oncologic and ophthalmic diseases. Our collaboration with Merck creates an incentive for us to develop multiple candidates through human proof-of-concept studies, but does not limit the therapeutic areas that we can explore. We are working to establish human proof of concept for NGM120 in cancer patients and NGM621 for dry AMD, and plan to continue growing our pipeline of product candidates at our historical rate, with the goal of identifying high-impact therapeutics that are first-in-class.</w:t>
      </w:r>
    </w:p>
    <w:p>
      <w:pPr>
        <w:spacing w:after="0" w:line="278" w:lineRule="exact"/>
        <w:rPr>
          <w:rFonts w:ascii="Arial" w:cs="Arial" w:eastAsia="Arial" w:hAnsi="Arial"/>
          <w:sz w:val="17"/>
          <w:szCs w:val="17"/>
          <w:color w:val="auto"/>
        </w:rPr>
      </w:pPr>
    </w:p>
    <w:p>
      <w:pPr>
        <w:ind w:left="1100" w:right="200" w:hanging="205"/>
        <w:spacing w:after="0" w:line="283" w:lineRule="auto"/>
        <w:tabs>
          <w:tab w:leader="none" w:pos="110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Build Capabilities to Deliver Medicines to Patients in Areas of High Unmet Medical Need: </w:t>
      </w:r>
      <w:r>
        <w:rPr>
          <w:rFonts w:ascii="Arial" w:cs="Arial" w:eastAsia="Arial" w:hAnsi="Arial"/>
          <w:sz w:val="17"/>
          <w:szCs w:val="17"/>
          <w:color w:val="auto"/>
        </w:rPr>
        <w:t>We have worldwide rights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lead product candidate, NGM282. If approved, we</w:t>
      </w:r>
    </w:p>
    <w:p>
      <w:pPr>
        <w:spacing w:after="0" w:line="9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020"/>
          </w:cols>
          <w:pgMar w:left="240" w:top="449" w:right="63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1120" w:right="80"/>
        <w:spacing w:after="0" w:line="247" w:lineRule="auto"/>
        <w:rPr>
          <w:sz w:val="20"/>
          <w:szCs w:val="20"/>
          <w:color w:val="auto"/>
        </w:rPr>
      </w:pPr>
      <w:r>
        <w:rPr>
          <w:rFonts w:ascii="Arial" w:cs="Arial" w:eastAsia="Arial" w:hAnsi="Arial"/>
          <w:sz w:val="17"/>
          <w:szCs w:val="17"/>
          <w:color w:val="auto"/>
        </w:rPr>
        <w:t>intend to bring NGM282 to market by building our own specialty salesforce in the United States targeting hepatologists and may seek to expand our reach by leveraging partners’ commercial capabilities. We believe a targeted salesforce would have the ability to deliver NGM282 to the majority of the initial target population of NASH patients with moderate to advanced fibrosis. For our other programs, our collaboration with Merck provides us the option to participate in co-detailing in the United States.</w:t>
      </w:r>
    </w:p>
    <w:p>
      <w:pPr>
        <w:spacing w:after="0" w:line="79" w:lineRule="exact"/>
        <w:rPr>
          <w:sz w:val="20"/>
          <w:szCs w:val="20"/>
          <w:color w:val="auto"/>
        </w:rPr>
      </w:pPr>
    </w:p>
    <w:p>
      <w:pPr>
        <w:ind w:left="1100" w:right="100" w:hanging="205"/>
        <w:spacing w:after="0" w:line="249" w:lineRule="auto"/>
        <w:tabs>
          <w:tab w:leader="none" w:pos="110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Strengthen Our Position as a Leading Drug Discovery and Development Company: </w:t>
      </w:r>
      <w:r>
        <w:rPr>
          <w:rFonts w:ascii="Arial" w:cs="Arial" w:eastAsia="Arial" w:hAnsi="Arial"/>
          <w:sz w:val="17"/>
          <w:szCs w:val="17"/>
          <w:color w:val="auto"/>
        </w:rPr>
        <w:t>We aspire to operate one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most productive research and development engines in the biopharmaceutical industry. In the last decade, our team of experienced scientists and drug developers has designated seven molecules for development, five of which are in clinical development. We intend to continue growing our pipeline of experimental medicines and build on our proficiency in discovery research by continuing to expand our capabilities in protein and antibody engineering, pharmacology, translational medicine and preclinical and clinical development.</w:t>
      </w:r>
    </w:p>
    <w:p>
      <w:pPr>
        <w:spacing w:after="0" w:line="274"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Our Approach to Drug Discovery and Development</w:t>
      </w:r>
    </w:p>
    <w:p>
      <w:pPr>
        <w:spacing w:after="0" w:line="232"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We pursue drug discovery and development through a multi-step process geared towards translating powerful human biology into first-in-class medicines. Our founding team designed our approach based on many decades of experience in successful drug development at other companies, including Amgen, Genentech and Tularik. Our process pairs a research approach that generates novel insights into pathways demonstrating powerful biological effect with the expertise in protein and antibody engineering to transform those insights into product candidates. This process seeks to address the challenges in drug discovery in diseases that involve complex, integrated biological pathways.</w:t>
      </w:r>
    </w:p>
    <w:p>
      <w:pPr>
        <w:spacing w:after="0" w:line="280"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Identifying Pathways of Interest</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We identify target genes or pathways of interest by utilizing three approaches:</w:t>
      </w:r>
    </w:p>
    <w:p>
      <w:pPr>
        <w:spacing w:after="0" w:line="101" w:lineRule="exact"/>
        <w:rPr>
          <w:sz w:val="20"/>
          <w:szCs w:val="20"/>
          <w:color w:val="auto"/>
        </w:rPr>
      </w:pPr>
    </w:p>
    <w:p>
      <w:pPr>
        <w:ind w:left="1320" w:right="20" w:hanging="202"/>
        <w:spacing w:after="0" w:line="261" w:lineRule="auto"/>
        <w:tabs>
          <w:tab w:leader="none" w:pos="13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an unbiased,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functional evaluation system formed the foundation of our discovery efforts in metabolism and enabled us to identify and characterize novel human hormones that demonstrate profound biological effects, including FGF19 and GDF15, for which we have advanced development candidates;</w:t>
      </w:r>
    </w:p>
    <w:p>
      <w:pPr>
        <w:spacing w:after="0" w:line="87" w:lineRule="exact"/>
        <w:rPr>
          <w:rFonts w:ascii="Arial" w:cs="Arial" w:eastAsia="Arial" w:hAnsi="Arial"/>
          <w:sz w:val="17"/>
          <w:szCs w:val="17"/>
          <w:color w:val="auto"/>
        </w:rPr>
      </w:pPr>
    </w:p>
    <w:p>
      <w:pPr>
        <w:ind w:left="1320" w:right="20" w:hanging="202"/>
        <w:spacing w:after="0" w:line="258" w:lineRule="auto"/>
        <w:tabs>
          <w:tab w:leader="none" w:pos="13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analysis of human genetics data to identify genetic markers, such as single nucleotide polymorphisms, or SNPs, that correlate with a particular phenotype associated with disease; and</w:t>
      </w:r>
    </w:p>
    <w:p>
      <w:pPr>
        <w:spacing w:after="0" w:line="90" w:lineRule="exact"/>
        <w:rPr>
          <w:rFonts w:ascii="Arial" w:cs="Arial" w:eastAsia="Arial" w:hAnsi="Arial"/>
          <w:sz w:val="17"/>
          <w:szCs w:val="17"/>
          <w:color w:val="auto"/>
        </w:rPr>
      </w:pPr>
    </w:p>
    <w:p>
      <w:pPr>
        <w:ind w:left="1320" w:right="180" w:hanging="202"/>
        <w:spacing w:after="0" w:line="258" w:lineRule="auto"/>
        <w:tabs>
          <w:tab w:leader="none" w:pos="13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gene expression profiling to identify genes that are regulated by certain conditions or disease states and that may contribute to the associated pathology.</w:t>
      </w:r>
    </w:p>
    <w:p>
      <w:pPr>
        <w:spacing w:after="0" w:line="164" w:lineRule="exact"/>
        <w:rPr>
          <w:sz w:val="20"/>
          <w:szCs w:val="20"/>
          <w:color w:val="auto"/>
        </w:rPr>
      </w:pPr>
    </w:p>
    <w:p>
      <w:pPr>
        <w:ind w:left="380" w:right="60" w:firstLine="534"/>
        <w:spacing w:after="0" w:line="246" w:lineRule="auto"/>
        <w:rPr>
          <w:sz w:val="20"/>
          <w:szCs w:val="20"/>
          <w:color w:val="auto"/>
        </w:rPr>
      </w:pPr>
      <w:r>
        <w:rPr>
          <w:rFonts w:ascii="Arial" w:cs="Arial" w:eastAsia="Arial" w:hAnsi="Arial"/>
          <w:sz w:val="17"/>
          <w:szCs w:val="17"/>
          <w:color w:val="auto"/>
        </w:rPr>
        <w:t xml:space="preserve">We then characterize and confirm the effects of modulating the biological activity of these potential targets using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models designed to mimic the disease of interest. We interrogate the biological activity of candidate targets using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models because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experiments, which take place outside a living organism, are not capable of adequately reflecting complex biological processes and interactions that are regulated by multi-organ systems. Historically,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screening at a scale and speed for drug discovery has not been practical as it has largely been dependent on generating purified protein for functional testing. We use recombinant adeno-associated virus, or rAAV, vectors, a proven research tool that can introduce the gene of interest directly into disease models to enable the biological function of the resultant protein to be assessed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With this rAAV technology, we initially developed an unbiased,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functional evaluation system that formed the foundation of our</w:t>
      </w:r>
    </w:p>
    <w:p>
      <w:pPr>
        <w:spacing w:after="0" w:line="13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060"/>
          </w:cols>
          <w:pgMar w:left="240" w:top="449" w:right="59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120"/>
        <w:spacing w:after="0" w:line="247" w:lineRule="auto"/>
        <w:rPr>
          <w:sz w:val="20"/>
          <w:szCs w:val="20"/>
          <w:color w:val="auto"/>
        </w:rPr>
      </w:pPr>
      <w:r>
        <w:rPr>
          <w:rFonts w:ascii="Arial" w:cs="Arial" w:eastAsia="Arial" w:hAnsi="Arial"/>
          <w:sz w:val="17"/>
          <w:szCs w:val="17"/>
          <w:color w:val="auto"/>
        </w:rPr>
        <w:t xml:space="preserve">discovery efforts in cardio-metabolic disease and enabled us to identify novel pathways that demonstrate profound metabolic effects. In addition, we utilize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models with loss of function mutations or knockouts to understand the function of certain human genes as they relate to the disease of interest. By employing these approaches in animal models of human diseases, we can elucidate the biology of potential human drug targets in a relevant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setting and evaluate their impact on the manifestation and progression of disease.</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Translation of Pathway Biology to Product Candidates</w:t>
      </w:r>
    </w:p>
    <w:p>
      <w:pPr>
        <w:spacing w:after="0" w:line="126" w:lineRule="exact"/>
        <w:rPr>
          <w:sz w:val="20"/>
          <w:szCs w:val="20"/>
          <w:color w:val="auto"/>
        </w:rPr>
      </w:pPr>
    </w:p>
    <w:p>
      <w:pPr>
        <w:ind w:left="380" w:firstLine="534"/>
        <w:spacing w:after="0" w:line="242" w:lineRule="auto"/>
        <w:rPr>
          <w:sz w:val="20"/>
          <w:szCs w:val="20"/>
          <w:color w:val="auto"/>
        </w:rPr>
      </w:pPr>
      <w:r>
        <w:rPr>
          <w:rFonts w:ascii="Arial" w:cs="Arial" w:eastAsia="Arial" w:hAnsi="Arial"/>
          <w:sz w:val="17"/>
          <w:szCs w:val="17"/>
          <w:color w:val="auto"/>
        </w:rPr>
        <w:t>Once a strong indication of biological activity is generated for a protein of interest, we employ a differentiated process aimed at quickly identifying a lead candidate to enable us to rapidly advance the program to evaluate the effect of these product candidates on biomarkers of disease or target activity in order to enable early demonstration of human proof of concept. We probe the mechanism of action, signaling pathways and the relationship between the protein structure and function to help inform how to translate the biological activity into a potential product candidate. Through these activities we have been able to identify novel interaction partners, their expression patterns and their signaling activities, which help elucidate biological mechanisms and inform selection of a lead candidate. We leverage our expertise in protein and antibody engineering to translate biological signals into differentiated product candidates. We have an unbiased antibody generation technology, along with an armamentarium of therapeutic protein and antibody engineering capabilities, including bispecific antibodies, bifunctional antibody fusions and methods for extending the half-lives of native proteins. This range of potential modalities not only allows us to generate a portfolio of product candidates from which to select a lead, but also provides important tools to define the biological activity of the candidates.</w:t>
      </w:r>
    </w:p>
    <w:p>
      <w:pPr>
        <w:spacing w:after="0" w:line="202" w:lineRule="exact"/>
        <w:rPr>
          <w:sz w:val="20"/>
          <w:szCs w:val="20"/>
          <w:color w:val="auto"/>
        </w:rPr>
      </w:pPr>
    </w:p>
    <w:p>
      <w:pPr>
        <w:ind w:left="380" w:right="160" w:firstLine="534"/>
        <w:spacing w:after="0" w:line="245" w:lineRule="auto"/>
        <w:rPr>
          <w:sz w:val="20"/>
          <w:szCs w:val="20"/>
          <w:color w:val="auto"/>
        </w:rPr>
      </w:pPr>
      <w:r>
        <w:rPr>
          <w:rFonts w:ascii="Arial" w:cs="Arial" w:eastAsia="Arial" w:hAnsi="Arial"/>
          <w:sz w:val="17"/>
          <w:szCs w:val="17"/>
          <w:color w:val="auto"/>
        </w:rPr>
        <w:t>After we have identified a lead candidate in a program, we design our early clinical trials to provide proof of biological activity, in addition to assessing safety and tolerability, to determine whether the activity we have observed in animal models can be translated into human subjects. We believe our deep understanding of the fundamental biological mechanisms observed for our chosen development candidates and the specific relationship between structure and pharmacological function distinguishes our drug discovery approach from many others applied in our industry today.</w:t>
      </w:r>
    </w:p>
    <w:p>
      <w:pPr>
        <w:spacing w:after="0" w:line="194" w:lineRule="exact"/>
        <w:rPr>
          <w:sz w:val="20"/>
          <w:szCs w:val="20"/>
          <w:color w:val="auto"/>
        </w:rPr>
      </w:pPr>
    </w:p>
    <w:p>
      <w:pPr>
        <w:ind w:left="380" w:right="20" w:firstLine="534"/>
        <w:spacing w:after="0" w:line="243" w:lineRule="auto"/>
        <w:rPr>
          <w:sz w:val="20"/>
          <w:szCs w:val="20"/>
          <w:color w:val="auto"/>
        </w:rPr>
      </w:pPr>
      <w:r>
        <w:rPr>
          <w:rFonts w:ascii="Arial" w:cs="Arial" w:eastAsia="Arial" w:hAnsi="Arial"/>
          <w:sz w:val="17"/>
          <w:szCs w:val="17"/>
          <w:color w:val="auto"/>
        </w:rPr>
        <w:t>The cornerstone of our research and development approach is the experienced and talented team of scientists and drug developers who built and run it. A common theme in our team’s expertise is the ability to translate biological signals in animal models into drugs with human activity. Members of our team played significant roles at prior companies in discovering and developing multiple approved drugs, including recombinant human insulin, human growth hormone, tissue plasminogen activator and interferon alpha and gamma, as well as metreleptin and evolocumab (Repatha</w:t>
      </w:r>
      <w:r>
        <w:rPr>
          <w:rFonts w:ascii="Arial" w:cs="Arial" w:eastAsia="Arial" w:hAnsi="Arial"/>
          <w:sz w:val="14"/>
          <w:szCs w:val="14"/>
          <w:color w:val="auto"/>
        </w:rPr>
        <w:t>®</w:t>
      </w:r>
      <w:r>
        <w:rPr>
          <w:rFonts w:ascii="Arial" w:cs="Arial" w:eastAsia="Arial" w:hAnsi="Arial"/>
          <w:sz w:val="17"/>
          <w:szCs w:val="17"/>
          <w:color w:val="auto"/>
        </w:rPr>
        <w:t>). Our team seamlessly integrates discovery biology, protein and antibody engineering, preclinical development, early clinical development and manufacturing for each program. Our scientific advisory board further strengthens our experience base and includes key contributors to the discovery of the statin class of drugs, as well as thought leaders in new areas complementary to our early-stage research efforts.</w:t>
      </w:r>
    </w:p>
    <w:p>
      <w:pPr>
        <w:spacing w:after="0" w:line="280"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Our Initial Focus on Cardio-Metabolic and Liver Disease</w:t>
      </w:r>
    </w:p>
    <w:p>
      <w:pPr>
        <w:spacing w:after="0" w:line="232" w:lineRule="exact"/>
        <w:rPr>
          <w:sz w:val="20"/>
          <w:szCs w:val="20"/>
          <w:color w:val="auto"/>
        </w:rPr>
      </w:pPr>
    </w:p>
    <w:p>
      <w:pPr>
        <w:ind w:left="380" w:right="80" w:firstLine="534"/>
        <w:spacing w:after="0" w:line="244" w:lineRule="auto"/>
        <w:rPr>
          <w:sz w:val="20"/>
          <w:szCs w:val="20"/>
          <w:color w:val="auto"/>
        </w:rPr>
      </w:pPr>
      <w:r>
        <w:rPr>
          <w:rFonts w:ascii="Arial" w:cs="Arial" w:eastAsia="Arial" w:hAnsi="Arial"/>
          <w:sz w:val="17"/>
          <w:szCs w:val="17"/>
          <w:color w:val="auto"/>
        </w:rPr>
        <w:t>Cardio-metabolic and liver diseases, including NASH, diabetes and obesity, are among the largest unmet medical needs globally, and represent a leading cause of morbidity and mortality, a significant burden for healthcare systems and an area of relative underinvestment by the pharmaceutical industry. Metabolic syndrome is exhibited by 34% of adults in the United States and is believed to be at the center of this health epidemic. Metabolic syndrome comprises a constellation of co-morbid conditions, including type 2 diabetes, obesity, high blood pressure, poorly regulated lipids and NAFLD, a precursor condition to NASH. Despite a wave of public health campaigns to promote</w:t>
      </w:r>
    </w:p>
    <w:p>
      <w:pPr>
        <w:spacing w:after="0" w:line="32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040"/>
          </w:cols>
          <w:pgMar w:left="240" w:top="449" w:right="61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420"/>
        <w:spacing w:after="0" w:line="258" w:lineRule="auto"/>
        <w:rPr>
          <w:sz w:val="20"/>
          <w:szCs w:val="20"/>
          <w:color w:val="auto"/>
        </w:rPr>
      </w:pPr>
      <w:r>
        <w:rPr>
          <w:rFonts w:ascii="Arial" w:cs="Arial" w:eastAsia="Arial" w:hAnsi="Arial"/>
          <w:sz w:val="17"/>
          <w:szCs w:val="17"/>
          <w:color w:val="auto"/>
        </w:rPr>
        <w:t>better diet and exercise habits and a range of treatment options available for many of these cardio-metabolic diseases, morbidity and mortality rates remain high and more effective therapeutics are needed.</w:t>
      </w:r>
    </w:p>
    <w:p>
      <w:pPr>
        <w:spacing w:after="0" w:line="182" w:lineRule="exact"/>
        <w:rPr>
          <w:sz w:val="20"/>
          <w:szCs w:val="20"/>
          <w:color w:val="auto"/>
        </w:rPr>
      </w:pPr>
    </w:p>
    <w:p>
      <w:pPr>
        <w:ind w:left="380" w:right="60" w:firstLine="534"/>
        <w:spacing w:after="0" w:line="242" w:lineRule="auto"/>
        <w:rPr>
          <w:sz w:val="20"/>
          <w:szCs w:val="20"/>
          <w:color w:val="auto"/>
        </w:rPr>
      </w:pPr>
      <w:r>
        <w:rPr>
          <w:rFonts w:ascii="Arial" w:cs="Arial" w:eastAsia="Arial" w:hAnsi="Arial"/>
          <w:sz w:val="17"/>
          <w:szCs w:val="17"/>
          <w:color w:val="auto"/>
        </w:rPr>
        <w:t>Cardio-metabolic and liver diseases represent areas of both rapidly growing unmet medical need and underinvestment, driven in part by the biological complexity of the diseases and the substantial costs necessary to develop new therapeutics. Leveraging our differentiated drug discovery approach, we have spent the last decade discovering and developing a portfolio of clinical-stage drug candidates that target various forms of cardio-metabolic disease including NASH, type 2 diabetes and obesity. Each of these drug candidates stem from novel insights we have made in understanding hormone pathways that regulate cardio-metabolic processes. NGM282 is our lead product candidate in development for treating NASH, a cardio-metabolic liver disease. As explained below, the clinically validated, dual mechanism of action of NGM282 supports its therapeutic potential in NASH, an indication with a high prevalence and for which there are no approved treatments. Our investment in cardio-metabolic diseases was further expanded in 2015 through our collaboration with Merck, which provided resources to advance multiple programs, in addition to our wholly-owned NGM282 program. Our six most advanced clinical candidates—NGM282, NGM313, NGM386, NGM120, NGM217 and NGM395—are notable because their preclinical profiles suggest the potential to broadly impact the drivers of various diseases with an underlying metabolic dysregulation. These programs are in human clinical trials or preparing to enter human clinical trials.</w:t>
      </w:r>
    </w:p>
    <w:p>
      <w:pPr>
        <w:spacing w:after="0" w:line="284"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Other Focus Areas</w:t>
      </w:r>
    </w:p>
    <w:p>
      <w:pPr>
        <w:spacing w:after="0" w:line="232" w:lineRule="exact"/>
        <w:rPr>
          <w:sz w:val="20"/>
          <w:szCs w:val="20"/>
          <w:color w:val="auto"/>
        </w:rPr>
      </w:pPr>
    </w:p>
    <w:p>
      <w:pPr>
        <w:ind w:left="380" w:right="240" w:firstLine="534"/>
        <w:spacing w:after="0" w:line="247" w:lineRule="auto"/>
        <w:rPr>
          <w:sz w:val="20"/>
          <w:szCs w:val="20"/>
          <w:color w:val="auto"/>
        </w:rPr>
      </w:pPr>
      <w:r>
        <w:rPr>
          <w:rFonts w:ascii="Arial" w:cs="Arial" w:eastAsia="Arial" w:hAnsi="Arial"/>
          <w:sz w:val="17"/>
          <w:szCs w:val="17"/>
          <w:color w:val="auto"/>
        </w:rPr>
        <w:t>Beyond cardio-metabolic and liver diseases, we are also pursuing treatments for oncologic and ophthalmic diseases, which are also major disease categories that are growing in incidence and lack adequate treatments. NGM120 is our first product in oncology and NGM621 is our first product candidate in ophthalmic disease. All of our programs embody our focus on delivering transformative therapeutics to patients by applying our proprietary insights into powerful biology underlying major diseases.</w:t>
      </w:r>
    </w:p>
    <w:p>
      <w:pPr>
        <w:spacing w:after="0" w:line="273" w:lineRule="exact"/>
        <w:rPr>
          <w:sz w:val="20"/>
          <w:szCs w:val="20"/>
          <w:color w:val="auto"/>
        </w:rPr>
      </w:pPr>
    </w:p>
    <w:p>
      <w:pPr>
        <w:ind w:left="5120"/>
        <w:spacing w:after="0"/>
        <w:rPr>
          <w:sz w:val="20"/>
          <w:szCs w:val="20"/>
          <w:color w:val="auto"/>
        </w:rPr>
      </w:pPr>
      <w:r>
        <w:rPr>
          <w:rFonts w:ascii="Arial" w:cs="Arial" w:eastAsia="Arial" w:hAnsi="Arial"/>
          <w:sz w:val="17"/>
          <w:szCs w:val="17"/>
          <w:b w:val="1"/>
          <w:bCs w:val="1"/>
          <w:color w:val="auto"/>
        </w:rPr>
        <w:t>Our Programs</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NGM282: A Rapid and Potent Approach to Treating NASH</w:t>
      </w:r>
    </w:p>
    <w:p>
      <w:pPr>
        <w:spacing w:after="0" w:line="126"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NGM282, an engineered version of human hormone FGF19 that is administered through a once daily subcutaneous injection, has demonstrated the ability to rapidly improve NASH and reverse liver fibrosis in clinical and preclinical studies. We believe the combination of breadth, magnitude and speed of effect demonstrated by NGM282 in these studies results in an agent that, if ultimately approved, could provide a needed medicine for physicians to treat NASH patients with moderate to advanced fibrosis. We have tested NGM282 in over 400 subjects, including more than 150 NASH patients, and we expect to initiate a Phase 2b clinical trial in NASH patients in mid-2019. NGM282 is wholly-owned, and it is not subject to our collaboration with Merck.</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NASH: A Progressive Metabolic and Fibrotic Disease of the Liver that Affects Millions</w:t>
      </w:r>
    </w:p>
    <w:p>
      <w:pPr>
        <w:spacing w:after="0" w:line="124" w:lineRule="exact"/>
        <w:rPr>
          <w:sz w:val="20"/>
          <w:szCs w:val="20"/>
          <w:color w:val="auto"/>
        </w:rPr>
      </w:pPr>
    </w:p>
    <w:p>
      <w:pPr>
        <w:jc w:val="both"/>
        <w:ind w:left="380" w:right="200" w:firstLine="534"/>
        <w:spacing w:after="0" w:line="245" w:lineRule="auto"/>
        <w:rPr>
          <w:sz w:val="20"/>
          <w:szCs w:val="20"/>
          <w:color w:val="auto"/>
        </w:rPr>
      </w:pPr>
      <w:r>
        <w:rPr>
          <w:rFonts w:ascii="Arial" w:cs="Arial" w:eastAsia="Arial" w:hAnsi="Arial"/>
          <w:sz w:val="17"/>
          <w:szCs w:val="17"/>
          <w:color w:val="auto"/>
        </w:rPr>
        <w:t>NASH is a life threatening form of liver disease. It results from the progression of NAFLD, which is a common co-morbidity of the metabolic syndrome and obesity. NAFLD is characterized by abnormal amounts of fat in the liver, a condition known as steatosis, and is often associated with insulin resistance. This abnormal fat in the liver contributes to the progression by certain NAFLD patients to NASH by developing a necroinflammatory state in the liver that ultimately drives scarring, also known as fibrosis, and, for many, progresses to liver failure, also known as cirrhosis.</w:t>
      </w:r>
    </w:p>
    <w:p>
      <w:pPr>
        <w:spacing w:after="0" w:line="1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040"/>
          </w:cols>
          <w:pgMar w:left="240" w:top="449" w:right="61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180" w:firstLine="534"/>
        <w:spacing w:after="0" w:line="244" w:lineRule="auto"/>
        <w:rPr>
          <w:sz w:val="20"/>
          <w:szCs w:val="20"/>
          <w:color w:val="auto"/>
        </w:rPr>
      </w:pPr>
      <w:r>
        <w:rPr>
          <w:rFonts w:ascii="Arial" w:cs="Arial" w:eastAsia="Arial" w:hAnsi="Arial"/>
          <w:sz w:val="17"/>
          <w:szCs w:val="17"/>
          <w:color w:val="auto"/>
        </w:rPr>
        <w:t>The estimated global prevalence of NAFLD and NASH has risen rapidly in parallel with the dramatic rise in population levels of obesity and diabetes. NAFLD now represents the most common cause of liver disease in the Western world. In the United States alone, the prevalence of NASH was estimated to total 16.5 million cases and is projected to reach 27 million cases by 2030, with similar trends occurring globally. By 2020, NASH is expected to supplant hepatitis C as the leading cause for liver transplantation, and liver-related deaths in the NAFLD population are expected to increase by more than 150% in the next 15 years. The annual economic burden associated with NAFLD and NASH in the United States was estimated to have been over $100 billion in 2016.</w:t>
      </w:r>
    </w:p>
    <w:p>
      <w:pPr>
        <w:spacing w:after="0" w:line="196"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Although the mechanism underlying the development and progression from simple steatosis to NASH and cirrhosis is poorly understood, insulin resistance and inflammatory mediators, including lipotoxicity, cytokines and oxidative stress, are believed to promote the development of NASH and its extrahepatic complications. Excess lipotoxic, or fat, metabolites in the liver are believed to provide the primary insult in the pathogenesis of NASH, and several treatments are in development targeting mechanisms to reduce these disease drivers. Other treatments in development aim to reduce the inflammatory and fibrotic damage created by this metabolic dysregulation. Evidence also supports a role for bile acids in the pathogenesis of liver inflammation and fibrosis. Accumulation of bile acids, in particular, more toxic hydrophobic bile acids, within hepatocytes can cause mitochondrial dysfunction, endoplasmic reticulum stress and immune cell infiltration that can ultimately lead to inflammation, cell death and liver injury.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142875</wp:posOffset>
            </wp:positionV>
            <wp:extent cx="5030470" cy="19875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030470" cy="198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80" w:right="20" w:firstLine="534"/>
        <w:spacing w:after="0" w:line="244" w:lineRule="auto"/>
        <w:rPr>
          <w:sz w:val="20"/>
          <w:szCs w:val="20"/>
          <w:color w:val="auto"/>
        </w:rPr>
      </w:pPr>
      <w:r>
        <w:rPr>
          <w:rFonts w:ascii="Arial" w:cs="Arial" w:eastAsia="Arial" w:hAnsi="Arial"/>
          <w:sz w:val="17"/>
          <w:szCs w:val="17"/>
          <w:color w:val="auto"/>
        </w:rPr>
        <w:t>Most patients with NASH are diagnosed in their forties or fifties, however, NASH develops across all ages, including in children, which is thought to be linked to an increase in childhood obesity. Most NASH patients are asymptomatic, although some may present with fatigue, malaise and vague right-upper abdominal discomfort. Patients are more likely to be initially identified by elevated liver aminotransferases on routine lab tests or hepatic steatosis detected incidentally on abdominal imaging. While non-invasive diagnostic tools are under development, a definitive diagnosis of NASH is currently only achievable through liver biopsy to assess the components of the NAFLD activity score, or NAS.</w:t>
      </w:r>
    </w:p>
    <w:p>
      <w:pPr>
        <w:spacing w:after="0" w:line="13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020"/>
          </w:cols>
          <w:pgMar w:left="240" w:top="449" w:right="63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20" w:firstLine="534"/>
        <w:spacing w:after="0" w:line="247" w:lineRule="auto"/>
        <w:rPr>
          <w:sz w:val="20"/>
          <w:szCs w:val="20"/>
          <w:color w:val="auto"/>
        </w:rPr>
      </w:pPr>
      <w:r>
        <w:rPr>
          <w:rFonts w:ascii="Arial" w:cs="Arial" w:eastAsia="Arial" w:hAnsi="Arial"/>
          <w:sz w:val="17"/>
          <w:szCs w:val="17"/>
          <w:color w:val="auto"/>
        </w:rPr>
        <w:t>The histologic criteria for the diagnosis of adult NASH include steatosis, lobular inflammation and hepatocellular ballooning. Portal and periportal fibrosis followed by bridging fibrosis and cirrhosis are seen in patients as NASH progresses. Physicians assess the severity of NASH by liver biopsy using two different scoring systems, the NAS and the fibrosis stage (F0 to F4). The table below describes the scoring criteria of the two systems:</w:t>
      </w:r>
    </w:p>
    <w:p>
      <w:pPr>
        <w:spacing w:after="0" w:line="16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u w:val="single" w:color="auto"/>
          <w:color w:val="auto"/>
        </w:rPr>
        <w:t>NAFLD Activity Score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164465</wp:posOffset>
            </wp:positionV>
            <wp:extent cx="4240530" cy="2061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240530" cy="2061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u w:val="single" w:color="auto"/>
          <w:color w:val="auto"/>
        </w:rPr>
        <w:t>Fibrosis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1499870</wp:posOffset>
            </wp:positionH>
            <wp:positionV relativeFrom="paragraph">
              <wp:posOffset>164465</wp:posOffset>
            </wp:positionV>
            <wp:extent cx="4265930" cy="1180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65930" cy="1180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80" w:firstLine="534"/>
        <w:spacing w:after="0" w:line="247" w:lineRule="auto"/>
        <w:rPr>
          <w:sz w:val="20"/>
          <w:szCs w:val="20"/>
          <w:color w:val="auto"/>
        </w:rPr>
      </w:pPr>
      <w:r>
        <w:rPr>
          <w:rFonts w:ascii="Arial" w:cs="Arial" w:eastAsia="Arial" w:hAnsi="Arial"/>
          <w:sz w:val="17"/>
          <w:szCs w:val="17"/>
          <w:color w:val="auto"/>
        </w:rPr>
        <w:t>The NAS is a validated score of liver histology that is used to grade disease activity in patients with NAFLD and NASH. The NAS is the sum of the liver biopsy’s individual scores for steatosis (0–3), lobular inflammation (0–3) and hepatocellular ballooning (0–2), with fibrosis (F0–F4) scored separately. Advanced liver fibrosis is generally considered fibrosis stage F3 and F4, which may ultimately lead to end-stage liver disease, liver cancer, liver transplant and/or death.</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FDA Draft Industry Guidance on NASH Drug Development and Endpoints</w:t>
      </w:r>
    </w:p>
    <w:p>
      <w:pPr>
        <w:spacing w:after="0" w:line="124" w:lineRule="exact"/>
        <w:rPr>
          <w:sz w:val="20"/>
          <w:szCs w:val="20"/>
          <w:color w:val="auto"/>
        </w:rPr>
      </w:pPr>
    </w:p>
    <w:p>
      <w:pPr>
        <w:ind w:left="380" w:right="540" w:firstLine="534"/>
        <w:spacing w:after="0" w:line="258" w:lineRule="auto"/>
        <w:rPr>
          <w:sz w:val="20"/>
          <w:szCs w:val="20"/>
          <w:color w:val="auto"/>
        </w:rPr>
      </w:pPr>
      <w:r>
        <w:rPr>
          <w:rFonts w:ascii="Arial" w:cs="Arial" w:eastAsia="Arial" w:hAnsi="Arial"/>
          <w:sz w:val="17"/>
          <w:szCs w:val="17"/>
          <w:color w:val="auto"/>
        </w:rPr>
        <w:t>There are no FDA-approved therapeutics for NASH. The FDA has provided draft industry guidance to the industry regarding acceptable development pathways for investigational NASH agents as follows:</w:t>
      </w:r>
    </w:p>
    <w:p>
      <w:pPr>
        <w:spacing w:after="0" w:line="90" w:lineRule="exact"/>
        <w:rPr>
          <w:sz w:val="20"/>
          <w:szCs w:val="20"/>
          <w:color w:val="auto"/>
        </w:rPr>
      </w:pPr>
    </w:p>
    <w:p>
      <w:pPr>
        <w:ind w:left="1100" w:right="540" w:hanging="205"/>
        <w:spacing w:after="0" w:line="258" w:lineRule="auto"/>
        <w:tabs>
          <w:tab w:leader="none" w:pos="11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must be tested in NASH patients, typically characterized as having a NAS of four or greater and at least one point in each component, with F2 or F3 fibrosis;</w:t>
      </w:r>
    </w:p>
    <w:p>
      <w:pPr>
        <w:spacing w:after="0" w:line="90" w:lineRule="exact"/>
        <w:rPr>
          <w:rFonts w:ascii="Arial" w:cs="Arial" w:eastAsia="Arial" w:hAnsi="Arial"/>
          <w:sz w:val="17"/>
          <w:szCs w:val="17"/>
          <w:color w:val="auto"/>
        </w:rPr>
      </w:pPr>
    </w:p>
    <w:p>
      <w:pPr>
        <w:ind w:left="1100" w:right="360" w:hanging="205"/>
        <w:spacing w:after="0" w:line="258" w:lineRule="auto"/>
        <w:tabs>
          <w:tab w:leader="none" w:pos="11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for an accelerated approval path (Subpart H (drugs)/Subpart E (biologics)), a surrogate endpoint that is “reasonably likely to predict clinical benefit” is acceptable. A subsequent post</w:t>
      </w:r>
    </w:p>
    <w:p>
      <w:pPr>
        <w:spacing w:after="0" w:line="11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000"/>
          </w:cols>
          <w:pgMar w:left="240" w:top="449" w:right="65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marketing confirmatory outcomes study is then required to be conducted to maintain licensure; and</w:t>
      </w:r>
    </w:p>
    <w:p>
      <w:pPr>
        <w:spacing w:after="0" w:line="119" w:lineRule="exact"/>
        <w:rPr>
          <w:sz w:val="20"/>
          <w:szCs w:val="20"/>
          <w:color w:val="auto"/>
        </w:rPr>
      </w:pPr>
    </w:p>
    <w:p>
      <w:pPr>
        <w:ind w:left="1100" w:right="620" w:hanging="205"/>
        <w:spacing w:after="0" w:line="258" w:lineRule="auto"/>
        <w:tabs>
          <w:tab w:leader="none" w:pos="11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for a Subpart H/E approval, two biopsy-based surrogate endpoints are endorsed by the FDA, defined as the proportion of patients that achieve:</w:t>
      </w:r>
    </w:p>
    <w:p>
      <w:pPr>
        <w:spacing w:after="0" w:line="90" w:lineRule="exact"/>
        <w:rPr>
          <w:rFonts w:ascii="Arial" w:cs="Arial" w:eastAsia="Arial" w:hAnsi="Arial"/>
          <w:sz w:val="17"/>
          <w:szCs w:val="17"/>
          <w:color w:val="auto"/>
        </w:rPr>
      </w:pPr>
    </w:p>
    <w:p>
      <w:pPr>
        <w:ind w:left="1320" w:right="580" w:hanging="202"/>
        <w:spacing w:after="0" w:line="258" w:lineRule="auto"/>
        <w:tabs>
          <w:tab w:leader="none" w:pos="1320" w:val="left"/>
        </w:tabs>
        <w:numPr>
          <w:ilvl w:val="1"/>
          <w:numId w:val="61"/>
        </w:numPr>
        <w:rPr>
          <w:rFonts w:ascii="Arial" w:cs="Arial" w:eastAsia="Arial" w:hAnsi="Arial"/>
          <w:sz w:val="17"/>
          <w:szCs w:val="17"/>
          <w:color w:val="auto"/>
        </w:rPr>
      </w:pPr>
      <w:r>
        <w:rPr>
          <w:rFonts w:ascii="Arial" w:cs="Arial" w:eastAsia="Arial" w:hAnsi="Arial"/>
          <w:sz w:val="17"/>
          <w:szCs w:val="17"/>
          <w:color w:val="auto"/>
        </w:rPr>
        <w:t>resolution of NASH, defined as a lobular inflammation score = 0 or 1 and a hepatocellular ballooning score = 0, with no worsening of fibrosis; or</w:t>
      </w:r>
    </w:p>
    <w:p>
      <w:pPr>
        <w:spacing w:after="0" w:line="78" w:lineRule="exact"/>
        <w:rPr>
          <w:rFonts w:ascii="Arial" w:cs="Arial" w:eastAsia="Arial" w:hAnsi="Arial"/>
          <w:sz w:val="17"/>
          <w:szCs w:val="17"/>
          <w:color w:val="auto"/>
        </w:rPr>
      </w:pPr>
    </w:p>
    <w:p>
      <w:pPr>
        <w:ind w:left="1320" w:hanging="202"/>
        <w:spacing w:after="0"/>
        <w:tabs>
          <w:tab w:leader="none" w:pos="1320" w:val="left"/>
        </w:tabs>
        <w:numPr>
          <w:ilvl w:val="1"/>
          <w:numId w:val="61"/>
        </w:numPr>
        <w:rPr>
          <w:rFonts w:ascii="Arial" w:cs="Arial" w:eastAsia="Arial" w:hAnsi="Arial"/>
          <w:sz w:val="17"/>
          <w:szCs w:val="17"/>
          <w:color w:val="auto"/>
        </w:rPr>
      </w:pPr>
      <w:r>
        <w:rPr>
          <w:rFonts w:ascii="Arial" w:cs="Arial" w:eastAsia="Arial" w:hAnsi="Arial"/>
          <w:sz w:val="17"/>
          <w:szCs w:val="17"/>
          <w:color w:val="auto"/>
        </w:rPr>
        <w:t>³1 stage improvement in fibrosis with no worsening of NASH.</w:t>
      </w:r>
    </w:p>
    <w:p>
      <w:pPr>
        <w:spacing w:after="0" w:line="235" w:lineRule="exact"/>
        <w:rPr>
          <w:sz w:val="20"/>
          <w:szCs w:val="20"/>
          <w:color w:val="auto"/>
        </w:rPr>
      </w:pPr>
    </w:p>
    <w:p>
      <w:pPr>
        <w:ind w:left="380" w:right="60" w:firstLine="534"/>
        <w:spacing w:after="0" w:line="247" w:lineRule="auto"/>
        <w:rPr>
          <w:sz w:val="20"/>
          <w:szCs w:val="20"/>
          <w:color w:val="auto"/>
        </w:rPr>
      </w:pPr>
      <w:r>
        <w:rPr>
          <w:rFonts w:ascii="Arial" w:cs="Arial" w:eastAsia="Arial" w:hAnsi="Arial"/>
          <w:sz w:val="17"/>
          <w:szCs w:val="17"/>
          <w:color w:val="auto"/>
        </w:rPr>
        <w:t>We believe many agents in development for NASH will opt for a Subpart H/E pathway and rely on the surrogate endpoints for initial approval. As detailed further below, fibrosis stage is currently the only measurement that is correlated to liver outcomes and therefore, the potential for many agents that will rely only on the resolution of NASH surrogate endpoint to demonstrate clinical benefit will remain uncertain until a confirmatory outcomes study is successfully completed.</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Stage of Fibrosis Predictive of Outcomes for NASH Patients</w:t>
      </w:r>
    </w:p>
    <w:p>
      <w:pPr>
        <w:spacing w:after="0" w:line="124" w:lineRule="exact"/>
        <w:rPr>
          <w:sz w:val="20"/>
          <w:szCs w:val="20"/>
          <w:color w:val="auto"/>
        </w:rPr>
      </w:pPr>
    </w:p>
    <w:p>
      <w:pPr>
        <w:ind w:left="380" w:right="20" w:firstLine="534"/>
        <w:spacing w:after="0" w:line="243" w:lineRule="auto"/>
        <w:rPr>
          <w:sz w:val="20"/>
          <w:szCs w:val="20"/>
          <w:color w:val="auto"/>
        </w:rPr>
      </w:pPr>
      <w:r>
        <w:rPr>
          <w:rFonts w:ascii="Arial" w:cs="Arial" w:eastAsia="Arial" w:hAnsi="Arial"/>
          <w:sz w:val="17"/>
          <w:szCs w:val="17"/>
          <w:color w:val="auto"/>
        </w:rPr>
        <w:t>The presence of fibrosis is the only factor that is highly predictive in identifying those patients who will progress to cirrhosis. The natural history of NASH is variable from patient to patient and, while the NAS is a valuable tool for diagnosing the disease, it does not appear to be predictive of disease progression. Of the estimated 64 million patients in the United States with NAFLD, approximately 10%– 20% will progress to NASH over time. Of these NASH patients, approximately 10%–15% will progress to cirrhosis by advancing one fibrosis stage every seven years. The mortality rate of NASH patients with fibrosis has been estimated at 1.5%–3.5% per year, largely due to cardiovascular disease, followed by liver-related causes. However, patients with F2 or greater fibrosis stage have a greater chance of liver-related mortality than cardiovascular-related mortality, and each stage of worsening of fibrosis correlates to an exponential increase in liver-related mortality rates. Patients with F3 fibrosis and F4 fibrosis have an approximately 17 times greater risk and 42 times greater risk, respectively, of liver-related mortality than those NASH patients without fibrosis. Therefore, it is expected that treatments that can drive the regression of fibrosis are more likely to have a meaningful impact on clinical outcomes for NASH patients with F2 to F4 fibrosis.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Current Treatments</w:t>
      </w:r>
    </w:p>
    <w:p>
      <w:pPr>
        <w:spacing w:after="0" w:line="124" w:lineRule="exact"/>
        <w:rPr>
          <w:sz w:val="20"/>
          <w:szCs w:val="20"/>
          <w:color w:val="auto"/>
        </w:rPr>
      </w:pPr>
    </w:p>
    <w:p>
      <w:pPr>
        <w:ind w:left="380" w:firstLine="534"/>
        <w:spacing w:after="0" w:line="258" w:lineRule="auto"/>
        <w:rPr>
          <w:sz w:val="20"/>
          <w:szCs w:val="20"/>
          <w:color w:val="auto"/>
        </w:rPr>
      </w:pPr>
      <w:r>
        <w:rPr>
          <w:rFonts w:ascii="Arial" w:cs="Arial" w:eastAsia="Arial" w:hAnsi="Arial"/>
          <w:sz w:val="17"/>
          <w:szCs w:val="17"/>
          <w:color w:val="auto"/>
        </w:rPr>
        <w:t>Currently, no agents have been approved for the treatment of NASH. Weight loss through diet and lifestyle management is currently considered the first-line treatment strategy for NASH and is</w:t>
      </w:r>
    </w:p>
    <w:p>
      <w:pPr>
        <w:spacing w:after="0" w:line="1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060"/>
          </w:cols>
          <w:pgMar w:left="240" w:top="449" w:right="59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20"/>
        <w:spacing w:after="0" w:line="245" w:lineRule="auto"/>
        <w:rPr>
          <w:sz w:val="20"/>
          <w:szCs w:val="20"/>
          <w:color w:val="auto"/>
        </w:rPr>
      </w:pPr>
      <w:r>
        <w:rPr>
          <w:rFonts w:ascii="Arial" w:cs="Arial" w:eastAsia="Arial" w:hAnsi="Arial"/>
          <w:sz w:val="17"/>
          <w:szCs w:val="17"/>
          <w:color w:val="auto"/>
        </w:rPr>
        <w:t>associated with improvement in liver histology and a reduction in cardiovascular and metabolic complications. However, fewer than 10% of patients are successful in achieving or maintaining at least a 10% total body weight loss that is sufficient to improve fibrosis and, therefore, require other interventions. In cases of morbid obesity, gastric bypass surgery has been successful in resolving NASH in a majority of patients, however, the effect on fibrosis improvement was less substantial and the risk of complications and expense of the surgery limit more widespread use.</w:t>
      </w:r>
    </w:p>
    <w:p>
      <w:pPr>
        <w:spacing w:after="0" w:line="194" w:lineRule="exact"/>
        <w:rPr>
          <w:sz w:val="20"/>
          <w:szCs w:val="20"/>
          <w:color w:val="auto"/>
        </w:rPr>
      </w:pPr>
    </w:p>
    <w:p>
      <w:pPr>
        <w:ind w:left="380" w:right="280" w:firstLine="534"/>
        <w:spacing w:after="0" w:line="247" w:lineRule="auto"/>
        <w:rPr>
          <w:sz w:val="20"/>
          <w:szCs w:val="20"/>
          <w:color w:val="auto"/>
        </w:rPr>
      </w:pPr>
      <w:r>
        <w:rPr>
          <w:rFonts w:ascii="Arial" w:cs="Arial" w:eastAsia="Arial" w:hAnsi="Arial"/>
          <w:sz w:val="17"/>
          <w:szCs w:val="17"/>
          <w:color w:val="auto"/>
        </w:rPr>
        <w:t>In the absence of approved products, some physicians utilize agents approved for other indications, including Vitamin E and pioglitazone; however, the evidence of their effect on NASH is modest and/or they have safety issues that limit acceptance. Given the increasing disease burden and lack of approved treatment options, the development of novel pharmacologic therapies to treat NASH is critical.</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Treatments in Development</w:t>
      </w:r>
    </w:p>
    <w:p>
      <w:pPr>
        <w:spacing w:after="0" w:line="124" w:lineRule="exact"/>
        <w:rPr>
          <w:sz w:val="20"/>
          <w:szCs w:val="20"/>
          <w:color w:val="auto"/>
        </w:rPr>
      </w:pPr>
    </w:p>
    <w:p>
      <w:pPr>
        <w:ind w:left="380" w:right="40" w:firstLine="534"/>
        <w:spacing w:after="0" w:line="244" w:lineRule="auto"/>
        <w:rPr>
          <w:sz w:val="20"/>
          <w:szCs w:val="20"/>
          <w:color w:val="auto"/>
        </w:rPr>
      </w:pPr>
      <w:r>
        <w:rPr>
          <w:rFonts w:ascii="Arial" w:cs="Arial" w:eastAsia="Arial" w:hAnsi="Arial"/>
          <w:sz w:val="17"/>
          <w:szCs w:val="17"/>
          <w:color w:val="auto"/>
        </w:rPr>
        <w:t>While there are many agents in clinical development for NASH, the landscape can be subdivided into a few mechanistic classes based on the putative disease drivers they target. Most treatment approaches for NASH have focused on the prevention or reversal of liver injury either by predominantly treating the metabolic dysregulation of the disease or through directly targeting inflammatory or fibrogenic pathways. NASH is a chronic, slowly progressing disease and, currently, many believe that slowing the progression or reversing disease requires treatment periods of at least 12 months. To attempt to overcome modest individual agent activity, combination therapy is being pursued by some NASH drug developers, on the theory that the complex underlying pathophysiology of NASH will require targeting multiple mechanisms to achieve a sufficient disease-modifying effect to be clinically relevant.</w:t>
      </w:r>
    </w:p>
    <w:p>
      <w:pPr>
        <w:spacing w:after="0" w:line="280"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Drug Candidates Pursuing a Metabolic Approach to Treating NASH</w:t>
      </w:r>
    </w:p>
    <w:p>
      <w:pPr>
        <w:spacing w:after="0" w:line="124" w:lineRule="exact"/>
        <w:rPr>
          <w:sz w:val="20"/>
          <w:szCs w:val="20"/>
          <w:color w:val="auto"/>
        </w:rPr>
      </w:pPr>
    </w:p>
    <w:p>
      <w:pPr>
        <w:ind w:left="380" w:right="20" w:firstLine="534"/>
        <w:spacing w:after="0" w:line="243" w:lineRule="auto"/>
        <w:rPr>
          <w:sz w:val="20"/>
          <w:szCs w:val="20"/>
          <w:color w:val="auto"/>
        </w:rPr>
      </w:pPr>
      <w:r>
        <w:rPr>
          <w:rFonts w:ascii="Arial" w:cs="Arial" w:eastAsia="Arial" w:hAnsi="Arial"/>
          <w:sz w:val="17"/>
          <w:szCs w:val="17"/>
          <w:color w:val="auto"/>
        </w:rPr>
        <w:t>Certain NASH drug development candidates are focused on the metabolic components of the disease, such as insulin resistance and lipotoxicity, that are associated with the inception and early stages of the disease pathology. The rationale for these treatment candidates is based on an expectation that the improvement of the underlying liver insult of metabolic dysregulation will allow the liver to recover over the long-term, which would potentially allow the liver to repair itself and eventually improve fibrosis. Although clinical data for some compounds in this mechanistic class show a beneficial effect on steatosis and an improvement in the NAS, the effect on fibrosis is likely to be highly dependent on the compound being tested. Any of these metabolic-focused compounds that are ultimately approved may be appropriate to halt the progression of disease in earlier-stage NASH patients or used in combination with other agents. Considering the correlation of liver failure outcomes with fibrosis stage, we believe the NASH patients with moderate to advanced fibrosis (F2 to F4) will require a more potent and fast-acting agent to prevent the progression to end-stage liver disease.</w:t>
      </w:r>
    </w:p>
    <w:p>
      <w:pPr>
        <w:spacing w:after="0" w:line="283"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Drug Candidates Pursuing an Anti-Inflammatory and/or Anti-Fibrotic Approach to Treating NASH</w:t>
      </w:r>
    </w:p>
    <w:p>
      <w:pPr>
        <w:spacing w:after="0" w:line="124" w:lineRule="exact"/>
        <w:rPr>
          <w:sz w:val="20"/>
          <w:szCs w:val="20"/>
          <w:color w:val="auto"/>
        </w:rPr>
      </w:pPr>
    </w:p>
    <w:p>
      <w:pPr>
        <w:ind w:left="380" w:right="180" w:firstLine="534"/>
        <w:spacing w:after="0" w:line="247" w:lineRule="auto"/>
        <w:rPr>
          <w:sz w:val="20"/>
          <w:szCs w:val="20"/>
          <w:color w:val="auto"/>
        </w:rPr>
      </w:pPr>
      <w:r>
        <w:rPr>
          <w:rFonts w:ascii="Arial" w:cs="Arial" w:eastAsia="Arial" w:hAnsi="Arial"/>
          <w:sz w:val="17"/>
          <w:szCs w:val="17"/>
          <w:color w:val="auto"/>
        </w:rPr>
        <w:t>Candidates targeting various mechanisms with possible anti-inflammatory and anti-fibrotic effects are also in clinical testing for NASH. These classes of compounds have shown mixed results in meaningfully improving the fibrosis score of patients. Where fibrosis improvements have been shown, results have either been transient or not accompanied by significant improvements in other histological measures of the disease. These classes of compounds have also shown limited ability to improve NASH.</w:t>
      </w:r>
    </w:p>
    <w:p>
      <w:pPr>
        <w:spacing w:after="0" w:line="190" w:lineRule="exact"/>
        <w:rPr>
          <w:sz w:val="20"/>
          <w:szCs w:val="20"/>
          <w:color w:val="auto"/>
        </w:rPr>
      </w:pPr>
    </w:p>
    <w:p>
      <w:pPr>
        <w:ind w:left="380" w:firstLine="534"/>
        <w:spacing w:after="0" w:line="250" w:lineRule="auto"/>
        <w:rPr>
          <w:sz w:val="20"/>
          <w:szCs w:val="20"/>
          <w:color w:val="auto"/>
        </w:rPr>
      </w:pPr>
      <w:r>
        <w:rPr>
          <w:rFonts w:ascii="Arial" w:cs="Arial" w:eastAsia="Arial" w:hAnsi="Arial"/>
          <w:sz w:val="17"/>
          <w:szCs w:val="17"/>
          <w:color w:val="auto"/>
        </w:rPr>
        <w:t>We believe the minimal efficacy on fibrosis improvement and lack of activity on resolving NASH that has been observed to date with anti-inflammatory and anti-fibrotic agents may reflect the difficulty in treating the disease without removing the underlying insult of lipotoxicity, or the challenge of</w:t>
      </w:r>
    </w:p>
    <w:p>
      <w:pPr>
        <w:spacing w:after="0" w:line="12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060"/>
          </w:cols>
          <w:pgMar w:left="240" w:top="449" w:right="59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impinging on the complex process of hepatocellular death and fibrosis from collagen deposition by intervention through a single pathway.</w:t>
      </w:r>
    </w:p>
    <w:p>
      <w:pPr>
        <w:spacing w:after="0" w:line="297"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Drug Candidates with Multiple Mechanisms</w:t>
      </w:r>
    </w:p>
    <w:p>
      <w:pPr>
        <w:spacing w:after="0" w:line="124" w:lineRule="exact"/>
        <w:rPr>
          <w:sz w:val="20"/>
          <w:szCs w:val="20"/>
          <w:color w:val="auto"/>
        </w:rPr>
      </w:pPr>
    </w:p>
    <w:p>
      <w:pPr>
        <w:ind w:left="380" w:right="60" w:firstLine="534"/>
        <w:spacing w:after="0" w:line="243" w:lineRule="auto"/>
        <w:rPr>
          <w:sz w:val="20"/>
          <w:szCs w:val="20"/>
          <w:color w:val="auto"/>
        </w:rPr>
      </w:pPr>
      <w:r>
        <w:rPr>
          <w:rFonts w:ascii="Arial" w:cs="Arial" w:eastAsia="Arial" w:hAnsi="Arial"/>
          <w:sz w:val="17"/>
          <w:szCs w:val="17"/>
          <w:color w:val="auto"/>
        </w:rPr>
        <w:t>To date, drug candidates with multiple mechanisms of activity have shown the most promising effect on NASH. The FXR agonist, obeticholic acid, or OCA, demonstrated improvements in the NAS and fibrosis but not resolution of NASH as defined by the Phase 2 and Phase 3 study protocols. FXR agonists are known to regulate hundreds of genes, and one of the factors upregulated is FGF19. We believe FGF19 is the primary mediator of the activity of FXR agonists in NASH. FXR agonists are limited, however, in the magnitude of FGF19 levels they can achieve by the boundaries of normal physiology. We believe this limitation to sub-pharmacological levels of FGF19 will limit the ability of FXR agonists to produce a meaningful effect in NASH, in the same way that insulin secretagogues have mild activity compared to insulin itself in treating diabetes. Additionally, treatment with OCA has been associated with pruritus, or whole body itching. There are multiple FXR agonists in preclinical or clinical development seeking to improve on the properties of OCA; however, we believe their activity on NASH will be limited by their inability to sufficiently elevate FGF19 levels over a sustained period of time.</w:t>
      </w:r>
    </w:p>
    <w:p>
      <w:pPr>
        <w:spacing w:after="0" w:line="196" w:lineRule="exact"/>
        <w:rPr>
          <w:sz w:val="20"/>
          <w:szCs w:val="20"/>
          <w:color w:val="auto"/>
        </w:rPr>
      </w:pPr>
    </w:p>
    <w:p>
      <w:pPr>
        <w:ind w:left="380" w:right="100" w:firstLine="534"/>
        <w:spacing w:after="0" w:line="258" w:lineRule="auto"/>
        <w:rPr>
          <w:sz w:val="20"/>
          <w:szCs w:val="20"/>
          <w:color w:val="auto"/>
        </w:rPr>
      </w:pPr>
      <w:r>
        <w:rPr>
          <w:rFonts w:ascii="Arial" w:cs="Arial" w:eastAsia="Arial" w:hAnsi="Arial"/>
          <w:sz w:val="17"/>
          <w:szCs w:val="17"/>
          <w:color w:val="auto"/>
        </w:rPr>
        <w:t>To our knowledge, we are the only program in clinical development for NASH directly activating the native FGF19 pathway to drive both a regression of fibrosis and resolution of NASH.</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NGM282: A rapid and potent approach to treating NASH</w:t>
      </w:r>
    </w:p>
    <w:p>
      <w:pPr>
        <w:spacing w:after="0" w:line="124" w:lineRule="exact"/>
        <w:rPr>
          <w:sz w:val="20"/>
          <w:szCs w:val="20"/>
          <w:color w:val="auto"/>
        </w:rPr>
      </w:pPr>
    </w:p>
    <w:p>
      <w:pPr>
        <w:ind w:left="380" w:firstLine="534"/>
        <w:spacing w:after="0" w:line="241" w:lineRule="auto"/>
        <w:rPr>
          <w:sz w:val="20"/>
          <w:szCs w:val="20"/>
          <w:color w:val="auto"/>
        </w:rPr>
      </w:pPr>
      <w:r>
        <w:rPr>
          <w:rFonts w:ascii="Arial" w:cs="Arial" w:eastAsia="Arial" w:hAnsi="Arial"/>
          <w:sz w:val="17"/>
          <w:szCs w:val="17"/>
          <w:color w:val="auto"/>
        </w:rPr>
        <w:t>NGM282, an engineered version of human hormone FGF19 that is administered through a once daily subcutaneous injection, has demonstrated the ability to rapidly improve NASH and reverse liver fibrosis in clinical and preclinical studies. We believe the combination of breadth, magnitude and speed of effect demonstrated by NGM282 in these studies results in an agent that, if ultimately approved, could provide a needed medicine for physicians to treat NASH patients with moderate to advanced fibrosis. We have tested NGM282 in over</w:t>
      </w:r>
    </w:p>
    <w:p>
      <w:pPr>
        <w:spacing w:after="0" w:line="1" w:lineRule="exact"/>
        <w:rPr>
          <w:sz w:val="20"/>
          <w:szCs w:val="20"/>
          <w:color w:val="auto"/>
        </w:rPr>
      </w:pPr>
    </w:p>
    <w:p>
      <w:pPr>
        <w:ind w:left="380" w:right="160"/>
        <w:spacing w:after="0" w:line="247" w:lineRule="auto"/>
        <w:rPr>
          <w:sz w:val="20"/>
          <w:szCs w:val="20"/>
          <w:color w:val="auto"/>
        </w:rPr>
      </w:pPr>
      <w:r>
        <w:rPr>
          <w:rFonts w:ascii="Arial" w:cs="Arial" w:eastAsia="Arial" w:hAnsi="Arial"/>
          <w:sz w:val="17"/>
          <w:szCs w:val="17"/>
          <w:color w:val="auto"/>
        </w:rPr>
        <w:t>400 subjects, including more than 150 NASH patients, and we expect to initiate a Phase 2b clinical trial in NASH patients with F2 and F3 liver fibrosis in mid-2019 and a Phase 2b clinical trial in NASH patients with F4 compensated cirrhosis in the second half of 2019. We obtained Fast Track designation for NGM282 for the treatment of NASH and PBC in adults. See “Government Regulation and Product Approval—Accelerated Approval Requirements.” NGM282 is wholly-owned, and it is not subject to our collaboration with Merck.</w:t>
      </w:r>
    </w:p>
    <w:p>
      <w:pPr>
        <w:spacing w:after="0" w:line="190" w:lineRule="exact"/>
        <w:rPr>
          <w:sz w:val="20"/>
          <w:szCs w:val="20"/>
          <w:color w:val="auto"/>
        </w:rPr>
      </w:pPr>
    </w:p>
    <w:p>
      <w:pPr>
        <w:ind w:left="380" w:right="120" w:firstLine="534"/>
        <w:spacing w:after="0" w:line="244" w:lineRule="auto"/>
        <w:rPr>
          <w:sz w:val="20"/>
          <w:szCs w:val="20"/>
          <w:color w:val="auto"/>
        </w:rPr>
      </w:pPr>
      <w:r>
        <w:rPr>
          <w:rFonts w:ascii="Arial" w:cs="Arial" w:eastAsia="Arial" w:hAnsi="Arial"/>
          <w:sz w:val="17"/>
          <w:szCs w:val="17"/>
          <w:color w:val="auto"/>
        </w:rPr>
        <w:t>In a recent study, gastric bypass surgery has led to a resolution of NASH in approximately 80% of patients studied. We initially identified FGF19 using our rodent gastric bypass surgery model that was designed to discover hormones that may drive the beneficial metabolic effects observed following this type of surgery. We also demonstrated that serum levels of FGF19 are significantly increased in humans after gastric bypass surgery. FGF19 acts as an endocrine hormone to regulate systemic carbohydrate and energy homeostasis, similar to insulin, and also inhibit the production of bile acids in the liver. Systemic FGF19 levels are decreased in patients with NASH, type 2 diabetes or metabolic syndrome, and are normalized after gastric bypass surgery in diabetic human subjects.</w:t>
      </w:r>
    </w:p>
    <w:p>
      <w:pPr>
        <w:spacing w:after="0" w:line="196" w:lineRule="exact"/>
        <w:rPr>
          <w:sz w:val="20"/>
          <w:szCs w:val="20"/>
          <w:color w:val="auto"/>
        </w:rPr>
      </w:pPr>
    </w:p>
    <w:p>
      <w:pPr>
        <w:ind w:left="380" w:right="40" w:firstLine="534"/>
        <w:spacing w:after="0" w:line="244" w:lineRule="auto"/>
        <w:rPr>
          <w:sz w:val="20"/>
          <w:szCs w:val="20"/>
          <w:color w:val="auto"/>
        </w:rPr>
      </w:pPr>
      <w:r>
        <w:rPr>
          <w:rFonts w:ascii="Arial" w:cs="Arial" w:eastAsia="Arial" w:hAnsi="Arial"/>
          <w:sz w:val="17"/>
          <w:szCs w:val="17"/>
          <w:color w:val="auto"/>
        </w:rPr>
        <w:t>The spectrum of activities ascribed to FGF19 appear to be mediated primarily through two different receptor complexes: FGFR4/KLB and FGFR1c/KLB. FGFR4/KLB receptor complexes are found primarily in the liver and FGFR1c/KLB receptor complexes are found primarily in adipose tissue and the central nervous system. When activated, FGFR4/KLB inhibits the expression of the cholesterol 7alpha-hydroxylase 1, or CYP7A1, gene, which modulates bile acid production through the classical pathway in the liver. There is increasing evidence supporting the role of bile acids as a pathophysiological driver of NASH. Individuals with NASH are reported to have elevated hepatic and circulating concentrations of bile acids, as well as increased concentrations of fecal and urine bile</w:t>
      </w:r>
    </w:p>
    <w:p>
      <w:pPr>
        <w:spacing w:after="0" w:line="13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040"/>
          </w:cols>
          <w:pgMar w:left="240" w:top="449" w:right="61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20"/>
        <w:spacing w:after="0" w:line="245" w:lineRule="auto"/>
        <w:rPr>
          <w:sz w:val="20"/>
          <w:szCs w:val="20"/>
          <w:color w:val="auto"/>
        </w:rPr>
      </w:pPr>
      <w:r>
        <w:rPr>
          <w:rFonts w:ascii="Arial" w:cs="Arial" w:eastAsia="Arial" w:hAnsi="Arial"/>
          <w:sz w:val="17"/>
          <w:szCs w:val="17"/>
          <w:color w:val="auto"/>
        </w:rPr>
        <w:t xml:space="preserve">acids. As NASH patients progress to F2 and F3 fibrosis stages, serum levels of bile acids double as compared to healthy volunteers. Furthermore, serum levels of FGF19 are increasingly depressed as fibrosis levels increase in NASH patients as compared to healthy volunteers. A combination of activities from FGFR4/KLB and FGFR1c/KLB are believed to promote multiple beneficial metabolic effects in the liver and systemically, including improved insulin sensitization, a reduction in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lipogenesis and an increase in fatty acid oxidation.</w:t>
      </w:r>
    </w:p>
    <w:p>
      <w:pPr>
        <w:spacing w:after="0" w:line="393" w:lineRule="exact"/>
        <w:rPr>
          <w:sz w:val="20"/>
          <w:szCs w:val="20"/>
          <w:color w:val="auto"/>
        </w:rPr>
      </w:pPr>
    </w:p>
    <w:p>
      <w:pPr>
        <w:ind w:left="380" w:right="120" w:firstLine="534"/>
        <w:spacing w:after="0" w:line="245" w:lineRule="auto"/>
        <w:rPr>
          <w:sz w:val="20"/>
          <w:szCs w:val="20"/>
          <w:color w:val="auto"/>
        </w:rPr>
      </w:pPr>
      <w:r>
        <w:rPr>
          <w:rFonts w:ascii="Arial" w:cs="Arial" w:eastAsia="Arial" w:hAnsi="Arial"/>
          <w:sz w:val="17"/>
          <w:szCs w:val="17"/>
          <w:color w:val="auto"/>
        </w:rPr>
        <w:t>We designed NGM282 as an analog of human FGF19 to improve the drug-like properties of the protein, remove a tumorigenic signal observed in rodents and retain the beneficial properties of triggering the FGFR4/KLB and FGFR1c/KLB pathways. We believe this tandem receptor-complex activation enables an improvement in the metabolic function of the liver and reduction in bile acid synthesis, which, in turn, enables NGM282 to have a more rapid and direct impact on fibrosis as compared to other agents that only address the metabolic dysfunction of NASH, as illustrated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1233805</wp:posOffset>
            </wp:positionH>
            <wp:positionV relativeFrom="paragraph">
              <wp:posOffset>140335</wp:posOffset>
            </wp:positionV>
            <wp:extent cx="4798060" cy="33013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798060" cy="330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Our Extensive Clinical Experience with NGM282</w:t>
      </w:r>
    </w:p>
    <w:p>
      <w:pPr>
        <w:spacing w:after="0" w:line="124" w:lineRule="exact"/>
        <w:rPr>
          <w:sz w:val="20"/>
          <w:szCs w:val="20"/>
          <w:color w:val="auto"/>
        </w:rPr>
      </w:pPr>
    </w:p>
    <w:p>
      <w:pPr>
        <w:ind w:left="380" w:firstLine="534"/>
        <w:spacing w:after="0" w:line="247" w:lineRule="auto"/>
        <w:rPr>
          <w:sz w:val="20"/>
          <w:szCs w:val="20"/>
          <w:color w:val="auto"/>
        </w:rPr>
      </w:pPr>
      <w:r>
        <w:rPr>
          <w:rFonts w:ascii="Arial" w:cs="Arial" w:eastAsia="Arial" w:hAnsi="Arial"/>
          <w:sz w:val="17"/>
          <w:szCs w:val="17"/>
          <w:color w:val="auto"/>
        </w:rPr>
        <w:t>Our clinical development program for NGM282 was designed to first assess safety and tolerability of the agent and then test for activity in humans in a variety of disease settings we believed may benefit from the signaling activity of the FGF19 pathway. Each of these trials has provided insights into the agent’s activity in humans and informed our development plans for NASH. A consistent profile of activity and tolerability has emerged for the compound across these studies.</w:t>
      </w:r>
    </w:p>
    <w:p>
      <w:pPr>
        <w:spacing w:after="0" w:line="190" w:lineRule="exact"/>
        <w:rPr>
          <w:sz w:val="20"/>
          <w:szCs w:val="20"/>
          <w:color w:val="auto"/>
        </w:rPr>
      </w:pPr>
    </w:p>
    <w:p>
      <w:pPr>
        <w:ind w:left="380" w:right="140" w:firstLine="534"/>
        <w:spacing w:after="0" w:line="250" w:lineRule="auto"/>
        <w:rPr>
          <w:sz w:val="20"/>
          <w:szCs w:val="20"/>
          <w:color w:val="auto"/>
        </w:rPr>
      </w:pPr>
      <w:r>
        <w:rPr>
          <w:rFonts w:ascii="Arial" w:cs="Arial" w:eastAsia="Arial" w:hAnsi="Arial"/>
          <w:sz w:val="17"/>
          <w:szCs w:val="17"/>
          <w:color w:val="auto"/>
        </w:rPr>
        <w:t>After a Phase 1 clinical trial to assess safety and tolerability, we conducted a Phase 2 clinical trial in type 2 diabetes patients to assess the impact of NGM282 on insulin resistance and blood glucose levels. Although they were not histologically confirmed for NASH, the characteristics of many of the patients enrolled in this study are consistent with a population of presumptive NASH patients as they</w:t>
      </w:r>
    </w:p>
    <w:p>
      <w:pPr>
        <w:spacing w:after="0" w:line="12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000"/>
          </w:cols>
          <w:pgMar w:left="240" w:top="449" w:right="65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40"/>
        <w:spacing w:after="0" w:line="245" w:lineRule="auto"/>
        <w:rPr>
          <w:sz w:val="20"/>
          <w:szCs w:val="20"/>
          <w:color w:val="auto"/>
        </w:rPr>
      </w:pPr>
      <w:r>
        <w:rPr>
          <w:rFonts w:ascii="Arial" w:cs="Arial" w:eastAsia="Arial" w:hAnsi="Arial"/>
          <w:sz w:val="17"/>
          <w:szCs w:val="17"/>
          <w:color w:val="auto"/>
        </w:rPr>
        <w:t>demonstrated many of the hallmarks of NASH, including elevated levels of the liver transaminases known as alanine transaminase, or ALT, and aspartate transaminase, or AST. This trial validated the metabolic pathways of the drug by demonstrating improvements in many metabolic parameters across the patient population, but did not result in significant blood glucose lowering after 28 days of treatment. A consistent improvement in ALT and AST was observed for patients on treatment with NGM282, which suggested the agent was having a beneficial effect on liver health and, therefore, could have application in the treatment of NASH.</w:t>
      </w:r>
    </w:p>
    <w:p>
      <w:pPr>
        <w:spacing w:after="0" w:line="194" w:lineRule="exact"/>
        <w:rPr>
          <w:sz w:val="20"/>
          <w:szCs w:val="20"/>
          <w:color w:val="auto"/>
        </w:rPr>
      </w:pPr>
    </w:p>
    <w:p>
      <w:pPr>
        <w:ind w:left="380" w:right="20" w:firstLine="534"/>
        <w:spacing w:after="0" w:line="242" w:lineRule="auto"/>
        <w:rPr>
          <w:sz w:val="20"/>
          <w:szCs w:val="20"/>
          <w:color w:val="auto"/>
        </w:rPr>
      </w:pPr>
      <w:r>
        <w:rPr>
          <w:rFonts w:ascii="Arial" w:cs="Arial" w:eastAsia="Arial" w:hAnsi="Arial"/>
          <w:sz w:val="17"/>
          <w:szCs w:val="17"/>
          <w:color w:val="auto"/>
        </w:rPr>
        <w:t>We have also explored the utility of NGM282-mediated bile acid synthesis inhibition in two cholestatic diseases, primary biliary cholangitis, or PBC, and primary sclerosing cholangitits, or PSC, but have decided not to pursue further development of NGM282 in these diseases at this time. Although we do not currently intend to pursue NGM282 for the treatment of PBC or PSC, we previously obtained orphan drug designations for NGM282 for the treatment of PBC in adults in the United States and PBC and PSC in adults in the European Union. See “Government Regulation and Product Approval—Orphan Drug Designation.” Both of these conditions are believed to have a strong bile acid component underlying the disease. NGM282 achieved a significant reduction in alkaline phosphatase, or ALP, an FDA-validated biomarker of disease in PBC, however, we determined the once-daily injectable nature of the product and competitive landscape compared to other development paths for the drug was not optimal. Similarly, in PSC, NGM282 treatment resulted in sustained reductions in a biomarker of fibrogenesis (PRO-C3), although there was no benefit in the primary endpoint of the trial, ALP. The FDA has not provided guidance on a development path for PSC that does not involve ALP and, therefore, we have determined not to move forward in this indication until a clear path is defined. Notably, PSC patients have a normal liver fat content level and the indication of fibrosis improvement in this population supports a role for the activity of a bile acid inhibitor, such as NGM282, as an anti-fibrotic in the liver.</w:t>
      </w:r>
    </w:p>
    <w:p>
      <w:pPr>
        <w:spacing w:after="0" w:line="201" w:lineRule="exact"/>
        <w:rPr>
          <w:sz w:val="20"/>
          <w:szCs w:val="20"/>
          <w:color w:val="auto"/>
        </w:rPr>
      </w:pPr>
    </w:p>
    <w:p>
      <w:pPr>
        <w:ind w:left="380" w:right="240" w:firstLine="534"/>
        <w:spacing w:after="0" w:line="245" w:lineRule="auto"/>
        <w:rPr>
          <w:sz w:val="20"/>
          <w:szCs w:val="20"/>
          <w:color w:val="auto"/>
        </w:rPr>
      </w:pPr>
      <w:r>
        <w:rPr>
          <w:rFonts w:ascii="Arial" w:cs="Arial" w:eastAsia="Arial" w:hAnsi="Arial"/>
          <w:sz w:val="17"/>
          <w:szCs w:val="17"/>
          <w:color w:val="auto"/>
        </w:rPr>
        <w:t>A consistent tolerability observation across each trial has been dose-dependent gastrointestinal, or GI, adverse events that manifest in both the upper and lower GI tract. We conducted a Phase 1b trial in patients with chronic constipation and determined that NGM282 has a pro-kinetic effect on the GI tract, which means the increase in stool frequency is caused by greater GI motility and is not related to elevated fecal fat or elevated bile acid content. These results have helped inform mitigation protocols to help patients lessen these GI side effects.</w:t>
      </w:r>
    </w:p>
    <w:p>
      <w:pPr>
        <w:spacing w:after="0" w:line="281"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NGM282 Phase 2 Trial in NASH Patients</w:t>
      </w:r>
    </w:p>
    <w:p>
      <w:pPr>
        <w:spacing w:after="0" w:line="124"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Our Phase 2 clinical trial in patients with histologically-confirmed NASH was comprised of an initial double-blind placebo-controlled cohort (cohort 1), followed by a series of adaptive, open-label, single-blind cohorts (cohorts 2 and 3). We are also currently enrolling an additional expansion cohort (cohort 4) under this study to test NGM282 in a double blind, placebo-controlled setting with liver biopsies at baseline and following 24 weeks of treatment. Cohort 1 was designed to measure liver fat content by magnetic resonance imaging proton density fat fraction, or MRI-PDFF, and serum biomarker data at 12 weeks. This portion of the study generated distinct signals of therapeutic benefit and appropriate tolerability characteristics, which subsequently informed the adaptive cohorts 2 and 3. The open-label, single-blind cohorts (cohorts 2 and 3) were designed to explore additional dose levels of NGM282, as well as confirm the impact of NGM282 on liver histology, as defined by improvements in fibrosis and NAS. Additionally, the protocol was amended to study statin use for those patients that experienced a low density lipoprotein, or LDL, cholesterol increase during the first two weeks of NGM282 treatment, as further described below.</w:t>
      </w:r>
    </w:p>
    <w:p>
      <w:pPr>
        <w:spacing w:after="0" w:line="12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040"/>
          </w:cols>
          <w:pgMar w:left="240" w:top="449" w:right="61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right"/>
        <w:ind w:right="2079"/>
        <w:spacing w:after="0"/>
        <w:rPr>
          <w:sz w:val="20"/>
          <w:szCs w:val="20"/>
          <w:color w:val="auto"/>
        </w:rPr>
      </w:pPr>
      <w:r>
        <w:rPr>
          <w:rFonts w:ascii="Arial" w:cs="Arial" w:eastAsia="Arial" w:hAnsi="Arial"/>
          <w:sz w:val="17"/>
          <w:szCs w:val="17"/>
          <w:b w:val="1"/>
          <w:bCs w:val="1"/>
          <w:u w:val="single" w:color="auto"/>
          <w:color w:val="auto"/>
        </w:rPr>
        <w:t>Components of the NGM282 Phase 2 Clinical Trial in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1100455</wp:posOffset>
            </wp:positionH>
            <wp:positionV relativeFrom="paragraph">
              <wp:posOffset>164465</wp:posOffset>
            </wp:positionV>
            <wp:extent cx="5055870" cy="21367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055870" cy="2136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0219"/>
          </w:cols>
          <w:pgMar w:left="240" w:top="449" w:right="1440"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NGM282 activity has been measured across a variety of imaging and serum biomarker measures, or non-invasive measures, as well as histological measures in order to provide a comprehensive assessment of the drug’s activity on NASH disease pathology. For each of cohorts 1, 2 and 3, the primary endpoint was the absolute change from baseline to week 12 in liver fat content. Responders were defined as patients who achieved a 5% or larger reduction in absolute liver fat content, or LFC, as measured by MRI-PDFF. Key secondary endpoints included assessments of the safety and tolerability, percentage change from baseline (or relative change) in absolute LFC, normalization of LFC to less than 5% and changes from baseline and normalization in ALT and AST. Exploratory endpoints included the evaluation of biomarkers of NASH pathogenesis and fibrosis, as well as assessment of changes in liver histology in a sub-population of patients (3 mg dose group in cohort 2 and 1 mg dose group in cohort 3). The table below summarizes the preliminary data generated to date and demonstrates the consistent effect across each of the non-invasive measure of NASH in each of cohorts 1, 2 and 3 of our Phase 2 clinical trial, followed by a matrix explaining the significance of each of the metrics and biopsy measurements:</w:t>
      </w:r>
    </w:p>
    <w:p>
      <w:pPr>
        <w:spacing w:after="0" w:line="173" w:lineRule="exact"/>
        <w:rPr>
          <w:sz w:val="20"/>
          <w:szCs w:val="20"/>
          <w:color w:val="auto"/>
        </w:rPr>
      </w:pPr>
    </w:p>
    <w:p>
      <w:pPr>
        <w:ind w:left="2120"/>
        <w:spacing w:after="0"/>
        <w:rPr>
          <w:sz w:val="20"/>
          <w:szCs w:val="20"/>
          <w:color w:val="auto"/>
        </w:rPr>
      </w:pPr>
      <w:r>
        <w:rPr>
          <w:rFonts w:ascii="Arial" w:cs="Arial" w:eastAsia="Arial" w:hAnsi="Arial"/>
          <w:sz w:val="17"/>
          <w:szCs w:val="17"/>
          <w:b w:val="1"/>
          <w:bCs w:val="1"/>
          <w:u w:val="single" w:color="auto"/>
          <w:color w:val="auto"/>
        </w:rPr>
        <w:t>NGM282 Significantly Impacts Key Parameters Consistent with Improvements in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1100455</wp:posOffset>
            </wp:positionH>
            <wp:positionV relativeFrom="paragraph">
              <wp:posOffset>164465</wp:posOffset>
            </wp:positionV>
            <wp:extent cx="5055870" cy="40576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055870" cy="405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040"/>
          </w:cols>
          <w:pgMar w:left="240" w:top="449" w:right="61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140" w:firstLine="534"/>
        <w:spacing w:after="0" w:line="258" w:lineRule="auto"/>
        <w:rPr>
          <w:sz w:val="20"/>
          <w:szCs w:val="20"/>
          <w:color w:val="auto"/>
        </w:rPr>
      </w:pPr>
      <w:r>
        <w:rPr>
          <w:rFonts w:ascii="Arial" w:cs="Arial" w:eastAsia="Arial" w:hAnsi="Arial"/>
          <w:sz w:val="17"/>
          <w:szCs w:val="17"/>
          <w:color w:val="auto"/>
        </w:rPr>
        <w:t>A description of the key non-invasive and histological measurements collected in our NASH Phase 2 clinical trial is included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1100455</wp:posOffset>
            </wp:positionH>
            <wp:positionV relativeFrom="paragraph">
              <wp:posOffset>132715</wp:posOffset>
            </wp:positionV>
            <wp:extent cx="5055870" cy="18211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055870" cy="1821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80" w:right="100" w:firstLine="534"/>
        <w:spacing w:after="0" w:line="244" w:lineRule="auto"/>
        <w:rPr>
          <w:sz w:val="20"/>
          <w:szCs w:val="20"/>
          <w:color w:val="auto"/>
        </w:rPr>
      </w:pPr>
      <w:r>
        <w:rPr>
          <w:rFonts w:ascii="Arial" w:cs="Arial" w:eastAsia="Arial" w:hAnsi="Arial"/>
          <w:sz w:val="17"/>
          <w:szCs w:val="17"/>
          <w:color w:val="auto"/>
        </w:rPr>
        <w:t>Cohorts 2 and 3, summarized in more detail below, included patients who received liver biopsies after 12 weeks of treatment with either 1 mg or 3 mg of daily NGM282 to enable an assessment of any improvements in histological measures of NASH, such as fibrosis. Preliminary data from both the 3 mg dose group of cohort 2 and the 1 mg dose group of cohort 3 demonstrated that NGM282 has an impact on fibrosis regression in NASH subjects, with 42% and 25%, respectively, registering at least a one-stage improvement in fibrosis. We believe these histology results offer compelling support for NGM282’s potential as a rapidly-acting agent for NASH patients with moderate to advanced fibrosis.</w:t>
      </w:r>
    </w:p>
    <w:p>
      <w:pPr>
        <w:spacing w:after="0" w:line="282"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NGM282 Phase 2 Clinical Trial in NASH Patients: Cohort 1</w:t>
      </w:r>
    </w:p>
    <w:p>
      <w:pPr>
        <w:spacing w:after="0" w:line="124" w:lineRule="exact"/>
        <w:rPr>
          <w:sz w:val="20"/>
          <w:szCs w:val="20"/>
          <w:color w:val="auto"/>
        </w:rPr>
      </w:pPr>
    </w:p>
    <w:p>
      <w:pPr>
        <w:ind w:left="380" w:right="160" w:firstLine="534"/>
        <w:spacing w:after="0" w:line="252" w:lineRule="auto"/>
        <w:rPr>
          <w:sz w:val="20"/>
          <w:szCs w:val="20"/>
          <w:color w:val="auto"/>
        </w:rPr>
      </w:pPr>
      <w:r>
        <w:rPr>
          <w:rFonts w:ascii="Arial" w:cs="Arial" w:eastAsia="Arial" w:hAnsi="Arial"/>
          <w:sz w:val="17"/>
          <w:szCs w:val="17"/>
          <w:color w:val="auto"/>
        </w:rPr>
        <w:t>In the double-blind cohort of the Phase 2 clinical trial (cohort 1), 82 subjects with biopsy-confirmed NASH were randomized to NGM282 clinical doses of 3 mg or 6 mg (n = 55) or placebo (n = 27), administered as a daily subcutaneous injection for 12 weeks. Histologic inclusion criteria included biopsy-proven NASH with a NAS ³ 4 (at least 1 point in each component), F1 to F3 fibrosis and ³ 8% LFC.</w:t>
      </w:r>
    </w:p>
    <w:p>
      <w:pPr>
        <w:spacing w:after="0" w:line="169" w:lineRule="exact"/>
        <w:rPr>
          <w:sz w:val="20"/>
          <w:szCs w:val="20"/>
          <w:color w:val="auto"/>
        </w:rPr>
      </w:pPr>
    </w:p>
    <w:p>
      <w:pPr>
        <w:ind w:left="380" w:firstLine="534"/>
        <w:spacing w:after="0" w:line="249" w:lineRule="auto"/>
        <w:rPr>
          <w:sz w:val="20"/>
          <w:szCs w:val="20"/>
          <w:color w:val="auto"/>
        </w:rPr>
      </w:pPr>
      <w:r>
        <w:rPr>
          <w:rFonts w:ascii="Arial" w:cs="Arial" w:eastAsia="Arial" w:hAnsi="Arial"/>
          <w:sz w:val="17"/>
          <w:szCs w:val="17"/>
          <w:color w:val="auto"/>
        </w:rPr>
        <w:t xml:space="preserve">As published in </w:t>
      </w:r>
      <w:r>
        <w:rPr>
          <w:rFonts w:ascii="Arial" w:cs="Arial" w:eastAsia="Arial" w:hAnsi="Arial"/>
          <w:sz w:val="17"/>
          <w:szCs w:val="17"/>
          <w:i w:val="1"/>
          <w:iCs w:val="1"/>
          <w:color w:val="auto"/>
        </w:rPr>
        <w:t>The Lancet</w:t>
      </w:r>
      <w:r>
        <w:rPr>
          <w:rFonts w:ascii="Arial" w:cs="Arial" w:eastAsia="Arial" w:hAnsi="Arial"/>
          <w:sz w:val="17"/>
          <w:szCs w:val="17"/>
          <w:color w:val="auto"/>
        </w:rPr>
        <w:t xml:space="preserve"> in 2018, significant reductions in absolute and relative LFC were seen with both doses, with 79% of the 6 mg-treated subjects and 74% of the 3 mg-treated subjects meeting the primary endpoint of ³ 5% reduction in absolute LFC as measured by MRI-PDFF. There was no significant difference in absolute LFC reduction between the 3 mg and 6 mg doses. Normalization of absolute LFC (defined as </w:t>
      </w:r>
      <w:r>
        <w:rPr>
          <w:rFonts w:ascii="Arial" w:cs="Arial" w:eastAsia="Arial" w:hAnsi="Arial"/>
          <w:sz w:val="17"/>
          <w:szCs w:val="17"/>
          <w:u w:val="single" w:color="auto"/>
          <w:color w:val="auto"/>
        </w:rPr>
        <w:t>&lt;</w:t>
      </w:r>
      <w:r>
        <w:rPr>
          <w:rFonts w:ascii="Arial" w:cs="Arial" w:eastAsia="Arial" w:hAnsi="Arial"/>
          <w:sz w:val="17"/>
          <w:szCs w:val="17"/>
          <w:color w:val="auto"/>
        </w:rPr>
        <w:t xml:space="preserve"> 5% measured by MRI-PDFF) was observed in 26% and 39% of subjects treated with 3 mg and 6 mg, respectively, at week 12. Over 85% of NGM282 treated subjects achieved a decrease in relative LFC of </w:t>
      </w:r>
      <w:r>
        <w:rPr>
          <w:rFonts w:ascii="Arial" w:cs="Arial" w:eastAsia="Arial" w:hAnsi="Arial"/>
          <w:sz w:val="17"/>
          <w:szCs w:val="17"/>
          <w:u w:val="single" w:color="auto"/>
          <w:color w:val="auto"/>
        </w:rPr>
        <w:t>&gt;</w:t>
      </w:r>
      <w:r>
        <w:rPr>
          <w:rFonts w:ascii="Arial" w:cs="Arial" w:eastAsia="Arial" w:hAnsi="Arial"/>
          <w:sz w:val="17"/>
          <w:szCs w:val="17"/>
          <w:color w:val="auto"/>
        </w:rPr>
        <w:t xml:space="preserve"> 30%, which has been correlated to improvements in histology in several studies. These results were maintained across key baseline characteristics of gender (male </w:t>
      </w:r>
      <w:r>
        <w:rPr>
          <w:rFonts w:ascii="Arial" w:cs="Arial" w:eastAsia="Arial" w:hAnsi="Arial"/>
          <w:sz w:val="17"/>
          <w:szCs w:val="17"/>
          <w:i w:val="1"/>
          <w:iCs w:val="1"/>
          <w:color w:val="auto"/>
        </w:rPr>
        <w:t>vs</w:t>
      </w:r>
      <w:r>
        <w:rPr>
          <w:rFonts w:ascii="Arial" w:cs="Arial" w:eastAsia="Arial" w:hAnsi="Arial"/>
          <w:sz w:val="17"/>
          <w:szCs w:val="17"/>
          <w:color w:val="auto"/>
        </w:rPr>
        <w:t xml:space="preserve">. female), ethnicity (Hispanic </w:t>
      </w:r>
      <w:r>
        <w:rPr>
          <w:rFonts w:ascii="Arial" w:cs="Arial" w:eastAsia="Arial" w:hAnsi="Arial"/>
          <w:sz w:val="17"/>
          <w:szCs w:val="17"/>
          <w:i w:val="1"/>
          <w:iCs w:val="1"/>
          <w:color w:val="auto"/>
        </w:rPr>
        <w:t>vs</w:t>
      </w:r>
      <w:r>
        <w:rPr>
          <w:rFonts w:ascii="Arial" w:cs="Arial" w:eastAsia="Arial" w:hAnsi="Arial"/>
          <w:sz w:val="17"/>
          <w:szCs w:val="17"/>
          <w:color w:val="auto"/>
        </w:rPr>
        <w:t xml:space="preserve">. Non-Hispanic), diabetic status, ALT levels (&lt; </w:t>
      </w:r>
      <w:r>
        <w:rPr>
          <w:rFonts w:ascii="Arial" w:cs="Arial" w:eastAsia="Arial" w:hAnsi="Arial"/>
          <w:sz w:val="17"/>
          <w:szCs w:val="17"/>
          <w:i w:val="1"/>
          <w:iCs w:val="1"/>
          <w:color w:val="auto"/>
        </w:rPr>
        <w:t>vs</w:t>
      </w:r>
      <w:r>
        <w:rPr>
          <w:rFonts w:ascii="Arial" w:cs="Arial" w:eastAsia="Arial" w:hAnsi="Arial"/>
          <w:sz w:val="17"/>
          <w:szCs w:val="17"/>
          <w:color w:val="auto"/>
        </w:rPr>
        <w:t xml:space="preserve">. &gt; 40 U/L), body mass index, or BMI, (&lt; </w:t>
      </w:r>
      <w:r>
        <w:rPr>
          <w:rFonts w:ascii="Arial" w:cs="Arial" w:eastAsia="Arial" w:hAnsi="Arial"/>
          <w:sz w:val="17"/>
          <w:szCs w:val="17"/>
          <w:i w:val="1"/>
          <w:iCs w:val="1"/>
          <w:color w:val="auto"/>
        </w:rPr>
        <w:t>vs</w:t>
      </w:r>
      <w:r>
        <w:rPr>
          <w:rFonts w:ascii="Arial" w:cs="Arial" w:eastAsia="Arial" w:hAnsi="Arial"/>
          <w:sz w:val="17"/>
          <w:szCs w:val="17"/>
          <w:color w:val="auto"/>
        </w:rPr>
        <w:t xml:space="preserve">. </w:t>
      </w:r>
      <w:r>
        <w:rPr>
          <w:rFonts w:ascii="Arial" w:cs="Arial" w:eastAsia="Arial" w:hAnsi="Arial"/>
          <w:sz w:val="17"/>
          <w:szCs w:val="17"/>
          <w:u w:val="single" w:color="auto"/>
          <w:color w:val="auto"/>
        </w:rPr>
        <w:t>&gt;</w:t>
      </w:r>
      <w:r>
        <w:rPr>
          <w:rFonts w:ascii="Arial" w:cs="Arial" w:eastAsia="Arial" w:hAnsi="Arial"/>
          <w:sz w:val="17"/>
          <w:szCs w:val="17"/>
          <w:color w:val="auto"/>
        </w:rPr>
        <w:t xml:space="preserve"> 30), fibrosis stage (F1 </w:t>
      </w:r>
      <w:r>
        <w:rPr>
          <w:rFonts w:ascii="Arial" w:cs="Arial" w:eastAsia="Arial" w:hAnsi="Arial"/>
          <w:sz w:val="17"/>
          <w:szCs w:val="17"/>
          <w:i w:val="1"/>
          <w:iCs w:val="1"/>
          <w:color w:val="auto"/>
        </w:rPr>
        <w:t>vs</w:t>
      </w:r>
      <w:r>
        <w:rPr>
          <w:rFonts w:ascii="Arial" w:cs="Arial" w:eastAsia="Arial" w:hAnsi="Arial"/>
          <w:sz w:val="17"/>
          <w:szCs w:val="17"/>
          <w:color w:val="auto"/>
        </w:rPr>
        <w:t>. F2/F3) and statin use, with no significant difference in any sub-category.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4116705</wp:posOffset>
            </wp:positionH>
            <wp:positionV relativeFrom="paragraph">
              <wp:posOffset>-153035</wp:posOffset>
            </wp:positionV>
            <wp:extent cx="952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spacing w:after="0" w:line="170" w:lineRule="exact"/>
        <w:rPr>
          <w:sz w:val="20"/>
          <w:szCs w:val="20"/>
          <w:color w:val="auto"/>
        </w:rPr>
      </w:pPr>
    </w:p>
    <w:p>
      <w:pPr>
        <w:ind w:left="380" w:right="40" w:firstLine="534"/>
        <w:spacing w:after="0" w:line="245" w:lineRule="auto"/>
        <w:rPr>
          <w:sz w:val="20"/>
          <w:szCs w:val="20"/>
          <w:color w:val="auto"/>
        </w:rPr>
      </w:pPr>
      <w:r>
        <w:rPr>
          <w:rFonts w:ascii="Arial" w:cs="Arial" w:eastAsia="Arial" w:hAnsi="Arial"/>
          <w:sz w:val="17"/>
          <w:szCs w:val="17"/>
          <w:color w:val="auto"/>
        </w:rPr>
        <w:t>Greater reductions from baseline in mean absolute ALT levels were observed for both NGM282 3 mg (-35 international units, or IU, p&lt;0.0001) and 6 mg (-32 IU, p&lt;0.0001) clinical doses at week 12 as compared with placebo. The p-value is a measure that states the probability that a comparable or better result would be produced purely by chance. A p-value of less than 0.05 means that if the drug was only as effective as the placebo, there would be less than a 5% chance that a comparable or better result would be produced purely by chance. Differences with a p-value of less than 0.05 are</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040"/>
          </w:cols>
          <w:pgMar w:left="240" w:top="449" w:right="61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spacing w:after="0" w:line="244" w:lineRule="auto"/>
        <w:rPr>
          <w:sz w:val="20"/>
          <w:szCs w:val="20"/>
          <w:color w:val="auto"/>
        </w:rPr>
      </w:pPr>
      <w:r>
        <w:rPr>
          <w:rFonts w:ascii="Arial" w:cs="Arial" w:eastAsia="Arial" w:hAnsi="Arial"/>
          <w:sz w:val="17"/>
          <w:szCs w:val="17"/>
          <w:color w:val="auto"/>
        </w:rPr>
        <w:t>generally considered statistically significant, indicating a high degree of confidence that the result is due to therapy with the drug and not due to chance. This decrease in ALT levels achieved statistical significance as early as week one, with a sustained reduction throughout the entire 12-week study treatment period. The mean relative percentage decreases in ALT levels from baseline to week 12 were also significant in both the doses, ranging from 43% to 44% (p&lt;0.001). ALT levels achieved normalization (defined as &lt;19 IU in females and &lt; 30 IU in males) in 24% of NGM282-treated patients by week 2 and 36% of treated subjects by week 12. Similarly, treatment with NGM282 resulted in significant mean absolute reductions in AST levels from baseline to week 12 as compared with placebo, with the majority of subjects decreasing below 40 IU as early as two weeks after starting treatment.</w:t>
      </w:r>
    </w:p>
    <w:p>
      <w:pPr>
        <w:spacing w:after="0" w:line="182" w:lineRule="exact"/>
        <w:rPr>
          <w:sz w:val="20"/>
          <w:szCs w:val="20"/>
          <w:color w:val="auto"/>
        </w:rPr>
      </w:pPr>
    </w:p>
    <w:p>
      <w:pPr>
        <w:ind w:left="380" w:right="20" w:firstLine="534"/>
        <w:spacing w:after="0" w:line="246" w:lineRule="auto"/>
        <w:rPr>
          <w:sz w:val="20"/>
          <w:szCs w:val="20"/>
          <w:color w:val="auto"/>
        </w:rPr>
      </w:pPr>
      <w:r>
        <w:rPr>
          <w:rFonts w:ascii="Arial" w:cs="Arial" w:eastAsia="Arial" w:hAnsi="Arial"/>
          <w:sz w:val="17"/>
          <w:szCs w:val="17"/>
          <w:color w:val="auto"/>
        </w:rPr>
        <w:t>7a-hydroxy-4-cholesten-3-one, or C4, is an intermediate in the classical bile acid synthesis pathway that is produced by the rate-limiting enzyme, CYP7A1. When activated, FGFR4 leads to a reduction in serum C4 levels. C4 levels were measured in patients to track target engagement by NGM282 and to determine how levels of C4 correspond to measures of therapeutic effect, such as reductions in liver transaminase levels. At both the 3 mg and 6 mg dose levels, serum concentrations of C4 were significantly reduced relative to placebo after one week of treatment, with more than 65% of patients at or below the limit of detection in the C4 assay. Levels of liver ALT and AST released from injured or dead hepatocytes are significantly elevated in NASH patients and can be measured as serum biomarkers of liver health. Reductions in serum levels of ALT and AST follow a similar time course as C4 reduction. We believe the potent and sustained inhibitory effect that NGM282 has on the classical bile acid synthesis pathway is important to achieving its therapeutic effect. FXR agonists can only elevate FGF19 to the upper end of normal physiological levels, which we believe is insufficient to achieve the complete and sustained inhibition of the classical bile acid pathway.</w:t>
      </w:r>
    </w:p>
    <w:p>
      <w:pPr>
        <w:spacing w:after="0" w:line="195" w:lineRule="exact"/>
        <w:rPr>
          <w:sz w:val="20"/>
          <w:szCs w:val="20"/>
          <w:color w:val="auto"/>
        </w:rPr>
      </w:pPr>
    </w:p>
    <w:p>
      <w:pPr>
        <w:ind w:left="380" w:right="20" w:firstLine="534"/>
        <w:spacing w:after="0" w:line="249" w:lineRule="auto"/>
        <w:rPr>
          <w:sz w:val="20"/>
          <w:szCs w:val="20"/>
          <w:color w:val="auto"/>
        </w:rPr>
      </w:pPr>
      <w:r>
        <w:rPr>
          <w:rFonts w:ascii="Arial" w:cs="Arial" w:eastAsia="Arial" w:hAnsi="Arial"/>
          <w:sz w:val="17"/>
          <w:szCs w:val="17"/>
          <w:color w:val="auto"/>
        </w:rPr>
        <w:t>PRO-C3 levels, as well as levels of propeptide of type III procollagen, or PIIINP, and TIMP metallopeptidase inhibitor 1, or TIMP-1, which are components of the Enhanced Liver Fibrosis, or ELF, score, were reduced in the treated subjects, supporting a potential anti-fibrotic effect. Notably, more than 74% of NGM282-treated subjects achieved a reduction in PRO-C3 levels of ³15% at 12 weeks, as compared to 24% of placebo-treated subjects. The overall ELF score for the 3 mg- and 6 mg-treated subjects was reduced by an average of 0.3 and 0.2, respectively, compared to no change for the placebo group.</w:t>
      </w:r>
    </w:p>
    <w:p>
      <w:pPr>
        <w:spacing w:after="0" w:line="191" w:lineRule="exact"/>
        <w:rPr>
          <w:sz w:val="20"/>
          <w:szCs w:val="20"/>
          <w:color w:val="auto"/>
        </w:rPr>
      </w:pPr>
    </w:p>
    <w:p>
      <w:pPr>
        <w:ind w:left="380" w:right="220" w:firstLine="534"/>
        <w:spacing w:after="0" w:line="250" w:lineRule="auto"/>
        <w:rPr>
          <w:sz w:val="20"/>
          <w:szCs w:val="20"/>
          <w:color w:val="auto"/>
        </w:rPr>
      </w:pPr>
      <w:r>
        <w:rPr>
          <w:rFonts w:ascii="Arial" w:cs="Arial" w:eastAsia="Arial" w:hAnsi="Arial"/>
          <w:sz w:val="17"/>
          <w:szCs w:val="17"/>
          <w:color w:val="auto"/>
        </w:rPr>
        <w:t>Triglyceride level decreases were consistent with FGFR1c/KLB activity triggered by NGM282, while significant LDL cholesterol increases reflect potent FGFR4/KLB-mediated CYP7A1 inhibition. There were highly significant correlations between decreases in LFC and reductions in the serum levels of ALT, AST and C4.</w:t>
      </w:r>
    </w:p>
    <w:p>
      <w:pPr>
        <w:spacing w:after="0" w:line="275"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NGM282 Phase 2 Clinical Trial in NASH Patients: Cohort 2 and 3 Imaging and Biomarker Results</w:t>
      </w:r>
    </w:p>
    <w:p>
      <w:pPr>
        <w:spacing w:after="0" w:line="124" w:lineRule="exact"/>
        <w:rPr>
          <w:sz w:val="20"/>
          <w:szCs w:val="20"/>
          <w:color w:val="auto"/>
        </w:rPr>
      </w:pPr>
    </w:p>
    <w:p>
      <w:pPr>
        <w:ind w:left="380" w:right="80" w:firstLine="534"/>
        <w:spacing w:after="0" w:line="243" w:lineRule="auto"/>
        <w:rPr>
          <w:sz w:val="20"/>
          <w:szCs w:val="20"/>
          <w:color w:val="auto"/>
        </w:rPr>
      </w:pPr>
      <w:r>
        <w:rPr>
          <w:rFonts w:ascii="Arial" w:cs="Arial" w:eastAsia="Arial" w:hAnsi="Arial"/>
          <w:sz w:val="17"/>
          <w:szCs w:val="17"/>
          <w:color w:val="auto"/>
        </w:rPr>
        <w:t>Based on the profound impact seen with NGM282 in NASH patients across the measured non-invasive parameters assessed in cohort 1, an adaptive, open-label, single-blind cohort of three dosing groups known as cohort 2 was added to evaluate: 1) lower doses of NGM282 (0.3 and 1 mg); 2) histologic response at 12 weeks in a 3 mg dose group; and 3) the ability of concomitant statin use to mitigate drug-induced LDL cholesterol elevations. Additional MRI-PDFF images were collected at week 6 to further assess the potential for LFC responses at an earlier point in time and to evaluate the persistence of response at week 18 (six weeks after the end of treatment). The demographics and baseline patient characteristics of cohort 2 were similar to those in cohort 1. Preliminary data for the 3 mg dose in Cohort 2 and 1 mg dose in Cohort 3 include only those patients who completed treatment with paired biopsies at baseline and week 12. Preliminary data from cohort 2 demonstrates that a significant amount of the decrease in LFC occurs by week 6 and further consolidates towards normalization at week 12 in the 1 mg and 3 mg dosing groups. The 1 mg and 3 mg dose groups in</w:t>
      </w:r>
    </w:p>
    <w:p>
      <w:pPr>
        <w:spacing w:after="0" w:line="13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000"/>
          </w:cols>
          <w:pgMar w:left="240" w:top="449" w:right="65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60"/>
        <w:spacing w:after="0" w:line="243" w:lineRule="auto"/>
        <w:rPr>
          <w:sz w:val="20"/>
          <w:szCs w:val="20"/>
          <w:color w:val="auto"/>
        </w:rPr>
      </w:pPr>
      <w:r>
        <w:rPr>
          <w:rFonts w:ascii="Arial" w:cs="Arial" w:eastAsia="Arial" w:hAnsi="Arial"/>
          <w:sz w:val="17"/>
          <w:szCs w:val="17"/>
          <w:color w:val="auto"/>
        </w:rPr>
        <w:t>cohort 2 showed similar reductions of LFC and ALT levels, and were consistent with the week 12 changes observed with the 3 mg dose in cohort 1. Serum levels of C4 were significantly decreased at week 12, with the 3 mg dose group demonstrating reduction of 93% from baseline (p&lt;0.0001). Preliminary data from cohort 2 indicates that the 1 mg and 3 mg dose groups also had statistically significant reductions from baseline in PRO-C3 levels (-4.7 and -11.1 ng/ml, respectively, p&lt;0.05) and PIIINP (-2.0 and -3.3 ng/ml, respectively, p&lt;0.001) and TIMP-1 (-33.1 and -42.7 ng/ml, respectively, p&lt;0.05) components of the ELF score at week 12. The 0.3 mg dose group in cohort 2 demonstrated a reduced treatment response overall as compared to the 1 mg and 3 mg cohorts, based on the reductions in LFC, levels of ALT and the fibrosis markers. Preliminary data indicates that, six weeks after the end of NGM282 treatment, the relative levels of LFC and ALT levels remained suppressed, with reductions approximately 20% to 39% and 18% to 44% below baseline levels across doses evaluated in cohorts 2 and 3, respectively. Similarly, reductions in PRO-C3 levels and ELF score components in NGM282-treated patients were sustained six weeks after the end of NGM282 treatment.</w:t>
      </w:r>
    </w:p>
    <w:p>
      <w:pPr>
        <w:spacing w:after="0" w:line="281"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NGM282 Phase 2 Clinical Trial in NASH Patients: Cohort 2 (3 mg) and Cohort 3 Preliminary Histology Results</w:t>
      </w:r>
    </w:p>
    <w:p>
      <w:pPr>
        <w:spacing w:after="0" w:line="124" w:lineRule="exact"/>
        <w:rPr>
          <w:sz w:val="20"/>
          <w:szCs w:val="20"/>
          <w:color w:val="auto"/>
        </w:rPr>
      </w:pPr>
    </w:p>
    <w:p>
      <w:pPr>
        <w:ind w:left="380" w:right="180" w:firstLine="534"/>
        <w:spacing w:after="0" w:line="241" w:lineRule="auto"/>
        <w:rPr>
          <w:sz w:val="20"/>
          <w:szCs w:val="20"/>
          <w:color w:val="auto"/>
        </w:rPr>
      </w:pPr>
      <w:r>
        <w:rPr>
          <w:rFonts w:ascii="Arial" w:cs="Arial" w:eastAsia="Arial" w:hAnsi="Arial"/>
          <w:sz w:val="17"/>
          <w:szCs w:val="17"/>
          <w:color w:val="auto"/>
        </w:rPr>
        <w:t>Liver histology was evaluated at 12 weeks in the 3 mg dosing group of cohort 2 and in the 1 mg dosing group of cohort 3. Each of these cohorts enrolled primarily NASH patients with moderate to advanced fibrosis. Eighty-four percent of the 19 patients in the 3 mg dosing arm of cohort 2 had been diagnosed with F2 or worse fibrosis at baseline. Eighty-three percent of the 24 patients in cohort 3 had</w:t>
      </w:r>
    </w:p>
    <w:p>
      <w:pPr>
        <w:ind w:left="380"/>
        <w:spacing w:after="0" w:line="242" w:lineRule="auto"/>
        <w:rPr>
          <w:sz w:val="20"/>
          <w:szCs w:val="20"/>
          <w:color w:val="auto"/>
        </w:rPr>
      </w:pPr>
      <w:r>
        <w:rPr>
          <w:rFonts w:ascii="Arial" w:cs="Arial" w:eastAsia="Arial" w:hAnsi="Arial"/>
          <w:sz w:val="17"/>
          <w:szCs w:val="17"/>
          <w:color w:val="auto"/>
        </w:rPr>
        <w:t>F2 or worse fibrosis at baseline. Liver biopsies at baseline and 12 weeks were blinded by both patient and treatment sequence. They were subsequently read by a central independent liver hepatopathologist using the NASH CRN criteria. Preliminary data from cohorts 2 and 3 showed improvements in fibrosis scores in both groups, with 42% of patients in the 3 mg dosing group of cohort 2 and 25% of the patients in cohort 3 improving by at least one stage, and a mean change of -0.5 and -0.1 fibrosis stage, respectively. All of the patients experiencing improvements in fibrosis scores were F2 or worse at baseline. Between the two cohorts, a total of four patients achieved a two stage improvement in fibrosis during the 12 weeks of treatment (three in the 3 mg dosing group of cohort 2 and one in cohort 3). There were two subjects in the 3 mg dosing group of cohort 2 who worsened by one stage in fibrosis (Stage 1b to 2 and Stage 3 to 4), with no substantive worsening of their NAS and reductions in LFC and ALT. Four patients in cohort 3 worsened by one stage in fibrosis. While each cohort involved a relatively small number of patients, these preliminary results demonstrated, for the first time, the possibility of improving fibrosis in F2 to F4 NASH subjects in as early as 12 weeks of treatment with a therapeutic agent. In addition, the patients with fibrosis improvements also had a mean reduction in NAS of 3.5 and 3.2 in the 3 mg dosing group of cohort 2 and cohort 3, respectively.</w:t>
      </w:r>
    </w:p>
    <w:p>
      <w:pPr>
        <w:spacing w:after="0" w:line="13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060"/>
          </w:cols>
          <w:pgMar w:left="240" w:top="449" w:right="59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40" w:firstLine="534"/>
        <w:spacing w:after="0" w:line="244" w:lineRule="auto"/>
        <w:rPr>
          <w:sz w:val="20"/>
          <w:szCs w:val="20"/>
          <w:color w:val="auto"/>
        </w:rPr>
      </w:pPr>
      <w:r>
        <w:rPr>
          <w:rFonts w:ascii="Arial" w:cs="Arial" w:eastAsia="Arial" w:hAnsi="Arial"/>
          <w:sz w:val="17"/>
          <w:szCs w:val="17"/>
          <w:color w:val="auto"/>
        </w:rPr>
        <w:t>At 12 weeks, NGM282 treatment resulted in resolution of NASH, defined as having a lobular inflammation score of 0 or 1 and a hepatocellular ballooning score of 0, with no worsening of fibrosis in two patients in the 3 mg dosing arm of cohort 2 and three patients in cohort 3. Furthermore, 58% and 50% of patients achieved NAS improvements of two points or greater (with at least one-point reduction in lobular inflammation or hepatocellular ballooning) in the 3 mg dosing arm of cohort 2 and cohort 3, respectively. We anticipate that an increased proportion of patients could achieve resolution of NASH over a longer treatment duration beyond 12 weeks. In conjunction with the fibrosis improvement described above, these data support the notion that NGM282, as a single agent, has the potential to improve NASH and fibrosis to a larger degree and in a shorter period of time than other investigative agents have demonstrated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1383030</wp:posOffset>
            </wp:positionH>
            <wp:positionV relativeFrom="paragraph">
              <wp:posOffset>139700</wp:posOffset>
            </wp:positionV>
            <wp:extent cx="4498340" cy="25444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498340" cy="2544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NGM282 Increases in Serum Levels of LDL Cholesterol in NASH Patients</w:t>
      </w:r>
    </w:p>
    <w:p>
      <w:pPr>
        <w:spacing w:after="0" w:line="124"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A byproduct of NGM282’s potent inhibition of the classical bile acid synthesis pathway is the elevation of LDL cholesterol in the serum. Cholesterol serves as the precursor molecule in a multi-step enzymatic pathway that generates various forms of bile acids. CYP7A1 is the rate-limiting enzyme in this pathway and, therefore, serves as a regulatory control point for the primary pathway for bile acid synthesis, also known as the classical pathway. Notably, there is an alternative pathway for bile acid synthesis that is not regulated by CYP7A1 activity and produces a subset of the bile acid pool that is believed to produce less caustic varieties of bile. We believe a primary role of FGF19 and NGM282 is to inhibit bile acid synthesis through the classical pathway by activating a signaling cascade that shuts down CYP7A1 activity. As a direct effect of this on-target activity, cellular cholesterol is no longer metabolized to bile acids and is instead shunted into the blood stream, causing an elevation of serum LDL cholesterol. We have not observed the same magnitude of LDL cholesterol elevations with NGM282 in trials we have conducted in cholestatic disease patients, such as PBC and PSC.</w:t>
      </w:r>
    </w:p>
    <w:p>
      <w:pPr>
        <w:spacing w:after="0" w:line="196" w:lineRule="exact"/>
        <w:rPr>
          <w:sz w:val="20"/>
          <w:szCs w:val="20"/>
          <w:color w:val="auto"/>
        </w:rPr>
      </w:pPr>
    </w:p>
    <w:p>
      <w:pPr>
        <w:ind w:left="380" w:right="40" w:firstLine="534"/>
        <w:spacing w:after="0" w:line="245" w:lineRule="auto"/>
        <w:rPr>
          <w:sz w:val="20"/>
          <w:szCs w:val="20"/>
          <w:color w:val="auto"/>
        </w:rPr>
      </w:pPr>
      <w:r>
        <w:rPr>
          <w:rFonts w:ascii="Arial" w:cs="Arial" w:eastAsia="Arial" w:hAnsi="Arial"/>
          <w:sz w:val="17"/>
          <w:szCs w:val="17"/>
          <w:color w:val="auto"/>
        </w:rPr>
        <w:t>We believe elevated serum LDL cholesterol is a confirmatory indication of NGM282 and FGF19 activity in NASH patients, which correlates with its beneficial effects on liver health. The impact of these drug-induced changes in cholesterol are unknown. Sustained LDL cholesterol elevations in untreated patients, however, are associated with cardiovascular disease through atherosclerotic plaque development. Through both preclinical studies in cynomologous monkeys and in cohorts 2 and 3 of our Phase 2 clinical trial, we have demonstrated the ability of concomitant statin use to mitigate the</w:t>
      </w:r>
    </w:p>
    <w:p>
      <w:pPr>
        <w:spacing w:after="0" w:line="1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020"/>
          </w:cols>
          <w:pgMar w:left="240" w:top="449" w:right="63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serum LDL cholesterol elevations driven by NGM282 activity. The figure below illustrates the mean LDL cholesterol levels over time for patients in cohort 2. Per protocol, the patients’ LDL cholesterol levels were measured at baseline and then re-measured after two weeks of NGM282 treatment. If an elevation of LDL cholesterol of at least 10 mg/dl was recorded, patients were directed to take 20 mg of rosuvastatin daily for the remainder of the trial. Nearly all of the treated patients required statin use in cohorts 2 and 3. Where required, patients were elevated to 40 mg rosuvastatin to adequately control their LDL cholesterol while on treatment. Notably, approximately 80% of cohort 2 and 87% of cohort 3 at enrollment were not previously receiving statin treatment and, on average, the cohorts had baseline LDL cholesterol levels at or above recommended levels recommended by the American Association of Clinical Endocrinologists and the European Society of Cardiology/European Atherosclerotic Society, suggesting a statin would already be prescribed as standard of care. For each dose level in cohorts 2 and 3, concomitant statin use mitigated the drug-induced LDL cholesterol rise indicative of CYP7A1 suppression and, in many cases, brought patients below their baseline levels. Additionally, we have investigated the composition of the drug-induced LDL cholesterol particles. This analysis indicated that the NGM282-induced serum LDL cholesterol manifests as large and potentially less atherogenic lipoproteins, as opposed to the small dense lipoparticles that are thought to be more atherogenic. We believe concomitant statin use, along with NGM282’s triglyceride lowering and high density lipoprotein, or HDL, cholesterol elevating properties, will provide an overall neutral to positive impact on patients’ cardiovascular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1100455</wp:posOffset>
            </wp:positionH>
            <wp:positionV relativeFrom="paragraph">
              <wp:posOffset>144145</wp:posOffset>
            </wp:positionV>
            <wp:extent cx="5055870" cy="2087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055870" cy="2087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NGM282 Phase 2 Clinical Trial in NASH: Safety and Tolerability Profile</w:t>
      </w:r>
    </w:p>
    <w:p>
      <w:pPr>
        <w:spacing w:after="0" w:line="124" w:lineRule="exact"/>
        <w:rPr>
          <w:sz w:val="20"/>
          <w:szCs w:val="20"/>
          <w:color w:val="auto"/>
        </w:rPr>
      </w:pPr>
    </w:p>
    <w:p>
      <w:pPr>
        <w:ind w:left="380" w:right="20" w:firstLine="534"/>
        <w:spacing w:after="0" w:line="244" w:lineRule="auto"/>
        <w:rPr>
          <w:sz w:val="20"/>
          <w:szCs w:val="20"/>
          <w:color w:val="auto"/>
        </w:rPr>
      </w:pPr>
      <w:r>
        <w:rPr>
          <w:rFonts w:ascii="Arial" w:cs="Arial" w:eastAsia="Arial" w:hAnsi="Arial"/>
          <w:sz w:val="17"/>
          <w:szCs w:val="17"/>
          <w:color w:val="auto"/>
        </w:rPr>
        <w:t>The most common adverse events in cohorts 1, 2 and 3 included increased stool frequency, loose stools, nausea and injection site erythema, with the majority being Grade 1 (mild). A single serious adverse event of acute pancreatitis was reported in cohort 1 and assessed as possibly related to study drug. A total of seven serious adverse events (pleurisy, vertigo, headache, hypertension, cardiac arrest, chest pain and pneumonia), none of which were considered related to study drug, were reported in five subjects in cohort 2. One serious adverse event (kidney mass) was reported in cohort 3 and was not considered related to study drug. Preliminary data indicates that there were no tolerability signals identified in this population. The tolerability in cohorts 1, 2 and 3 was consistent with that observed in other study populations, including type 2 diabetes, PBC and PSC.</w:t>
      </w:r>
    </w:p>
    <w:p>
      <w:pPr>
        <w:spacing w:after="0" w:line="280"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NGM282 Future Clinical Development Plans</w:t>
      </w:r>
    </w:p>
    <w:p>
      <w:pPr>
        <w:spacing w:after="0" w:line="124" w:lineRule="exact"/>
        <w:rPr>
          <w:sz w:val="20"/>
          <w:szCs w:val="20"/>
          <w:color w:val="auto"/>
        </w:rPr>
      </w:pPr>
    </w:p>
    <w:p>
      <w:pPr>
        <w:ind w:left="380" w:right="80" w:firstLine="534"/>
        <w:spacing w:after="0" w:line="258" w:lineRule="auto"/>
        <w:rPr>
          <w:sz w:val="20"/>
          <w:szCs w:val="20"/>
          <w:color w:val="auto"/>
        </w:rPr>
      </w:pPr>
      <w:r>
        <w:rPr>
          <w:rFonts w:ascii="Arial" w:cs="Arial" w:eastAsia="Arial" w:hAnsi="Arial"/>
          <w:sz w:val="17"/>
          <w:szCs w:val="17"/>
          <w:color w:val="auto"/>
        </w:rPr>
        <w:t>In addition to our ongoing cohort 4, we are planning to begin, in mid-2019, a Phase 2b clinical trial that will test three dose levels of NGM282 in NASH patients with F2 and F3 fibrosis. The Phase 2b</w:t>
      </w:r>
    </w:p>
    <w:p>
      <w:pPr>
        <w:spacing w:after="0" w:line="11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040"/>
          </w:cols>
          <w:pgMar w:left="240" w:top="449" w:right="61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100"/>
        <w:spacing w:after="0" w:line="244" w:lineRule="auto"/>
        <w:rPr>
          <w:sz w:val="20"/>
          <w:szCs w:val="20"/>
          <w:color w:val="auto"/>
        </w:rPr>
      </w:pPr>
      <w:r>
        <w:rPr>
          <w:rFonts w:ascii="Arial" w:cs="Arial" w:eastAsia="Arial" w:hAnsi="Arial"/>
          <w:sz w:val="17"/>
          <w:szCs w:val="17"/>
          <w:color w:val="auto"/>
        </w:rPr>
        <w:t>clinical trial will be a multi-center, double-blind, placebo-controlled study administering 0.3 mg, 1 mg or 3 mg of NGM282 or placebo, once daily, subcutaneously for 24 weeks. We expect approximately 150 patients will be enrolled across 30 sites in the United States. Patients will receive liver biopsies to qualify for the trial and at end of treatment. The primary objective of this 24-week trial will be to measure the treatment effect of NGM282 dosing on liver histology according to preliminary FDA recommended Phase 3 endpoints of resolution of NASH with no worsening of fibrosis, and fibrosis improvement with no worsening of NASH, as defined above. Enrollment criteria, study design and study conduct will be consistent with the FDA draft industry guidance regarding the development of drugs for NASH that was distributed in December 2018.</w:t>
      </w:r>
    </w:p>
    <w:p>
      <w:pPr>
        <w:spacing w:after="0" w:line="193" w:lineRule="exact"/>
        <w:rPr>
          <w:sz w:val="20"/>
          <w:szCs w:val="20"/>
          <w:color w:val="auto"/>
        </w:rPr>
      </w:pPr>
    </w:p>
    <w:p>
      <w:pPr>
        <w:ind w:left="380" w:right="100" w:firstLine="534"/>
        <w:spacing w:after="0" w:line="247" w:lineRule="auto"/>
        <w:rPr>
          <w:sz w:val="20"/>
          <w:szCs w:val="20"/>
          <w:color w:val="auto"/>
        </w:rPr>
      </w:pPr>
      <w:r>
        <w:rPr>
          <w:rFonts w:ascii="Arial" w:cs="Arial" w:eastAsia="Arial" w:hAnsi="Arial"/>
          <w:sz w:val="17"/>
          <w:szCs w:val="17"/>
          <w:color w:val="auto"/>
        </w:rPr>
        <w:t>Our development strategy is to generate interim results of our 24-week double-blind, placebo-controlled cohort 4 trial in 2019 and leverage these results to inform Phase 3 planning and design. We expect that Phase 2b clinical trial results in 2020 will provide further information to compile a detailed package for the regulatory agencies to support a pivotal, single dose level, Phase 3 program to enable a BLA filing.</w:t>
      </w:r>
    </w:p>
    <w:p>
      <w:pPr>
        <w:spacing w:after="0" w:line="190" w:lineRule="exact"/>
        <w:rPr>
          <w:sz w:val="20"/>
          <w:szCs w:val="20"/>
          <w:color w:val="auto"/>
        </w:rPr>
      </w:pPr>
    </w:p>
    <w:p>
      <w:pPr>
        <w:ind w:left="380" w:firstLine="534"/>
        <w:spacing w:after="0" w:line="245" w:lineRule="auto"/>
        <w:rPr>
          <w:sz w:val="20"/>
          <w:szCs w:val="20"/>
          <w:color w:val="auto"/>
        </w:rPr>
      </w:pPr>
      <w:r>
        <w:rPr>
          <w:rFonts w:ascii="Arial" w:cs="Arial" w:eastAsia="Arial" w:hAnsi="Arial"/>
          <w:sz w:val="17"/>
          <w:szCs w:val="17"/>
          <w:color w:val="auto"/>
        </w:rPr>
        <w:t>We are also planning to initiate a clinical program testing NGM282 in a population of NASH patients with compensated cirrhosis in 2019. The objective of this trial is to evaluate whether the fibrosis regression and NAS improvements we have observed in patients with F2 and F3 fibrosis can also be achieved in early, or compensated, cirrhotic NASH patients, for which liver mortality rates are high and liver transplant is the only option. In 2030, the population of compensated cirrhotic NASH patients in the United States and EU is expected to reach 4.9 million.</w:t>
      </w:r>
    </w:p>
    <w:p>
      <w:pPr>
        <w:spacing w:after="0" w:line="194" w:lineRule="exact"/>
        <w:rPr>
          <w:sz w:val="20"/>
          <w:szCs w:val="20"/>
          <w:color w:val="auto"/>
        </w:rPr>
      </w:pPr>
    </w:p>
    <w:p>
      <w:pPr>
        <w:ind w:left="380" w:right="360" w:firstLine="534"/>
        <w:spacing w:after="0" w:line="258" w:lineRule="auto"/>
        <w:rPr>
          <w:sz w:val="20"/>
          <w:szCs w:val="20"/>
          <w:color w:val="auto"/>
        </w:rPr>
      </w:pPr>
      <w:r>
        <w:rPr>
          <w:rFonts w:ascii="Arial" w:cs="Arial" w:eastAsia="Arial" w:hAnsi="Arial"/>
          <w:sz w:val="17"/>
          <w:szCs w:val="17"/>
          <w:color w:val="auto"/>
        </w:rPr>
        <w:t>We believe the totality of the data produced by these Phase 2 clinical trials will provide insights required to appropriately design Phase 3 clinical trials required for drug approval and optimally position the therapeutic in the market.</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Future Commercial Positioning of NGM282 as a Therapeutic in the NASH Market</w:t>
      </w:r>
    </w:p>
    <w:p>
      <w:pPr>
        <w:spacing w:after="0" w:line="124" w:lineRule="exact"/>
        <w:rPr>
          <w:sz w:val="20"/>
          <w:szCs w:val="20"/>
          <w:color w:val="auto"/>
        </w:rPr>
      </w:pPr>
    </w:p>
    <w:p>
      <w:pPr>
        <w:ind w:left="380" w:right="120" w:firstLine="534"/>
        <w:spacing w:after="0" w:line="242" w:lineRule="auto"/>
        <w:rPr>
          <w:sz w:val="20"/>
          <w:szCs w:val="20"/>
          <w:color w:val="auto"/>
        </w:rPr>
      </w:pPr>
      <w:r>
        <w:rPr>
          <w:rFonts w:ascii="Arial" w:cs="Arial" w:eastAsia="Arial" w:hAnsi="Arial"/>
          <w:sz w:val="17"/>
          <w:szCs w:val="17"/>
          <w:color w:val="auto"/>
        </w:rPr>
        <w:t>We believe the clinical data produced with NGM282 in NASH patients to date suggests a potential drug profile that is unique in the current landscape of NASH therapeutics in development. Our preliminary data suggests NGM282 is capable of improving fibrosis in patients after only 12 weeks of treatment, while also exerting a positive impact on the other parameters of NASH, including steatosis, lobular inflammation and hepatocellular ballooning. We believe that NGM282’s initial signals of activity observed after 12 weeks of treatment with NGM282, while significant in effect, will lead to further improvement after 24 weeks of treatment. In particular, we believe NAS and fibrosis improvement are enabled by the liver’s natural regenerative properties once the multiple insults of toxic fatty and bile acids are diminished. Our clinical results have shown that markers of liver steatosis and inflammation are reduced in a broad set of patients in the first few weeks of treatment. After only 12 weeks, this environment has allowed the liver to begin healing, but patient healing rates may vary and we believe the process has not reached its full potential. These properties are in contrast to other agents in development that, after 24 weeks or longer treatment, have either only shown impact on NAS components or a modest effect on fibrosis, and may have tolerability or safety issues.</w:t>
      </w:r>
    </w:p>
    <w:p>
      <w:pPr>
        <w:spacing w:after="0" w:line="399" w:lineRule="exact"/>
        <w:rPr>
          <w:sz w:val="20"/>
          <w:szCs w:val="20"/>
          <w:color w:val="auto"/>
        </w:rPr>
      </w:pPr>
    </w:p>
    <w:p>
      <w:pPr>
        <w:ind w:left="380" w:right="120" w:firstLine="534"/>
        <w:spacing w:after="0" w:line="244" w:lineRule="auto"/>
        <w:rPr>
          <w:sz w:val="20"/>
          <w:szCs w:val="20"/>
          <w:color w:val="auto"/>
        </w:rPr>
      </w:pPr>
      <w:r>
        <w:rPr>
          <w:rFonts w:ascii="Arial" w:cs="Arial" w:eastAsia="Arial" w:hAnsi="Arial"/>
          <w:sz w:val="17"/>
          <w:szCs w:val="17"/>
          <w:color w:val="auto"/>
        </w:rPr>
        <w:t>If our initial signals of activity continue in later-stage clinical development, we believe that NGM282, as a once-daily injectable medication, will be well suited to treat NASH patients with F2, F3 and, potentially, early F4 fibrosis. Together, these target patient populations were believed to encompass approximately 6.7 million patients in the United States alone in 2015, and are expected to grow to 14.1 million by 2030. As diagrammed below, our goal is to position NGM282, if approved, to physicians as a potent, rapidly-acting medication that can repair NASH-damaged livers to avoid progression to end-stage liver disease and liver transplantation. This advanced disease population is typically under the care of hepatologists, as contrasted with the typically asymptomatic early-stage</w:t>
      </w:r>
    </w:p>
    <w:p>
      <w:pPr>
        <w:spacing w:after="0" w:line="13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060"/>
          </w:cols>
          <w:pgMar w:left="240" w:top="449" w:right="59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100"/>
        <w:spacing w:after="0" w:line="250" w:lineRule="auto"/>
        <w:rPr>
          <w:sz w:val="20"/>
          <w:szCs w:val="20"/>
          <w:color w:val="auto"/>
        </w:rPr>
      </w:pPr>
      <w:r>
        <w:rPr>
          <w:rFonts w:ascii="Arial" w:cs="Arial" w:eastAsia="Arial" w:hAnsi="Arial"/>
          <w:sz w:val="17"/>
          <w:szCs w:val="17"/>
          <w:color w:val="auto"/>
        </w:rPr>
        <w:t>NASH population, the majority of whom have not yet been diagnosed. We expect other agents in development, many of which are delivered orally, will serve a complementary role in the treatment of earlier-stage disease or may ultimately require combination treatment with other mechanisms to have an improved effect over its single-agent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1100455</wp:posOffset>
            </wp:positionH>
            <wp:positionV relativeFrom="paragraph">
              <wp:posOffset>136525</wp:posOffset>
            </wp:positionV>
            <wp:extent cx="5055870" cy="23780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055870" cy="2378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Commercial Product Development and Life-cycle Management</w:t>
      </w:r>
    </w:p>
    <w:p>
      <w:pPr>
        <w:spacing w:after="0" w:line="124" w:lineRule="exact"/>
        <w:rPr>
          <w:sz w:val="20"/>
          <w:szCs w:val="20"/>
          <w:color w:val="auto"/>
        </w:rPr>
      </w:pPr>
    </w:p>
    <w:p>
      <w:pPr>
        <w:ind w:left="380" w:firstLine="534"/>
        <w:spacing w:after="0" w:line="245" w:lineRule="auto"/>
        <w:rPr>
          <w:sz w:val="20"/>
          <w:szCs w:val="20"/>
          <w:color w:val="auto"/>
        </w:rPr>
      </w:pPr>
      <w:r>
        <w:rPr>
          <w:rFonts w:ascii="Arial" w:cs="Arial" w:eastAsia="Arial" w:hAnsi="Arial"/>
          <w:sz w:val="17"/>
          <w:szCs w:val="17"/>
          <w:color w:val="auto"/>
        </w:rPr>
        <w:t>The drug product format of NGM282 for our clinical trials to date has been a pre-filled single-use glass syringe. Our manufacturing group is developing a formulation of the agent to enable testing a more commercially-attractive format in the form of a multi-use pen injector, similar to the devices currently delivering injectable type 2 diabetes treatments. We expect that the multi-dose pen format could be available for product launch, if the agent is approved. Our objective is to present a multi-dose pen with needle gauge 29 or smaller, which will be familiar to the large number of NASH patients with type 2 diabetes who also require injections of insulin or GLP-1 products.</w:t>
      </w:r>
    </w:p>
    <w:p>
      <w:pPr>
        <w:spacing w:after="0" w:line="89" w:lineRule="exact"/>
        <w:rPr>
          <w:sz w:val="20"/>
          <w:szCs w:val="20"/>
          <w:color w:val="auto"/>
        </w:rPr>
      </w:pPr>
    </w:p>
    <w:p>
      <w:pPr>
        <w:jc w:val="both"/>
        <w:ind w:left="380" w:right="300" w:firstLine="534"/>
        <w:spacing w:after="0" w:line="250" w:lineRule="auto"/>
        <w:rPr>
          <w:sz w:val="20"/>
          <w:szCs w:val="20"/>
          <w:color w:val="auto"/>
        </w:rPr>
      </w:pPr>
      <w:r>
        <w:rPr>
          <w:rFonts w:ascii="Arial" w:cs="Arial" w:eastAsia="Arial" w:hAnsi="Arial"/>
          <w:sz w:val="17"/>
          <w:szCs w:val="17"/>
          <w:color w:val="auto"/>
        </w:rPr>
        <w:t>Longer term, we are pursuing a life-cycle management strategy to develop a longer half-life version of NGM282 that will require less frequent dosing. At present, we have programs investigating delayed-release technologies and protein modification to support this strategy. These efforts are currently at the research stage.</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Early NGM282 Clinical Development and Preclinical Development</w:t>
      </w:r>
    </w:p>
    <w:p>
      <w:pPr>
        <w:spacing w:after="0" w:line="124" w:lineRule="exact"/>
        <w:rPr>
          <w:sz w:val="20"/>
          <w:szCs w:val="20"/>
          <w:color w:val="auto"/>
        </w:rPr>
      </w:pPr>
    </w:p>
    <w:p>
      <w:pPr>
        <w:jc w:val="both"/>
        <w:ind w:left="380" w:right="200" w:firstLine="534"/>
        <w:spacing w:after="0" w:line="250" w:lineRule="auto"/>
        <w:rPr>
          <w:sz w:val="20"/>
          <w:szCs w:val="20"/>
          <w:color w:val="auto"/>
        </w:rPr>
      </w:pPr>
      <w:r>
        <w:rPr>
          <w:rFonts w:ascii="Arial" w:cs="Arial" w:eastAsia="Arial" w:hAnsi="Arial"/>
          <w:sz w:val="17"/>
          <w:szCs w:val="17"/>
          <w:color w:val="auto"/>
        </w:rPr>
        <w:t>Our development program for NGM282 in NASH has been informed by several precursor and parallel clinical studies, as well as preclinical findings in a variety of NASH animal models. In all clinical trials, NGM282 had an acceptable tolerability profile. A summary of the studies conducted with NGM282 are listed below:</w:t>
      </w:r>
    </w:p>
    <w:p>
      <w:pPr>
        <w:spacing w:after="0" w:line="275"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NGM282 Phase 1 Clinical Trial</w:t>
      </w:r>
    </w:p>
    <w:p>
      <w:pPr>
        <w:spacing w:after="0" w:line="124" w:lineRule="exact"/>
        <w:rPr>
          <w:sz w:val="20"/>
          <w:szCs w:val="20"/>
          <w:color w:val="auto"/>
        </w:rPr>
      </w:pPr>
    </w:p>
    <w:p>
      <w:pPr>
        <w:ind w:left="380" w:right="280" w:firstLine="534"/>
        <w:spacing w:after="0" w:line="258" w:lineRule="auto"/>
        <w:rPr>
          <w:sz w:val="20"/>
          <w:szCs w:val="20"/>
          <w:color w:val="auto"/>
        </w:rPr>
      </w:pPr>
      <w:r>
        <w:rPr>
          <w:rFonts w:ascii="Arial" w:cs="Arial" w:eastAsia="Arial" w:hAnsi="Arial"/>
          <w:sz w:val="17"/>
          <w:szCs w:val="17"/>
          <w:color w:val="auto"/>
        </w:rPr>
        <w:t>We conducted a Phase 1 randomized, double-blind, placebo-controlled, single ascending dose, or SAD, and multiple ascending dose, or MAD, study to evaluate the safety, tolerability and pharmacokinetics of NGM282 in healthy adult participants.</w:t>
      </w:r>
    </w:p>
    <w:p>
      <w:pPr>
        <w:spacing w:after="0" w:line="182" w:lineRule="exact"/>
        <w:rPr>
          <w:sz w:val="20"/>
          <w:szCs w:val="20"/>
          <w:color w:val="auto"/>
        </w:rPr>
      </w:pPr>
    </w:p>
    <w:p>
      <w:pPr>
        <w:ind w:left="380" w:right="120" w:firstLine="534"/>
        <w:spacing w:after="0" w:line="258" w:lineRule="auto"/>
        <w:rPr>
          <w:sz w:val="20"/>
          <w:szCs w:val="20"/>
          <w:color w:val="auto"/>
        </w:rPr>
      </w:pPr>
      <w:r>
        <w:rPr>
          <w:rFonts w:ascii="Arial" w:cs="Arial" w:eastAsia="Arial" w:hAnsi="Arial"/>
          <w:sz w:val="17"/>
          <w:szCs w:val="17"/>
          <w:color w:val="auto"/>
        </w:rPr>
        <w:t>Our Phase 1 clinical trial with NGM282, which is emblematic of our overall drug discovery approach in that we design early clinical trials to assess the translatability of preclinical studies to</w:t>
      </w:r>
    </w:p>
    <w:p>
      <w:pPr>
        <w:spacing w:after="0" w:line="1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040"/>
          </w:cols>
          <w:pgMar w:left="240" w:top="449" w:right="61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spacing w:after="0" w:line="258" w:lineRule="auto"/>
        <w:rPr>
          <w:sz w:val="20"/>
          <w:szCs w:val="20"/>
          <w:color w:val="auto"/>
        </w:rPr>
      </w:pPr>
      <w:r>
        <w:rPr>
          <w:rFonts w:ascii="Arial" w:cs="Arial" w:eastAsia="Arial" w:hAnsi="Arial"/>
          <w:sz w:val="17"/>
          <w:szCs w:val="17"/>
          <w:color w:val="auto"/>
        </w:rPr>
        <w:t>humans, demonstrated a favorable tolerability profile, with signs of biological activity consistent with FGF19-like activity related to FGFR1c and FGFR4 signaling, suggesting potential utility as a treatment for NASH.</w:t>
      </w:r>
    </w:p>
    <w:p>
      <w:pPr>
        <w:spacing w:after="0" w:line="182" w:lineRule="exact"/>
        <w:rPr>
          <w:sz w:val="20"/>
          <w:szCs w:val="20"/>
          <w:color w:val="auto"/>
        </w:rPr>
      </w:pPr>
    </w:p>
    <w:p>
      <w:pPr>
        <w:ind w:left="380" w:right="80" w:firstLine="534"/>
        <w:spacing w:after="0" w:line="245" w:lineRule="auto"/>
        <w:rPr>
          <w:sz w:val="20"/>
          <w:szCs w:val="20"/>
          <w:color w:val="auto"/>
        </w:rPr>
      </w:pPr>
      <w:r>
        <w:rPr>
          <w:rFonts w:ascii="Arial" w:cs="Arial" w:eastAsia="Arial" w:hAnsi="Arial"/>
          <w:sz w:val="17"/>
          <w:szCs w:val="17"/>
          <w:color w:val="auto"/>
        </w:rPr>
        <w:t>In this blinded, placebo-controlled, Phase 1 clinical trial, 119 overweight or obese but otherwise healthy adults were randomized to receive NGM282 or placebo as a daily subcutaneous injection in escalating doses. A rapid and dose-proportional reduction of serum C4 concentrations indicated that NGM282 has a statistically significant effect on bile acid synthesis at the 0.3 mg, 1 mg and 3 mg doses. A mean reduction of approximately 94% in serum C4 concentrations was noted at 3 mg when compared with pre-dose levels. This rapid reduction in C4 levels supports the potential biological activity of NGM282 as an inhibitor of CYP7A1-mediated bile acid synthesis.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1108710</wp:posOffset>
            </wp:positionH>
            <wp:positionV relativeFrom="paragraph">
              <wp:posOffset>140335</wp:posOffset>
            </wp:positionV>
            <wp:extent cx="5038725" cy="2061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038725" cy="2061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80" w:right="20" w:firstLine="534"/>
        <w:spacing w:after="0" w:line="247" w:lineRule="auto"/>
        <w:rPr>
          <w:sz w:val="20"/>
          <w:szCs w:val="20"/>
          <w:color w:val="auto"/>
        </w:rPr>
      </w:pPr>
      <w:r>
        <w:rPr>
          <w:rFonts w:ascii="Arial" w:cs="Arial" w:eastAsia="Arial" w:hAnsi="Arial"/>
          <w:sz w:val="17"/>
          <w:szCs w:val="17"/>
          <w:color w:val="auto"/>
        </w:rPr>
        <w:t>Laboratory analysis of blood samples collected from subjects receiving NGM282 in the Phase 1 MAD trial showed that administration of the drug for seven days was associated with statistically significant reductions in triglyceride levels at doses of 1 mg and greater (-55, -50, -68 and -89 mg/d, respectively, for the 1, 3, 10 and 20 mg dose groups: p&lt;0.05), and a statistically significant increase in total cholesterol concentrations (12, 40, 22 and 24 mg/d, respectively, for the 1, 3, 10 and 20 mg dose groups: p&lt;0.05).</w:t>
      </w:r>
    </w:p>
    <w:p>
      <w:pPr>
        <w:spacing w:after="0" w:line="190" w:lineRule="exact"/>
        <w:rPr>
          <w:sz w:val="20"/>
          <w:szCs w:val="20"/>
          <w:color w:val="auto"/>
        </w:rPr>
      </w:pPr>
    </w:p>
    <w:p>
      <w:pPr>
        <w:ind w:left="380" w:right="40" w:firstLine="534"/>
        <w:spacing w:after="0" w:line="247" w:lineRule="auto"/>
        <w:rPr>
          <w:sz w:val="20"/>
          <w:szCs w:val="20"/>
          <w:color w:val="auto"/>
        </w:rPr>
      </w:pPr>
      <w:r>
        <w:rPr>
          <w:rFonts w:ascii="Arial" w:cs="Arial" w:eastAsia="Arial" w:hAnsi="Arial"/>
          <w:sz w:val="17"/>
          <w:szCs w:val="17"/>
          <w:color w:val="auto"/>
        </w:rPr>
        <w:t>In both the SAD and MAD trials, NGM282 was well tolerated and exhibited approximately linear pharmacokinetics with no immunogenicity. There were no serious adverse events. The most frequently observed adverse events were diarrhea, vomiting, nausea and injection site reactions. Also, there were no laboratory changes in NGM282-treated subjects that would indicate an abnormality in any organ system, as determined by the Safety Data Monitoring Committee for the study, nor were anti-drug antibodies, or ADAs, observed.</w:t>
      </w:r>
    </w:p>
    <w:p>
      <w:pPr>
        <w:spacing w:after="0" w:line="277"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NGM282 Phase 2a Clinical Trial (Type 2 Diabetes)</w:t>
      </w:r>
    </w:p>
    <w:p>
      <w:pPr>
        <w:spacing w:after="0" w:line="124" w:lineRule="exact"/>
        <w:rPr>
          <w:sz w:val="20"/>
          <w:szCs w:val="20"/>
          <w:color w:val="auto"/>
        </w:rPr>
      </w:pPr>
    </w:p>
    <w:p>
      <w:pPr>
        <w:ind w:left="380" w:right="20" w:firstLine="534"/>
        <w:spacing w:after="0" w:line="244" w:lineRule="auto"/>
        <w:rPr>
          <w:sz w:val="20"/>
          <w:szCs w:val="20"/>
          <w:color w:val="auto"/>
        </w:rPr>
      </w:pPr>
      <w:r>
        <w:rPr>
          <w:rFonts w:ascii="Arial" w:cs="Arial" w:eastAsia="Arial" w:hAnsi="Arial"/>
          <w:sz w:val="17"/>
          <w:szCs w:val="17"/>
          <w:color w:val="auto"/>
        </w:rPr>
        <w:t>We conducted a 28-day, randomized, double-blind, multi-center trial to evaluate NGM282 in subjects with type 2 diabetes that were inadequately controlled by metformin. As a consequence of the contribution of obesity and insulin resistance to both conditions, there is a substantial overlap in the prevalence of type 2 diabetes and NASH patients. The type 2 diabetes trial was also designed to measure several of the metabolic parameters that are believed to play a role in the disease progression of NAFLD and NASH, including indicators of insulin sensitivity, triglyceride levels and liver transaminases, such as ALT and AST, enzyme levels. Three doses of NGM282 were tested to assess changes from baseline in biochemical markers associated with type 2 diabetes, such as fasting plasma glucose and stimulated glucose/insulin.</w:t>
      </w:r>
    </w:p>
    <w:p>
      <w:pPr>
        <w:spacing w:after="0" w:line="12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020"/>
          </w:cols>
          <w:pgMar w:left="240" w:top="449" w:right="63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The primary endpoint measured by this trial was the change in fasting plasma glucose after 28 days of treatment. Although this endpoint was not different in the NGM282 subjects as compared to the control arm, there were trends towards improvement in insulin sensitivity, as measured by HOMA-IR, and a statistically significant weight loss observed in the 10 mg group, which lost an average of 2.6 kilograms over the 28 days of treatment (p&lt;0.05). Moreover, there was a statistically significant reduction in triglyceride concentrations with the 2 mg (p&lt;0.001) and 10 mg (p&lt;0.001) doses, and dose-dependent reductions in ALT and AST levels, consistent with improvements in liver health. However, as this trial did not meet its primary endpoint, we decided not to pursue development of NGM282 in type 2 diabetes. The trial did establish that NGM282 demonstrated improvements in both metabolic and liver health in a patient population that closely resembles NASH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142240</wp:posOffset>
            </wp:positionV>
            <wp:extent cx="4847590" cy="20453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847590" cy="2045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0" w:right="100" w:firstLine="534"/>
        <w:spacing w:after="0" w:line="245" w:lineRule="auto"/>
        <w:rPr>
          <w:sz w:val="20"/>
          <w:szCs w:val="20"/>
          <w:color w:val="auto"/>
        </w:rPr>
      </w:pPr>
      <w:r>
        <w:rPr>
          <w:rFonts w:ascii="Arial" w:cs="Arial" w:eastAsia="Arial" w:hAnsi="Arial"/>
          <w:sz w:val="17"/>
          <w:szCs w:val="17"/>
          <w:color w:val="auto"/>
        </w:rPr>
        <w:t>Overall, NGM282 was well-tolerated at each dose. There were no serious adverse events reported, though nine subjects withdrew due to adverse events. The most frequently observed adverse events were GI side effects, which were primarily loose stools/diarrhea, nausea and injection site reactions. One subject developed antibodies against NGM282 that appear to cross-react with FGF19. This subject did not demonstrate any biochemical or clinical safety concerns while in the study, and we have not identified any safety concerns while monitoring the subject following the study.</w:t>
      </w:r>
    </w:p>
    <w:p>
      <w:pPr>
        <w:spacing w:after="0" w:line="281"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NGM282 Phase 2 Clinical Trials in Cholestatic Diseases: PBC and PSC</w:t>
      </w:r>
    </w:p>
    <w:p>
      <w:pPr>
        <w:spacing w:after="0" w:line="124" w:lineRule="exact"/>
        <w:rPr>
          <w:sz w:val="20"/>
          <w:szCs w:val="20"/>
          <w:color w:val="auto"/>
        </w:rPr>
      </w:pPr>
    </w:p>
    <w:p>
      <w:pPr>
        <w:ind w:left="380" w:right="60" w:firstLine="534"/>
        <w:spacing w:after="0" w:line="247" w:lineRule="auto"/>
        <w:rPr>
          <w:sz w:val="20"/>
          <w:szCs w:val="20"/>
          <w:color w:val="auto"/>
        </w:rPr>
      </w:pPr>
      <w:r>
        <w:rPr>
          <w:rFonts w:ascii="Arial" w:cs="Arial" w:eastAsia="Arial" w:hAnsi="Arial"/>
          <w:sz w:val="17"/>
          <w:szCs w:val="17"/>
          <w:color w:val="auto"/>
        </w:rPr>
        <w:t>We conducted an exploratory Phase 2a clinical trial in PBC patients testing daily subcutaneous injections of NGM282 for 28 days, and followed it with a 52-week extension study to assess longer-term safety and tolerability of daily NGM282. While both doses tested in the 28-day study met the primary endpoint of a statistically significant reduction in ALP levels (a validated surrogate endpoint by the FDA), we determined that, with two oral alternatives on the market with similar efficacy, the indication was not well-suited for NGM282.</w:t>
      </w:r>
    </w:p>
    <w:p>
      <w:pPr>
        <w:spacing w:after="0" w:line="190" w:lineRule="exact"/>
        <w:rPr>
          <w:sz w:val="20"/>
          <w:szCs w:val="20"/>
          <w:color w:val="auto"/>
        </w:rPr>
      </w:pPr>
    </w:p>
    <w:p>
      <w:pPr>
        <w:ind w:left="380" w:right="20" w:firstLine="534"/>
        <w:spacing w:after="0" w:line="245" w:lineRule="auto"/>
        <w:rPr>
          <w:sz w:val="20"/>
          <w:szCs w:val="20"/>
          <w:color w:val="auto"/>
        </w:rPr>
      </w:pPr>
      <w:r>
        <w:rPr>
          <w:rFonts w:ascii="Arial" w:cs="Arial" w:eastAsia="Arial" w:hAnsi="Arial"/>
          <w:sz w:val="17"/>
          <w:szCs w:val="17"/>
          <w:color w:val="auto"/>
        </w:rPr>
        <w:t>NGM282 was well tolerated at each dose and showed no evidence of drug-induced pruritus. The majority of adverse events were mild or moderate. In the 28-day study, one subject reported a serious adverse event (dizziness) deemed unrelated to drug. In the 52-week extension study, three subjects reported a total of five serious adverse events: community acquired pneumonia, iron deficiency anemia (2) and fractured finger, all deemed unrelated to study drug; and pneumonitis/alveolitis, which was considered unlikely related to study drug. A statistically significant elevation of LDL cholesterol concentration was not observed in this patient population.</w:t>
      </w:r>
    </w:p>
    <w:p>
      <w:pPr>
        <w:spacing w:after="0" w:line="194" w:lineRule="exact"/>
        <w:rPr>
          <w:sz w:val="20"/>
          <w:szCs w:val="20"/>
          <w:color w:val="auto"/>
        </w:rPr>
      </w:pPr>
    </w:p>
    <w:p>
      <w:pPr>
        <w:ind w:left="380" w:right="40" w:firstLine="534"/>
        <w:spacing w:after="0" w:line="258" w:lineRule="auto"/>
        <w:rPr>
          <w:sz w:val="20"/>
          <w:szCs w:val="20"/>
          <w:color w:val="auto"/>
        </w:rPr>
      </w:pPr>
      <w:r>
        <w:rPr>
          <w:rFonts w:ascii="Arial" w:cs="Arial" w:eastAsia="Arial" w:hAnsi="Arial"/>
          <w:sz w:val="17"/>
          <w:szCs w:val="17"/>
          <w:color w:val="auto"/>
        </w:rPr>
        <w:t>We also conducted an exploratory Phase 2 clinical trial in PSC patients with NGM282. Unlike PBC, there are currently no approved medications for PSC and, similarly, there are no validated clinical</w:t>
      </w:r>
    </w:p>
    <w:p>
      <w:pPr>
        <w:spacing w:after="0" w:line="1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060"/>
          </w:cols>
          <w:pgMar w:left="240" w:top="449" w:right="59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80"/>
        <w:spacing w:after="0" w:line="243" w:lineRule="auto"/>
        <w:rPr>
          <w:sz w:val="20"/>
          <w:szCs w:val="20"/>
          <w:color w:val="auto"/>
        </w:rPr>
      </w:pPr>
      <w:r>
        <w:rPr>
          <w:rFonts w:ascii="Arial" w:cs="Arial" w:eastAsia="Arial" w:hAnsi="Arial"/>
          <w:sz w:val="17"/>
          <w:szCs w:val="17"/>
          <w:color w:val="auto"/>
        </w:rPr>
        <w:t>endpoints accepted by the FDA for approval. NGM282 did not achieve the primary endpoint in the study, which was a statistically significant reduction in ALP levels at the end of treatment. While ALP concentration has also been viewed as a possible surrogate endpoint in PSC, the correlation with disease progression is not as clear as in PBC, and the FDA is developing guidance to drug developers as to an acceptable path to approval. We do not intend to further develop NGM282 in PSC until a development path is more specifically defined in the indication. However, the results of the study also provide utility in understanding the mechanism of NGM282 across the diseases tested. Notably, PRO-C3 and ELF levels, which are markers of fibrosis, improved significantly in the treatment group, suggesting that NGM282 may also have a direct impact on fibrosis that is independent from its metabolic activity, as the PSC patient population does not have elevated liver fat content. Furthermore, a statistically significant elevation of LDL cholesterol concentration was not observed in this patient population.</w:t>
      </w:r>
    </w:p>
    <w:p>
      <w:pPr>
        <w:spacing w:after="0" w:line="394" w:lineRule="exact"/>
        <w:rPr>
          <w:sz w:val="20"/>
          <w:szCs w:val="20"/>
          <w:color w:val="auto"/>
        </w:rPr>
      </w:pPr>
    </w:p>
    <w:p>
      <w:pPr>
        <w:jc w:val="both"/>
        <w:ind w:left="380" w:right="120" w:firstLine="534"/>
        <w:spacing w:after="0" w:line="250" w:lineRule="auto"/>
        <w:rPr>
          <w:sz w:val="20"/>
          <w:szCs w:val="20"/>
          <w:color w:val="auto"/>
        </w:rPr>
      </w:pPr>
      <w:r>
        <w:rPr>
          <w:rFonts w:ascii="Arial" w:cs="Arial" w:eastAsia="Arial" w:hAnsi="Arial"/>
          <w:sz w:val="17"/>
          <w:szCs w:val="17"/>
          <w:color w:val="auto"/>
        </w:rPr>
        <w:t>The majority of adverse events were mild or moderate and resolved on treatment. Five total serious adverse events were reported in three subjects: increased bilirubin, cholangitis, PSC progression and intervertebral discitis, deemed unrelated to study drug; and bowel obstruction, deemed possibly related to NGM282 treatment.</w:t>
      </w:r>
    </w:p>
    <w:p>
      <w:pPr>
        <w:spacing w:after="0" w:line="275"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NGM282 Phase 1 Clinical Trial in GI Motility</w:t>
      </w:r>
    </w:p>
    <w:p>
      <w:pPr>
        <w:spacing w:after="0" w:line="124" w:lineRule="exact"/>
        <w:rPr>
          <w:sz w:val="20"/>
          <w:szCs w:val="20"/>
          <w:color w:val="auto"/>
        </w:rPr>
      </w:pPr>
    </w:p>
    <w:p>
      <w:pPr>
        <w:ind w:left="380" w:firstLine="534"/>
        <w:spacing w:after="0" w:line="242" w:lineRule="auto"/>
        <w:rPr>
          <w:sz w:val="20"/>
          <w:szCs w:val="20"/>
          <w:color w:val="auto"/>
        </w:rPr>
      </w:pPr>
      <w:r>
        <w:rPr>
          <w:rFonts w:ascii="Arial" w:cs="Arial" w:eastAsia="Arial" w:hAnsi="Arial"/>
          <w:sz w:val="17"/>
          <w:szCs w:val="17"/>
          <w:color w:val="auto"/>
        </w:rPr>
        <w:t>A consistent finding in our Phase 2 clinical trials has been an association of NGM282 to dose-related abdominal cramping and increased stool frequency. To further investigate and characterize these gastrointestinal effects, we conducted a randomized, placebo-controlled, 14-day study in patients with functional constipation that tested two doses of NGM282, 1 mg once daily and 6 mg once daily. The objective of the study was to evaluate the effects of NGM282 on colonic transit, stool frequency and consistency, hepatic bile acid synthesis, fecal fat and bile acid levels. Thirty-one patients with functional constipation were randomized on a 1:1:1 basis to placebo (n=10), 1 mg NGM282 (n=10) and 6 mg NGM282 (n=11) arm. Participants underwent tests measuring baseline colonic transit at 24 hours, baseline 48-hour stool fat and bile acid measurement after eating a high fat diet for four days. Patients then received once-daily treatment with NGM282 or placebo for 14 days with transit measurements and fecal fat and bile acid content collected during the last week of the study. Four patients discontinued the trial in the 6 mg cohort (three due to diarrhea and one due to injection site reactions) and no patients discontinued treatment in the placebo or 1 mg NGM282 cohorts. Overall, NGM282 altered bowel function in this group of chronic constipation subjects through increased frequency of bowel movements, looser stool form and increased ease of passage, and significantly accelerated gastric and colonic transit. There were no significant differences in fecal fat or weight between the placebo and treatment groups, suggesting that GI effects of NGM282 are not secondary to an increase in fecal fat. We believe the results of this study show that GI side effects are primarily due to increased colonic motility, rather than increased small bowel or colonic secretion, the latter of which is more characteristic of diarrhea than loose stools. We have applied this mechanistic understanding to our clinical trial by suggesting that subjects time their dosing around meals and moderate the size of a meal in proximity to dose. While the GI side effects of NGM282 are consistent through the clinical studies conducted to date, we have observed that those patients on 3 mg and lower doses that do experience GI side effects generally report mild to moderate effects that resolve on treatment and do not lead to discontinuation of the drug.</w:t>
      </w:r>
    </w:p>
    <w:p>
      <w:pPr>
        <w:spacing w:after="0" w:line="200" w:lineRule="exact"/>
        <w:rPr>
          <w:sz w:val="20"/>
          <w:szCs w:val="20"/>
          <w:color w:val="auto"/>
        </w:rPr>
      </w:pPr>
    </w:p>
    <w:p>
      <w:pPr>
        <w:spacing w:after="0" w:line="280"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NGM282 Engineered to Create a Non-tumorigenic Form of FGF19</w:t>
      </w:r>
    </w:p>
    <w:p>
      <w:pPr>
        <w:spacing w:after="0" w:line="106" w:lineRule="exact"/>
        <w:rPr>
          <w:sz w:val="20"/>
          <w:szCs w:val="20"/>
          <w:color w:val="auto"/>
        </w:rPr>
      </w:pPr>
    </w:p>
    <w:p>
      <w:pPr>
        <w:ind w:left="380" w:right="280" w:firstLine="534"/>
        <w:spacing w:after="0" w:line="261" w:lineRule="auto"/>
        <w:rPr>
          <w:sz w:val="20"/>
          <w:szCs w:val="20"/>
          <w:color w:val="auto"/>
        </w:rPr>
      </w:pPr>
      <w:r>
        <w:rPr>
          <w:rFonts w:ascii="Arial" w:cs="Arial" w:eastAsia="Arial" w:hAnsi="Arial"/>
          <w:sz w:val="17"/>
          <w:szCs w:val="17"/>
          <w:color w:val="auto"/>
        </w:rPr>
        <w:t xml:space="preserve">Human FGF19 is only about 50% identical to its mouse ortholog, known as FGF15.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studies have shown that transgenic mice expressing the human FGF19 hormone at proportionally greater levels than levels expressed in healthy humans develop HCC. NGM282 is a variant of FGF19, engineered to remove the tumorigenic properties of human FGF19 in mice while retaining its beneficial</w:t>
      </w:r>
    </w:p>
    <w:p>
      <w:pPr>
        <w:spacing w:after="0" w:line="11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040"/>
          </w:cols>
          <w:pgMar w:left="240" w:top="449" w:right="61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380"/>
        <w:spacing w:after="0" w:line="249" w:lineRule="auto"/>
        <w:rPr>
          <w:sz w:val="20"/>
          <w:szCs w:val="20"/>
          <w:color w:val="auto"/>
        </w:rPr>
      </w:pPr>
      <w:r>
        <w:rPr>
          <w:rFonts w:ascii="Arial" w:cs="Arial" w:eastAsia="Arial" w:hAnsi="Arial"/>
          <w:sz w:val="17"/>
          <w:szCs w:val="17"/>
          <w:color w:val="auto"/>
        </w:rPr>
        <w:t xml:space="preserve">effects. Prior to designating NGM282 for development, we carried out an extensive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analysis of the structure-function relationship to define the domains in FGF19 responsible for its various activities. Our goal was to identify a variant of human FGF19 that was non-tumorigenic in mice but that retained maximal activity against both the FGFR1c/KLB and FGFR4/KLB receptor complexes so that full metabolic and bile acid effects would be maintained. We designed and evaluated over 150 FGF19 variants to identify compounds with the desired profile. NGM282 is approximately 95% identical to the naturally-occurring human FGF19, with three amino acid substitutions and a five-amino acid deletion from the amino terminus.</w:t>
      </w:r>
    </w:p>
    <w:p>
      <w:pPr>
        <w:spacing w:after="0" w:line="189" w:lineRule="exact"/>
        <w:rPr>
          <w:sz w:val="20"/>
          <w:szCs w:val="20"/>
          <w:color w:val="auto"/>
        </w:rPr>
      </w:pPr>
    </w:p>
    <w:p>
      <w:pPr>
        <w:ind w:left="380" w:right="120" w:firstLine="534"/>
        <w:spacing w:after="0" w:line="243" w:lineRule="auto"/>
        <w:rPr>
          <w:sz w:val="20"/>
          <w:szCs w:val="20"/>
          <w:color w:val="auto"/>
        </w:rPr>
      </w:pPr>
      <w:r>
        <w:rPr>
          <w:rFonts w:ascii="Arial" w:cs="Arial" w:eastAsia="Arial" w:hAnsi="Arial"/>
          <w:sz w:val="17"/>
          <w:szCs w:val="17"/>
          <w:color w:val="auto"/>
        </w:rPr>
        <w:t xml:space="preserve">NGM282 retains the metabolic activity of FGF19 through the FGFR1c/KLB receptor complex and the bile acid activity of FGF19 through the FGFR4/KLB receptor complex. Importantly, NGM282 is a biased ligand of FGFR4, meaning that it selectively activates signaling through the FGFR4/KLB receptor complex in a manner that retains beneficial activity on bile acid production but does not cause HCC in mice, as shown in three different models of oncogenic potential. Furthermore, co-administration of NGM282 and FGF19 via gene delivery in a </w:t>
      </w:r>
      <w:r>
        <w:rPr>
          <w:rFonts w:ascii="Arial" w:cs="Arial" w:eastAsia="Arial" w:hAnsi="Arial"/>
          <w:sz w:val="17"/>
          <w:szCs w:val="17"/>
          <w:i w:val="1"/>
          <w:iCs w:val="1"/>
          <w:color w:val="auto"/>
        </w:rPr>
        <w:t>db/db</w:t>
      </w:r>
      <w:r>
        <w:rPr>
          <w:rFonts w:ascii="Arial" w:cs="Arial" w:eastAsia="Arial" w:hAnsi="Arial"/>
          <w:sz w:val="17"/>
          <w:szCs w:val="17"/>
          <w:color w:val="auto"/>
        </w:rPr>
        <w:t xml:space="preserve"> mouse model eliminated the expected FGF19-driven HCC, suggesting that NGM282 blocked the ability of FGF19 to occupy the relevant receptor and signal in such a way as to cause HCC. We have also explored the biological mechanism that drives the FGF19 oncogenic signal in mice and have determined that the interleukin-6, or IL-6/STAT3 axis is essential for the activity. The elements of the IL-6/STAT3 axis that drive the FGF19 oncogenic signal in mice are not activated with NGM282.</w:t>
      </w:r>
    </w:p>
    <w:p>
      <w:pPr>
        <w:spacing w:after="0" w:line="28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NGM282’s Therapeutic Potential Supported by Preclinical Animal Models of NASH</w:t>
      </w:r>
    </w:p>
    <w:p>
      <w:pPr>
        <w:spacing w:after="0" w:line="124" w:lineRule="exact"/>
        <w:rPr>
          <w:sz w:val="20"/>
          <w:szCs w:val="20"/>
          <w:color w:val="auto"/>
        </w:rPr>
      </w:pPr>
    </w:p>
    <w:p>
      <w:pPr>
        <w:ind w:left="380" w:right="180" w:firstLine="534"/>
        <w:spacing w:after="0" w:line="250" w:lineRule="auto"/>
        <w:rPr>
          <w:sz w:val="20"/>
          <w:szCs w:val="20"/>
          <w:color w:val="auto"/>
        </w:rPr>
      </w:pPr>
      <w:r>
        <w:rPr>
          <w:rFonts w:ascii="Arial" w:cs="Arial" w:eastAsia="Arial" w:hAnsi="Arial"/>
          <w:sz w:val="17"/>
          <w:szCs w:val="17"/>
          <w:color w:val="auto"/>
        </w:rPr>
        <w:t>We have assessed the therapeutic potential of NGM282 in multiple animal models of NASH and have observed a consistent pattern of disease prevention and improvement. The animal models in which we have tested NGM282 and the corresponding results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1691005</wp:posOffset>
            </wp:positionH>
            <wp:positionV relativeFrom="paragraph">
              <wp:posOffset>136525</wp:posOffset>
            </wp:positionV>
            <wp:extent cx="3874770" cy="25196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4770" cy="2519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380" w:right="100" w:firstLine="534"/>
        <w:spacing w:after="0" w:line="247" w:lineRule="auto"/>
        <w:rPr>
          <w:sz w:val="20"/>
          <w:szCs w:val="20"/>
          <w:color w:val="auto"/>
        </w:rPr>
      </w:pPr>
      <w:r>
        <w:rPr>
          <w:rFonts w:ascii="Arial" w:cs="Arial" w:eastAsia="Arial" w:hAnsi="Arial"/>
          <w:sz w:val="17"/>
          <w:szCs w:val="17"/>
          <w:color w:val="auto"/>
        </w:rPr>
        <w:t>In addition to testing NGM282 in these animal models of NASH, we tested a variant of FGF19 that only activates FGFR4 and does not activate FGFR1c. The purpose of creating this variant was to develop a tool by which we could understand the relative contribution of FGFR4 and FGFR1c signaling to the therapeutic effects of FGF19. In the diet-induced, high fat, high fructose, high cholesterol, or HFFC, mouse model of NASH, study animals were administered viral vectors expressing either: (1) an</w:t>
      </w:r>
    </w:p>
    <w:p>
      <w:pPr>
        <w:spacing w:after="0" w:line="12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060"/>
          </w:cols>
          <w:pgMar w:left="240" w:top="449" w:right="59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80"/>
        <w:spacing w:after="0" w:line="245" w:lineRule="auto"/>
        <w:rPr>
          <w:sz w:val="20"/>
          <w:szCs w:val="20"/>
          <w:color w:val="auto"/>
        </w:rPr>
      </w:pPr>
      <w:r>
        <w:rPr>
          <w:rFonts w:ascii="Arial" w:cs="Arial" w:eastAsia="Arial" w:hAnsi="Arial"/>
          <w:sz w:val="17"/>
          <w:szCs w:val="17"/>
          <w:color w:val="auto"/>
        </w:rPr>
        <w:t>analog of FGF19 that activates both FGFR4 and FGFR1c signaling; (2) an analog of FGF19 that activates only FGFR4 signaling; or (3) a control protein, green fluorescent protein, or GFP. After 24 weeks of treatment, the degree of liver fibrosis was compared across the study groups by means of Sirius red staining, which is a common method of identifying fibrosis. The results demonstrated that the mice that received the analog of FGF19 that activated only FGFR4 showed nearly as much fibrosis improvement compared to the compound that activated both FGFR4 and FGFR1c.</w:t>
      </w:r>
    </w:p>
    <w:p>
      <w:pPr>
        <w:spacing w:after="0" w:line="194" w:lineRule="exact"/>
        <w:rPr>
          <w:sz w:val="20"/>
          <w:szCs w:val="20"/>
          <w:color w:val="auto"/>
        </w:rPr>
      </w:pPr>
    </w:p>
    <w:p>
      <w:pPr>
        <w:ind w:left="380" w:firstLine="534"/>
        <w:spacing w:after="0" w:line="247" w:lineRule="auto"/>
        <w:rPr>
          <w:sz w:val="20"/>
          <w:szCs w:val="20"/>
          <w:color w:val="auto"/>
        </w:rPr>
      </w:pPr>
      <w:r>
        <w:rPr>
          <w:rFonts w:ascii="Arial" w:cs="Arial" w:eastAsia="Arial" w:hAnsi="Arial"/>
          <w:sz w:val="17"/>
          <w:szCs w:val="17"/>
          <w:color w:val="auto"/>
        </w:rPr>
        <w:t>We believe these preclinical results show that inhibiting bile acid synthesis through the FGFR4 pathway enables NGM282 to have a more rapid and direct impact on fibrosis as compared to other agents that only address the metabolic dysfunction of NASH. These data, now further supported by our Phase 2 results in biopsy-confirmed NASH patients, show the spectrum of activity enabled by mimicking the native FGF19 hormone at pharmacological levels has a potent therapeutic benefit on multiple disease drivers of NASH.</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NGM313: An Insulin Sensitizer for the Treatment of Type 2 Diabetes and NASH</w:t>
      </w:r>
    </w:p>
    <w:p>
      <w:pPr>
        <w:spacing w:after="0" w:line="126" w:lineRule="exact"/>
        <w:rPr>
          <w:sz w:val="20"/>
          <w:szCs w:val="20"/>
          <w:color w:val="auto"/>
        </w:rPr>
      </w:pPr>
    </w:p>
    <w:p>
      <w:pPr>
        <w:ind w:left="380" w:right="80" w:firstLine="534"/>
        <w:spacing w:after="0" w:line="244" w:lineRule="auto"/>
        <w:rPr>
          <w:sz w:val="20"/>
          <w:szCs w:val="20"/>
          <w:color w:val="auto"/>
        </w:rPr>
      </w:pPr>
      <w:r>
        <w:rPr>
          <w:rFonts w:ascii="Arial" w:cs="Arial" w:eastAsia="Arial" w:hAnsi="Arial"/>
          <w:sz w:val="17"/>
          <w:szCs w:val="17"/>
          <w:color w:val="auto"/>
        </w:rPr>
        <w:t>NGM313, also known as MK-3655, is a proprietary, agonistic antibody selectively activating FGFR1c/KLB that we believe has the potential to be a once-monthly injectable insulin sensitizer for the treatment of NASH and type 2 diabetes. In November 2018, Merck exercised its option for a license to further research, develop and commercialize NGM313 and other FGFR1c/KLB agonists pursuant to our collaboration agreement. In Phase 1 clinical testing, NGM313 has demonstrated favorable tolerability and preliminary data has shown the agent is capable of reducing liver fat content and improving metabolic biomarkers in obese insulin resistant subjects with NAFLD after a single dose. We believe that NGM313 has the potential to be a treatment for those patients with NASH with early to moderate fibrosis with or without type 2 diabetes.</w:t>
      </w:r>
    </w:p>
    <w:p>
      <w:pPr>
        <w:spacing w:after="0" w:line="280"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Type 2 Diabetes</w:t>
      </w:r>
    </w:p>
    <w:p>
      <w:pPr>
        <w:spacing w:after="0" w:line="124"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Type 2 diabetes is a common co -morbidity of obesity and NAFLD, and a disease in which the concentration of blood sugar is elevated due to an imbalance of insulin production from insulin secreting beta cells in the pancreas and insulin action at the tissue level, known as insulin resistance, causing damage to small and large blood vessels and, potentially, leading to blindness, amputation and kidney disease along with an increased risk of heart attack, stroke and premature death. In type 2 diabetes, the body’s tissues become resistant to the effects of insulin over time, requiring the pancreas to produce an unsustainably large amount of insulin to compensate. The growing epidemic of obesity is driving an increasing number of diabetes sufferers, as there is a close relationship between increasing BMI and the relative risk of developing type 2 diabetes.</w:t>
      </w:r>
    </w:p>
    <w:p>
      <w:pPr>
        <w:spacing w:after="0" w:line="193" w:lineRule="exact"/>
        <w:rPr>
          <w:sz w:val="20"/>
          <w:szCs w:val="20"/>
          <w:color w:val="auto"/>
        </w:rPr>
      </w:pPr>
    </w:p>
    <w:p>
      <w:pPr>
        <w:ind w:left="380" w:right="20" w:firstLine="534"/>
        <w:spacing w:after="0" w:line="243" w:lineRule="auto"/>
        <w:rPr>
          <w:sz w:val="20"/>
          <w:szCs w:val="20"/>
          <w:color w:val="auto"/>
        </w:rPr>
      </w:pPr>
      <w:r>
        <w:rPr>
          <w:rFonts w:ascii="Arial" w:cs="Arial" w:eastAsia="Arial" w:hAnsi="Arial"/>
          <w:sz w:val="17"/>
          <w:szCs w:val="17"/>
          <w:color w:val="auto"/>
        </w:rPr>
        <w:t>According to the Centers for Disease Control and Prevention, or CDC, in 2015, an estimated 30 million people in the United States had diabetes, with 1.5 million new cases being added every year. Over 80 million people in the United States are pre-diabetic, the majority of whom are expected to become diabetic in the next ten years. The medical costs of treating the diabetic patient population in the United States alone are believed to be $ 327 billion in 2017. Given the large patient population and high unmet need, pharmaceutical companies have developed multiple classes of therapies. The most recent classes include GLP-1 analogs, SGLT2 inhibitors and DPP-IV inhibitors, which, according to EvaluatePharma, collectively sold over $21 billion worldwide in 2017 and are expected to sell as much as $33 billion by 2022. According to EvaluatePharma, insulin, for which the recombinant human version was first introduced in 1982, and insulin analogues sold approximately $21 billion in 2017 worldwide.</w:t>
      </w:r>
    </w:p>
    <w:p>
      <w:pPr>
        <w:spacing w:after="0" w:line="13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040"/>
          </w:cols>
          <w:pgMar w:left="240" w:top="449" w:right="61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currently available types of treatments include:</w:t>
      </w:r>
    </w:p>
    <w:p>
      <w:pPr>
        <w:spacing w:after="0" w:line="119" w:lineRule="exact"/>
        <w:rPr>
          <w:sz w:val="20"/>
          <w:szCs w:val="20"/>
          <w:color w:val="auto"/>
        </w:rPr>
      </w:pPr>
    </w:p>
    <w:p>
      <w:pPr>
        <w:ind w:left="1100" w:right="160" w:hanging="205"/>
        <w:spacing w:after="0" w:line="258" w:lineRule="auto"/>
        <w:tabs>
          <w:tab w:leader="none" w:pos="11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various forms of insulin replacement therapies and agents to stimulate insulin secretion, whereby the insulin levels are boosted to help decrease blood glucose levels, including recombinant insulin, sulfonylureas and meglitinides;</w:t>
      </w:r>
    </w:p>
    <w:p>
      <w:pPr>
        <w:spacing w:after="0" w:line="90" w:lineRule="exact"/>
        <w:rPr>
          <w:rFonts w:ascii="Arial" w:cs="Arial" w:eastAsia="Arial" w:hAnsi="Arial"/>
          <w:sz w:val="17"/>
          <w:szCs w:val="17"/>
          <w:color w:val="auto"/>
        </w:rPr>
      </w:pPr>
    </w:p>
    <w:p>
      <w:pPr>
        <w:ind w:left="1100" w:right="60" w:hanging="205"/>
        <w:spacing w:after="0" w:line="250" w:lineRule="auto"/>
        <w:tabs>
          <w:tab w:leader="none" w:pos="11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agents that inhibit the absorption of glucose in the gut, increase the excretion of glucose in the kidney and/or decrease the production of glucose in the liver, thereby reducing blood glucose levels, including alpha-glucosidase inhibitors, SGLT2 inhibitors and biguanides, like metformin;</w:t>
      </w:r>
    </w:p>
    <w:p>
      <w:pPr>
        <w:spacing w:after="0" w:line="96" w:lineRule="exact"/>
        <w:rPr>
          <w:rFonts w:ascii="Arial" w:cs="Arial" w:eastAsia="Arial" w:hAnsi="Arial"/>
          <w:sz w:val="17"/>
          <w:szCs w:val="17"/>
          <w:color w:val="auto"/>
        </w:rPr>
      </w:pPr>
    </w:p>
    <w:p>
      <w:pPr>
        <w:ind w:left="1100" w:right="380" w:hanging="205"/>
        <w:spacing w:after="0" w:line="258" w:lineRule="auto"/>
        <w:tabs>
          <w:tab w:leader="none" w:pos="11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drugs that produce a combination of insulin boosting and glucose absorption-inhibiting activity, including incretins like GLP-1 analogs, and DPP-IV inhibitors; and</w:t>
      </w:r>
    </w:p>
    <w:p>
      <w:pPr>
        <w:spacing w:after="0" w:line="90" w:lineRule="exact"/>
        <w:rPr>
          <w:rFonts w:ascii="Arial" w:cs="Arial" w:eastAsia="Arial" w:hAnsi="Arial"/>
          <w:sz w:val="17"/>
          <w:szCs w:val="17"/>
          <w:color w:val="auto"/>
        </w:rPr>
      </w:pPr>
    </w:p>
    <w:p>
      <w:pPr>
        <w:ind w:left="1100" w:right="100" w:hanging="205"/>
        <w:spacing w:after="0" w:line="258" w:lineRule="auto"/>
        <w:tabs>
          <w:tab w:leader="none" w:pos="11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drugs that increase the body’s sensitivity to insulin, thereby making the insulin present in the blood have a more potent effect on lowering blood glucose, which currently consists of thiazolidinediones, or TZDs.</w:t>
      </w:r>
    </w:p>
    <w:p>
      <w:pPr>
        <w:spacing w:after="0" w:line="182" w:lineRule="exact"/>
        <w:rPr>
          <w:sz w:val="20"/>
          <w:szCs w:val="20"/>
          <w:color w:val="auto"/>
        </w:rPr>
      </w:pPr>
    </w:p>
    <w:p>
      <w:pPr>
        <w:ind w:left="380" w:right="80" w:firstLine="534"/>
        <w:spacing w:after="0" w:line="243" w:lineRule="auto"/>
        <w:rPr>
          <w:sz w:val="20"/>
          <w:szCs w:val="20"/>
          <w:color w:val="auto"/>
        </w:rPr>
      </w:pPr>
      <w:r>
        <w:rPr>
          <w:rFonts w:ascii="Arial" w:cs="Arial" w:eastAsia="Arial" w:hAnsi="Arial"/>
          <w:sz w:val="17"/>
          <w:szCs w:val="17"/>
          <w:color w:val="auto"/>
        </w:rPr>
        <w:t>The majority of patients with type 2 diabetes are insulin resistant and have associated metabolic dysregulation caused by lipid abnormalities, fatty liver, hypertension and chronic vascular inflammation. Insulin resistance and beta cell dysfunction are interrelated pathogenic states that lead to persistent hyperglycemia and development of type 2 diabetes. Insulin resistance results from defective insulin signaling in glucose recipient tissues and the persistent elevation of glucose concentrations above the physiological range, leading to increased insulin demand. Beta cell dysfunction, resulting from inadequate glucose sensing to stimulate insulin secretion, is compounded by insulin resistance and also induces hyperglycemia in patients with type 2 diabetes. Preserving beta cell function and insulin signaling in type 2 diabetes patients remain an unmet medical need as persistent hyperglycemia leads to continued progression of diabetes. Even with the multiple classes of diabetes drugs available, only about one-half of patients with diabetes achieve their glycemic goal.</w:t>
      </w:r>
    </w:p>
    <w:p>
      <w:pPr>
        <w:spacing w:after="0" w:line="200" w:lineRule="exact"/>
        <w:rPr>
          <w:sz w:val="20"/>
          <w:szCs w:val="20"/>
          <w:color w:val="auto"/>
        </w:rPr>
      </w:pPr>
    </w:p>
    <w:p>
      <w:pPr>
        <w:spacing w:after="0" w:line="281"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Insulin Sensitizers for the Treatment of Type 2 Diabetes</w:t>
      </w:r>
    </w:p>
    <w:p>
      <w:pPr>
        <w:spacing w:after="0" w:line="124"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Insulin resistant patients that remain inadequately controlled often have NAFLD, low HDL cholesterol level and increased waist circumference, and are likely the best candidates for treatment with insulin sensitizers. TZDs, such as pioglitazone and rosiglitazone, are a notable class of drugs that function as insulin sensitizers to potentiate the effect of insulin, improving glycemic control and dyslipidemia and, therefore, providing a valuable addition to diabetes therapy. As a monotherapy, pioglitazone improves the sensitivity of hepatic and peripheral tissue to insulin, increases insulin-dependent glucose disposal, enhances cellular responsiveness to insulin and, thus, improves dysfunction in glucose homeostasis. This decreased insulin resistance results in a durable lowering of blood glucose, insulin and hemoglobin A1c, or HbA1c levels. However, the clinical use of TZDs has been limited by the risk of adverse events, including congestive heart failure, for which there is a FDA boxed warning, weight gain, peripheral edema/fluid retention, bone fractures and an association with bladder cancer for pioglitazone.</w:t>
      </w:r>
    </w:p>
    <w:p>
      <w:pPr>
        <w:spacing w:after="0" w:line="394" w:lineRule="exact"/>
        <w:rPr>
          <w:sz w:val="20"/>
          <w:szCs w:val="20"/>
          <w:color w:val="auto"/>
        </w:rPr>
      </w:pPr>
    </w:p>
    <w:p>
      <w:pPr>
        <w:ind w:left="380" w:right="100" w:firstLine="534"/>
        <w:spacing w:after="0" w:line="247" w:lineRule="auto"/>
        <w:rPr>
          <w:sz w:val="20"/>
          <w:szCs w:val="20"/>
          <w:color w:val="auto"/>
        </w:rPr>
      </w:pPr>
      <w:r>
        <w:rPr>
          <w:rFonts w:ascii="Arial" w:cs="Arial" w:eastAsia="Arial" w:hAnsi="Arial"/>
          <w:sz w:val="17"/>
          <w:szCs w:val="17"/>
          <w:color w:val="auto"/>
        </w:rPr>
        <w:t>We believe the introduction of an insulin sensitizer without the adverse effects and safety profile of the TZDs would provide a meaningful addition as combination therapy with incretins, with the goal of normalizing glucose levels in patients with type 2 diabetes. While numerous new drug classes are available, none target insulin resistance nor have the potential to resolve persistent hyperglycemia when used in combination with other available diabetes treatments.</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Insulin Sensitizers for the Treatment of NASH</w:t>
      </w:r>
    </w:p>
    <w:p>
      <w:pPr>
        <w:spacing w:after="0" w:line="124" w:lineRule="exact"/>
        <w:rPr>
          <w:sz w:val="20"/>
          <w:szCs w:val="20"/>
          <w:color w:val="auto"/>
        </w:rPr>
      </w:pPr>
    </w:p>
    <w:p>
      <w:pPr>
        <w:ind w:left="380" w:right="220" w:firstLine="534"/>
        <w:spacing w:after="0" w:line="258" w:lineRule="auto"/>
        <w:rPr>
          <w:sz w:val="20"/>
          <w:szCs w:val="20"/>
          <w:color w:val="auto"/>
        </w:rPr>
      </w:pPr>
      <w:r>
        <w:rPr>
          <w:rFonts w:ascii="Arial" w:cs="Arial" w:eastAsia="Arial" w:hAnsi="Arial"/>
          <w:sz w:val="17"/>
          <w:szCs w:val="17"/>
          <w:color w:val="auto"/>
        </w:rPr>
        <w:t>Insulin resistance has been implicated as a key condition leading to hepatic steatosis and, subsequently, NASH. Activation of the immune system contributes to the development of insulin</w:t>
      </w:r>
    </w:p>
    <w:p>
      <w:pPr>
        <w:spacing w:after="0" w:line="1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040"/>
          </w:cols>
          <w:pgMar w:left="240" w:top="449" w:right="61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360"/>
        <w:spacing w:after="0" w:line="244" w:lineRule="auto"/>
        <w:rPr>
          <w:sz w:val="20"/>
          <w:szCs w:val="20"/>
          <w:color w:val="auto"/>
        </w:rPr>
      </w:pPr>
      <w:r>
        <w:rPr>
          <w:rFonts w:ascii="Arial" w:cs="Arial" w:eastAsia="Arial" w:hAnsi="Arial"/>
          <w:sz w:val="17"/>
          <w:szCs w:val="17"/>
          <w:color w:val="auto"/>
        </w:rPr>
        <w:t>resistant adipocytes that release excessive amounts of free fatty acids and cause insulin resistance and lipoapoptosis in peripheral tissues, including the liver, muscle and pancreatic beta cells. Increased hepatic triglyceride synthesis and accumulation of triglyceride-derived toxic lipid metabolites activates intracellular inflammatory pathways within hepatocytes, Kupffer and other immune cells. The subsequent activation of hepatic stellate cells leads to collagen deposition, fibrosis development and, eventually, cirrhosis of the liver. Treatments that can rescue the liver from lipotoxicity, in particular the effects of free fatty acids, by restoring peripheral tissue insulin sensitivity and/or preventing activation of inflammatory pathways and oxidative stress, hold promise for the treatment of NASH.</w:t>
      </w:r>
    </w:p>
    <w:p>
      <w:pPr>
        <w:spacing w:after="0" w:line="196" w:lineRule="exact"/>
        <w:rPr>
          <w:sz w:val="20"/>
          <w:szCs w:val="20"/>
          <w:color w:val="auto"/>
        </w:rPr>
      </w:pPr>
    </w:p>
    <w:p>
      <w:pPr>
        <w:jc w:val="both"/>
        <w:ind w:left="380" w:right="80" w:firstLine="534"/>
        <w:spacing w:after="0" w:line="247" w:lineRule="auto"/>
        <w:rPr>
          <w:sz w:val="20"/>
          <w:szCs w:val="20"/>
          <w:color w:val="auto"/>
        </w:rPr>
      </w:pPr>
      <w:r>
        <w:rPr>
          <w:rFonts w:ascii="Arial" w:cs="Arial" w:eastAsia="Arial" w:hAnsi="Arial"/>
          <w:sz w:val="17"/>
          <w:szCs w:val="17"/>
          <w:color w:val="auto"/>
        </w:rPr>
        <w:t>An estimated 65% of type 2 diabetes patients have NASH. The presence of diabetes is associated with worse liver disease and, in patients with NAFLD and NASH, type 2 diabetes is associated with more severe hepatic and adipose tissue insulin resistance, and more advanced liver steatosis, inflammation and fibrosis by liver histology. In addition, administration of insulin may increase steatosis, making the treatment of patients with type 2 diabetes and NASH challenging.</w:t>
      </w:r>
    </w:p>
    <w:p>
      <w:pPr>
        <w:spacing w:after="0" w:line="190"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The role of insulin resistance and hyperglycemia in the pathogenesis of NAFLD suggests that improving insulin sensitivity and normalizing glucose levels could prevent the development of NASH and progression of disease. It is inconclusive whether current drugs for the treatment of diabetes, such as metformin, DPP-IV inhibitors, SGLT2 inhibitors and GLP-1 agonists, are effective for the treatment of NASH and, for some, if histological benefit is observed, it is unclear whether the effect is related to the concomitant weight loss with treatment. Proof-of-concept studies with an insulin sensitizer, pioglitazone, whose main target at the molecular level is PPAR-gamma in adipose tissue, have shown that treatment after six months, as compared to placebo, resulted in statistically significant improvements in histological findings associated with NASH, with reductions in steatosis, hepatocellular ballooning and lobular inflammation. Fibrosis scores improved significantly relative to baseline in the pioglitazone group, however, the change from baseline did not differ significantly between the placebo and pioglitazone groups after six months of treatment. Pioglitazone treatment increased hepatic insulin sensitivity and glucose clearance, which led to significant reductions in plasma free fatty acids, glucose and insulin levels in NASH patients.</w:t>
      </w:r>
    </w:p>
    <w:p>
      <w:pPr>
        <w:spacing w:after="0" w:line="195" w:lineRule="exact"/>
        <w:rPr>
          <w:sz w:val="20"/>
          <w:szCs w:val="20"/>
          <w:color w:val="auto"/>
        </w:rPr>
      </w:pPr>
    </w:p>
    <w:p>
      <w:pPr>
        <w:ind w:left="380" w:right="40" w:firstLine="534"/>
        <w:spacing w:after="0" w:line="244" w:lineRule="auto"/>
        <w:rPr>
          <w:sz w:val="20"/>
          <w:szCs w:val="20"/>
          <w:color w:val="auto"/>
        </w:rPr>
      </w:pPr>
      <w:r>
        <w:rPr>
          <w:rFonts w:ascii="Arial" w:cs="Arial" w:eastAsia="Arial" w:hAnsi="Arial"/>
          <w:sz w:val="17"/>
          <w:szCs w:val="17"/>
          <w:color w:val="auto"/>
        </w:rPr>
        <w:t>With approximately 17.5 million patients in the United States with type 2 diabetes and NASH, there exists a substantial unmet medical need for a single treatment that addresses pathophysiological states common to both diseases, including insulin resistance, lipid metabolism dysfunction and increased lipotoxicity at the level of the liver. To date, of the FDA approved anti-diabetes drugs on the market, only pioglitazone and liraglutide have demonstrated a benefit on components of the NAS in controlled studies on patients with NASH. We believe NGM313 has the potential as an insulin sensitizer for use as monotherapy or in combination with other drug classes, like GLP-1 analogs, to halt the progression of, and potentially reverse, diabetes and NASH.</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NGM313 Mechanism of Action</w:t>
      </w:r>
    </w:p>
    <w:p>
      <w:pPr>
        <w:spacing w:after="0" w:line="124" w:lineRule="exact"/>
        <w:rPr>
          <w:sz w:val="20"/>
          <w:szCs w:val="20"/>
          <w:color w:val="auto"/>
        </w:rPr>
      </w:pPr>
    </w:p>
    <w:p>
      <w:pPr>
        <w:ind w:left="380" w:right="80" w:firstLine="534"/>
        <w:spacing w:after="0" w:line="243" w:lineRule="auto"/>
        <w:rPr>
          <w:sz w:val="20"/>
          <w:szCs w:val="20"/>
          <w:color w:val="auto"/>
        </w:rPr>
      </w:pPr>
      <w:r>
        <w:rPr>
          <w:rFonts w:ascii="Arial" w:cs="Arial" w:eastAsia="Arial" w:hAnsi="Arial"/>
          <w:sz w:val="17"/>
          <w:szCs w:val="17"/>
          <w:color w:val="auto"/>
        </w:rPr>
        <w:t>NGM313 is a humanized monoclonal agonistic antibody, with the potential for once-monthly dosing, that binds to a unique epitope of KLB, resulting in the selective activation of FGFR1c and signaling through the metabolic pathway utilized by FGF21-based ligand therapies. FGF21 is a protein hormone that is secreted by the liver, adipocytes, pancreas and skeletal muscle. In animal testing, FGF21 plays a role in fasting and starvation by acting on adipose, or fat, cells to increase energy expenditure by stimulating glucose uptake. Notably, the effect of FGF21 on glucose uptake is additive to, but not synergistic with, insulin. Unlike insulin, the response of fat cells to FGF21 requires prolonged exposure to this hormone. Moreover, FGF21 acts to lower plasma triglyceride levels over an extended period. FGF21 also protects animals from diet-induced obesity when overexpressed in transgenic mice and lowers blood glucose and triglyceride levels when administered to diabetic rodents.</w:t>
      </w:r>
    </w:p>
    <w:p>
      <w:pPr>
        <w:spacing w:after="0" w:line="13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040"/>
          </w:cols>
          <w:pgMar w:left="240" w:top="449" w:right="61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firstLine="534"/>
        <w:spacing w:after="0" w:line="247" w:lineRule="auto"/>
        <w:rPr>
          <w:sz w:val="20"/>
          <w:szCs w:val="20"/>
          <w:color w:val="auto"/>
        </w:rPr>
      </w:pPr>
      <w:r>
        <w:rPr>
          <w:rFonts w:ascii="Arial" w:cs="Arial" w:eastAsia="Arial" w:hAnsi="Arial"/>
          <w:sz w:val="17"/>
          <w:szCs w:val="17"/>
          <w:color w:val="auto"/>
        </w:rPr>
        <w:t>FGF21 exerts its effects on metabolic processes by signaling through the receptors known as FGFR1c, FGFR2c and FGFR3c, but not the receptor known as FGFR4. KLB functions as a co-receptor to enhance the binding of these receptors and is essential for mediating FGF21 activity. FGF receptors are expressed on cells in many tissue types, but KLB is mainly expressed in fat cells and other tissues, such as the pancreas and liver.</w:t>
      </w:r>
    </w:p>
    <w:p>
      <w:pPr>
        <w:spacing w:after="0" w:line="190" w:lineRule="exact"/>
        <w:rPr>
          <w:sz w:val="20"/>
          <w:szCs w:val="20"/>
          <w:color w:val="auto"/>
        </w:rPr>
      </w:pPr>
    </w:p>
    <w:p>
      <w:pPr>
        <w:ind w:left="380" w:right="40" w:firstLine="534"/>
        <w:spacing w:after="0" w:line="242" w:lineRule="auto"/>
        <w:rPr>
          <w:sz w:val="20"/>
          <w:szCs w:val="20"/>
          <w:color w:val="auto"/>
        </w:rPr>
      </w:pPr>
      <w:r>
        <w:rPr>
          <w:rFonts w:ascii="Arial" w:cs="Arial" w:eastAsia="Arial" w:hAnsi="Arial"/>
          <w:sz w:val="17"/>
          <w:szCs w:val="17"/>
          <w:color w:val="auto"/>
        </w:rPr>
        <w:t>FGF21-based therapeutics have generated interest in the pharmaceutical research and development community because they represent a novel approach to treating multiple aspects of the metabolic syndrome; however, attempts by other companies to translate FGF21 into a product with clinical application have had limited success. While native FGF21 is thought to have limitations for drug development, including potential effects on cortisol, bone and blood pressure, various animal studies have demonstrated that modified FGF21 ligands simultaneously regulate insulin sensitivity and blood glucose and increase energy expenditure, fat utilization and lipid excretion. Multiple pharmaceutical companies have conducted human testing of therapeutics regulating the FGF21 pathway. Administration of modified FGF21 ligands to humans results in variable improvement in insulin sensitivity, reduction in liver fat content and improvement in lipid profile and body weight loss, suggesting potential utility in treating obesity, type 2 diabetes, dyslipidemia and NASH. However, the blood glucose reductions observed in humans following dosing with modified FGF21 ligands, to date, have not been meaningful. It is thought that these FGF21-based protein therapeutics have produced inadequate glucose reductions due to a shorter than optimal half-life or counter-regulatory mechanisms triggered from activity across multiple receptor types. It has been postulated that a therapeutic regulating the FGF21 pathway with an extended half-life might improve its efficacy profile for type 2 diabetes. Furthermore, while an FGF21-based agent has demonstrated significant reductions in liver steatosis and non-invasive markers of disease in NASH subjects, the effect of FGF21 on liver histology in NASH patients has not been assessed to date.</w:t>
      </w:r>
    </w:p>
    <w:p>
      <w:pPr>
        <w:spacing w:after="0" w:line="178" w:lineRule="exact"/>
        <w:rPr>
          <w:sz w:val="20"/>
          <w:szCs w:val="20"/>
          <w:color w:val="auto"/>
        </w:rPr>
      </w:pPr>
    </w:p>
    <w:p>
      <w:pPr>
        <w:ind w:left="2780"/>
        <w:spacing w:after="0"/>
        <w:rPr>
          <w:sz w:val="20"/>
          <w:szCs w:val="20"/>
          <w:color w:val="auto"/>
        </w:rPr>
      </w:pPr>
      <w:r>
        <w:rPr>
          <w:rFonts w:ascii="Arial" w:cs="Arial" w:eastAsia="Arial" w:hAnsi="Arial"/>
          <w:sz w:val="17"/>
          <w:szCs w:val="17"/>
          <w:b w:val="1"/>
          <w:bCs w:val="1"/>
          <w:u w:val="single" w:color="auto"/>
          <w:color w:val="auto"/>
        </w:rPr>
        <w:t>NGM313, an Agonistic Antibody of the FGFR1c/KLB Receptor Complex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80" w:right="160" w:firstLine="534"/>
        <w:spacing w:after="0" w:line="244" w:lineRule="auto"/>
        <w:rPr>
          <w:sz w:val="20"/>
          <w:szCs w:val="20"/>
          <w:color w:val="auto"/>
        </w:rPr>
      </w:pPr>
      <w:r>
        <w:rPr>
          <w:rFonts w:ascii="Arial" w:cs="Arial" w:eastAsia="Arial" w:hAnsi="Arial"/>
          <w:sz w:val="17"/>
          <w:szCs w:val="17"/>
          <w:color w:val="auto"/>
        </w:rPr>
        <w:t>We believe that developing a specific, agonistic antibody that selectively activates the FGFR1c/KLB pathway would obviate the risks associated with therapeutics based on the native FGF21 ligand. The development candidate, NGM313, exhibits highly specific binding with KLB, resulting exclusively in the activation of FGFR1c-mediated signaling: it does not trigger signaling through other FGF receptors, such as FGFR2c, FGFR3c or FGFR4. Moreover, as NGM313 recognizes an epitope on KLB that is distinct from the FGF19 or FGF21 binding sites, it does not compete with these natural ligands for binding with the FGFR1c/KLB complex. We believe that this non-overlapping binding site reduces the potential for side effects resulting from NGM313 inhibition of endogenous FGF19 and FGF21 hormone activity.</w:t>
      </w:r>
    </w:p>
    <w:p>
      <w:pPr>
        <w:spacing w:after="0" w:line="32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060"/>
          </w:cols>
          <w:pgMar w:left="240" w:top="449" w:right="59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NGM313 Phase 1b Early Proof-of-Concept Clinical Trial</w:t>
      </w:r>
    </w:p>
    <w:p>
      <w:pPr>
        <w:spacing w:after="0" w:line="124"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We conducted a Phase 1b randomized, open-label, parallel group trial to evaluate the safety, tolerability, pharmacokinetics and pharmacodynamics of a single NGM313 dose or daily oral pioglitazone in 25 obese insulin resistant subjects with NAFLD. The Phase 1b clinical trial evaluated the ability of NGM313 to decrease liver fat content (LFC) to support the clinical development of NGM313 in NASH, as well as its effect on glucose disposal to assess the potential of NGM313 in the treatment of patients with type 2 diabetes. A single subcutaneous dose of 240 mg NGM313 was selected based on the clinical pharmacokinetic and pharmacodynamic data, and the tolerability profile from the Phase 1 SAD/MAD trial described below. Pioglitazone was chosen as a positive control in this study as it is the only agent approved for clinical use as an insulin sensitizer for the treatment of type 2 diabetes and also has demonstrated beneficial activity in NASH patients. The highest approved daily oral dose of 45 mg pioglitazone was used in this study to provide the opportunity for maximal efficacy as a comparator in a trial with a short treatment duration of five weeks.</w:t>
      </w:r>
    </w:p>
    <w:p>
      <w:pPr>
        <w:spacing w:after="0" w:line="13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0980"/>
          </w:cols>
          <w:pgMar w:left="240" w:top="449" w:right="67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firstLine="534"/>
        <w:spacing w:after="0" w:line="242" w:lineRule="auto"/>
        <w:rPr>
          <w:sz w:val="20"/>
          <w:szCs w:val="20"/>
          <w:color w:val="auto"/>
        </w:rPr>
      </w:pPr>
      <w:r>
        <w:rPr>
          <w:rFonts w:ascii="Arial" w:cs="Arial" w:eastAsia="Arial" w:hAnsi="Arial"/>
          <w:sz w:val="17"/>
          <w:szCs w:val="17"/>
          <w:color w:val="auto"/>
        </w:rPr>
        <w:t>The primary objectives of the study were to evaluate changes from baseline in LFC as measured by MRI-PDFF at day 36 and changes from baseline in whole body insulin sensitivity at day 29 in subjects treated with NGM313 as compared to pioglitazone. Preliminary results indicated that a single dose of NGM313 resulted in a statistically significant least squares mean change from baseline to day 36 of -6.3% and -37% in absolute and relative LFC, respectively (p&lt;0.0001), while daily dosing of 45 mg pioglitazone resulted in a statistically significant least squares mean change from baseline to day 36 of -4.0% and -25%, respectively (p&lt;0.001). The change from baseline with NGM313 treatment was not significantly different relative to that observed with pioglitazone (p=0.08), however, the study was not powered to demonstrate statistical significance between groups. Historically, a relative reduction of LFC of 29%, as measured by MRI-PDFF, was associated with a histological response of a NAS improvement of two stages or greater. In addition, preliminary results indicated that a single dose of NGM313 resulted in a statistically significant mean decrease from baseline of 0.24% in HbA1c at day 36 (p&lt;0.0001), as compared to a decrease of 0.11% with a daily dose of 45 mg of pioglitazone, without hypoglycemia. A reduction in HbA1c of the magnitude observed in this study’s insulin resistant, non-diabetic patient population in this time frame supports the promise of NGM313 to potentially improve glucose control in type 2 diabetes patients. This was accompanied by statistically significant reductions from baseline in HOMA-IR, serum concentrations of fasting glucose, ALT, AST, triglycerides and LDL cholesterol, and a statistically significant increase in HDL cholesterol levels at day 28 (all p&lt;0.05), as summarized in the table below. PRO-C3 was also significantly reduced with NGM313 treatment but not with pioglitazone (p&lt;0.01).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119380</wp:posOffset>
            </wp:positionV>
            <wp:extent cx="3949700" cy="267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949700" cy="267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80" w:right="160" w:firstLine="534"/>
        <w:spacing w:after="0" w:line="247" w:lineRule="auto"/>
        <w:rPr>
          <w:sz w:val="20"/>
          <w:szCs w:val="20"/>
          <w:color w:val="auto"/>
        </w:rPr>
      </w:pPr>
      <w:r>
        <w:rPr>
          <w:rFonts w:ascii="Arial" w:cs="Arial" w:eastAsia="Arial" w:hAnsi="Arial"/>
          <w:sz w:val="17"/>
          <w:szCs w:val="17"/>
          <w:color w:val="auto"/>
        </w:rPr>
        <w:t>Preliminary data indicate that NGM313-treated patients had a least squares mean increase from baseline in body weight of 1.6 kg at day 36, as compared to 2.4 kg with pioglitazone. This study indicated that NGM313 safe and was well-tolerated, with no serious adverse events and no adverse event leading to study discontinuation. All adverse events observed during the course of the study were deemed mild, with increased appetite (12%) being the only adverse event reported in at least 10% of NGM313-treated subjects.</w:t>
      </w:r>
    </w:p>
    <w:p>
      <w:pPr>
        <w:spacing w:after="0" w:line="190" w:lineRule="exact"/>
        <w:rPr>
          <w:sz w:val="20"/>
          <w:szCs w:val="20"/>
          <w:color w:val="auto"/>
        </w:rPr>
      </w:pPr>
    </w:p>
    <w:p>
      <w:pPr>
        <w:ind w:left="380" w:right="260" w:firstLine="534"/>
        <w:spacing w:after="0" w:line="250" w:lineRule="auto"/>
        <w:rPr>
          <w:sz w:val="20"/>
          <w:szCs w:val="20"/>
          <w:color w:val="auto"/>
        </w:rPr>
      </w:pPr>
      <w:r>
        <w:rPr>
          <w:rFonts w:ascii="Arial" w:cs="Arial" w:eastAsia="Arial" w:hAnsi="Arial"/>
          <w:sz w:val="17"/>
          <w:szCs w:val="17"/>
          <w:color w:val="auto"/>
        </w:rPr>
        <w:t>Preliminary data from the Phase 1b clinical trial, in addition to the data described below from the Phase 1 SAD/MAD clinical trial, support the potential for NGM313 to be the first insulin sensitizer for the treatment of NASH and type 2 diabetes, without the safety concerns that plague currently available</w:t>
      </w:r>
    </w:p>
    <w:p>
      <w:pPr>
        <w:spacing w:after="0" w:line="12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060"/>
          </w:cols>
          <w:pgMar w:left="240" w:top="449" w:right="59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40"/>
        <w:spacing w:after="0" w:line="244" w:lineRule="auto"/>
        <w:rPr>
          <w:sz w:val="20"/>
          <w:szCs w:val="20"/>
          <w:color w:val="auto"/>
        </w:rPr>
      </w:pPr>
      <w:r>
        <w:rPr>
          <w:rFonts w:ascii="Arial" w:cs="Arial" w:eastAsia="Arial" w:hAnsi="Arial"/>
          <w:sz w:val="17"/>
          <w:szCs w:val="17"/>
          <w:color w:val="auto"/>
        </w:rPr>
        <w:t>agents targeting insulin resistance, such as edema, fluid retention, heart failure and bone fractures. Given that the metabolic changes of NGM313 were seen after only a single dose, it is likely that a more substantial improvement would be observed after longer duration of treatment. We expect Merck to initiate a Phase 2b histology study of NGM313 in NASH subjects in late 2019 or early 2020. If NGM313 is approved for the treatment of NASH, we expect that the drug would be used predominantly in NASH patients with early to moderate fibrosis. We anticipate that the NASH patients with more advanced fibrosis could be treated with NGM282 in order to more quickly reverse fibrosis and bring back the liver to a healthier state, whereas NGM313 could subsequently be used to halt the progression of disease by addressing the metabolic drivers of NASH.</w:t>
      </w:r>
    </w:p>
    <w:p>
      <w:pPr>
        <w:spacing w:after="0" w:line="280"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NGM313 Phase 1 SAD/MAD Clinical Trial</w:t>
      </w:r>
    </w:p>
    <w:p>
      <w:pPr>
        <w:spacing w:after="0" w:line="124" w:lineRule="exact"/>
        <w:rPr>
          <w:sz w:val="20"/>
          <w:szCs w:val="20"/>
          <w:color w:val="auto"/>
        </w:rPr>
      </w:pPr>
    </w:p>
    <w:p>
      <w:pPr>
        <w:ind w:left="380" w:firstLine="534"/>
        <w:spacing w:after="0" w:line="242" w:lineRule="auto"/>
        <w:rPr>
          <w:sz w:val="20"/>
          <w:szCs w:val="20"/>
          <w:color w:val="auto"/>
        </w:rPr>
      </w:pPr>
      <w:r>
        <w:rPr>
          <w:rFonts w:ascii="Arial" w:cs="Arial" w:eastAsia="Arial" w:hAnsi="Arial"/>
          <w:sz w:val="17"/>
          <w:szCs w:val="17"/>
          <w:color w:val="auto"/>
        </w:rPr>
        <w:t>Our first-in-human Phase 1 clinical trial was a blinded, placebo-controlled study in overweight or obese but otherwise healthy adults in which single and multiple once-monthly subcutaneous injections of NGM313 or placebo were tested to evaluate the safety, tolerability and pharmacokinetics of NGM313. NGM313 was well tolerated, with signs of biological activity indicative of insulin sensitization, after a single dose. In the SAD portion of the study, where single doses of 3 mg up to 360 mg of NGM313 were tested, higher doses resulted in small but statistically significant (p&lt;0.05) mean reductions from baseline in HbA1c, fasting glucose levels, fasting insulin levels and HOMA-IR at day 29, as compared to placebo. The magnitude of change in glucose parameters is consistent with what would be expected with an insulin sensitizer in these subjects with normal glycemic control. In a dose dependent fashion, total adiponectin levels, a potential biomarker of insulin sensitivity, increased by approximately 140% at the 240 mg and 360 mg doses of NGM313. The statistically significant increases in adiponectin relative to placebo remained persistent through day 57 and day 85 after a single dose of 240 mg and 360 mg of NGM313 (p&lt;0.01), respectively. Dose dependent changes in the lipid profile were also apparent at day 29, with observed increases in levels of HDL cholesterol, lower levels of LDL cholesterol and decreased levels of triglycerides that were statistically significant at the higher doses (p&lt;0.05).</w:t>
      </w:r>
    </w:p>
    <w:p>
      <w:pPr>
        <w:spacing w:after="0" w:line="201"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In the MAD portion of the study, three once-monthly doses of between 10 mg and 240 mg of NGM313 were administered and, after 12 weeks, mean decreases from baseline in HbA1c, fasting glucose, fasting insulin and HOMA-IR were observed at the higher doses relative to placebo. Similar to the SAD portion of the study, a favorable lipid profile was demonstrated at the end of treatment on day 85, as shown in the table below. An increase in placebo-subtracted body weight at end of treatment of 1.6 kg and 2.4 kg was noted in patients from the SAD and MAD cohorts that received the highest dose level of NGM313, respectively. This trend in body weight increase is consistent with the degree of insulin sensitization effects observed at these doses, and there was no evidence of edema, fluid retention or hemodilution associated with NGM313 treatment. Despite the change in weight, there was no statistically significant increase in the waist circumference in these cohorts of subjects receiving NGM313. The beneficial changes in glucose metabolism, lipid levels and biomarkers of insulin sensitization supported further evaluation of NGM313 in patients with fatty liver and insulin resistance.</w:t>
      </w:r>
    </w:p>
    <w:p>
      <w:pPr>
        <w:spacing w:after="0" w:line="13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1040"/>
          </w:cols>
          <w:pgMar w:left="240" w:top="449" w:right="61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160"/>
        <w:spacing w:after="0"/>
        <w:rPr>
          <w:sz w:val="20"/>
          <w:szCs w:val="20"/>
          <w:color w:val="auto"/>
        </w:rPr>
      </w:pPr>
      <w:r>
        <w:rPr>
          <w:rFonts w:ascii="Arial" w:cs="Arial" w:eastAsia="Arial" w:hAnsi="Arial"/>
          <w:sz w:val="17"/>
          <w:szCs w:val="17"/>
          <w:b w:val="1"/>
          <w:bCs w:val="1"/>
          <w:u w:val="single" w:color="auto"/>
          <w:color w:val="auto"/>
        </w:rPr>
        <w:t>NGM313 Improves Key Glucoregulatory and Lipid Parameters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1100455</wp:posOffset>
            </wp:positionH>
            <wp:positionV relativeFrom="paragraph">
              <wp:posOffset>15240</wp:posOffset>
            </wp:positionV>
            <wp:extent cx="5064125" cy="23780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064125" cy="2378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In both the SAD and MAD cohorts, NGM313 was well tolerated. There were three serious adverse events reported (adjustment disorder in the placebo group; lower gastrointestinal hemorrhage and cholecystitis in the NGM313 groups), and they were considered to be unrelated to study drug. The majority of adverse events were mild to moderate in severity, and treatment-related events with the greatest proportion of subjects were gastrointestinal disorders, injection site reactions, upper respiratory tract infections, headache and increased appetite. In contrast to pioglitazone, where an increased risk of bone fractures in women has been described, there were no changes in bone mineral density and bone formation and resorption markers observed in the MAD trial among subjects treated with NGM313. No symptomatic hypoglycemia was observed with NGM313 treatment. The pharmacokinetic profile suggests that NGM313 displays nonlinear kinetics following a single dose, which is anticipated for an antibody that displays target-mediated clearance. There was some presence of anti-drug antibodies observed, but it did not appear to affect the pharmacokinetics or tolerability profile of NGM313.</w:t>
      </w:r>
    </w:p>
    <w:p>
      <w:pPr>
        <w:spacing w:after="0" w:line="28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NGM386/NGM395: Engineered Variants of GDF15 for the Potential Treatment of Metabolic Disease</w:t>
      </w:r>
    </w:p>
    <w:p>
      <w:pPr>
        <w:spacing w:after="0" w:line="126"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NGM386 and NGM395, also known as MK-4820 and MK-3606, respectively, are proprietary, engineered variants of the hormone GDF15 that were being developed by Merck under the collaboration as once-daily and once-weekly, or less frequent, subcutaneous injections for the treatment of obesity. In 2015, we granted Merck a worldwide license to further research, develop and commercialize NGM386, NGM395 and other GDF15 receptor agonists pursuant to our collaboration agreement. Merck completed the conduct of a Phase 1 MAD clinical trial with NGM386 . On March 1, 2019, Merck notified us of its intent to terminate its license to the program, effective May 31, 2019. Upon effectiveness of this termination, we will regain full rights to the GDF15 receptor agonist program, which includes NGM386 and NGM395. We expect to decide whether to advance NGM386 and/or NGM395 following our analysis of the results of the NGM386 Phase 1 trial.</w:t>
      </w:r>
    </w:p>
    <w:p>
      <w:pPr>
        <w:spacing w:after="0" w:line="28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Overview of GDF15 Pathway and Our Discovery of the GDF15 Receptor, GFRAL</w:t>
      </w:r>
    </w:p>
    <w:p>
      <w:pPr>
        <w:spacing w:after="0" w:line="124" w:lineRule="exact"/>
        <w:rPr>
          <w:sz w:val="20"/>
          <w:szCs w:val="20"/>
          <w:color w:val="auto"/>
        </w:rPr>
      </w:pPr>
    </w:p>
    <w:p>
      <w:pPr>
        <w:ind w:left="380" w:right="20" w:firstLine="534"/>
        <w:spacing w:after="0" w:line="258" w:lineRule="auto"/>
        <w:rPr>
          <w:sz w:val="20"/>
          <w:szCs w:val="20"/>
          <w:color w:val="auto"/>
        </w:rPr>
      </w:pPr>
      <w:r>
        <w:rPr>
          <w:rFonts w:ascii="Arial" w:cs="Arial" w:eastAsia="Arial" w:hAnsi="Arial"/>
          <w:sz w:val="17"/>
          <w:szCs w:val="17"/>
          <w:color w:val="auto"/>
        </w:rPr>
        <w:t>GDF15, also known as MIC-1 and NAG-1, is expressed in peripheral tissues relevant to metabolic function. We identified GDF15 in an unbiased screen of putative secretory factors using our</w:t>
      </w:r>
    </w:p>
    <w:p>
      <w:pPr>
        <w:spacing w:after="0" w:line="11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020"/>
          </w:cols>
          <w:pgMar w:left="240" w:top="449" w:right="63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40"/>
        <w:spacing w:after="0" w:line="244" w:lineRule="auto"/>
        <w:rPr>
          <w:sz w:val="20"/>
          <w:szCs w:val="20"/>
          <w:color w:val="auto"/>
        </w:rPr>
      </w:pPr>
      <w:r>
        <w:rPr>
          <w:rFonts w:ascii="Arial" w:cs="Arial" w:eastAsia="Arial" w:hAnsi="Arial"/>
          <w:sz w:val="17"/>
          <w:szCs w:val="17"/>
          <w:color w:val="auto"/>
        </w:rPr>
        <w:t xml:space="preserve">rAAV gene delivery approach in diet-induced obese, or DIO, mice. In this screen, GDF15 produced one of the most potent and efficacious metabolic responses we have observed, effectively normalizing blood glucose and significantly reducing body weight. The effects of GDF15 on food intake, energy expenditure and body weight were known. We discovered that GDF15 causes peripheral lipolysis, which is the burning of fats to create free fatty acids as a source of energy, through the sympathetic nervous system. However, the pharmaceutical industry’s GDF15 drug discovery efforts had been significantly impeded by the lack of understanding regarding the identity of its cognate receptor and signaling pathways. We identified GFRAL as the exclusive, brainstem-restricted receptor for GDF15 in 2013 and, in 2017, published a landmark paper in the journal </w:t>
      </w:r>
      <w:r>
        <w:rPr>
          <w:rFonts w:ascii="Arial" w:cs="Arial" w:eastAsia="Arial" w:hAnsi="Arial"/>
          <w:sz w:val="17"/>
          <w:szCs w:val="17"/>
          <w:i w:val="1"/>
          <w:iCs w:val="1"/>
          <w:color w:val="auto"/>
        </w:rPr>
        <w:t>Nature</w:t>
      </w:r>
      <w:r>
        <w:rPr>
          <w:rFonts w:ascii="Arial" w:cs="Arial" w:eastAsia="Arial" w:hAnsi="Arial"/>
          <w:sz w:val="17"/>
          <w:szCs w:val="17"/>
          <w:color w:val="auto"/>
        </w:rPr>
        <w:t xml:space="preserve"> describing its discovery and the elucidation of its crystal structure by our scientists.</w:t>
      </w:r>
    </w:p>
    <w:p>
      <w:pPr>
        <w:spacing w:after="0" w:line="193"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Our research suggests that GDF15 is elevated in peripheral tissues following cellular insults, such as oxidative, metabolic or hypoxic stress, and may serve as a messenger hormone to communicate with the brain stem and orchestrate adaptive metabolic changes to cope with the energy demand of cells under various stress conditions. Among these adaptations are reduced food intake and a change in the fuel flux that favors the burning of free fatty acids through lipolysis, instead of burning carbohydrates. We discovered that GDF15 acts directly on GFRAL, a receptor located exclusively in the area postrema, or AP, and nucleus tractus solitarius, or NTS, of the brain stem. The AP is a circumventricular organ that is outside the blood-brain barrier, which means that it can readily sense any changes in the bloodstream. This discovery provided a mechanistic basis for the regulation by GDF15 of whole body metabolism through a distinct neural circuitry.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267970</wp:posOffset>
            </wp:positionV>
            <wp:extent cx="4373880" cy="19373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73880"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Elucidating the Biology of GDF15 and GFRAL</w:t>
      </w:r>
    </w:p>
    <w:p>
      <w:pPr>
        <w:spacing w:after="0" w:line="12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We have generated the following results supporting the biological role of GDF15 and its receptor, GFRAL:</w:t>
      </w:r>
    </w:p>
    <w:p>
      <w:pPr>
        <w:spacing w:after="0" w:line="119" w:lineRule="exact"/>
        <w:rPr>
          <w:sz w:val="20"/>
          <w:szCs w:val="20"/>
          <w:color w:val="auto"/>
        </w:rPr>
      </w:pPr>
    </w:p>
    <w:p>
      <w:pPr>
        <w:ind w:left="1100" w:right="120" w:hanging="205"/>
        <w:spacing w:after="0" w:line="250" w:lineRule="auto"/>
        <w:tabs>
          <w:tab w:leader="none" w:pos="11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recombinant GDF15 protein was shown to confer potent metabolic benefits upon administration in mouse disease models, including decreased glucose levels without hypoglycemia, improved oral glucose tolerance, decreased insulin levels, increased lipolysis, reduced food intake and body weight loss;</w:t>
      </w:r>
    </w:p>
    <w:p>
      <w:pPr>
        <w:spacing w:after="0" w:line="96" w:lineRule="exact"/>
        <w:rPr>
          <w:rFonts w:ascii="Arial" w:cs="Arial" w:eastAsia="Arial" w:hAnsi="Arial"/>
          <w:sz w:val="17"/>
          <w:szCs w:val="17"/>
          <w:color w:val="auto"/>
        </w:rPr>
      </w:pPr>
    </w:p>
    <w:p>
      <w:pPr>
        <w:ind w:left="1100" w:right="400" w:hanging="205"/>
        <w:spacing w:after="0" w:line="258" w:lineRule="auto"/>
        <w:tabs>
          <w:tab w:leader="none" w:pos="11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weight loss and metabolic effects from GDF15 expression in DIO mice were observed even at systemic levels as low as 0.6 ng/ml, a concentration comparable to the endogenous levels of this hormone found in humans;</w:t>
      </w:r>
    </w:p>
    <w:p>
      <w:pPr>
        <w:spacing w:after="0" w:line="90" w:lineRule="exact"/>
        <w:rPr>
          <w:rFonts w:ascii="Arial" w:cs="Arial" w:eastAsia="Arial" w:hAnsi="Arial"/>
          <w:sz w:val="17"/>
          <w:szCs w:val="17"/>
          <w:color w:val="auto"/>
        </w:rPr>
      </w:pPr>
    </w:p>
    <w:p>
      <w:pPr>
        <w:ind w:left="1100" w:right="160" w:hanging="205"/>
        <w:spacing w:after="0" w:line="258" w:lineRule="auto"/>
        <w:tabs>
          <w:tab w:leader="none" w:pos="11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 mouse strain in which GFRAL was knocked out was overweight compared to normal mice when fed a high-fat diet. However, the GFRAL receptor knockout mice were non-responsive to</w:t>
      </w:r>
    </w:p>
    <w:p>
      <w:pPr>
        <w:spacing w:after="0" w:line="11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020"/>
          </w:cols>
          <w:pgMar w:left="240" w:top="449" w:right="63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1120" w:right="100"/>
        <w:spacing w:after="0" w:line="250" w:lineRule="auto"/>
        <w:rPr>
          <w:sz w:val="20"/>
          <w:szCs w:val="20"/>
          <w:color w:val="auto"/>
        </w:rPr>
      </w:pPr>
      <w:r>
        <w:rPr>
          <w:rFonts w:ascii="Arial" w:cs="Arial" w:eastAsia="Arial" w:hAnsi="Arial"/>
          <w:sz w:val="17"/>
          <w:szCs w:val="17"/>
          <w:color w:val="auto"/>
        </w:rPr>
        <w:t>treatment with an engineered variant of GDF15 and, unlike their normal counterparts, the animals continued to show elevated body weight and increased food intake. This suggests that GFRAL is the only receptor through which GDF15 acts to achieve its metabolic effects; and</w:t>
      </w:r>
    </w:p>
    <w:p>
      <w:pPr>
        <w:spacing w:after="0" w:line="96" w:lineRule="exact"/>
        <w:rPr>
          <w:sz w:val="20"/>
          <w:szCs w:val="20"/>
          <w:color w:val="auto"/>
        </w:rPr>
      </w:pPr>
    </w:p>
    <w:p>
      <w:pPr>
        <w:ind w:left="1100" w:right="260" w:hanging="205"/>
        <w:spacing w:after="0" w:line="247" w:lineRule="auto"/>
        <w:tabs>
          <w:tab w:leader="none" w:pos="11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 surgical procedure that cuts nerves in the sympathetic nervous system traveling through the vagus nerve, known as a vagotomy, reduces GDF15-induced body weight loss but does not affect GDF15-induced anorexia in mice. This suggests that GDF15 controls body weight through two pathways: a central pathway regulating food intake; and a peripheral, vagal-dependent pathway modulating fat utilization.</w:t>
      </w:r>
    </w:p>
    <w:p>
      <w:pPr>
        <w:spacing w:after="0" w:line="190" w:lineRule="exact"/>
        <w:rPr>
          <w:sz w:val="20"/>
          <w:szCs w:val="20"/>
          <w:color w:val="auto"/>
        </w:rPr>
      </w:pPr>
    </w:p>
    <w:p>
      <w:pPr>
        <w:jc w:val="both"/>
        <w:ind w:left="380" w:right="60" w:firstLine="534"/>
        <w:spacing w:after="0" w:line="250" w:lineRule="auto"/>
        <w:rPr>
          <w:sz w:val="20"/>
          <w:szCs w:val="20"/>
          <w:color w:val="auto"/>
        </w:rPr>
      </w:pPr>
      <w:r>
        <w:rPr>
          <w:rFonts w:ascii="Arial" w:cs="Arial" w:eastAsia="Arial" w:hAnsi="Arial"/>
          <w:sz w:val="17"/>
          <w:szCs w:val="17"/>
          <w:color w:val="auto"/>
        </w:rPr>
        <w:t>In addition to the evidence generated in our labs, independent research has reported that GDF15 gene knockout mice weigh more and have increased obesity due to increased spontaneous food intake. Infusion of human recombinant GDF15 that raised serum levels of GDF15 knockout mice to within the normal human range led to reduced body weight and food intake in a dose-dependent fashion.</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NGM386 and NGM395, Engineered Protein Variants of GDF15</w:t>
      </w:r>
    </w:p>
    <w:p>
      <w:pPr>
        <w:spacing w:after="0" w:line="124" w:lineRule="exact"/>
        <w:rPr>
          <w:sz w:val="20"/>
          <w:szCs w:val="20"/>
          <w:color w:val="auto"/>
        </w:rPr>
      </w:pPr>
    </w:p>
    <w:p>
      <w:pPr>
        <w:ind w:left="380" w:firstLine="534"/>
        <w:spacing w:after="0" w:line="242" w:lineRule="auto"/>
        <w:rPr>
          <w:sz w:val="20"/>
          <w:szCs w:val="20"/>
          <w:color w:val="auto"/>
        </w:rPr>
      </w:pPr>
      <w:r>
        <w:rPr>
          <w:rFonts w:ascii="Arial" w:cs="Arial" w:eastAsia="Arial" w:hAnsi="Arial"/>
          <w:sz w:val="17"/>
          <w:szCs w:val="17"/>
          <w:color w:val="auto"/>
        </w:rPr>
        <w:t>We discovered in 2013 that GFRAL was the cognate receptor for GDF15 several years before other pharmaceutical companies became aware of the receptor identity. During this multi-year period we developed novel insights into the mechanism of action of GDF15 and the structure and function of the GDF15/GFRAL interaction. Through high-resolution X-ray crystallography, we discovered that GDF15 crystal structure revealed a hydrophobic region on the protein surface that we believe impairs the solubility and, therefore, the manufacturability of the native hormone. Armed with this structural information and functional assays that we were able to develop through the elucidation of the GDF15 signaling pathway, we conducted a systematic “structure-activity relationship” analysis of GDF15 and GFRAL to identify the critical functional domains of both the hormone and its receptor. With this data, we generated NGM386 and NGM395 as optimized GDF15 variants that exhibit significantly improved pharmaceutical properties. Since 2015, Merck has been responsible for the development and manufacturing of NGM386 and NGM395. NGM386 is an engineered protein variant of GDF15 that has a pharmacokinetic profile suitable as a once-daily subcutaneous injection. Merck has completed long-term toxicology studies with NGM386 in two species with no treatment-related changes in organ weight, cell morphology or clinical pathology noted beyond body weight loss and injection site reactions.</w:t>
      </w:r>
    </w:p>
    <w:p>
      <w:pPr>
        <w:spacing w:after="0" w:line="376"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u w:val="single" w:color="auto"/>
          <w:color w:val="auto"/>
        </w:rPr>
        <w:t>Efficacy on NGM386 in DIO Mice (n=6/group)</w:t>
      </w:r>
    </w:p>
    <w:p>
      <w:pPr>
        <w:spacing w:after="0" w:line="23"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u w:val="single" w:color="auto"/>
          <w:color w:val="auto"/>
        </w:rPr>
        <w:t xml:space="preserve">Change in Body Weight after 28 Days </w:t>
      </w:r>
      <w:r>
        <w:rPr>
          <w:rFonts w:ascii="Arial" w:cs="Arial" w:eastAsia="Arial" w:hAnsi="Arial"/>
          <w:sz w:val="17"/>
          <w:szCs w:val="17"/>
          <w:b w:val="1"/>
          <w:bCs w:val="1"/>
          <w:i w:val="1"/>
          <w:iCs w:val="1"/>
          <w:u w:val="single" w:color="auto"/>
          <w:color w:val="auto"/>
        </w:rPr>
        <w:t>qd</w:t>
      </w:r>
      <w:r>
        <w:rPr>
          <w:rFonts w:ascii="Arial" w:cs="Arial" w:eastAsia="Arial" w:hAnsi="Arial"/>
          <w:sz w:val="17"/>
          <w:szCs w:val="17"/>
          <w:b w:val="1"/>
          <w:bCs w:val="1"/>
          <w:u w:val="single" w:color="auto"/>
          <w:color w:val="auto"/>
        </w:rPr>
        <w:t xml:space="preserve">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1765935</wp:posOffset>
            </wp:positionH>
            <wp:positionV relativeFrom="paragraph">
              <wp:posOffset>150495</wp:posOffset>
            </wp:positionV>
            <wp:extent cx="3724910" cy="20872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724910" cy="2087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040"/>
          </w:cols>
          <w:pgMar w:left="240" w:top="449" w:right="61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60" w:firstLine="534"/>
        <w:spacing w:after="0" w:line="247" w:lineRule="auto"/>
        <w:rPr>
          <w:sz w:val="20"/>
          <w:szCs w:val="20"/>
          <w:color w:val="auto"/>
        </w:rPr>
      </w:pPr>
      <w:r>
        <w:rPr>
          <w:rFonts w:ascii="Arial" w:cs="Arial" w:eastAsia="Arial" w:hAnsi="Arial"/>
          <w:sz w:val="17"/>
          <w:szCs w:val="17"/>
          <w:color w:val="auto"/>
        </w:rPr>
        <w:t>NGM395, a long-acting fusion protein variant of GDF15, demonstrated results similar to NGM386, but with weekly dosing, in preclinical studies conducted in multiple species. NGM395 is currently in preclinical development, and has completed three-month studies in two species with no observation of treatment-related changes in organ weight, cell morphology, neurobehavior or clinical pathology that were not attributable to excessive body weight loss.</w:t>
      </w:r>
    </w:p>
    <w:p>
      <w:pPr>
        <w:spacing w:after="0" w:line="190" w:lineRule="exact"/>
        <w:rPr>
          <w:sz w:val="20"/>
          <w:szCs w:val="20"/>
          <w:color w:val="auto"/>
        </w:rPr>
      </w:pPr>
    </w:p>
    <w:p>
      <w:pPr>
        <w:ind w:left="380" w:right="180" w:firstLine="534"/>
        <w:spacing w:after="0" w:line="247" w:lineRule="auto"/>
        <w:rPr>
          <w:sz w:val="20"/>
          <w:szCs w:val="20"/>
          <w:color w:val="auto"/>
        </w:rPr>
      </w:pPr>
      <w:r>
        <w:rPr>
          <w:rFonts w:ascii="Arial" w:cs="Arial" w:eastAsia="Arial" w:hAnsi="Arial"/>
          <w:sz w:val="17"/>
          <w:szCs w:val="17"/>
          <w:color w:val="auto"/>
        </w:rPr>
        <w:t>Merck initiated first-in-human studies of NGM386 in 2016, and completed the conduct of a Phase 1 MAD clinical trial in 2018. Preliminary data from the study indicated that NGM386 treatment for 28 days was generally well-tolerated but did not result in significant body weight loss in obese subjects. We expect to decide whether to advance NGM386 and/or NGM395 following our analysis of the results of the NGM386 Phase 1 trial.</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NGM120: An Antagonistic Antibody Binding GFRAL for the Potential Treatment of CACS</w:t>
      </w:r>
    </w:p>
    <w:p>
      <w:pPr>
        <w:spacing w:after="0" w:line="126" w:lineRule="exact"/>
        <w:rPr>
          <w:sz w:val="20"/>
          <w:szCs w:val="20"/>
          <w:color w:val="auto"/>
        </w:rPr>
      </w:pPr>
    </w:p>
    <w:p>
      <w:pPr>
        <w:ind w:left="380" w:right="260" w:firstLine="534"/>
        <w:spacing w:after="0" w:line="247" w:lineRule="auto"/>
        <w:rPr>
          <w:sz w:val="20"/>
          <w:szCs w:val="20"/>
          <w:color w:val="auto"/>
        </w:rPr>
      </w:pPr>
      <w:r>
        <w:rPr>
          <w:rFonts w:ascii="Arial" w:cs="Arial" w:eastAsia="Arial" w:hAnsi="Arial"/>
          <w:sz w:val="17"/>
          <w:szCs w:val="17"/>
          <w:color w:val="auto"/>
        </w:rPr>
        <w:t>NGM120 is a proprietary, antagonistic antibody binding GFRAL that is designed to inhibit the effects of elevated GDF15 levels in cancer patients. GDF15 is believed to contribute to uncontrolled weight loss in these patients, also known as cancer anorexia and cachexia syndrome, or CACS, and possibly to the cancer itself. NGM120 is currently in a Phase 1 trial to assess safety, tolerability and pharmacokinetics.</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CACS—Cancer Anorexia/Cachexia Syndrome</w:t>
      </w:r>
    </w:p>
    <w:p>
      <w:pPr>
        <w:spacing w:after="0" w:line="124"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CACS is a common co-morbidity of cancer and is associated with increased hospitalization and shortened survival compared to cancer patients that do not exhibit cachexia. While cachexia can occur in all types of cancer, particularly high incidence rates are observed in pancreatic, non-small cell lung and gastric cancers, at 54%, 36% and 67% of patients, respectively. Studies have shown that cancer patients that do not experience body weight loss have an improved prognosis. Current therapies targeting CACS are directed towards increasing appetite only, however, there is a lack of approved treatments that also address other aspects of the disease, including muscle mass loss and altered energy metabolism. A direct relationship has been established between GDF15 serum levels and cancer-associated weight loss in humans with certain cancers.</w:t>
      </w:r>
    </w:p>
    <w:p>
      <w:pPr>
        <w:spacing w:after="0" w:line="1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1040"/>
          </w:cols>
          <w:pgMar w:left="240" w:top="449" w:right="61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Antagonists to the GDF15/GFRAL Pathway</w:t>
      </w:r>
    </w:p>
    <w:p>
      <w:pPr>
        <w:spacing w:after="0" w:line="124"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We believe that antagonistic antibodies blocking the interaction between GFRAL and GDF15 could provide a novel approach to developing treatments for anorexia, CACS and, potentially, cancer. Mice grafted with human tumors overexpressing GDF15 became cachectic, and this weight loss was found to be reversible by treatment with monoclonal antibodies to GDF15. In addition, in a study where Lewis Lung Carcinoma cells that were engineered to express human GDF15 were injected into wild-type and GFRAL knockout mice, tumor-derived GDF15 appears to impact survival in mice in which the GFRAL signaling pathway is intact, whereas mice lacking GFRAL are resistant to the effects of elevated GDF15 levels. This indicates the potential for anti-GFRAL antibodies to improve patient survival in certain tumor types that express high levels of GDF15, in addition to preserving body mass and preventing development of CACS.</w:t>
      </w:r>
    </w:p>
    <w:p>
      <w:pPr>
        <w:spacing w:after="0" w:line="171" w:lineRule="exact"/>
        <w:rPr>
          <w:sz w:val="20"/>
          <w:szCs w:val="20"/>
          <w:color w:val="auto"/>
        </w:rPr>
      </w:pPr>
    </w:p>
    <w:p>
      <w:pPr>
        <w:ind w:left="2360"/>
        <w:spacing w:after="0"/>
        <w:rPr>
          <w:sz w:val="20"/>
          <w:szCs w:val="20"/>
          <w:color w:val="auto"/>
        </w:rPr>
      </w:pPr>
      <w:r>
        <w:rPr>
          <w:rFonts w:ascii="Arial" w:cs="Arial" w:eastAsia="Arial" w:hAnsi="Arial"/>
          <w:sz w:val="17"/>
          <w:szCs w:val="17"/>
          <w:b w:val="1"/>
          <w:bCs w:val="1"/>
          <w:u w:val="single" w:color="auto"/>
          <w:color w:val="auto"/>
        </w:rPr>
        <w:t>Impact of GDF15 on Survival in Mice Implanted with Lewis Lung Carcinoma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1898650</wp:posOffset>
            </wp:positionH>
            <wp:positionV relativeFrom="paragraph">
              <wp:posOffset>164465</wp:posOffset>
            </wp:positionV>
            <wp:extent cx="3467100" cy="19875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67100" cy="198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80" w:right="140" w:firstLine="534"/>
        <w:spacing w:after="0" w:line="245" w:lineRule="auto"/>
        <w:rPr>
          <w:sz w:val="20"/>
          <w:szCs w:val="20"/>
          <w:color w:val="auto"/>
        </w:rPr>
      </w:pPr>
      <w:r>
        <w:rPr>
          <w:rFonts w:ascii="Arial" w:cs="Arial" w:eastAsia="Arial" w:hAnsi="Arial"/>
          <w:sz w:val="17"/>
          <w:szCs w:val="17"/>
          <w:color w:val="auto"/>
        </w:rPr>
        <w:t>We believe that antibodies against GFRAL will be superior to antibodies against GDF15 because expression levels of GDF15 can rise dramatically in response to infection and other conditions involving cellular insult, meaning that large blood levels of antibodies antagonizing GDF15 will be required to achieve a therapeutic effect. By contrast, GFRAL is expressed at low levels in very specific regions of the brain stem, meaning that a relatively lower blood level of antibodies antagonizing GFRAL will be required to achieve a therapeutic effect.</w:t>
      </w:r>
    </w:p>
    <w:p>
      <w:pPr>
        <w:spacing w:after="0" w:line="194" w:lineRule="exact"/>
        <w:rPr>
          <w:sz w:val="20"/>
          <w:szCs w:val="20"/>
          <w:color w:val="auto"/>
        </w:rPr>
      </w:pPr>
    </w:p>
    <w:p>
      <w:pPr>
        <w:ind w:left="380" w:right="80" w:firstLine="534"/>
        <w:spacing w:after="0" w:line="247" w:lineRule="auto"/>
        <w:rPr>
          <w:sz w:val="20"/>
          <w:szCs w:val="20"/>
          <w:color w:val="auto"/>
        </w:rPr>
      </w:pPr>
      <w:r>
        <w:rPr>
          <w:rFonts w:ascii="Arial" w:cs="Arial" w:eastAsia="Arial" w:hAnsi="Arial"/>
          <w:sz w:val="17"/>
          <w:szCs w:val="17"/>
          <w:color w:val="auto"/>
        </w:rPr>
        <w:t>We believe we have comprehensively characterized the receptor pathway and the structure-function relationship of GDF15 together with its cognate receptor, GFRAL. This understanding facilitated large-scale hybridoma campaigns that generated antibodies targeting key epitopes of the receptor complexes. We have generated and characterized multiple antagonistic antibodies against GFRAL, and from this portfolio, we chose to advance NGM120 as our development candidate.</w:t>
      </w:r>
    </w:p>
    <w:p>
      <w:pPr>
        <w:spacing w:after="0" w:line="12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1040"/>
          </w:cols>
          <w:pgMar w:left="240" w:top="449" w:right="61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NGM120, Antagonistic Antibody Against GFRAL</w:t>
      </w:r>
    </w:p>
    <w:p>
      <w:pPr>
        <w:spacing w:after="0" w:line="124" w:lineRule="exact"/>
        <w:rPr>
          <w:sz w:val="20"/>
          <w:szCs w:val="20"/>
          <w:color w:val="auto"/>
        </w:rPr>
      </w:pPr>
    </w:p>
    <w:p>
      <w:pPr>
        <w:ind w:left="380" w:right="40" w:firstLine="534"/>
        <w:spacing w:after="0" w:line="245" w:lineRule="auto"/>
        <w:rPr>
          <w:sz w:val="20"/>
          <w:szCs w:val="20"/>
          <w:color w:val="auto"/>
        </w:rPr>
      </w:pPr>
      <w:r>
        <w:rPr>
          <w:rFonts w:ascii="Arial" w:cs="Arial" w:eastAsia="Arial" w:hAnsi="Arial"/>
          <w:sz w:val="17"/>
          <w:szCs w:val="17"/>
          <w:color w:val="auto"/>
        </w:rPr>
        <w:t>We designed NGM120 as a potent, humanized monoclonal antibody inhibitor of GFRAL with the potential for once-monthly or less frequent dosing. In numerous preclinical pharmacology models, NGM120 reverses and inhibits GDF15-mediated body weight loss and increases in energy expenditure. For example, treatment of mice with cisplatin, a chemotherapy commonly used to treat various cancers, resulted in body weight loss of approximately 15% after 30 days. However, treatment with an anti-GFRAL antibody prevented substantial body weight loss in this model,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1782445</wp:posOffset>
            </wp:positionH>
            <wp:positionV relativeFrom="paragraph">
              <wp:posOffset>140335</wp:posOffset>
            </wp:positionV>
            <wp:extent cx="3700145" cy="17462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700145" cy="174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80" w:right="280" w:firstLine="534"/>
        <w:spacing w:after="0" w:line="250" w:lineRule="auto"/>
        <w:rPr>
          <w:sz w:val="20"/>
          <w:szCs w:val="20"/>
          <w:color w:val="auto"/>
        </w:rPr>
      </w:pPr>
      <w:r>
        <w:rPr>
          <w:rFonts w:ascii="Arial" w:cs="Arial" w:eastAsia="Arial" w:hAnsi="Arial"/>
          <w:sz w:val="17"/>
          <w:szCs w:val="17"/>
          <w:color w:val="auto"/>
        </w:rPr>
        <w:t>NGM120 is in a Phase 1 clinical trial to assess safety, tolerability and pharmacokinetics. Both the SAD and MAD portions of the Phase 1 clinical trial are ongoing. In extensive preclinical testing, including three-month safety and toxicology studies in non-human primates and rats, NGM120 was well tolerated.</w:t>
      </w:r>
    </w:p>
    <w:p>
      <w:pPr>
        <w:spacing w:after="0" w:line="188" w:lineRule="exact"/>
        <w:rPr>
          <w:sz w:val="20"/>
          <w:szCs w:val="20"/>
          <w:color w:val="auto"/>
        </w:rPr>
      </w:pPr>
    </w:p>
    <w:p>
      <w:pPr>
        <w:ind w:left="380" w:right="80" w:firstLine="534"/>
        <w:spacing w:after="0" w:line="245" w:lineRule="auto"/>
        <w:rPr>
          <w:sz w:val="20"/>
          <w:szCs w:val="20"/>
          <w:color w:val="auto"/>
        </w:rPr>
      </w:pPr>
      <w:r>
        <w:rPr>
          <w:rFonts w:ascii="Arial" w:cs="Arial" w:eastAsia="Arial" w:hAnsi="Arial"/>
          <w:sz w:val="17"/>
          <w:szCs w:val="17"/>
          <w:color w:val="auto"/>
        </w:rPr>
        <w:t>Our next study of NGM120 will be in cancer patients selected for high expression levels of GDF15. We intend to conduct a multicenter, Phase 1a/1b, open-label (Cohort 1) and blinded (Cohort 2) randomized study to evaluate the safety, tolerability and pharmacokinetics, and to obtain preliminary evidence of anti-tumor and anti-CACS activity, of NGM120 in patients with select advanced solid tumors. Antagonistic antibodies targeting the GDF15 receptor pathway are not included in the Merck license to GDF15 analogs and are subject to Merck’s future option upon completion of a human proof-of-concept study.</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NGM217: A Potential Treatment for Diabetes</w:t>
      </w:r>
    </w:p>
    <w:p>
      <w:pPr>
        <w:spacing w:after="0" w:line="126" w:lineRule="exact"/>
        <w:rPr>
          <w:sz w:val="20"/>
          <w:szCs w:val="20"/>
          <w:color w:val="auto"/>
        </w:rPr>
      </w:pPr>
    </w:p>
    <w:p>
      <w:pPr>
        <w:ind w:left="380" w:firstLine="534"/>
        <w:spacing w:after="0" w:line="247" w:lineRule="auto"/>
        <w:rPr>
          <w:sz w:val="20"/>
          <w:szCs w:val="20"/>
          <w:color w:val="auto"/>
        </w:rPr>
      </w:pPr>
      <w:r>
        <w:rPr>
          <w:rFonts w:ascii="Arial" w:cs="Arial" w:eastAsia="Arial" w:hAnsi="Arial"/>
          <w:sz w:val="17"/>
          <w:szCs w:val="17"/>
          <w:color w:val="auto"/>
        </w:rPr>
        <w:t>NGM217 is a humanized monoclonal antibody against an undisclosed target that has the potential to increase the production of insulin in the pancreas of diabetics by improving effective beta cell function. This improvement is likely to lead to a substantial reduction in glycemic variability, which manifests as hyperglycemia or hypoglycemia in diabetics. We have initiated a Phase 1 clinical trial evaluating the safety and tolerability of NGM217 in patients with diabetes.</w:t>
      </w:r>
    </w:p>
    <w:p>
      <w:pPr>
        <w:spacing w:after="0" w:line="190"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Impaired beta cell function leads to the progressive failure of islet cells to secrete sufficient amounts of insulin to overcome peripheral insulin resistance, resulting in failure to maintain normal glucose homeostasis over time. The ability to increase effective beta cell function could be beneficial in three diabetes patient populations: patients with type 1 diabetes; patients with latent autoimmune diabetes in adults, or LADA; and patients with type 2 diabetes that are inadequately controlled with insulin treatment. In the United States, there are approximately 1.5 million adults with type 1 diabetes, and their beta cells produce little to no insulin. LADA is characterized by the slow, progressive autoimmune destruction of beta cells and approximately 10% of patients ages 40 to 75 in the United</w:t>
      </w:r>
    </w:p>
    <w:p>
      <w:pPr>
        <w:spacing w:after="0" w:line="13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0980"/>
          </w:cols>
          <w:pgMar w:left="240" w:top="449" w:right="67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20"/>
        <w:spacing w:after="0" w:line="244" w:lineRule="auto"/>
        <w:rPr>
          <w:sz w:val="20"/>
          <w:szCs w:val="20"/>
          <w:color w:val="auto"/>
        </w:rPr>
      </w:pPr>
      <w:r>
        <w:rPr>
          <w:rFonts w:ascii="Arial" w:cs="Arial" w:eastAsia="Arial" w:hAnsi="Arial"/>
          <w:sz w:val="17"/>
          <w:szCs w:val="17"/>
          <w:color w:val="auto"/>
        </w:rPr>
        <w:t>States with type 2 diabetes have LADA. These patients often become unresponsive to oral type 2 diabetes and GLP-1 therapies, and usually require early use of insulin in order to preserve the remaining pancreatic beta cell function. For these patients, the ability to increase beta cell function closer to onset of disease would provide an additional treatment option beyond insulin. There also exists a population of late-stage type 2 diabetics who have inadequate glycemic control despite being on intensive daily insulin treatment. These patients will ultimately progress to a point where they become non-responsive to insulin. Given the significant unmet medical need among these diabetes patient populations, we believe that NGM217 has the potential to provide a desirable treatment alternative that increases the effective function of beta islet cells while slowing the rate of disease progression.</w:t>
      </w:r>
    </w:p>
    <w:p>
      <w:pPr>
        <w:spacing w:after="0" w:line="280"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Preclinical Studies and Ongoing Phase 1 Clinical Trial</w:t>
      </w:r>
    </w:p>
    <w:p>
      <w:pPr>
        <w:spacing w:after="0" w:line="124" w:lineRule="exact"/>
        <w:rPr>
          <w:sz w:val="20"/>
          <w:szCs w:val="20"/>
          <w:color w:val="auto"/>
        </w:rPr>
      </w:pPr>
    </w:p>
    <w:p>
      <w:pPr>
        <w:ind w:left="380" w:right="60" w:firstLine="534"/>
        <w:spacing w:after="0" w:line="244" w:lineRule="auto"/>
        <w:rPr>
          <w:sz w:val="20"/>
          <w:szCs w:val="20"/>
          <w:color w:val="auto"/>
        </w:rPr>
      </w:pPr>
      <w:r>
        <w:rPr>
          <w:rFonts w:ascii="Arial" w:cs="Arial" w:eastAsia="Arial" w:hAnsi="Arial"/>
          <w:sz w:val="17"/>
          <w:szCs w:val="17"/>
          <w:color w:val="auto"/>
        </w:rPr>
        <w:t>Preclinical studies assessing the safety of monthly injections of NGM217 demonstrated desirable pharmacokinetics. NGM217 was well tolerated at doses that substantially exceeded the doses to be tested in humans. We have commenced a Phase 1 clinical trial to obtain safety and tolerability data, including rate of hypoglycemia, as well as to select the proper dose for future clinical studies. Thereafter, we plan to commence a Phase 1b/2a proof-of-concept clinical trial in 2020 that investigates the ability of NGM217 to increase stimulated C-peptide, a marker of insulin production, as well as to reduce insulin requirements and improve glycemic control with no worsening of hypoglycemia.</w:t>
      </w:r>
    </w:p>
    <w:p>
      <w:pPr>
        <w:spacing w:after="0" w:line="200" w:lineRule="exact"/>
        <w:rPr>
          <w:sz w:val="20"/>
          <w:szCs w:val="20"/>
          <w:color w:val="auto"/>
        </w:rPr>
      </w:pP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NGM621: A Potential Treatment for Dry AMD</w:t>
      </w:r>
    </w:p>
    <w:p>
      <w:pPr>
        <w:spacing w:after="0" w:line="126"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NGM621 is a humanized monoclonal antibody against an undisclosed target that has supportive human genetics data to suggest that inhibition of this pathway can effectively slow the progression of vision loss in dry AMD. AMD remains the leading cause of vision loss and blindness in people 65 years of age and over in the United States. Prevalence of AMD increases with age, and it is estimated that approximately 3 million people 40 years of age and older will be affected by AMD in the United States by 2020. AMD is a gradually progressive disease that involves the damage and degeneration of cells under the retina and, in the advanced stages, patients can develop either or both of the wet and dry form of AMD. Geographic atrophy, or GA, is an advanced form of dry AMD characterized by deposits under the retina and damage and dysfunction of retinal cells, resulting in single or multiple regions that become impaired in the central area of the retina called the macula. These patches of GA gradually enlarge to cause permanent loss of central vision. GA is prevalent in about 1 million people in the United States and over 5 million people worldwide in 2017 and occurs bilaterally, or in both eyes, in approximately 50% of patients within seven years of diagnosis.</w:t>
      </w:r>
    </w:p>
    <w:p>
      <w:pPr>
        <w:spacing w:after="0" w:line="195" w:lineRule="exact"/>
        <w:rPr>
          <w:sz w:val="20"/>
          <w:szCs w:val="20"/>
          <w:color w:val="auto"/>
        </w:rPr>
      </w:pPr>
    </w:p>
    <w:p>
      <w:pPr>
        <w:ind w:left="380" w:right="40" w:firstLine="534"/>
        <w:spacing w:after="0" w:line="243" w:lineRule="auto"/>
        <w:rPr>
          <w:sz w:val="20"/>
          <w:szCs w:val="20"/>
          <w:color w:val="auto"/>
        </w:rPr>
      </w:pPr>
      <w:r>
        <w:rPr>
          <w:rFonts w:ascii="Arial" w:cs="Arial" w:eastAsia="Arial" w:hAnsi="Arial"/>
          <w:sz w:val="17"/>
          <w:szCs w:val="17"/>
          <w:color w:val="auto"/>
        </w:rPr>
        <w:t>While wet AMD is treated with anti -vascular endothelial growth factor, or anti-VEGF, therapeutics, there are currently no approved treatments for dry AMD and GA. Multiple modalities and classes of therapies are under investigation for GA, including APL-2, which is being developed by Apellis and recently entered Phase 3 clinical trials, and Zimura, which is in Phase 2b clinical trials and being developed by Ophthotech. In 2017, Roche announced that lampalizumab failed to meet the primary endpoint in two Phase 3 trials in GA and, to date, no investigative treatment for GA has shown efficacy in Phase 3. Both APL-2 and Zimura are being developed as intravitreal injections that are administered once monthly or once every two months by retinal specialists, consistent with the current practice for wet AMD treatment. Given the significant unmet medical need and the importance of dosing convenience for GA patients, we believe that NGM621 has the potential to provide a desirable treatment option with improved efficacy with respect to slowing the rate of disease progression and less frequent dosing.</w:t>
      </w:r>
    </w:p>
    <w:p>
      <w:pPr>
        <w:spacing w:after="0" w:line="13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1000"/>
          </w:cols>
          <w:pgMar w:left="240" w:top="449" w:right="65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Preclinical Studies and Planned Phase 1 Clinical Trial</w:t>
      </w:r>
    </w:p>
    <w:p>
      <w:pPr>
        <w:spacing w:after="0" w:line="124" w:lineRule="exact"/>
        <w:rPr>
          <w:sz w:val="20"/>
          <w:szCs w:val="20"/>
          <w:color w:val="auto"/>
        </w:rPr>
      </w:pPr>
    </w:p>
    <w:p>
      <w:pPr>
        <w:ind w:left="380" w:firstLine="534"/>
        <w:spacing w:after="0" w:line="247" w:lineRule="auto"/>
        <w:rPr>
          <w:sz w:val="20"/>
          <w:szCs w:val="20"/>
          <w:color w:val="auto"/>
        </w:rPr>
      </w:pPr>
      <w:r>
        <w:rPr>
          <w:rFonts w:ascii="Arial" w:cs="Arial" w:eastAsia="Arial" w:hAnsi="Arial"/>
          <w:sz w:val="17"/>
          <w:szCs w:val="17"/>
          <w:color w:val="auto"/>
        </w:rPr>
        <w:t>We expect to complete preclinical studies in cynomolgus monkeys to assess the safety of NGM621 intravitreal injections in the first half of 2019 to enable the planned Phase 1 and future clinical trials. Following submission of an IND to the FDA in the first half of 2019, we plan to initiate a Phase 1 SAD clinical trial in the second half of 2019 to evaluate the safety, tolerability and pharmacokinetic profile of single doses of intravitreal injections of NGM621 in GA patients.</w:t>
      </w:r>
    </w:p>
    <w:p>
      <w:pPr>
        <w:spacing w:after="0" w:line="273"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Our Collaboration with Merck</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Overview and Benefits</w:t>
      </w:r>
    </w:p>
    <w:p>
      <w:pPr>
        <w:spacing w:after="0" w:line="126" w:lineRule="exact"/>
        <w:rPr>
          <w:sz w:val="20"/>
          <w:szCs w:val="20"/>
          <w:color w:val="auto"/>
        </w:rPr>
      </w:pPr>
    </w:p>
    <w:p>
      <w:pPr>
        <w:ind w:left="380" w:right="40" w:firstLine="534"/>
        <w:spacing w:after="0" w:line="243" w:lineRule="auto"/>
        <w:rPr>
          <w:sz w:val="20"/>
          <w:szCs w:val="20"/>
          <w:color w:val="auto"/>
        </w:rPr>
      </w:pPr>
      <w:r>
        <w:rPr>
          <w:rFonts w:ascii="Arial" w:cs="Arial" w:eastAsia="Arial" w:hAnsi="Arial"/>
          <w:sz w:val="17"/>
          <w:szCs w:val="17"/>
          <w:color w:val="auto"/>
        </w:rPr>
        <w:t>In 2015, we entered into a broad, strategic collaboration with Merck in order to advance novel biologic therapeutics for the treatment of highly prevalent diseases with significant unmet medical needs. The collaboration is complementary to our drug development model, and is designed to follow certain approaches used in historically successful collaboration agreements between large pharmaceutical companies and emerging biotechnology companies. The collaboration has provided us with the financial support to broaden and accelerate our existing research efforts, access to mid- and late-stage development expertise, in the future, the resources to enable large global trials and the global commercial and distribution capabilities that we believe our products will require. Importantly, this collaboration structure preserves our research independence and allows us to retain meaningful economic rights in our product candidates.</w:t>
      </w:r>
    </w:p>
    <w:p>
      <w:pPr>
        <w:spacing w:after="0" w:line="395"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The collaboration includes an exclusive worldwide license to our GDF15 receptor agonist program. On March 1, 2019, Merck notified us of its intent to terminate its license to the program, effective May 31, 2019. Under the agreement, we also granted Merck options to take exclusive, worldwide licenses, on a program-by-program basis, for the programs in our research and development pipeline. Merck generally has a one-time right to exercise its option at the point at which a program completes a human proof-of-concept trial. In November 2018, Merck exercised its option to license our NGM313 program. On March 15, 2019, Merck exercised its option to extend our research collaboration, and thereby preserve its option to license programs in our research and development pipeline, through March 17, 2022. Merck has the right to extend the research collaboration again through March 17, 2024, and is required to inform us of its intent to extend one year prior to the expiration of the term. In addition, we excluded the NGM282 program from the agreement and it remains wholly owned and controlled by us.</w:t>
      </w:r>
    </w:p>
    <w:p>
      <w:pPr>
        <w:spacing w:after="0" w:line="19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strategic value of our agreement with Merck can be summarized as follows:</w:t>
      </w:r>
    </w:p>
    <w:p>
      <w:pPr>
        <w:spacing w:after="0" w:line="99" w:lineRule="exact"/>
        <w:rPr>
          <w:sz w:val="20"/>
          <w:szCs w:val="20"/>
          <w:color w:val="auto"/>
        </w:rPr>
      </w:pPr>
    </w:p>
    <w:p>
      <w:pPr>
        <w:ind w:left="1100" w:right="120" w:hanging="205"/>
        <w:spacing w:after="0" w:line="245" w:lineRule="auto"/>
        <w:tabs>
          <w:tab w:leader="none" w:pos="1100" w:val="left"/>
        </w:tabs>
        <w:numPr>
          <w:ilvl w:val="0"/>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Financial Support: </w:t>
      </w:r>
      <w:r>
        <w:rPr>
          <w:rFonts w:ascii="Arial" w:cs="Arial" w:eastAsia="Arial" w:hAnsi="Arial"/>
          <w:sz w:val="17"/>
          <w:szCs w:val="17"/>
          <w:color w:val="auto"/>
        </w:rPr>
        <w:t>Under the terms of the agreement, Merck paid us an upfront cash licensing fee of $94.0 million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purchased $106.0 million of our Series E convertible preferred stock in 2015. In addition to the upfront cash component, Merck initially committed to provide us research and development reimbursement of up to $50.0 million per year for at least five years. If our research and development expenses exceed $50.0 million in a given year and we are conducting IND-enabling or later-staged activities, Merck is required to elect either to reimburse up to an additional $25.0 million for use in funding IND-enabling or later-staged activities or to provide us with the equivalent value in in-kind services for preclinical and clinical development activities. The total Merck reimbursement for our research and development activities could therefore reach $75.0 million per year through the first five years of the research phase. In connection with Merck’s exercise of its option to extend our research collaboration in March 2019, Merck agreed to continue to fund our research and development efforts at the same levels during the two-year extension period and, in lieu of a $20.0 million extension fee payable to us, during such two year extension period Merck will make additional payments totaling up to $20.0 million in support of our research and development activities across</w:t>
      </w:r>
    </w:p>
    <w:p>
      <w:pPr>
        <w:spacing w:after="0" w:line="13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1040"/>
          </w:cols>
          <w:pgMar w:left="240" w:top="449" w:right="61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1120"/>
        <w:spacing w:after="0" w:line="250" w:lineRule="auto"/>
        <w:rPr>
          <w:sz w:val="20"/>
          <w:szCs w:val="20"/>
          <w:color w:val="auto"/>
        </w:rPr>
      </w:pPr>
      <w:r>
        <w:rPr>
          <w:rFonts w:ascii="Arial" w:cs="Arial" w:eastAsia="Arial" w:hAnsi="Arial"/>
          <w:sz w:val="17"/>
          <w:szCs w:val="17"/>
          <w:color w:val="auto"/>
        </w:rPr>
        <w:t>2021 and the first quarter of 2022. Merck paid us a fee of $20.0 million in December 2018 in connection with the exercise of its license option for NGM313. From inception of the collaboration through December 31, 2018, Merck has paid us $222.4 million of research and development reimbursement.</w:t>
      </w:r>
    </w:p>
    <w:p>
      <w:pPr>
        <w:spacing w:after="0" w:line="76" w:lineRule="exact"/>
        <w:rPr>
          <w:sz w:val="20"/>
          <w:szCs w:val="20"/>
          <w:color w:val="auto"/>
        </w:rPr>
      </w:pPr>
    </w:p>
    <w:p>
      <w:pPr>
        <w:ind w:left="1100" w:right="60" w:hanging="205"/>
        <w:spacing w:after="0" w:line="246" w:lineRule="auto"/>
        <w:tabs>
          <w:tab w:leader="none" w:pos="1100" w:val="left"/>
        </w:tabs>
        <w:numPr>
          <w:ilvl w:val="0"/>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Economic Opportunity: </w:t>
      </w:r>
      <w:r>
        <w:rPr>
          <w:rFonts w:ascii="Arial" w:cs="Arial" w:eastAsia="Arial" w:hAnsi="Arial"/>
          <w:sz w:val="17"/>
          <w:szCs w:val="17"/>
          <w:color w:val="auto"/>
        </w:rPr>
        <w:t>For programs that Merck licenses, we retain an option to participate in the development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commercialization of the drug up to a 50% cost and profit share, which includes an option to co-detail the product alongside Merck in the United States. If we elect to participate in the cost and profit share, subject to certain limitations and in addition to the committed annual funding, Merck has agreed to advance us a portion of our share of the overall development costs, which it will recoup from our share of any profit ultimately resulting from sales of the approved drug or, if unsuccessful, other compounds that reach commercialization and are subject to a cost and profit share. If we decide not to participate in the cost and profit share, Merck will owe us milestone payments and royalties as a percentage of global net sales in the low double digits to mid-teens upon commercialization. Our option to participate in the late-stage development and commercialization of licensed programs, such as NGM313, has not yet been triggered.</w:t>
      </w:r>
    </w:p>
    <w:p>
      <w:pPr>
        <w:spacing w:after="0" w:line="82" w:lineRule="exact"/>
        <w:rPr>
          <w:rFonts w:ascii="Arial" w:cs="Arial" w:eastAsia="Arial" w:hAnsi="Arial"/>
          <w:sz w:val="17"/>
          <w:szCs w:val="17"/>
          <w:color w:val="auto"/>
        </w:rPr>
      </w:pPr>
    </w:p>
    <w:p>
      <w:pPr>
        <w:ind w:left="1100" w:right="260" w:hanging="205"/>
        <w:spacing w:after="0" w:line="255" w:lineRule="auto"/>
        <w:tabs>
          <w:tab w:leader="none" w:pos="1100" w:val="left"/>
        </w:tabs>
        <w:numPr>
          <w:ilvl w:val="0"/>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 Sharing of Expertise: </w:t>
      </w:r>
      <w:r>
        <w:rPr>
          <w:rFonts w:ascii="Arial" w:cs="Arial" w:eastAsia="Arial" w:hAnsi="Arial"/>
          <w:sz w:val="17"/>
          <w:szCs w:val="17"/>
          <w:color w:val="auto"/>
        </w:rPr>
        <w:t>The collaboration provides Merck access to the deep expertise of our team</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via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options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programs emerging from our novel drug discovery approach, while it provides us with a partner experienced in running large, global, late-stage trials focused on population safety and cardiovascular outcome studies. Further, the agreement provides us with access to Merck’s substantial commercial capabilities.</w:t>
      </w:r>
    </w:p>
    <w:p>
      <w:pPr>
        <w:spacing w:after="0" w:line="72" w:lineRule="exact"/>
        <w:rPr>
          <w:rFonts w:ascii="Arial" w:cs="Arial" w:eastAsia="Arial" w:hAnsi="Arial"/>
          <w:sz w:val="17"/>
          <w:szCs w:val="17"/>
          <w:color w:val="auto"/>
        </w:rPr>
      </w:pPr>
    </w:p>
    <w:p>
      <w:pPr>
        <w:ind w:left="1100" w:right="100" w:hanging="205"/>
        <w:spacing w:after="0" w:line="251" w:lineRule="auto"/>
        <w:tabs>
          <w:tab w:leader="none" w:pos="1100" w:val="left"/>
        </w:tabs>
        <w:numPr>
          <w:ilvl w:val="0"/>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Independence and Control Provisions: </w:t>
      </w:r>
      <w:r>
        <w:rPr>
          <w:rFonts w:ascii="Arial" w:cs="Arial" w:eastAsia="Arial" w:hAnsi="Arial"/>
          <w:sz w:val="17"/>
          <w:szCs w:val="17"/>
          <w:color w:val="auto"/>
        </w:rPr>
        <w:t>We maintain control over the direction and execution of our research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program through human proof-of-concept testing, allowing our research team the freedom to seek the most promising candidates and flexibility to terminate or de-prioritize projects. In addition, we excluded NGM282 from the Merck collaboration to retain an independent clinical program and as a means to potentially enable full integration of our capabilities to position us for long-term success.</w:t>
      </w:r>
    </w:p>
    <w:p>
      <w:pPr>
        <w:spacing w:after="0" w:line="189" w:lineRule="exact"/>
        <w:rPr>
          <w:sz w:val="20"/>
          <w:szCs w:val="20"/>
          <w:color w:val="auto"/>
        </w:rPr>
      </w:pPr>
    </w:p>
    <w:p>
      <w:pPr>
        <w:ind w:left="380" w:right="400" w:firstLine="534"/>
        <w:spacing w:after="0" w:line="247" w:lineRule="auto"/>
        <w:rPr>
          <w:sz w:val="20"/>
          <w:szCs w:val="20"/>
          <w:color w:val="auto"/>
        </w:rPr>
      </w:pPr>
      <w:r>
        <w:rPr>
          <w:rFonts w:ascii="Arial" w:cs="Arial" w:eastAsia="Arial" w:hAnsi="Arial"/>
          <w:sz w:val="17"/>
          <w:szCs w:val="17"/>
          <w:color w:val="auto"/>
        </w:rPr>
        <w:t>We believe our pipeline of therapies for the treatment of major diseases, like type 2 diabetes, obesity and NASH, is unusual amongst emerging biopharmaceutical companies, the uniqueness of which is further evidenced by the broad support provided by our collaboration with Merck. This collaboration provides us with a competitive advantage by enabling us to advance a portfolio of drug candidates in the cardio-metabolic area while still retaining significant economic ownership of the programs.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Detailed Description of the Merck Collaboration</w:t>
      </w:r>
    </w:p>
    <w:p>
      <w:pPr>
        <w:spacing w:after="0" w:line="126" w:lineRule="exact"/>
        <w:rPr>
          <w:sz w:val="20"/>
          <w:szCs w:val="20"/>
          <w:color w:val="auto"/>
        </w:rPr>
      </w:pPr>
    </w:p>
    <w:p>
      <w:pPr>
        <w:ind w:left="380" w:right="20" w:firstLine="534"/>
        <w:spacing w:after="0" w:line="243" w:lineRule="auto"/>
        <w:rPr>
          <w:sz w:val="20"/>
          <w:szCs w:val="20"/>
          <w:color w:val="auto"/>
        </w:rPr>
      </w:pPr>
      <w:r>
        <w:rPr>
          <w:rFonts w:ascii="Arial" w:cs="Arial" w:eastAsia="Arial" w:hAnsi="Arial"/>
          <w:sz w:val="17"/>
          <w:szCs w:val="17"/>
          <w:color w:val="auto"/>
        </w:rPr>
        <w:t>In 2015, we entered into a research collaboration, product development and license agreement with Merck, covering the discovery, development and commercialization of novel therapies across a range of therapeutic areas. In March 2019, Merck exercised its option to extend the collaboration for two additional years, from March 2020 to March 2022. The collaboration included an exclusive worldwide license to our GDF15 program, comprising NGM386 and NGM395 and other GDF15 analogs. On March 1, 2019, Merck notified us of its intent to terminate its license to the program, effective May 31, 2019. Upon termination of the license, we will regain full rights to the GDF15 receptor agonist program, which includes NGM386 and NGM395. These compounds are being evaluated for the treatment of obesity. The collaboration also includes a broad, multi-year drug discovery and early development program financially supported by Merck but scientifically directed by us with input from Merck. For those compounds resulting from this research and development program that progress through proof-of-concept studies, Merck has an exclusive option, at a cost of $20.0 million for each compound, to obtain an exclusive, worldwide license. If Merck exercises its option with respect to such</w:t>
      </w:r>
    </w:p>
    <w:p>
      <w:pPr>
        <w:spacing w:after="0" w:line="129"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1020"/>
          </w:cols>
          <w:pgMar w:left="240" w:top="449" w:right="63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40"/>
        <w:spacing w:after="0" w:line="243" w:lineRule="auto"/>
        <w:rPr>
          <w:sz w:val="20"/>
          <w:szCs w:val="20"/>
          <w:color w:val="auto"/>
        </w:rPr>
      </w:pPr>
      <w:r>
        <w:rPr>
          <w:rFonts w:ascii="Arial" w:cs="Arial" w:eastAsia="Arial" w:hAnsi="Arial"/>
          <w:sz w:val="17"/>
          <w:szCs w:val="17"/>
          <w:color w:val="auto"/>
        </w:rPr>
        <w:t>a compound, we in turn have the right, at the start of the first Phase 3 clinical trial for that compound, to elect to participate in a worldwide cost and profit sharing arrangement with Merck, as well as the option to co-detail the compound in the United States, or we can elect instead to receive milestones and royalties from Merck based on its further development and commercialization of the compound. If we elect to participate in the cost and profit sharing arrangement, subject to certain limitations, Merck will provide us financial assistance in the form of advances of our share of the overall development costs, which it will recoup from our share of any profit ultimately resulting from sales of the compound or, if unsuccessful, other compounds that reach such stage. If the Company does not opt in to the cost and profit sharing option, then the Company is eligible to receive milestone payments upon the achievement of specific clinical development or regulatory events with respect to the licensed compound indications in the United States, the European Union and Japan of up to an aggregate of $449.0 million.</w:t>
      </w:r>
    </w:p>
    <w:p>
      <w:pPr>
        <w:spacing w:after="0" w:line="200" w:lineRule="exact"/>
        <w:rPr>
          <w:sz w:val="20"/>
          <w:szCs w:val="20"/>
          <w:color w:val="auto"/>
        </w:rPr>
      </w:pPr>
    </w:p>
    <w:p>
      <w:pPr>
        <w:spacing w:after="0" w:line="281"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Research and Early Development Program</w:t>
      </w:r>
    </w:p>
    <w:p>
      <w:pPr>
        <w:spacing w:after="0" w:line="124" w:lineRule="exact"/>
        <w:rPr>
          <w:sz w:val="20"/>
          <w:szCs w:val="20"/>
          <w:color w:val="auto"/>
        </w:rPr>
      </w:pPr>
    </w:p>
    <w:p>
      <w:pPr>
        <w:ind w:left="380" w:right="80" w:firstLine="534"/>
        <w:spacing w:after="0" w:line="243" w:lineRule="auto"/>
        <w:rPr>
          <w:sz w:val="20"/>
          <w:szCs w:val="20"/>
          <w:color w:val="auto"/>
        </w:rPr>
      </w:pPr>
      <w:r>
        <w:rPr>
          <w:rFonts w:ascii="Arial" w:cs="Arial" w:eastAsia="Arial" w:hAnsi="Arial"/>
          <w:sz w:val="17"/>
          <w:szCs w:val="17"/>
          <w:color w:val="auto"/>
        </w:rPr>
        <w:t>Under the agreement, we are conducting an extensive research and early development program, the goal of which is the identification, research and development, through human proof-of-concept studies, of multiple product candidates for various therapeutic areas. Included in this program are all NGM research and development programs that existed when we entered into the agreement with Merck, with the exception of the following: NGM282, any other compounds that target FGFR4 and inhibit CYP7A1 expression (including variants or derivatives of FGF19) and any compounds that are covered by or within the scope of third party license or option rights. We determine the scientific direction and areas of therapeutic interest, with input from Merck, and we are primarily responsible for the conduct of all research, preclinical and early clinical development activities, through human proof of concept. We make the final determinations as to which compounds to advance into and through initial clinical studies, which to progress into proof-of-concept studies, and the design of any proof-of-concept studies, with input from Merck through various governance committees.</w:t>
      </w:r>
    </w:p>
    <w:p>
      <w:pPr>
        <w:spacing w:after="0" w:line="196" w:lineRule="exact"/>
        <w:rPr>
          <w:sz w:val="20"/>
          <w:szCs w:val="20"/>
          <w:color w:val="auto"/>
        </w:rPr>
      </w:pPr>
    </w:p>
    <w:p>
      <w:pPr>
        <w:jc w:val="both"/>
        <w:ind w:left="380" w:right="300" w:firstLine="534"/>
        <w:spacing w:after="0" w:line="250" w:lineRule="auto"/>
        <w:rPr>
          <w:sz w:val="20"/>
          <w:szCs w:val="20"/>
          <w:color w:val="auto"/>
        </w:rPr>
      </w:pPr>
      <w:r>
        <w:rPr>
          <w:rFonts w:ascii="Arial" w:cs="Arial" w:eastAsia="Arial" w:hAnsi="Arial"/>
          <w:sz w:val="17"/>
          <w:szCs w:val="17"/>
          <w:color w:val="auto"/>
        </w:rPr>
        <w:t>The research and early development program has an initial term of five years, until March 17, 2020. On March 15, 2019, Merck exercised its option to extend the collaboration through March 17, 2022, and has the option to extend it again until March 17, 2024. We refer to this five, seven or nine-year period as the research phase of the collaboration.</w:t>
      </w:r>
    </w:p>
    <w:p>
      <w:pPr>
        <w:spacing w:after="0" w:line="188" w:lineRule="exact"/>
        <w:rPr>
          <w:sz w:val="20"/>
          <w:szCs w:val="20"/>
          <w:color w:val="auto"/>
        </w:rPr>
      </w:pPr>
    </w:p>
    <w:p>
      <w:pPr>
        <w:ind w:left="380" w:firstLine="534"/>
        <w:spacing w:after="0" w:line="242" w:lineRule="auto"/>
        <w:rPr>
          <w:sz w:val="20"/>
          <w:szCs w:val="20"/>
          <w:color w:val="auto"/>
        </w:rPr>
      </w:pPr>
      <w:r>
        <w:rPr>
          <w:rFonts w:ascii="Arial" w:cs="Arial" w:eastAsia="Arial" w:hAnsi="Arial"/>
          <w:sz w:val="17"/>
          <w:szCs w:val="17"/>
          <w:color w:val="auto"/>
        </w:rPr>
        <w:t>Under the agreement, Merck reimburses the internal and external costs of our research and early development activities in an amount up to $ 50.0 million per year during the initial five-year term, based on an estimated annual budget. If we exceed this budget in a particular year, and if the program is such that we are performing IND-enabling studies at that time, Merck is required to elect either to reimburse up to an additional $25.0 million for use in funding IND-enabling or later-staged activities or to provide us with the equivalent value in in-kind services for preclinical and clinical development activities. The total Merck reimbursement for our research and development activities could therefore reach $75 million per year through the first five years of the research phase. In connection with Merck’s exercise of its option to extend our research collaboration in March 2019, Merck agreed to continue to fund our research and development efforts at the same levels during the two year extension period and, in lieu of a $20.0 million extension fee payable to us, during such two-year extension period Merck will make additional payments totaling up to $20.0 million in support of our research and development activities across 2021 and the first quarter of 2022. From inception of the collaboration through December 31, 2018, Merck has paid us $222.4 million of research and development reimbursement. If Merck elects to extend the research phase for an additional two years, the level of funding that Merck will provide to us during such extension will be negotiated at the time of the extension, subject to certain minimum and maximum funding limits based on a percentage of the then-existing funding. With two exceptions, Merck may not terminate its annual funding of the research and early development program prior to the end of the research phase of the collaboration. Those two exceptions are: (i) if we</w:t>
      </w:r>
    </w:p>
    <w:p>
      <w:pPr>
        <w:spacing w:after="0" w:line="33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1060"/>
          </w:cols>
          <w:pgMar w:left="240" w:top="449" w:right="59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460"/>
        <w:spacing w:after="0" w:line="258" w:lineRule="auto"/>
        <w:rPr>
          <w:sz w:val="20"/>
          <w:szCs w:val="20"/>
          <w:color w:val="auto"/>
        </w:rPr>
      </w:pPr>
      <w:r>
        <w:rPr>
          <w:rFonts w:ascii="Arial" w:cs="Arial" w:eastAsia="Arial" w:hAnsi="Arial"/>
          <w:sz w:val="17"/>
          <w:szCs w:val="17"/>
          <w:color w:val="auto"/>
        </w:rPr>
        <w:t>are acquired by a third party; or (ii) if we are in material uncured breach of our obligations under the research and early development program.</w:t>
      </w:r>
    </w:p>
    <w:p>
      <w:pPr>
        <w:spacing w:after="0" w:line="182" w:lineRule="exact"/>
        <w:rPr>
          <w:sz w:val="20"/>
          <w:szCs w:val="20"/>
          <w:color w:val="auto"/>
        </w:rPr>
      </w:pPr>
    </w:p>
    <w:p>
      <w:pPr>
        <w:ind w:left="380" w:firstLine="534"/>
        <w:spacing w:after="0" w:line="247" w:lineRule="auto"/>
        <w:rPr>
          <w:sz w:val="20"/>
          <w:szCs w:val="20"/>
          <w:color w:val="auto"/>
        </w:rPr>
      </w:pPr>
      <w:r>
        <w:rPr>
          <w:rFonts w:ascii="Arial" w:cs="Arial" w:eastAsia="Arial" w:hAnsi="Arial"/>
          <w:sz w:val="17"/>
          <w:szCs w:val="17"/>
          <w:color w:val="auto"/>
        </w:rPr>
        <w:t>At the end of the research phase, Merck has the right to either require us to continue to conduct research and development activities with respect to certain of the then-existing programs for up to three years, which we call the tail period, by agreeing to pay all our internal and external costs for related work, or to take over such selected programs and conduct such research and development activities itself, at its own cost.</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Merck Option to License NGM Programs</w:t>
      </w:r>
    </w:p>
    <w:p>
      <w:pPr>
        <w:spacing w:after="0" w:line="124" w:lineRule="exact"/>
        <w:rPr>
          <w:sz w:val="20"/>
          <w:szCs w:val="20"/>
          <w:color w:val="auto"/>
        </w:rPr>
      </w:pPr>
    </w:p>
    <w:p>
      <w:pPr>
        <w:ind w:left="380" w:right="20" w:firstLine="534"/>
        <w:spacing w:after="0" w:line="244" w:lineRule="auto"/>
        <w:rPr>
          <w:sz w:val="20"/>
          <w:szCs w:val="20"/>
          <w:color w:val="auto"/>
        </w:rPr>
      </w:pPr>
      <w:r>
        <w:rPr>
          <w:rFonts w:ascii="Arial" w:cs="Arial" w:eastAsia="Arial" w:hAnsi="Arial"/>
          <w:sz w:val="17"/>
          <w:szCs w:val="17"/>
          <w:color w:val="auto"/>
        </w:rPr>
        <w:t>During the research phase, or during the tail period, if there is one, following completion of a proof-of-concept study for a particular compound, regardless of the results of such study, Merck has the one-time option to obtain an exclusive, worldwide license, on specified terms, to that compound, as well as to all other molecules that are directed against the same target and that result in the same effect on such target, which we refer to as an Optioned Program. If Merck exercises its license option, Merck will be responsible, at its own cost, for the further development and any commercialization activities for compounds within that Optioned Program, subject to our options to cost and profit share worldwide, and to co-detail those compounds in the United States, as further described below.</w:t>
      </w:r>
    </w:p>
    <w:p>
      <w:pPr>
        <w:spacing w:after="0" w:line="196" w:lineRule="exact"/>
        <w:rPr>
          <w:sz w:val="20"/>
          <w:szCs w:val="20"/>
          <w:color w:val="auto"/>
        </w:rPr>
      </w:pPr>
    </w:p>
    <w:p>
      <w:pPr>
        <w:ind w:left="380" w:right="100" w:firstLine="534"/>
        <w:spacing w:after="0" w:line="243" w:lineRule="auto"/>
        <w:rPr>
          <w:sz w:val="20"/>
          <w:szCs w:val="20"/>
          <w:color w:val="auto"/>
        </w:rPr>
      </w:pPr>
      <w:r>
        <w:rPr>
          <w:rFonts w:ascii="Arial" w:cs="Arial" w:eastAsia="Arial" w:hAnsi="Arial"/>
          <w:sz w:val="17"/>
          <w:szCs w:val="17"/>
          <w:color w:val="auto"/>
        </w:rPr>
        <w:t>If Merck does not exercise its license option with respect to a particular compound within a limited period of time, we will retain all rights to research, develop and commercialize that compound and its related molecules on a worldwide basis, either alone or in partnership with a third party, subject to the payment to Merck of certain royalties on any commercial sales of any resulting products. If, however, Merck does not exercise its license option because it determined further development of the compound was not warranted for technical, safety or efficacy reasons, and if later in the research phase we again complete a proof-of-concept study with the compound or a related compound, Merck’s option rights would nonetheless apply to the compound for a limited period of time. Unless Merck has elected to conduct research and development activities itself, we also retain all rights to programs that have not completed proof-of-concept studies by the end of the research phase, or the tail period, if there is one.</w:t>
      </w:r>
    </w:p>
    <w:p>
      <w:pPr>
        <w:spacing w:after="0" w:line="28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NGM Option to Elect Cost and Profit Share and Merck Financial Assistance</w:t>
      </w:r>
    </w:p>
    <w:p>
      <w:pPr>
        <w:spacing w:after="0" w:line="124" w:lineRule="exact"/>
        <w:rPr>
          <w:sz w:val="20"/>
          <w:szCs w:val="20"/>
          <w:color w:val="auto"/>
        </w:rPr>
      </w:pPr>
    </w:p>
    <w:p>
      <w:pPr>
        <w:ind w:left="380" w:firstLine="534"/>
        <w:spacing w:after="0" w:line="242" w:lineRule="auto"/>
        <w:rPr>
          <w:sz w:val="20"/>
          <w:szCs w:val="20"/>
          <w:color w:val="auto"/>
        </w:rPr>
      </w:pPr>
      <w:r>
        <w:rPr>
          <w:rFonts w:ascii="Arial" w:cs="Arial" w:eastAsia="Arial" w:hAnsi="Arial"/>
          <w:sz w:val="17"/>
          <w:szCs w:val="17"/>
          <w:color w:val="auto"/>
        </w:rPr>
        <w:t>If Merck exercises its license option, then at the point where it has advanced the licensed compound to its first Phase 3 clinical trial, we have the option for a limited period of time to participate in a cost and profit sharing arrangement with Merck on that compound. Where we exercise such an option, we call such compounds NGM Optioned Products. As part of our election to exercise our option to cost and profit share, we also select the percentage share—up to 50%—that we desire to fund of the total global costs of developing and, if approved, commercializing that NGM Optioned Product. The percentage of any profits we will receive from sales of the NGM Optioned Product will be the same as the percentage share we elect to contribute to funding costs. Our right to participate in cost and profit sharing under the agreement is subject to the following limitation: if at the point in time when we are exercising our option for a licensed compound the actual costs we have incurred across all NGM Optioned Products, plus the prospective costs allocated to us across all NGM Optioned Products, plus the costs we are electing to incur if we were to exercise our option for the compound, reaches $1.0 billion (if the research phase ends in 2020), $1.4 billion (if the research phase is extended to 2022) or $1.8 billion (if the research phase is extended to 2024), then the Company will not be able to exercise its option on any further licensed compounds that Merck takes forward.</w:t>
      </w:r>
    </w:p>
    <w:p>
      <w:pPr>
        <w:spacing w:after="0" w:line="13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1020"/>
          </w:cols>
          <w:pgMar w:left="240" w:top="449" w:right="639"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60" w:firstLine="534"/>
        <w:spacing w:after="0" w:line="243" w:lineRule="auto"/>
        <w:rPr>
          <w:sz w:val="20"/>
          <w:szCs w:val="20"/>
          <w:color w:val="auto"/>
        </w:rPr>
      </w:pPr>
      <w:r>
        <w:rPr>
          <w:rFonts w:ascii="Arial" w:cs="Arial" w:eastAsia="Arial" w:hAnsi="Arial"/>
          <w:sz w:val="17"/>
          <w:szCs w:val="17"/>
          <w:color w:val="auto"/>
        </w:rPr>
        <w:t>Our agreement also provides that, following our election to cost and profit share on an NGM Optioned Product, Merck will advance to us and/or assume a specified portion of the expected global costs for that NGM Optioned Product. These advances/assumed costs are subject to an aggregate cap across all NGM Optioned Products over the course of the collaboration. We refer to the amount Merck advances/assumes as the Advanced Amount. All Advanced Amounts are treated as an accumulated but deferred cost that we owe to Merck, accrue interest and are recouped by Merck in full out of our share of any profits resulting from sales of that NGM Optioned Product before we receive any of those profits. If an NGM Optioned Product fails to generate profit sufficient to repay the balance of the Advanced Amount, the balance will be carried forward and recouped out of profits resulting from sales of any subsequent NGM Optioned Product(s), even if we did not obtain any advances from Merck on our share of costs for such subsequent NGM Optioned Product. We are responsible for directly funding all global development and commercialization costs of an NGM Optioned Product that are over and above any Advanced Amount.</w:t>
      </w:r>
    </w:p>
    <w:p>
      <w:pPr>
        <w:spacing w:after="0" w:line="200" w:lineRule="exact"/>
        <w:rPr>
          <w:sz w:val="20"/>
          <w:szCs w:val="20"/>
          <w:color w:val="auto"/>
        </w:rPr>
      </w:pP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Co-Detailing Rights in the United States</w:t>
      </w:r>
    </w:p>
    <w:p>
      <w:pPr>
        <w:spacing w:after="0" w:line="124" w:lineRule="exact"/>
        <w:rPr>
          <w:sz w:val="20"/>
          <w:szCs w:val="20"/>
          <w:color w:val="auto"/>
        </w:rPr>
      </w:pPr>
    </w:p>
    <w:p>
      <w:pPr>
        <w:ind w:left="380" w:right="40" w:firstLine="534"/>
        <w:spacing w:after="0" w:line="244" w:lineRule="auto"/>
        <w:rPr>
          <w:sz w:val="20"/>
          <w:szCs w:val="20"/>
          <w:color w:val="auto"/>
        </w:rPr>
      </w:pPr>
      <w:r>
        <w:rPr>
          <w:rFonts w:ascii="Arial" w:cs="Arial" w:eastAsia="Arial" w:hAnsi="Arial"/>
          <w:sz w:val="17"/>
          <w:szCs w:val="17"/>
          <w:color w:val="auto"/>
        </w:rPr>
        <w:t>For each NGM Optioned Product, we also have the option to participate in a portion of the commercial promotion, which we refer to as co-detailing, to provide up to 25% of the total requisite details in the United States of that NGM Optioned Product by fielding our own commercial sales force. We are required to make this election prior to receiving regulatory approval in the United States for the NGM Optioned Product. The specifics of our participation in co-detailing will be determined by the parties according to guidelines set out in the agreement. If we elect to co-detail with Merck, our costs are included in the overall shared commercialization costs, but we do not share in any greater portion of the profits than we otherwise would be entitled to for that NGM Optioned Product.</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Small Molecule Research and Development</w:t>
      </w:r>
    </w:p>
    <w:p>
      <w:pPr>
        <w:spacing w:after="0" w:line="124" w:lineRule="exact"/>
        <w:rPr>
          <w:sz w:val="20"/>
          <w:szCs w:val="20"/>
          <w:color w:val="auto"/>
        </w:rPr>
      </w:pPr>
    </w:p>
    <w:p>
      <w:pPr>
        <w:ind w:left="380" w:firstLine="534"/>
        <w:spacing w:after="0" w:line="242" w:lineRule="auto"/>
        <w:rPr>
          <w:sz w:val="20"/>
          <w:szCs w:val="20"/>
          <w:color w:val="auto"/>
        </w:rPr>
      </w:pPr>
      <w:r>
        <w:rPr>
          <w:rFonts w:ascii="Arial" w:cs="Arial" w:eastAsia="Arial" w:hAnsi="Arial"/>
          <w:sz w:val="17"/>
          <w:szCs w:val="17"/>
          <w:color w:val="auto"/>
        </w:rPr>
        <w:t>Under our agreement we also granted Merck a worldwide, exclusive right to conduct research and development on, and to manufacture, use and commercialize, small molecule compounds identified or developed by Merck that have specified activity against any target that we are researching or developing under the research and early development program and that, but for use of our confidential and proprietary information, Merck would not have discovered. If Merck ultimately does not exercise its license option to the compound we have taken through a proof-of-concept study that is directed to any such target, Merck’s research license for its own small molecule program with respect to such target will become non-exclusive, but it will retain an exclusive license to any small molecule compounds that it has as of that time identified and developed. Merck has sole responsibility for research and development of any of these small molecule compounds, at its own cost. We are eligible to receive milestone and royalty payments on small molecule compounds that are developed by Merck under our license, in some cases at the same rates as those we are eligible to receive from Merck for a licensed program originating from our own research and development efforts, provided that, but for use of our confidential and proprietary information, Merck would not have discovered such small molecule compounds. However, we do not have the option to cost and profit share or the option to co-detail those small molecule products.</w:t>
      </w:r>
    </w:p>
    <w:p>
      <w:pPr>
        <w:spacing w:after="0" w:line="288"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Collaboration Governance</w:t>
      </w:r>
    </w:p>
    <w:p>
      <w:pPr>
        <w:spacing w:after="0" w:line="124" w:lineRule="exact"/>
        <w:rPr>
          <w:sz w:val="20"/>
          <w:szCs w:val="20"/>
          <w:color w:val="auto"/>
        </w:rPr>
      </w:pPr>
    </w:p>
    <w:p>
      <w:pPr>
        <w:ind w:left="380" w:right="40" w:firstLine="534"/>
        <w:spacing w:after="0" w:line="245" w:lineRule="auto"/>
        <w:rPr>
          <w:sz w:val="20"/>
          <w:szCs w:val="20"/>
          <w:color w:val="auto"/>
        </w:rPr>
      </w:pPr>
      <w:r>
        <w:rPr>
          <w:rFonts w:ascii="Arial" w:cs="Arial" w:eastAsia="Arial" w:hAnsi="Arial"/>
          <w:sz w:val="17"/>
          <w:szCs w:val="17"/>
          <w:color w:val="auto"/>
        </w:rPr>
        <w:t>Our collaboration with Merck is managed by a set of joint committees composed of equal numbers of representatives from each of us and Merck. A joint research committee, or JRC, has been established to review and discuss the preclinical work that we are conducting and to solicit Merck’s input on our research activities. Once we nominate a clinical candidate, a joint early development committee oversees and facilitates the conduct of preclinical and early development activities. A separate joint committee exists to oversee the research and early development of compounds within</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1060"/>
          </w:cols>
          <w:pgMar w:left="240" w:top="449" w:right="59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spacing w:after="0" w:line="244" w:lineRule="auto"/>
        <w:rPr>
          <w:sz w:val="20"/>
          <w:szCs w:val="20"/>
          <w:color w:val="auto"/>
        </w:rPr>
      </w:pPr>
      <w:r>
        <w:rPr>
          <w:rFonts w:ascii="Arial" w:cs="Arial" w:eastAsia="Arial" w:hAnsi="Arial"/>
          <w:sz w:val="17"/>
          <w:szCs w:val="17"/>
          <w:color w:val="auto"/>
        </w:rPr>
        <w:t>the GDF15 program. For NGM313 and any other Optioned Program, a joint late development committee oversees and coordinates development. A joint commercialization committee will oversee the commercialization of any compound arising from an Optioned Program as to which we elect to cost and profit share. Decision making in these committees generally requires the agreement of both Merck’s and our representatives, with unresolved issues escalating through to certain executive officers, and with us having the final say with respect to research and early development program matters and Merck having final say with respect to Optioned Program matters and late development and commercialization matters following the exercise of its option for a particular program.</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Diligence</w:t>
      </w:r>
    </w:p>
    <w:p>
      <w:pPr>
        <w:spacing w:after="0" w:line="12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We and Merck must each use commercially reasonable efforts to perform all of our respective activities under the collaboration.</w:t>
      </w:r>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Exclusivity</w:t>
      </w:r>
    </w:p>
    <w:p>
      <w:pPr>
        <w:spacing w:after="0" w:line="124" w:lineRule="exact"/>
        <w:rPr>
          <w:sz w:val="20"/>
          <w:szCs w:val="20"/>
          <w:color w:val="auto"/>
        </w:rPr>
      </w:pPr>
    </w:p>
    <w:p>
      <w:pPr>
        <w:ind w:left="380" w:right="80" w:firstLine="534"/>
        <w:spacing w:after="0" w:line="244" w:lineRule="auto"/>
        <w:rPr>
          <w:sz w:val="20"/>
          <w:szCs w:val="20"/>
          <w:color w:val="auto"/>
        </w:rPr>
      </w:pPr>
      <w:r>
        <w:rPr>
          <w:rFonts w:ascii="Arial" w:cs="Arial" w:eastAsia="Arial" w:hAnsi="Arial"/>
          <w:sz w:val="17"/>
          <w:szCs w:val="17"/>
          <w:color w:val="auto"/>
        </w:rPr>
        <w:t>During the initial research phase, plus an additional limited period of time, neither we nor Merck may directly or indirectly research, develop, manufacture or commercialize any large or small molecule product outside our collaboration with specified activity against the hormones or receptors that are the focus of the GDF15 program, for any indication. During the research phase, we may not directly or indirectly research, develop, manufacture or commercialize, outside of the collaboration, any product with specified activity against any target that we are researching or developing under the collaboration. After the research phase, if Merck exercises its license option for a program, we may not directly or indirectly research, develop, manufacture or commercialize any product with specified activity against the target that is the subject of that licensed program for so long as Merck’s license to that program remains in effect.</w:t>
      </w:r>
    </w:p>
    <w:p>
      <w:pPr>
        <w:spacing w:after="0" w:line="280"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Financial Terms</w:t>
      </w:r>
    </w:p>
    <w:p>
      <w:pPr>
        <w:spacing w:after="0" w:line="124" w:lineRule="exact"/>
        <w:rPr>
          <w:sz w:val="20"/>
          <w:szCs w:val="20"/>
          <w:color w:val="auto"/>
        </w:rPr>
      </w:pPr>
    </w:p>
    <w:p>
      <w:pPr>
        <w:ind w:left="380" w:right="40" w:firstLine="534"/>
        <w:spacing w:after="0" w:line="244" w:lineRule="auto"/>
        <w:rPr>
          <w:sz w:val="20"/>
          <w:szCs w:val="20"/>
          <w:color w:val="auto"/>
        </w:rPr>
      </w:pPr>
      <w:r>
        <w:rPr>
          <w:rFonts w:ascii="Arial" w:cs="Arial" w:eastAsia="Arial" w:hAnsi="Arial"/>
          <w:sz w:val="17"/>
          <w:szCs w:val="17"/>
          <w:color w:val="auto"/>
        </w:rPr>
        <w:t>In exchange for these various rights and access to our drug discovery approach, Merck paid us an upfront cash fee of $94.0 million and purchased approximately $106.0 million of our Series E convertible preferred stock. In connection with Merck’s exercise of its option to extend our research collaboration in March 2019, Merck agreed to continue to fund our research and development efforts at the same levels during the two year extension period and, in lieu of a $20.0 million extension fee payable to us, during such two-year extension period Merck will make additional payments totaling up to $20.0 million in support of our research and development activities across 2021 and the first quarter of 2022. We are entitled to receive an extension payment of $20.0 million from Merck it chooses to further extend the extended research phase until March 17, 2024.</w:t>
      </w:r>
    </w:p>
    <w:p>
      <w:pPr>
        <w:spacing w:after="0" w:line="193" w:lineRule="exact"/>
        <w:rPr>
          <w:sz w:val="20"/>
          <w:szCs w:val="20"/>
          <w:color w:val="auto"/>
        </w:rPr>
      </w:pPr>
    </w:p>
    <w:p>
      <w:pPr>
        <w:jc w:val="both"/>
        <w:ind w:left="380" w:right="40" w:firstLine="534"/>
        <w:spacing w:after="0" w:line="247" w:lineRule="auto"/>
        <w:rPr>
          <w:sz w:val="20"/>
          <w:szCs w:val="20"/>
          <w:color w:val="auto"/>
        </w:rPr>
      </w:pPr>
      <w:r>
        <w:rPr>
          <w:rFonts w:ascii="Arial" w:cs="Arial" w:eastAsia="Arial" w:hAnsi="Arial"/>
          <w:sz w:val="17"/>
          <w:szCs w:val="17"/>
          <w:color w:val="auto"/>
        </w:rPr>
        <w:t>If Merck exercises its license option following completion of a human proof-of-concept study, Merck is required to pay us an option fee of $20.0 million for each licensed program. In December 2018, we received a $20.0 million payment from Merck in connection with the exercise of its license option for the NGM313 program. Merck does not owe us an option fee on the GDF15 receptor agonist program, as that was already licensed to Merck as of the effective date of our agreement.</w:t>
      </w:r>
    </w:p>
    <w:p>
      <w:pPr>
        <w:spacing w:after="0" w:line="190" w:lineRule="exact"/>
        <w:rPr>
          <w:sz w:val="20"/>
          <w:szCs w:val="20"/>
          <w:color w:val="auto"/>
        </w:rPr>
      </w:pPr>
    </w:p>
    <w:p>
      <w:pPr>
        <w:ind w:left="380" w:firstLine="534"/>
        <w:spacing w:after="0" w:line="247" w:lineRule="auto"/>
        <w:rPr>
          <w:sz w:val="20"/>
          <w:szCs w:val="20"/>
          <w:color w:val="auto"/>
        </w:rPr>
      </w:pPr>
      <w:r>
        <w:rPr>
          <w:rFonts w:ascii="Arial" w:cs="Arial" w:eastAsia="Arial" w:hAnsi="Arial"/>
          <w:sz w:val="17"/>
          <w:szCs w:val="17"/>
          <w:color w:val="auto"/>
        </w:rPr>
        <w:t>If we do not elect to enter into a cost and profit sharing arrangement for a compound we have licensed to Merck including NGM313, we are eligible to receive an aggregate of $ 449.0 million in milestone payments, of which $77.7 million relates to the potential achievement of specific clinical development events and $371.3 million relates to the potential achievement of certain regulatory events with respect to the licensed compounds for the first three indications in the United States, the European Union and Japan.</w:t>
      </w:r>
    </w:p>
    <w:p>
      <w:pPr>
        <w:spacing w:after="0" w:line="12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1040"/>
          </w:cols>
          <w:pgMar w:left="240" w:top="449" w:right="61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340" w:firstLine="534"/>
        <w:spacing w:after="0" w:line="258" w:lineRule="auto"/>
        <w:rPr>
          <w:sz w:val="20"/>
          <w:szCs w:val="20"/>
          <w:color w:val="auto"/>
        </w:rPr>
      </w:pPr>
      <w:r>
        <w:rPr>
          <w:rFonts w:ascii="Arial" w:cs="Arial" w:eastAsia="Arial" w:hAnsi="Arial"/>
          <w:sz w:val="17"/>
          <w:szCs w:val="17"/>
          <w:color w:val="auto"/>
        </w:rPr>
        <w:t>A break out of the milestone payments in connection with the potential achievement of certain clinical development events is as follows (in thousands):</w:t>
      </w:r>
    </w:p>
    <w:p>
      <w:pPr>
        <w:spacing w:after="0" w:line="194"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8"/>
              </w:rPr>
              <w:t>First</w:t>
            </w: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Third</w:t>
            </w:r>
          </w:p>
        </w:tc>
      </w:tr>
      <w:tr>
        <w:trPr>
          <w:trHeight w:val="169"/>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06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9"/>
              </w:rPr>
              <w:t>Indication</w:t>
            </w:r>
          </w:p>
        </w:tc>
        <w:tc>
          <w:tcPr>
            <w:tcW w:w="1960" w:type="dxa"/>
            <w:vAlign w:val="bottom"/>
            <w:gridSpan w:val="3"/>
          </w:tcPr>
          <w:p>
            <w:pPr>
              <w:ind w:left="760"/>
              <w:spacing w:after="0"/>
              <w:rPr>
                <w:sz w:val="20"/>
                <w:szCs w:val="20"/>
                <w:color w:val="auto"/>
              </w:rPr>
            </w:pPr>
            <w:r>
              <w:rPr>
                <w:rFonts w:ascii="Arial" w:cs="Arial" w:eastAsia="Arial" w:hAnsi="Arial"/>
                <w:sz w:val="14"/>
                <w:szCs w:val="14"/>
                <w:b w:val="1"/>
                <w:bCs w:val="1"/>
                <w:color w:val="auto"/>
                <w:w w:val="97"/>
              </w:rPr>
              <w:t>Second Indication</w:t>
            </w:r>
          </w:p>
        </w:tc>
        <w:tc>
          <w:tcPr>
            <w:tcW w:w="1480" w:type="dxa"/>
            <w:vAlign w:val="bottom"/>
            <w:gridSpan w:val="3"/>
          </w:tcPr>
          <w:p>
            <w:pPr>
              <w:jc w:val="center"/>
              <w:ind w:left="621"/>
              <w:spacing w:after="0"/>
              <w:rPr>
                <w:sz w:val="20"/>
                <w:szCs w:val="20"/>
                <w:color w:val="auto"/>
              </w:rPr>
            </w:pPr>
            <w:r>
              <w:rPr>
                <w:rFonts w:ascii="Arial" w:cs="Arial" w:eastAsia="Arial" w:hAnsi="Arial"/>
                <w:sz w:val="14"/>
                <w:szCs w:val="14"/>
                <w:b w:val="1"/>
                <w:bCs w:val="1"/>
                <w:color w:val="auto"/>
                <w:w w:val="99"/>
              </w:rPr>
              <w:t>Indication</w:t>
            </w:r>
          </w:p>
        </w:tc>
      </w:tr>
      <w:tr>
        <w:trPr>
          <w:trHeight w:val="176"/>
        </w:trPr>
        <w:tc>
          <w:tcPr>
            <w:tcW w:w="20" w:type="dxa"/>
            <w:vAlign w:val="bottom"/>
          </w:tcPr>
          <w:p>
            <w:pPr>
              <w:spacing w:after="0"/>
              <w:rPr>
                <w:sz w:val="15"/>
                <w:szCs w:val="15"/>
                <w:color w:val="auto"/>
              </w:rPr>
            </w:pPr>
          </w:p>
        </w:tc>
        <w:tc>
          <w:tcPr>
            <w:tcW w:w="446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Upon administration of an applicable product to the</w:t>
            </w:r>
          </w:p>
        </w:tc>
        <w:tc>
          <w:tcPr>
            <w:tcW w:w="4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first patient in the first Phase 3 clinical trial for such</w:t>
            </w: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product for the given indication</w:t>
            </w:r>
          </w:p>
        </w:tc>
        <w:tc>
          <w:tcPr>
            <w:tcW w:w="1060" w:type="dxa"/>
            <w:vAlign w:val="bottom"/>
            <w:gridSpan w:val="2"/>
            <w:shd w:val="clear" w:color="auto" w:fill="CCEEFF"/>
          </w:tcPr>
          <w:p>
            <w:pPr>
              <w:jc w:val="center"/>
              <w:ind w:left="301"/>
              <w:spacing w:after="0"/>
              <w:rPr>
                <w:sz w:val="20"/>
                <w:szCs w:val="20"/>
                <w:color w:val="auto"/>
              </w:rPr>
            </w:pPr>
            <w:r>
              <w:rPr>
                <w:rFonts w:ascii="Arial" w:cs="Arial" w:eastAsia="Arial" w:hAnsi="Arial"/>
                <w:sz w:val="17"/>
                <w:szCs w:val="17"/>
                <w:color w:val="auto"/>
              </w:rPr>
              <w:t>$ 35,000</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25,250</w:t>
            </w:r>
          </w:p>
        </w:tc>
        <w:tc>
          <w:tcPr>
            <w:tcW w:w="1440" w:type="dxa"/>
            <w:vAlign w:val="bottom"/>
            <w:gridSpan w:val="2"/>
            <w:shd w:val="clear" w:color="auto" w:fill="CCEEFF"/>
          </w:tcPr>
          <w:p>
            <w:pPr>
              <w:jc w:val="center"/>
              <w:ind w:left="661"/>
              <w:spacing w:after="0"/>
              <w:rPr>
                <w:sz w:val="20"/>
                <w:szCs w:val="20"/>
                <w:color w:val="auto"/>
              </w:rPr>
            </w:pPr>
            <w:r>
              <w:rPr>
                <w:rFonts w:ascii="Arial" w:cs="Arial" w:eastAsia="Arial" w:hAnsi="Arial"/>
                <w:sz w:val="17"/>
                <w:szCs w:val="17"/>
                <w:color w:val="auto"/>
                <w:w w:val="99"/>
              </w:rPr>
              <w:t>$ 17,500</w:t>
            </w:r>
          </w:p>
        </w:tc>
        <w:tc>
          <w:tcPr>
            <w:tcW w:w="40" w:type="dxa"/>
            <w:vAlign w:val="bottom"/>
            <w:shd w:val="clear" w:color="auto" w:fill="CCEEFF"/>
          </w:tcPr>
          <w:p>
            <w:pPr>
              <w:spacing w:after="0"/>
              <w:rPr>
                <w:sz w:val="17"/>
                <w:szCs w:val="17"/>
                <w:color w:val="auto"/>
              </w:rPr>
            </w:pPr>
          </w:p>
        </w:tc>
      </w:tr>
    </w:tbl>
    <w:p>
      <w:pPr>
        <w:spacing w:after="0" w:line="209" w:lineRule="exact"/>
        <w:rPr>
          <w:sz w:val="20"/>
          <w:szCs w:val="20"/>
          <w:color w:val="auto"/>
        </w:rPr>
      </w:pPr>
    </w:p>
    <w:p>
      <w:pPr>
        <w:ind w:left="380" w:right="380" w:firstLine="534"/>
        <w:spacing w:after="0" w:line="258" w:lineRule="auto"/>
        <w:rPr>
          <w:sz w:val="20"/>
          <w:szCs w:val="20"/>
          <w:color w:val="auto"/>
        </w:rPr>
      </w:pPr>
      <w:r>
        <w:rPr>
          <w:rFonts w:ascii="Arial" w:cs="Arial" w:eastAsia="Arial" w:hAnsi="Arial"/>
          <w:sz w:val="17"/>
          <w:szCs w:val="17"/>
          <w:color w:val="auto"/>
        </w:rPr>
        <w:t>A break out of the milestone payments in connection with the potential achievement of certain regulatory events for each of the three indications, for each of the three geographic areas, is as follows (in thousands):</w:t>
      </w:r>
    </w:p>
    <w:p>
      <w:pPr>
        <w:spacing w:after="0" w:line="19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8"/>
              </w:rPr>
              <w:t>First</w:t>
            </w:r>
          </w:p>
        </w:tc>
        <w:tc>
          <w:tcPr>
            <w:tcW w:w="100" w:type="dxa"/>
            <w:vAlign w:val="bottom"/>
          </w:tcPr>
          <w:p>
            <w:pPr>
              <w:spacing w:after="0"/>
              <w:rPr>
                <w:sz w:val="14"/>
                <w:szCs w:val="14"/>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Second</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9"/>
              </w:rPr>
              <w:t>Indication</w:t>
            </w:r>
          </w:p>
        </w:tc>
        <w:tc>
          <w:tcPr>
            <w:tcW w:w="1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9"/>
              </w:rPr>
              <w:t>Indication</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Indication</w:t>
            </w:r>
          </w:p>
        </w:tc>
        <w:tc>
          <w:tcPr>
            <w:tcW w:w="18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190"/>
        </w:trPr>
        <w:tc>
          <w:tcPr>
            <w:tcW w:w="66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United States</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75,000</w:t>
            </w:r>
          </w:p>
        </w:tc>
        <w:tc>
          <w:tcPr>
            <w:tcW w:w="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56,250</w:t>
            </w:r>
          </w:p>
        </w:tc>
        <w:tc>
          <w:tcPr>
            <w:tcW w:w="3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9"/>
              </w:rPr>
              <w:t>$ 37,500</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$168,750</w:t>
            </w:r>
          </w:p>
        </w:tc>
        <w:tc>
          <w:tcPr>
            <w:tcW w:w="60" w:type="dxa"/>
            <w:vAlign w:val="bottom"/>
            <w:tcBorders>
              <w:top w:val="single" w:sz="8" w:color="CCEEFF"/>
            </w:tcBorders>
            <w:shd w:val="clear" w:color="auto" w:fill="CCEEFF"/>
          </w:tcPr>
          <w:p>
            <w:pPr>
              <w:spacing w:after="0"/>
              <w:rPr>
                <w:sz w:val="16"/>
                <w:szCs w:val="16"/>
                <w:color w:val="auto"/>
              </w:rPr>
            </w:pPr>
          </w:p>
        </w:tc>
      </w:tr>
      <w:tr>
        <w:trPr>
          <w:trHeight w:val="196"/>
        </w:trPr>
        <w:tc>
          <w:tcPr>
            <w:tcW w:w="6620" w:type="dxa"/>
            <w:vAlign w:val="bottom"/>
          </w:tcPr>
          <w:p>
            <w:pPr>
              <w:spacing w:after="0"/>
              <w:rPr>
                <w:sz w:val="20"/>
                <w:szCs w:val="20"/>
                <w:color w:val="auto"/>
              </w:rPr>
            </w:pPr>
            <w:r>
              <w:rPr>
                <w:rFonts w:ascii="Arial" w:cs="Arial" w:eastAsia="Arial" w:hAnsi="Arial"/>
                <w:sz w:val="17"/>
                <w:szCs w:val="17"/>
                <w:color w:val="auto"/>
              </w:rPr>
              <w:t>European Union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60,000</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7"/>
                <w:szCs w:val="17"/>
                <w:color w:val="auto"/>
              </w:rPr>
              <w:t>45,000</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30,000</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135,000</w:t>
            </w:r>
          </w:p>
        </w:tc>
        <w:tc>
          <w:tcPr>
            <w:tcW w:w="60" w:type="dxa"/>
            <w:vAlign w:val="bottom"/>
          </w:tcPr>
          <w:p>
            <w:pPr>
              <w:spacing w:after="0"/>
              <w:rPr>
                <w:sz w:val="17"/>
                <w:szCs w:val="17"/>
                <w:color w:val="auto"/>
              </w:rPr>
            </w:pPr>
          </w:p>
        </w:tc>
      </w:tr>
      <w:tr>
        <w:trPr>
          <w:trHeight w:val="196"/>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Japan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22,500</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67,500</w:t>
            </w: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66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4"/>
              </w:rPr>
              <w:t>$</w:t>
            </w: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165,000</w:t>
            </w:r>
          </w:p>
        </w:tc>
        <w:tc>
          <w:tcPr>
            <w:tcW w:w="3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7"/>
                <w:szCs w:val="17"/>
                <w:color w:val="auto"/>
              </w:rPr>
              <w:t>123,750</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$ 82,500</w:t>
            </w:r>
          </w:p>
        </w:tc>
        <w:tc>
          <w:tcPr>
            <w:tcW w:w="9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371,250</w:t>
            </w:r>
          </w:p>
        </w:tc>
        <w:tc>
          <w:tcPr>
            <w:tcW w:w="60" w:type="dxa"/>
            <w:vAlign w:val="bottom"/>
          </w:tcPr>
          <w:p>
            <w:pPr>
              <w:spacing w:after="0"/>
              <w:rPr>
                <w:sz w:val="17"/>
                <w:szCs w:val="17"/>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2" w:lineRule="exact"/>
        <w:rPr>
          <w:sz w:val="20"/>
          <w:szCs w:val="20"/>
          <w:color w:val="auto"/>
        </w:rPr>
      </w:pPr>
    </w:p>
    <w:p>
      <w:pPr>
        <w:ind w:left="380" w:right="220" w:firstLine="534"/>
        <w:spacing w:after="0" w:line="250" w:lineRule="auto"/>
        <w:rPr>
          <w:sz w:val="20"/>
          <w:szCs w:val="20"/>
          <w:color w:val="auto"/>
        </w:rPr>
      </w:pPr>
      <w:r>
        <w:rPr>
          <w:rFonts w:ascii="Arial" w:cs="Arial" w:eastAsia="Arial" w:hAnsi="Arial"/>
          <w:sz w:val="17"/>
          <w:szCs w:val="17"/>
          <w:color w:val="auto"/>
        </w:rPr>
        <w:t>We are also eligible to receive commercial milestone payments of up to $125.0 million payable for such licensed product. We are also eligible to receive royalties at ascending low double digit to mid-teen percentage rates, depending on the level of net sales Merck achieves worldwide for each licensed compound.</w:t>
      </w:r>
    </w:p>
    <w:p>
      <w:pPr>
        <w:spacing w:after="0" w:line="188" w:lineRule="exact"/>
        <w:rPr>
          <w:sz w:val="20"/>
          <w:szCs w:val="20"/>
          <w:color w:val="auto"/>
        </w:rPr>
      </w:pPr>
    </w:p>
    <w:p>
      <w:pPr>
        <w:ind w:left="380" w:right="100" w:firstLine="534"/>
        <w:spacing w:after="0" w:line="247" w:lineRule="auto"/>
        <w:rPr>
          <w:sz w:val="20"/>
          <w:szCs w:val="20"/>
          <w:color w:val="auto"/>
        </w:rPr>
      </w:pPr>
      <w:r>
        <w:rPr>
          <w:rFonts w:ascii="Arial" w:cs="Arial" w:eastAsia="Arial" w:hAnsi="Arial"/>
          <w:sz w:val="17"/>
          <w:szCs w:val="17"/>
          <w:color w:val="auto"/>
        </w:rPr>
        <w:t>If Merck does not exercise its license option to a compound and we commercialize that compound or its related molecules, we will owe Merck royalties at low single digit rates. If Merck exercises its license option but then terminates its license to a program, such as the GDF15 receptor agonist program, and we take compounds in that program forward, we also owe Merck royalties on sales of those compounds, at low single digit rates.</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Termination</w:t>
      </w:r>
    </w:p>
    <w:p>
      <w:pPr>
        <w:spacing w:after="0" w:line="124" w:lineRule="exact"/>
        <w:rPr>
          <w:sz w:val="20"/>
          <w:szCs w:val="20"/>
          <w:color w:val="auto"/>
        </w:rPr>
      </w:pPr>
    </w:p>
    <w:p>
      <w:pPr>
        <w:ind w:left="380" w:right="400" w:firstLine="534"/>
        <w:spacing w:after="0" w:line="250" w:lineRule="auto"/>
        <w:rPr>
          <w:sz w:val="20"/>
          <w:szCs w:val="20"/>
          <w:color w:val="auto"/>
        </w:rPr>
      </w:pPr>
      <w:r>
        <w:rPr>
          <w:rFonts w:ascii="Arial" w:cs="Arial" w:eastAsia="Arial" w:hAnsi="Arial"/>
          <w:sz w:val="17"/>
          <w:szCs w:val="17"/>
          <w:color w:val="auto"/>
        </w:rPr>
        <w:t>After the research phase, Merck may terminate the overall agreement for convenience upon written notice. Subject to certain limitations, Merck may partially terminate the agreement for convenience as it relates to any Optioned Program, such as NGM313, on written notice. It may also terminate the agreement as it relates to its rights to research and develop small molecule compounds.</w:t>
      </w:r>
    </w:p>
    <w:p>
      <w:pPr>
        <w:spacing w:after="0" w:line="188" w:lineRule="exact"/>
        <w:rPr>
          <w:sz w:val="20"/>
          <w:szCs w:val="20"/>
          <w:color w:val="auto"/>
        </w:rPr>
      </w:pPr>
    </w:p>
    <w:p>
      <w:pPr>
        <w:ind w:left="380" w:right="180" w:firstLine="534"/>
        <w:spacing w:after="0" w:line="243" w:lineRule="auto"/>
        <w:rPr>
          <w:sz w:val="20"/>
          <w:szCs w:val="20"/>
          <w:color w:val="auto"/>
        </w:rPr>
      </w:pPr>
      <w:r>
        <w:rPr>
          <w:rFonts w:ascii="Arial" w:cs="Arial" w:eastAsia="Arial" w:hAnsi="Arial"/>
          <w:sz w:val="17"/>
          <w:szCs w:val="17"/>
          <w:color w:val="auto"/>
        </w:rPr>
        <w:t>Either we or Merck may terminate the agreement with respect to the GDF15 program or with respect to a specific Optioned Program if the other party is in material breach of its obligations regarding that specific program and fails to cure the breach within the specified cure period. If Merck terminates a program as a result of our uncured material breach, then we would lose our option to participate in global cost and profit sharing if not yet exercised as of the time of termination, and lose our co-detailing option (whether or not exercised as of that time) for compounds arising from the GDF15 program or the relevant Optioned Program and if Merck terminates for our breach with respect to an Optioned Program and there are no other Optioned Programs at such time, then we would also be required to commence repaying any Advanced Amounts outstanding with respect to such Optioned Products. If we had exercised our option to participate in global cost and profit sharing of one or more</w:t>
      </w:r>
    </w:p>
    <w:p>
      <w:pPr>
        <w:spacing w:after="0" w:line="13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1060"/>
          </w:cols>
          <w:pgMar w:left="240" w:top="449" w:right="59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licensed compounds arising from the program as of the time of termination, the option would remain in effect.</w:t>
      </w:r>
    </w:p>
    <w:p>
      <w:pPr>
        <w:spacing w:after="0" w:line="210" w:lineRule="exact"/>
        <w:rPr>
          <w:sz w:val="20"/>
          <w:szCs w:val="20"/>
          <w:color w:val="auto"/>
        </w:rPr>
      </w:pPr>
    </w:p>
    <w:p>
      <w:pPr>
        <w:ind w:left="380" w:right="120" w:firstLine="534"/>
        <w:spacing w:after="0" w:line="244" w:lineRule="auto"/>
        <w:rPr>
          <w:sz w:val="20"/>
          <w:szCs w:val="20"/>
          <w:color w:val="auto"/>
        </w:rPr>
      </w:pPr>
      <w:r>
        <w:rPr>
          <w:rFonts w:ascii="Arial" w:cs="Arial" w:eastAsia="Arial" w:hAnsi="Arial"/>
          <w:sz w:val="17"/>
          <w:szCs w:val="17"/>
          <w:color w:val="auto"/>
        </w:rPr>
        <w:t>If we terminate the GDF15 program or an Optioned Program for uncured breach by Merck, or if Merck terminates a program for convenience, all licenses granted to Merck with respect to such program will terminate and Merck will grant to us an exclusive license under Merck’s intellectual property related to the terminated program, for use in the further development and commercialization of products arising under the terminated program, subject to the payment of a modest royalty back to Merck, assign to us all related regulatory filings and approvals, and provide certain other transition assistance to us. On March 1, 2019, Merck notified us of its intent to terminate its license to the GDF15 program, effective May 31, 2019.</w:t>
      </w:r>
    </w:p>
    <w:p>
      <w:pPr>
        <w:spacing w:after="0" w:line="196" w:lineRule="exact"/>
        <w:rPr>
          <w:sz w:val="20"/>
          <w:szCs w:val="20"/>
          <w:color w:val="auto"/>
        </w:rPr>
      </w:pPr>
    </w:p>
    <w:p>
      <w:pPr>
        <w:ind w:left="380" w:right="20" w:firstLine="534"/>
        <w:spacing w:after="0" w:line="244" w:lineRule="auto"/>
        <w:rPr>
          <w:sz w:val="20"/>
          <w:szCs w:val="20"/>
          <w:color w:val="auto"/>
        </w:rPr>
      </w:pPr>
      <w:r>
        <w:rPr>
          <w:rFonts w:ascii="Arial" w:cs="Arial" w:eastAsia="Arial" w:hAnsi="Arial"/>
          <w:sz w:val="17"/>
          <w:szCs w:val="17"/>
          <w:color w:val="auto"/>
        </w:rPr>
        <w:t>Merck also has the right to terminate the agreement for convenience, and for uncured material breach by us, on written notice as it relates to its license to any particular licensed small molecule compound. We in turn have the right to terminate if Merck has failed to cure any material breach as it relates to any licensed small molecule compound. If Merck terminates for convenience, or we terminate for such breach by Merck, all licenses to Merck with respect to the relevant small molecule compound terminate, but Merck retains all interest in and to the actual small molecule compound it had developed. If Merck terminates for our uncured material breach, we would continue to receive the full amount of milestones and royalties we were otherwise eligible for with respect to the relevant compounds, but we would lose our rights to participate in the various governance committees as they relate to those small molecule program compounds.</w:t>
      </w:r>
    </w:p>
    <w:p>
      <w:pPr>
        <w:spacing w:after="0" w:line="280"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Effect of our Change in Control and Certain Competitive Acquisitions</w:t>
      </w:r>
    </w:p>
    <w:p>
      <w:pPr>
        <w:spacing w:after="0" w:line="124"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If we undergo any change in control, which includes the acquisition of us by any third party, or the sale of all or substantially all of our assets relating to the Merck agreement to a third party, or the sale of more than 50% of our voting stock to a third party, Merck has the right to terminate our research and early development program, in its entirety, or only with respect to certain of the programs then being pursued. If it does so, all funding for the terminated programs would cease, and we would transition, at Merck’s expense, to Merck any clinical studies then being conducted by us if directed by Merck. If Merck takes over the studies, it would continue to have the option to license a particular program upon completion of the first proof-of-concept study, but if Merck ceases development of the compounds prior to such proof-of-concept study, the program would revert back to us and Merck would have no further rights.</w:t>
      </w:r>
    </w:p>
    <w:p>
      <w:pPr>
        <w:spacing w:after="0" w:line="193" w:lineRule="exact"/>
        <w:rPr>
          <w:sz w:val="20"/>
          <w:szCs w:val="20"/>
          <w:color w:val="auto"/>
        </w:rPr>
      </w:pPr>
    </w:p>
    <w:p>
      <w:pPr>
        <w:ind w:left="380" w:right="60" w:firstLine="534"/>
        <w:spacing w:after="0" w:line="244" w:lineRule="auto"/>
        <w:rPr>
          <w:sz w:val="20"/>
          <w:szCs w:val="20"/>
          <w:color w:val="auto"/>
        </w:rPr>
      </w:pPr>
      <w:r>
        <w:rPr>
          <w:rFonts w:ascii="Arial" w:cs="Arial" w:eastAsia="Arial" w:hAnsi="Arial"/>
          <w:sz w:val="17"/>
          <w:szCs w:val="17"/>
          <w:color w:val="auto"/>
        </w:rPr>
        <w:t>If our change in control involves another pharmaceutical company with significant annual sales of pharmaceutical products, which we refer to as a Pharma Acquisition, Merck would have certain additional rights which could only be exercised within the first year following the Pharma Acquisition. These include: limiting our right to cost and profit share; Merck ceasing to provide any additional Advanced Amounts with respect to one or more Optioned Programs; and requiring us to repay any or all then-outstanding Advanced Amounts, plus interest, in installments; and termination of our co-detailing rights. Merck would also have the right following any Pharma Acquisition to terminate or restrict our participation on our various governance committees, and to limit the information it provides to us to higher level summaries.</w:t>
      </w:r>
    </w:p>
    <w:p>
      <w:pPr>
        <w:spacing w:after="0" w:line="392" w:lineRule="exact"/>
        <w:rPr>
          <w:sz w:val="20"/>
          <w:szCs w:val="20"/>
          <w:color w:val="auto"/>
        </w:rPr>
      </w:pPr>
    </w:p>
    <w:p>
      <w:pPr>
        <w:ind w:left="380" w:firstLine="534"/>
        <w:spacing w:after="0" w:line="245" w:lineRule="auto"/>
        <w:rPr>
          <w:sz w:val="20"/>
          <w:szCs w:val="20"/>
          <w:color w:val="auto"/>
        </w:rPr>
      </w:pPr>
      <w:r>
        <w:rPr>
          <w:rFonts w:ascii="Arial" w:cs="Arial" w:eastAsia="Arial" w:hAnsi="Arial"/>
          <w:sz w:val="17"/>
          <w:szCs w:val="17"/>
          <w:color w:val="auto"/>
        </w:rPr>
        <w:t>If our acquirer in the event of a change in control is at that time pursuing research, development, commercialization, manufacturing or otherwise has any rights to any compounds that modulate a target that is the subject of an Optioned Program, which we refer to as a Competing Mature Program, Merck also has certain rights, unless our acquirer elects to cease those research, development and commercialization activities. These rights include: Merck ceasing to provide any additional Advanced Amounts with respect to any compounds arising from the Optioned Program that have the same target</w:t>
      </w:r>
    </w:p>
    <w:p>
      <w:pPr>
        <w:spacing w:after="0" w:line="12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0980"/>
          </w:cols>
          <w:pgMar w:left="240" w:top="449" w:right="67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spacing w:after="0" w:line="244" w:lineRule="auto"/>
        <w:rPr>
          <w:sz w:val="20"/>
          <w:szCs w:val="20"/>
          <w:color w:val="auto"/>
        </w:rPr>
      </w:pPr>
      <w:r>
        <w:rPr>
          <w:rFonts w:ascii="Arial" w:cs="Arial" w:eastAsia="Arial" w:hAnsi="Arial"/>
          <w:sz w:val="17"/>
          <w:szCs w:val="17"/>
          <w:color w:val="auto"/>
        </w:rPr>
        <w:t>as the Competing Mature Program, and requiring us to repay any or all then-outstanding Advanced Amounts, plus interest, in installments, with respect to any compounds arising from that Optioned Program, and termination of our co-detailing rights with respect to the relevant compounds, termination of our participation in governance committees with respect to those compounds, and restrictions on the information we receive from Merck with respect to the compounds. However, our rights to share in costs/profits with respect to any such compounds, if exercised, would remain in effect, as would any milestone or royalty payment obligations of Merck with respect to the compounds.</w:t>
      </w:r>
    </w:p>
    <w:p>
      <w:pPr>
        <w:spacing w:after="0" w:line="394"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In addition, if our acquirer in the event of a change in control is at that time researching, developing, manufacturing or otherwise has rights to any compounds that modulate a target that is also being actively pursued under our research and early development program, and which has not reached the proof-of-concept study stage but is ready for preclinical development, which we refer to as a Competing Early Program, Merck has the right to require us to select either to provide information demonstrating that the Competing Early Program does not actually modulate the relevant target in the same manner as our candidate, or to contribute the Competing Early Program to our collaboration with Merck as though it had originated under our research and early development program, or to divest the Competing Early Program. If we contribute the Competing Early Program to our collaboration with Merck, all the same financial obligations of Merck would apply, and we would retain all of our option rights with respect to the relevant compounds if Merck exercises its license option when the first compound arising under the program completes the first proof-of-concept study.</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Equity Investments by Merck</w:t>
      </w:r>
    </w:p>
    <w:p>
      <w:pPr>
        <w:spacing w:after="0" w:line="124" w:lineRule="exact"/>
        <w:rPr>
          <w:sz w:val="20"/>
          <w:szCs w:val="20"/>
          <w:color w:val="auto"/>
        </w:rPr>
      </w:pPr>
    </w:p>
    <w:p>
      <w:pPr>
        <w:ind w:left="380" w:right="320" w:firstLine="534"/>
        <w:spacing w:after="0" w:line="241" w:lineRule="auto"/>
        <w:rPr>
          <w:sz w:val="20"/>
          <w:szCs w:val="20"/>
          <w:color w:val="auto"/>
        </w:rPr>
      </w:pPr>
      <w:r>
        <w:rPr>
          <w:rFonts w:ascii="Arial" w:cs="Arial" w:eastAsia="Arial" w:hAnsi="Arial"/>
          <w:sz w:val="17"/>
          <w:szCs w:val="17"/>
          <w:color w:val="auto"/>
        </w:rPr>
        <w:t>Concurrently with the execution of our collaboration with Merck, we entered into a stock purchase agreement with Merck for the purchase of 8,833,333 shares of our Series E convertible preferred stock, for an aggregate purchase price of approximately</w:t>
      </w:r>
    </w:p>
    <w:p>
      <w:pPr>
        <w:ind w:left="380" w:right="20"/>
        <w:spacing w:after="0" w:line="244" w:lineRule="auto"/>
        <w:rPr>
          <w:sz w:val="20"/>
          <w:szCs w:val="20"/>
          <w:color w:val="auto"/>
        </w:rPr>
      </w:pPr>
      <w:r>
        <w:rPr>
          <w:rFonts w:ascii="Arial" w:cs="Arial" w:eastAsia="Arial" w:hAnsi="Arial"/>
          <w:sz w:val="17"/>
          <w:szCs w:val="17"/>
          <w:color w:val="auto"/>
        </w:rPr>
        <w:t>$106.0 million. Under a letter agreement entered in connection with this investment, Merck has the irrevocable option to purchase and, if it does not, we have the irrevocable option to require Merck to purchase, an additional amount of our shares of our common stock pursuant to a private placement conducted in parallel with this offering, up to a limit of the number of shares that will result in Merck owning approximately 19.9% of our outstanding shares, at the same price per share as offered to the public. If Merck elects to further extend the research phase of our collaboration until March 17, 2024, it has the option to purchase an additional $5.0 million of our common stock at a price per share equal to the last closing price of our shares on the date it notifies us of its desire to exercise such option, with such option subject to an overall cap on Merck’s ownership interest of 19.9%.</w:t>
      </w:r>
    </w:p>
    <w:p>
      <w:pPr>
        <w:spacing w:after="0" w:line="280"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Standstill, Lock-Up and Voting Agreements</w:t>
      </w:r>
    </w:p>
    <w:p>
      <w:pPr>
        <w:spacing w:after="0" w:line="124" w:lineRule="exact"/>
        <w:rPr>
          <w:sz w:val="20"/>
          <w:szCs w:val="20"/>
          <w:color w:val="auto"/>
        </w:rPr>
      </w:pPr>
    </w:p>
    <w:p>
      <w:pPr>
        <w:ind w:left="380" w:right="20" w:firstLine="534"/>
        <w:spacing w:after="0" w:line="242" w:lineRule="auto"/>
        <w:rPr>
          <w:sz w:val="20"/>
          <w:szCs w:val="20"/>
          <w:color w:val="auto"/>
        </w:rPr>
      </w:pPr>
      <w:r>
        <w:rPr>
          <w:rFonts w:ascii="Arial" w:cs="Arial" w:eastAsia="Arial" w:hAnsi="Arial"/>
          <w:sz w:val="17"/>
          <w:szCs w:val="17"/>
          <w:color w:val="auto"/>
        </w:rPr>
        <w:t>The letter agreement also includes standstill provisions that provide that for the period that ends on the earlier of the end of our initial five-year research phase, the announcement of our intent to consummate a change in control transaction (subject to certain exceptions) or the termination of our collaboration agreement, neither Merck nor its representatives will, directly or indirectly, among other things, (i) acquire any of our securities to the extent it would result in Merck owning more than 19.9% of our shares, (ii) solicit proxies for our securities, (iii) participate in a business combination involving us, or take any action that might result in us having to make a public announcement about (i) or (ii), seek to influence our management or policies, except that Merck is not precluded from making confidential, non-public proposals to us or third parties with our express consent. In addition, during the period that ends on the earlier of the end of our initial five-year research phase, the termination of the collaboration agreement or the date on which Merck’s ownership of our securities drops below 5%, Merck has granted a proxy to the chairman of our board of directors to vote Merck’s shares in favor of any action recommended and approved by our board of directors, subject to certain exceptions. Merck has also agreed, subject to specified exceptions, and during the period of our five-year initial research phase, not to sell any of its shares of our capital stock (subject to certain limited exceptions).</w:t>
      </w:r>
    </w:p>
    <w:p>
      <w:pPr>
        <w:spacing w:after="0" w:line="333"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1040"/>
          </w:cols>
          <w:pgMar w:left="240" w:top="449" w:right="619"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Government Regulation and Product Approval</w:t>
      </w:r>
    </w:p>
    <w:p>
      <w:pPr>
        <w:spacing w:after="0" w:line="232" w:lineRule="exact"/>
        <w:rPr>
          <w:sz w:val="20"/>
          <w:szCs w:val="20"/>
          <w:color w:val="auto"/>
        </w:rPr>
      </w:pPr>
    </w:p>
    <w:p>
      <w:pPr>
        <w:ind w:left="380" w:right="120" w:firstLine="534"/>
        <w:spacing w:after="0" w:line="244" w:lineRule="auto"/>
        <w:rPr>
          <w:sz w:val="20"/>
          <w:szCs w:val="20"/>
          <w:color w:val="auto"/>
        </w:rPr>
      </w:pPr>
      <w:r>
        <w:rPr>
          <w:rFonts w:ascii="Arial" w:cs="Arial" w:eastAsia="Arial" w:hAnsi="Arial"/>
          <w:sz w:val="17"/>
          <w:szCs w:val="17"/>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196" w:lineRule="exact"/>
        <w:rPr>
          <w:sz w:val="20"/>
          <w:szCs w:val="20"/>
          <w:color w:val="auto"/>
        </w:rPr>
      </w:pPr>
    </w:p>
    <w:p>
      <w:pPr>
        <w:ind w:left="380" w:right="200" w:firstLine="534"/>
        <w:spacing w:after="0" w:line="258" w:lineRule="auto"/>
        <w:rPr>
          <w:sz w:val="20"/>
          <w:szCs w:val="20"/>
          <w:color w:val="auto"/>
        </w:rPr>
      </w:pPr>
      <w:r>
        <w:rPr>
          <w:rFonts w:ascii="Arial" w:cs="Arial" w:eastAsia="Arial" w:hAnsi="Arial"/>
          <w:sz w:val="17"/>
          <w:szCs w:val="17"/>
          <w:color w:val="auto"/>
        </w:rPr>
        <w:t>The process required by the FDA before biologic product candidates may be marketed in the United States generally involves the following:</w:t>
      </w:r>
    </w:p>
    <w:p>
      <w:pPr>
        <w:spacing w:after="0" w:line="90" w:lineRule="exact"/>
        <w:rPr>
          <w:sz w:val="20"/>
          <w:szCs w:val="20"/>
          <w:color w:val="auto"/>
        </w:rPr>
      </w:pPr>
    </w:p>
    <w:p>
      <w:pPr>
        <w:ind w:left="1100" w:right="260" w:hanging="205"/>
        <w:spacing w:after="0" w:line="258" w:lineRule="auto"/>
        <w:tabs>
          <w:tab w:leader="none" w:pos="11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completion of preclinical laboratory tests and animal studies performed in accordance with the FDA’s current Good Laboratory Practice regulation;</w:t>
      </w:r>
    </w:p>
    <w:p>
      <w:pPr>
        <w:spacing w:after="0" w:line="90" w:lineRule="exact"/>
        <w:rPr>
          <w:rFonts w:ascii="Arial" w:cs="Arial" w:eastAsia="Arial" w:hAnsi="Arial"/>
          <w:sz w:val="17"/>
          <w:szCs w:val="17"/>
          <w:color w:val="auto"/>
        </w:rPr>
      </w:pPr>
    </w:p>
    <w:p>
      <w:pPr>
        <w:ind w:left="1100" w:right="120" w:hanging="205"/>
        <w:spacing w:after="0" w:line="258" w:lineRule="auto"/>
        <w:tabs>
          <w:tab w:leader="none" w:pos="11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submission to the FDA of an investigational new drug application, or IND, which must become effective before clinical trials may begin and must be updated annually or when significant changes are made;</w:t>
      </w:r>
    </w:p>
    <w:p>
      <w:pPr>
        <w:spacing w:after="0" w:line="90" w:lineRule="exact"/>
        <w:rPr>
          <w:rFonts w:ascii="Arial" w:cs="Arial" w:eastAsia="Arial" w:hAnsi="Arial"/>
          <w:sz w:val="17"/>
          <w:szCs w:val="17"/>
          <w:color w:val="auto"/>
        </w:rPr>
      </w:pPr>
    </w:p>
    <w:p>
      <w:pPr>
        <w:ind w:left="1100" w:right="680" w:hanging="205"/>
        <w:spacing w:after="0" w:line="258" w:lineRule="auto"/>
        <w:tabs>
          <w:tab w:leader="none" w:pos="11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or ethics committee at each clinical site before the trial is commenced;</w:t>
      </w:r>
    </w:p>
    <w:p>
      <w:pPr>
        <w:spacing w:after="0" w:line="90" w:lineRule="exact"/>
        <w:rPr>
          <w:rFonts w:ascii="Arial" w:cs="Arial" w:eastAsia="Arial" w:hAnsi="Arial"/>
          <w:sz w:val="17"/>
          <w:szCs w:val="17"/>
          <w:color w:val="auto"/>
        </w:rPr>
      </w:pPr>
    </w:p>
    <w:p>
      <w:pPr>
        <w:ind w:left="1100" w:right="420" w:hanging="205"/>
        <w:spacing w:after="0" w:line="258" w:lineRule="auto"/>
        <w:tabs>
          <w:tab w:leader="none" w:pos="11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to establish the safety, purity and potency of the proposed biologic product candidate for its intended purpose;</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preparation of and submission to the FDA of a biologic license application, or BLA, after completion of all pivotal clinical trials;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satisfactory completion of an FDA Advisory Committee review, if applicable;</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 determination by the FDA within 60 days of its receipt of a BLA to file the application for review;</w:t>
      </w:r>
    </w:p>
    <w:p>
      <w:pPr>
        <w:spacing w:after="0" w:line="118" w:lineRule="exact"/>
        <w:rPr>
          <w:rFonts w:ascii="Arial" w:cs="Arial" w:eastAsia="Arial" w:hAnsi="Arial"/>
          <w:sz w:val="17"/>
          <w:szCs w:val="17"/>
          <w:color w:val="auto"/>
        </w:rPr>
      </w:pPr>
    </w:p>
    <w:p>
      <w:pPr>
        <w:ind w:left="1100" w:hanging="205"/>
        <w:spacing w:after="0" w:line="247" w:lineRule="auto"/>
        <w:tabs>
          <w:tab w:leader="none" w:pos="11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satisfactory completion of an FDA pre-approval inspection of the manufacturing facility or facilities at which the proposed product is produced to assess compliance with current Good Manufacturing Practices, or cGMP, and to assure that the facilities, methods and controls are adequate to preserve the biological product’s continued safety, purity and potency, and of selected clinical investigation sites to assess compliance with current Good Clinical Practices, or cGCP; and</w:t>
      </w:r>
    </w:p>
    <w:p>
      <w:pPr>
        <w:spacing w:after="0" w:line="98" w:lineRule="exact"/>
        <w:rPr>
          <w:rFonts w:ascii="Arial" w:cs="Arial" w:eastAsia="Arial" w:hAnsi="Arial"/>
          <w:sz w:val="17"/>
          <w:szCs w:val="17"/>
          <w:color w:val="auto"/>
        </w:rPr>
      </w:pPr>
    </w:p>
    <w:p>
      <w:pPr>
        <w:ind w:left="1100" w:right="40" w:hanging="205"/>
        <w:spacing w:after="0" w:line="258" w:lineRule="auto"/>
        <w:tabs>
          <w:tab w:leader="none" w:pos="11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FDA review and approval of the BLA to permit commercial marketing of the product for particular indications for use in the United States.</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Preclinical and Clinical Development</w:t>
      </w:r>
    </w:p>
    <w:p>
      <w:pPr>
        <w:spacing w:after="0" w:line="126" w:lineRule="exact"/>
        <w:rPr>
          <w:sz w:val="20"/>
          <w:szCs w:val="20"/>
          <w:color w:val="auto"/>
        </w:rPr>
      </w:pPr>
    </w:p>
    <w:p>
      <w:pPr>
        <w:ind w:left="380" w:right="40" w:firstLine="534"/>
        <w:spacing w:after="0" w:line="244" w:lineRule="auto"/>
        <w:rPr>
          <w:sz w:val="20"/>
          <w:szCs w:val="20"/>
          <w:color w:val="auto"/>
        </w:rPr>
      </w:pPr>
      <w:r>
        <w:rPr>
          <w:rFonts w:ascii="Arial" w:cs="Arial" w:eastAsia="Arial" w:hAnsi="Arial"/>
          <w:sz w:val="17"/>
          <w:szCs w:val="17"/>
          <w:color w:val="auto"/>
        </w:rPr>
        <w:t>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1060"/>
          </w:cols>
          <w:pgMar w:left="240" w:top="449" w:right="599" w:bottom="1440" w:gutter="0" w:footer="0" w:header="0"/>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jc w:val="both"/>
        <w:ind w:left="380" w:right="580"/>
        <w:spacing w:after="0" w:line="250" w:lineRule="auto"/>
        <w:rPr>
          <w:sz w:val="20"/>
          <w:szCs w:val="20"/>
          <w:color w:val="auto"/>
        </w:rPr>
      </w:pPr>
      <w:r>
        <w:rPr>
          <w:rFonts w:ascii="Arial" w:cs="Arial" w:eastAsia="Arial" w:hAnsi="Arial"/>
          <w:sz w:val="17"/>
          <w:szCs w:val="17"/>
          <w:color w:val="auto"/>
        </w:rPr>
        <w:t>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88" w:lineRule="exact"/>
        <w:rPr>
          <w:sz w:val="20"/>
          <w:szCs w:val="20"/>
          <w:color w:val="auto"/>
        </w:rPr>
      </w:pPr>
    </w:p>
    <w:p>
      <w:pPr>
        <w:ind w:left="380" w:right="20" w:firstLine="534"/>
        <w:spacing w:after="0" w:line="242"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cGCPs,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For purposes of BLA approval, human clinical trials are typically conducted in three sequential phases that may overlap.</w:t>
      </w:r>
    </w:p>
    <w:p>
      <w:pPr>
        <w:spacing w:after="0" w:line="99" w:lineRule="exact"/>
        <w:rPr>
          <w:sz w:val="20"/>
          <w:szCs w:val="20"/>
          <w:color w:val="auto"/>
        </w:rPr>
      </w:pPr>
    </w:p>
    <w:p>
      <w:pPr>
        <w:ind w:left="1100" w:right="140" w:hanging="205"/>
        <w:spacing w:after="0" w:line="255" w:lineRule="auto"/>
        <w:tabs>
          <w:tab w:leader="none" w:pos="1100" w:val="left"/>
        </w:tabs>
        <w:numPr>
          <w:ilvl w:val="0"/>
          <w:numId w:val="68"/>
        </w:numPr>
        <w:rPr>
          <w:rFonts w:ascii="Arial" w:cs="Arial" w:eastAsia="Arial" w:hAnsi="Arial"/>
          <w:sz w:val="17"/>
          <w:szCs w:val="17"/>
          <w:color w:val="auto"/>
        </w:rPr>
      </w:pPr>
      <w:r>
        <w:rPr>
          <w:rFonts w:ascii="Arial" w:cs="Arial" w:eastAsia="Arial" w:hAnsi="Arial"/>
          <w:sz w:val="17"/>
          <w:szCs w:val="17"/>
          <w:b w:val="1"/>
          <w:bCs w:val="1"/>
          <w:i w:val="1"/>
          <w:iCs w:val="1"/>
          <w:color w:val="auto"/>
        </w:rPr>
        <w:t>Phase 1—</w:t>
      </w:r>
      <w:r>
        <w:rPr>
          <w:rFonts w:ascii="Arial" w:cs="Arial" w:eastAsia="Arial" w:hAnsi="Arial"/>
          <w:sz w:val="17"/>
          <w:szCs w:val="17"/>
          <w:color w:val="auto"/>
        </w:rPr>
        <w:t>The investigational product is initially introduced into healthy human subjects or patients with the target disease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72" w:lineRule="exact"/>
        <w:rPr>
          <w:rFonts w:ascii="Arial" w:cs="Arial" w:eastAsia="Arial" w:hAnsi="Arial"/>
          <w:sz w:val="17"/>
          <w:szCs w:val="17"/>
          <w:color w:val="auto"/>
        </w:rPr>
      </w:pPr>
    </w:p>
    <w:p>
      <w:pPr>
        <w:ind w:left="1100" w:hanging="205"/>
        <w:spacing w:after="0" w:line="255" w:lineRule="auto"/>
        <w:tabs>
          <w:tab w:leader="none" w:pos="1100" w:val="left"/>
        </w:tabs>
        <w:numPr>
          <w:ilvl w:val="0"/>
          <w:numId w:val="68"/>
        </w:numPr>
        <w:rPr>
          <w:rFonts w:ascii="Arial" w:cs="Arial" w:eastAsia="Arial" w:hAnsi="Arial"/>
          <w:sz w:val="17"/>
          <w:szCs w:val="17"/>
          <w:color w:val="auto"/>
        </w:rPr>
      </w:pPr>
      <w:r>
        <w:rPr>
          <w:rFonts w:ascii="Arial" w:cs="Arial" w:eastAsia="Arial" w:hAnsi="Arial"/>
          <w:sz w:val="17"/>
          <w:szCs w:val="17"/>
          <w:b w:val="1"/>
          <w:bCs w:val="1"/>
          <w:i w:val="1"/>
          <w:iCs w:val="1"/>
          <w:color w:val="auto"/>
        </w:rPr>
        <w:t>Phase 2—</w:t>
      </w:r>
      <w:r>
        <w:rPr>
          <w:rFonts w:ascii="Arial" w:cs="Arial" w:eastAsia="Arial" w:hAnsi="Arial"/>
          <w:sz w:val="17"/>
          <w:szCs w:val="17"/>
          <w:color w:val="auto"/>
        </w:rPr>
        <w:t>The investigational product is administered to a limited patient population with a specified disease or condition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72" w:lineRule="exact"/>
        <w:rPr>
          <w:rFonts w:ascii="Arial" w:cs="Arial" w:eastAsia="Arial" w:hAnsi="Arial"/>
          <w:sz w:val="17"/>
          <w:szCs w:val="17"/>
          <w:color w:val="auto"/>
        </w:rPr>
      </w:pPr>
    </w:p>
    <w:p>
      <w:pPr>
        <w:ind w:left="1100" w:right="140" w:hanging="205"/>
        <w:spacing w:after="0" w:line="255" w:lineRule="auto"/>
        <w:tabs>
          <w:tab w:leader="none" w:pos="1100" w:val="left"/>
        </w:tabs>
        <w:numPr>
          <w:ilvl w:val="0"/>
          <w:numId w:val="68"/>
        </w:numPr>
        <w:rPr>
          <w:rFonts w:ascii="Arial" w:cs="Arial" w:eastAsia="Arial" w:hAnsi="Arial"/>
          <w:sz w:val="17"/>
          <w:szCs w:val="17"/>
          <w:color w:val="auto"/>
        </w:rPr>
      </w:pPr>
      <w:r>
        <w:rPr>
          <w:rFonts w:ascii="Arial" w:cs="Arial" w:eastAsia="Arial" w:hAnsi="Arial"/>
          <w:sz w:val="17"/>
          <w:szCs w:val="17"/>
          <w:b w:val="1"/>
          <w:bCs w:val="1"/>
          <w:i w:val="1"/>
          <w:iCs w:val="1"/>
          <w:color w:val="auto"/>
        </w:rPr>
        <w:t>Phase 3—</w:t>
      </w:r>
      <w:r>
        <w:rPr>
          <w:rFonts w:ascii="Arial" w:cs="Arial" w:eastAsia="Arial" w:hAnsi="Arial"/>
          <w:sz w:val="17"/>
          <w:szCs w:val="17"/>
          <w:color w:val="auto"/>
        </w:rPr>
        <w:t>The investigational product is administered to an expanded patient population to further evaluate dosage, to provide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84"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In some cases, the FDA may require, or companies may voluntarily pursue, additional clinical trials after a product is approved to gain more information about the product. These so 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w:t>
      </w:r>
    </w:p>
    <w:p>
      <w:pPr>
        <w:spacing w:after="0" w:line="12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1000"/>
          </w:cols>
          <w:pgMar w:left="240" w:top="449" w:right="659" w:bottom="1440" w:gutter="0" w:footer="0" w:header="0"/>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300"/>
        <w:spacing w:after="0" w:line="258" w:lineRule="auto"/>
        <w:rPr>
          <w:sz w:val="20"/>
          <w:szCs w:val="20"/>
          <w:color w:val="auto"/>
        </w:rPr>
      </w:pPr>
      <w:r>
        <w:rPr>
          <w:rFonts w:ascii="Arial" w:cs="Arial" w:eastAsia="Arial" w:hAnsi="Arial"/>
          <w:sz w:val="17"/>
          <w:szCs w:val="17"/>
          <w:color w:val="auto"/>
        </w:rPr>
        <w:t>tested and stability studies must be conducted to demonstrate that the product candidate does not undergo unacceptable deterioration over its shelf life.</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BLA Submission and Review</w:t>
      </w:r>
    </w:p>
    <w:p>
      <w:pPr>
        <w:spacing w:after="0" w:line="126" w:lineRule="exact"/>
        <w:rPr>
          <w:sz w:val="20"/>
          <w:szCs w:val="20"/>
          <w:color w:val="auto"/>
        </w:rPr>
      </w:pPr>
    </w:p>
    <w:p>
      <w:pPr>
        <w:ind w:left="380" w:right="140" w:firstLine="534"/>
        <w:spacing w:after="0" w:line="244"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FDA, unless a waiver or exemption applies.</w:t>
      </w:r>
    </w:p>
    <w:p>
      <w:pPr>
        <w:spacing w:after="0" w:line="196" w:lineRule="exact"/>
        <w:rPr>
          <w:sz w:val="20"/>
          <w:szCs w:val="20"/>
          <w:color w:val="auto"/>
        </w:rPr>
      </w:pPr>
    </w:p>
    <w:p>
      <w:pPr>
        <w:ind w:left="380" w:right="20" w:firstLine="534"/>
        <w:spacing w:after="0" w:line="242" w:lineRule="auto"/>
        <w:rPr>
          <w:sz w:val="20"/>
          <w:szCs w:val="20"/>
          <w:color w:val="auto"/>
        </w:rPr>
      </w:pPr>
      <w:r>
        <w:rPr>
          <w:rFonts w:ascii="Arial" w:cs="Arial" w:eastAsia="Arial" w:hAnsi="Arial"/>
          <w:sz w:val="17"/>
          <w:szCs w:val="17"/>
          <w:color w:val="auto"/>
        </w:rPr>
        <w:t>Once a BLA has been submitted,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cGCP.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398"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96" w:lineRule="exact"/>
        <w:rPr>
          <w:sz w:val="20"/>
          <w:szCs w:val="20"/>
          <w:color w:val="auto"/>
        </w:rPr>
      </w:pPr>
    </w:p>
    <w:p>
      <w:pPr>
        <w:ind w:left="380" w:right="20" w:firstLine="534"/>
        <w:spacing w:after="0" w:line="244" w:lineRule="auto"/>
        <w:rPr>
          <w:sz w:val="20"/>
          <w:szCs w:val="20"/>
          <w:color w:val="auto"/>
        </w:rPr>
      </w:pPr>
      <w:r>
        <w:rPr>
          <w:rFonts w:ascii="Arial" w:cs="Arial" w:eastAsia="Arial" w:hAnsi="Arial"/>
          <w:sz w:val="17"/>
          <w:szCs w:val="17"/>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w:t>
      </w:r>
    </w:p>
    <w:p>
      <w:pPr>
        <w:spacing w:after="0" w:line="13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1040"/>
          </w:cols>
          <w:pgMar w:left="240" w:top="449" w:right="61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300"/>
        <w:spacing w:after="0" w:line="245" w:lineRule="auto"/>
        <w:rPr>
          <w:sz w:val="20"/>
          <w:szCs w:val="20"/>
          <w:color w:val="auto"/>
        </w:rPr>
      </w:pPr>
      <w:r>
        <w:rPr>
          <w:rFonts w:ascii="Arial" w:cs="Arial" w:eastAsia="Arial" w:hAnsi="Arial"/>
          <w:sz w:val="17"/>
          <w:szCs w:val="17"/>
          <w:color w:val="auto"/>
        </w:rPr>
        <w:t>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Accelerated Approval Program</w:t>
      </w:r>
    </w:p>
    <w:p>
      <w:pPr>
        <w:spacing w:after="0" w:line="126" w:lineRule="exact"/>
        <w:rPr>
          <w:sz w:val="20"/>
          <w:szCs w:val="20"/>
          <w:color w:val="auto"/>
        </w:rPr>
      </w:pPr>
    </w:p>
    <w:p>
      <w:pPr>
        <w:ind w:left="380" w:right="40" w:firstLine="534"/>
        <w:spacing w:after="0" w:line="245" w:lineRule="auto"/>
        <w:rPr>
          <w:sz w:val="20"/>
          <w:szCs w:val="20"/>
          <w:color w:val="auto"/>
        </w:rPr>
      </w:pPr>
      <w:r>
        <w:rPr>
          <w:rFonts w:ascii="Arial" w:cs="Arial" w:eastAsia="Arial" w:hAnsi="Arial"/>
          <w:sz w:val="17"/>
          <w:szCs w:val="17"/>
          <w:color w:val="auto"/>
        </w:rPr>
        <w:t>Any marketing application for a biologic submitted to the FDA for approval may be eligible for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compared to marketed products. For products containing new molecular entities, priority review designation means the FDA’s goal is to take action on the marketing application within six months of the 60-day filing date (compared with ten months under standard review).</w:t>
      </w:r>
    </w:p>
    <w:p>
      <w:pPr>
        <w:spacing w:after="0" w:line="194" w:lineRule="exact"/>
        <w:rPr>
          <w:sz w:val="20"/>
          <w:szCs w:val="20"/>
          <w:color w:val="auto"/>
        </w:rPr>
      </w:pPr>
    </w:p>
    <w:p>
      <w:pPr>
        <w:ind w:left="380" w:right="40" w:firstLine="534"/>
        <w:spacing w:after="0" w:line="243" w:lineRule="auto"/>
        <w:rPr>
          <w:sz w:val="20"/>
          <w:szCs w:val="20"/>
          <w:color w:val="auto"/>
        </w:rPr>
      </w:pPr>
      <w:r>
        <w:rPr>
          <w:rFonts w:ascii="Arial" w:cs="Arial" w:eastAsia="Arial" w:hAnsi="Arial"/>
          <w:sz w:val="17"/>
          <w:szCs w:val="17"/>
          <w:color w:val="auto"/>
        </w:rPr>
        <w:t>Additionally, products studied for their safety and effectiveness in treating serious or life-threatening diseases or conditions may receive accelerated approval (Subpart H and E regulations)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394" w:lineRule="exact"/>
        <w:rPr>
          <w:sz w:val="20"/>
          <w:szCs w:val="20"/>
          <w:color w:val="auto"/>
        </w:rPr>
      </w:pPr>
    </w:p>
    <w:p>
      <w:pPr>
        <w:ind w:left="380" w:right="160" w:firstLine="534"/>
        <w:spacing w:after="0" w:line="258" w:lineRule="auto"/>
        <w:rPr>
          <w:sz w:val="20"/>
          <w:szCs w:val="20"/>
          <w:color w:val="auto"/>
        </w:rPr>
      </w:pPr>
      <w:r>
        <w:rPr>
          <w:rFonts w:ascii="Arial" w:cs="Arial" w:eastAsia="Arial" w:hAnsi="Arial"/>
          <w:sz w:val="17"/>
          <w:szCs w:val="17"/>
          <w:color w:val="auto"/>
        </w:rPr>
        <w:t>Priority review and accelerated approval do not change the standards for approval but may expedite the development or approval process.</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Orphan Drug Designation</w:t>
      </w:r>
    </w:p>
    <w:p>
      <w:pPr>
        <w:spacing w:after="0" w:line="126"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93" w:lineRule="exact"/>
        <w:rPr>
          <w:sz w:val="20"/>
          <w:szCs w:val="20"/>
          <w:color w:val="auto"/>
        </w:rPr>
      </w:pPr>
    </w:p>
    <w:p>
      <w:pPr>
        <w:ind w:left="380" w:right="320" w:firstLine="534"/>
        <w:spacing w:after="0" w:line="244" w:lineRule="auto"/>
        <w:rPr>
          <w:sz w:val="20"/>
          <w:szCs w:val="20"/>
          <w:color w:val="auto"/>
        </w:rPr>
      </w:pPr>
      <w:r>
        <w:rPr>
          <w:rFonts w:ascii="Arial" w:cs="Arial" w:eastAsia="Arial" w:hAnsi="Arial"/>
          <w:sz w:val="17"/>
          <w:szCs w:val="17"/>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Orphan drug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1040"/>
          </w:cols>
          <w:pgMar w:left="240" w:top="449" w:right="61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180" w:firstLine="534"/>
        <w:spacing w:after="0" w:line="247" w:lineRule="auto"/>
        <w:rPr>
          <w:sz w:val="20"/>
          <w:szCs w:val="20"/>
          <w:color w:val="auto"/>
        </w:rPr>
      </w:pPr>
      <w:r>
        <w:rPr>
          <w:rFonts w:ascii="Arial" w:cs="Arial" w:eastAsia="Arial" w:hAnsi="Arial"/>
          <w:sz w:val="17"/>
          <w:szCs w:val="17"/>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126" w:lineRule="exact"/>
        <w:rPr>
          <w:sz w:val="20"/>
          <w:szCs w:val="20"/>
          <w:color w:val="auto"/>
        </w:rPr>
      </w:pPr>
    </w:p>
    <w:p>
      <w:pPr>
        <w:ind w:left="380" w:firstLine="534"/>
        <w:spacing w:after="0" w:line="242" w:lineRule="auto"/>
        <w:rPr>
          <w:sz w:val="20"/>
          <w:szCs w:val="20"/>
          <w:color w:val="auto"/>
        </w:rPr>
      </w:pPr>
      <w:r>
        <w:rPr>
          <w:rFonts w:ascii="Arial" w:cs="Arial" w:eastAsia="Arial" w:hAnsi="Arial"/>
          <w:sz w:val="17"/>
          <w:szCs w:val="17"/>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201" w:lineRule="exact"/>
        <w:rPr>
          <w:sz w:val="20"/>
          <w:szCs w:val="20"/>
          <w:color w:val="auto"/>
        </w:rPr>
      </w:pPr>
    </w:p>
    <w:p>
      <w:pPr>
        <w:ind w:left="380" w:right="40" w:firstLine="534"/>
        <w:spacing w:after="0" w:line="244"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303" w:lineRule="exact"/>
        <w:rPr>
          <w:sz w:val="20"/>
          <w:szCs w:val="20"/>
          <w:color w:val="auto"/>
        </w:rPr>
      </w:pPr>
    </w:p>
    <w:p>
      <w:pPr>
        <w:ind w:left="1100" w:right="520" w:hanging="205"/>
        <w:spacing w:after="0" w:line="258" w:lineRule="auto"/>
        <w:tabs>
          <w:tab w:leader="none" w:pos="11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a product, complete withdrawal of the product from the market or product recalls;</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fines, warning letters or holds on post-approval clinical studies;</w:t>
      </w:r>
    </w:p>
    <w:p>
      <w:pPr>
        <w:spacing w:after="0" w:line="118" w:lineRule="exact"/>
        <w:rPr>
          <w:rFonts w:ascii="Arial" w:cs="Arial" w:eastAsia="Arial" w:hAnsi="Arial"/>
          <w:sz w:val="17"/>
          <w:szCs w:val="17"/>
          <w:color w:val="auto"/>
        </w:rPr>
      </w:pPr>
    </w:p>
    <w:p>
      <w:pPr>
        <w:ind w:left="1100" w:right="400" w:hanging="205"/>
        <w:spacing w:after="0" w:line="258" w:lineRule="auto"/>
        <w:tabs>
          <w:tab w:leader="none" w:pos="11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refusal of the FDA to approve pending applications or supplements to approved applications, or suspension or revocation of existing product approvals;</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product seizure or detention, or refusal of the FDA to permit the import or export of products; or</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210" w:lineRule="exact"/>
        <w:rPr>
          <w:sz w:val="20"/>
          <w:szCs w:val="20"/>
          <w:color w:val="auto"/>
        </w:rPr>
      </w:pPr>
    </w:p>
    <w:p>
      <w:pPr>
        <w:ind w:left="380" w:right="100" w:firstLine="534"/>
        <w:spacing w:after="0" w:line="244" w:lineRule="auto"/>
        <w:rPr>
          <w:sz w:val="20"/>
          <w:szCs w:val="20"/>
          <w:color w:val="auto"/>
        </w:rPr>
      </w:pPr>
      <w:r>
        <w:rPr>
          <w:rFonts w:ascii="Arial" w:cs="Arial" w:eastAsia="Arial" w:hAnsi="Arial"/>
          <w:sz w:val="17"/>
          <w:szCs w:val="17"/>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w:t>
      </w:r>
    </w:p>
    <w:p>
      <w:pPr>
        <w:spacing w:after="0" w:line="13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1040"/>
          </w:cols>
          <w:pgMar w:left="240" w:top="449" w:right="61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jc w:val="both"/>
        <w:ind w:left="380" w:right="20"/>
        <w:spacing w:after="0" w:line="250" w:lineRule="auto"/>
        <w:rPr>
          <w:sz w:val="20"/>
          <w:szCs w:val="20"/>
          <w:color w:val="auto"/>
        </w:rPr>
      </w:pPr>
      <w:r>
        <w:rPr>
          <w:rFonts w:ascii="Arial" w:cs="Arial" w:eastAsia="Arial" w:hAnsi="Arial"/>
          <w:sz w:val="17"/>
          <w:szCs w:val="17"/>
          <w:color w:val="auto"/>
        </w:rPr>
        <w:t>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Biosimilars and Reference Product Exclusivity</w:t>
      </w:r>
    </w:p>
    <w:p>
      <w:pPr>
        <w:spacing w:after="0" w:line="126" w:lineRule="exact"/>
        <w:rPr>
          <w:sz w:val="20"/>
          <w:szCs w:val="20"/>
          <w:color w:val="auto"/>
        </w:rPr>
      </w:pPr>
    </w:p>
    <w:p>
      <w:pPr>
        <w:ind w:left="380" w:right="20" w:firstLine="534"/>
        <w:spacing w:after="0" w:line="245"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or collectively, the ACA, signed into law in 2010, includes a subtitle called the Biologics Price Competition and Innovation Act of 2009, or BPCIA, which created an abbreviated approval pathway for biological products that are biosimilar to or interchangeable with an FDA-approved reference biological product. To date, a number of biosimilars have been licensed under the BPCIA, and numerous biosimilars have been approved in Europe. The FDA has issued several guidance documents outlining an approach to review and approval of biosimilars.</w:t>
      </w:r>
    </w:p>
    <w:p>
      <w:pPr>
        <w:spacing w:after="0" w:line="194" w:lineRule="exact"/>
        <w:rPr>
          <w:sz w:val="20"/>
          <w:szCs w:val="20"/>
          <w:color w:val="auto"/>
        </w:rPr>
      </w:pPr>
    </w:p>
    <w:p>
      <w:pPr>
        <w:ind w:left="380" w:right="80" w:firstLine="534"/>
        <w:spacing w:after="0" w:line="243" w:lineRule="auto"/>
        <w:rPr>
          <w:sz w:val="20"/>
          <w:szCs w:val="20"/>
          <w:color w:val="auto"/>
        </w:rPr>
      </w:pPr>
      <w:r>
        <w:rPr>
          <w:rFonts w:ascii="Arial" w:cs="Arial" w:eastAsia="Arial" w:hAnsi="Arial"/>
          <w:sz w:val="17"/>
          <w:szCs w:val="17"/>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98"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395" w:lineRule="exact"/>
        <w:rPr>
          <w:sz w:val="20"/>
          <w:szCs w:val="20"/>
          <w:color w:val="auto"/>
        </w:rPr>
      </w:pPr>
    </w:p>
    <w:p>
      <w:pPr>
        <w:ind w:left="380" w:right="140" w:firstLine="534"/>
        <w:spacing w:after="0" w:line="247" w:lineRule="auto"/>
        <w:rPr>
          <w:sz w:val="20"/>
          <w:szCs w:val="20"/>
          <w:color w:val="auto"/>
        </w:rPr>
      </w:pPr>
      <w:r>
        <w:rPr>
          <w:rFonts w:ascii="Arial" w:cs="Arial" w:eastAsia="Arial" w:hAnsi="Arial"/>
          <w:sz w:val="17"/>
          <w:szCs w:val="17"/>
          <w:color w:val="auto"/>
        </w:rPr>
        <w:t>The BPCIA is complex and continues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Other U.S. Healthcare Laws and Compliance Requirements</w:t>
      </w:r>
    </w:p>
    <w:p>
      <w:pPr>
        <w:spacing w:after="0" w:line="126" w:lineRule="exact"/>
        <w:rPr>
          <w:sz w:val="20"/>
          <w:szCs w:val="20"/>
          <w:color w:val="auto"/>
        </w:rPr>
      </w:pPr>
    </w:p>
    <w:p>
      <w:pPr>
        <w:ind w:left="380" w:right="140" w:firstLine="534"/>
        <w:spacing w:after="0" w:line="244" w:lineRule="auto"/>
        <w:rPr>
          <w:sz w:val="20"/>
          <w:szCs w:val="20"/>
          <w:color w:val="auto"/>
        </w:rPr>
      </w:pPr>
      <w:r>
        <w:rPr>
          <w:rFonts w:ascii="Arial" w:cs="Arial" w:eastAsia="Arial" w:hAnsi="Arial"/>
          <w:sz w:val="17"/>
          <w:szCs w:val="17"/>
          <w:color w:val="auto"/>
        </w:rPr>
        <w:t>In the United States, our current and future operations are subject to regulation by various federal, state and local authorities in addition to the FDA, including but not limited to, the Centers for Medicare and Medicaid Services, or CMS, other divisions of the U.S. Department of Health and Human Services, or HHS (such as the Office of Inspector General, Office for Civil Rights and the Health Resources and Service Administration), the U.S. Department of Justice, or DOJ, and individual U.S. Attorney offices within the DOJ, and state and local governments. For example, our clinical research, sales, marketing and scientific/educational grant programs may have to comply with the anti-fraud and</w:t>
      </w:r>
    </w:p>
    <w:p>
      <w:pPr>
        <w:spacing w:after="0" w:line="13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148</w:t>
      </w:r>
    </w:p>
    <w:p>
      <w:pPr>
        <w:sectPr>
          <w:pgSz w:w="11900" w:h="16838" w:orient="portrait"/>
          <w:cols w:equalWidth="0" w:num="1">
            <w:col w:w="11020"/>
          </w:cols>
          <w:pgMar w:left="240" w:top="449" w:right="63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200"/>
        <w:spacing w:after="0" w:line="258" w:lineRule="auto"/>
        <w:rPr>
          <w:sz w:val="20"/>
          <w:szCs w:val="20"/>
          <w:color w:val="auto"/>
        </w:rPr>
      </w:pPr>
      <w:r>
        <w:rPr>
          <w:rFonts w:ascii="Arial" w:cs="Arial" w:eastAsia="Arial" w:hAnsi="Arial"/>
          <w:sz w:val="17"/>
          <w:szCs w:val="17"/>
          <w:color w:val="auto"/>
        </w:rPr>
        <w:t>abuse provisions of the Social Security Act, the false claims laws, the privacy and security provisions of the Health Insurance Portability and Accountability Act, or HIPAA, and similar state laws, each as amended, as applicable.</w:t>
      </w:r>
    </w:p>
    <w:p>
      <w:pPr>
        <w:spacing w:after="0" w:line="182" w:lineRule="exact"/>
        <w:rPr>
          <w:sz w:val="20"/>
          <w:szCs w:val="20"/>
          <w:color w:val="auto"/>
        </w:rPr>
      </w:pPr>
    </w:p>
    <w:p>
      <w:pPr>
        <w:ind w:left="380" w:right="40" w:firstLine="534"/>
        <w:spacing w:after="0" w:line="242" w:lineRule="auto"/>
        <w:rPr>
          <w:sz w:val="20"/>
          <w:szCs w:val="20"/>
          <w:color w:val="auto"/>
        </w:rPr>
      </w:pPr>
      <w:r>
        <w:rPr>
          <w:rFonts w:ascii="Arial" w:cs="Arial" w:eastAsia="Arial" w:hAnsi="Arial"/>
          <w:sz w:val="17"/>
          <w:szCs w:val="17"/>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in whole or in part, under Medicare, Medicaid or other federal healthcare programs. The term remuneration has been interpreted broadly to include anything of value. The Anti-Kickback Statute has been interpreted to apply to arrangements between therapeutic product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 -Kickback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201" w:lineRule="exact"/>
        <w:rPr>
          <w:sz w:val="20"/>
          <w:szCs w:val="20"/>
          <w:color w:val="auto"/>
        </w:rPr>
      </w:pPr>
    </w:p>
    <w:p>
      <w:pPr>
        <w:ind w:left="380" w:right="140" w:firstLine="534"/>
        <w:spacing w:after="0" w:line="244" w:lineRule="auto"/>
        <w:rPr>
          <w:sz w:val="20"/>
          <w:szCs w:val="20"/>
          <w:color w:val="auto"/>
        </w:rPr>
      </w:pPr>
      <w:r>
        <w:rPr>
          <w:rFonts w:ascii="Arial" w:cs="Arial" w:eastAsia="Arial" w:hAnsi="Arial"/>
          <w:sz w:val="17"/>
          <w:szCs w:val="17"/>
          <w:color w:val="auto"/>
        </w:rPr>
        <w:t>Additionally, the intent standard under the Anti-Kickback Statute was amended by the Patient Protection and Affordable Care Act, as amended by the Health Care and Education Reconciliation Act of 2010, or Affordable Care Act, to a stricter standard such that a person or entity no longer needs to have actual knowledge of the statute or specific intent to violate it in order to have committed a violation. In addition, the Affordable Care Act codified case law that a claim including items or services resulting from a violation of the federal Anti-Kickback Statute constitutes a false or fraudulent claim for purposes of the federal False Claims Act, or FCA (discussed below).</w:t>
      </w:r>
    </w:p>
    <w:p>
      <w:pPr>
        <w:spacing w:after="0" w:line="394" w:lineRule="exact"/>
        <w:rPr>
          <w:sz w:val="20"/>
          <w:szCs w:val="20"/>
          <w:color w:val="auto"/>
        </w:rPr>
      </w:pPr>
    </w:p>
    <w:p>
      <w:pPr>
        <w:ind w:left="380" w:right="100" w:firstLine="534"/>
        <w:spacing w:after="0" w:line="243" w:lineRule="auto"/>
        <w:rPr>
          <w:sz w:val="20"/>
          <w:szCs w:val="20"/>
          <w:color w:val="auto"/>
        </w:rPr>
      </w:pPr>
      <w:r>
        <w:rPr>
          <w:rFonts w:ascii="Arial" w:cs="Arial" w:eastAsia="Arial" w:hAnsi="Arial"/>
          <w:sz w:val="17"/>
          <w:szCs w:val="17"/>
          <w:color w:val="auto"/>
        </w:rPr>
        <w:t>The federal false claims and civil monetary penalty laws, including the FCA, which imposes significant penalties and can be enforced by private citizens through civil qui tam actions, prohibit any person or entity from, among other things, knowingly presenting, or causing to be presented, a false or fraudulent claim for payment to, or approval by, the federal government, including federal healthcare programs, such as Medicare and Medicaid, knowingly making, using, or causing to be made or used a false record or statement material to a false or fraudulent claim to the federal government, or knowingly making a false statement to improperly avoid, decrease or conceal an obligation to pay money to the federal government. A claim includes “any request or demand” for money or property presented to the U.S. government. For instance, historically,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off-label, and thus generally non-reimbursable, uses.</w:t>
      </w:r>
    </w:p>
    <w:p>
      <w:pPr>
        <w:spacing w:after="0" w:line="195"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Affordable Care Act amended the intent standard for certain healthcare fraud statutes under HIPAA such that a person or entity no longer needs to have actual knowledge of the statute or specific intent to violate it in order to have committed a violation.</w:t>
      </w:r>
    </w:p>
    <w:p>
      <w:pPr>
        <w:spacing w:after="0" w:line="13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149</w:t>
      </w:r>
    </w:p>
    <w:p>
      <w:pPr>
        <w:sectPr>
          <w:pgSz w:w="11900" w:h="16838" w:orient="portrait"/>
          <w:cols w:equalWidth="0" w:num="1">
            <w:col w:w="11000"/>
          </w:cols>
          <w:pgMar w:left="240" w:top="449" w:right="65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520" w:firstLine="534"/>
        <w:spacing w:after="0" w:line="258" w:lineRule="auto"/>
        <w:rPr>
          <w:sz w:val="20"/>
          <w:szCs w:val="20"/>
          <w:color w:val="auto"/>
        </w:rPr>
      </w:pPr>
      <w:r>
        <w:rPr>
          <w:rFonts w:ascii="Arial" w:cs="Arial" w:eastAsia="Arial" w:hAnsi="Arial"/>
          <w:sz w:val="17"/>
          <w:szCs w:val="17"/>
          <w:color w:val="auto"/>
        </w:rPr>
        <w:t>Also, many states have similar, and typically more prohibitive, fraud and abuse statutes or regulations that apply to items and services reimbursed under Medicaid and other state programs, or, in several states, apply regardless of the payor.</w:t>
      </w:r>
    </w:p>
    <w:p>
      <w:pPr>
        <w:spacing w:after="0" w:line="182" w:lineRule="exact"/>
        <w:rPr>
          <w:sz w:val="20"/>
          <w:szCs w:val="20"/>
          <w:color w:val="auto"/>
        </w:rPr>
      </w:pPr>
    </w:p>
    <w:p>
      <w:pPr>
        <w:ind w:left="380" w:right="40" w:firstLine="534"/>
        <w:spacing w:after="0" w:line="242" w:lineRule="auto"/>
        <w:rPr>
          <w:sz w:val="20"/>
          <w:szCs w:val="20"/>
          <w:color w:val="auto"/>
        </w:rPr>
      </w:pPr>
      <w:r>
        <w:rPr>
          <w:rFonts w:ascii="Arial" w:cs="Arial" w:eastAsia="Arial" w:hAnsi="Arial"/>
          <w:sz w:val="17"/>
          <w:szCs w:val="17"/>
          <w:color w:val="auto"/>
        </w:rPr>
        <w:t>We may be subject to data privacy and security regulations by both the federal government and the states in which we conduct our business. HIPAA, as amended by the Health Information Technology for Economic and Clinical Health Act, or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are often not pre-empted by HIPAA, and may have a more prohibitive effect than HIPAA, thus complicating compliance efforts.</w:t>
      </w:r>
    </w:p>
    <w:p>
      <w:pPr>
        <w:spacing w:after="0" w:line="399"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We may develop products that, once approved, may be administered by a physician. Under currently applicable U.S. law, certain products not usually self-administered (including injectable drugs) may be eligible for coverage under Medicare through Medicare Part B. Medicare Part B is part of original Medicare, the federal health care program that provides health care benefits to the aged and disabled, and covers outpatient services and supplies, including certain pharmaceutical products, that are medically necessary to treat a beneficiary’s health condition. As a condition of receiving Medicare Part B reimbursement for a manufacturer’s eligible drugs, the manufacturer is required to participate in other government healthcare programs, including the Medicaid Drug Rebate Program and the 340B Drug Pricing Program. The Medicaid Drug Rebate Program requires pharmaceutical manufacturers to enter into and have in effect a national rebate agreement with the Secretary of HHS as a condition for states to receive federal matching funds for the manufacturer’s outpatient drugs furnished to Medicaid patients. Under the 340B Drug Pricing Program, the manufacturer must extend discounts to entities that participate in the program.</w:t>
      </w:r>
    </w:p>
    <w:p>
      <w:pPr>
        <w:spacing w:after="0" w:line="392" w:lineRule="exact"/>
        <w:rPr>
          <w:sz w:val="20"/>
          <w:szCs w:val="20"/>
          <w:color w:val="auto"/>
        </w:rPr>
      </w:pPr>
    </w:p>
    <w:p>
      <w:pPr>
        <w:ind w:left="380" w:right="40" w:firstLine="534"/>
        <w:spacing w:after="0" w:line="244" w:lineRule="auto"/>
        <w:rPr>
          <w:sz w:val="20"/>
          <w:szCs w:val="20"/>
          <w:color w:val="auto"/>
        </w:rPr>
      </w:pPr>
      <w:r>
        <w:rPr>
          <w:rFonts w:ascii="Arial" w:cs="Arial" w:eastAsia="Arial" w:hAnsi="Arial"/>
          <w:sz w:val="17"/>
          <w:szCs w:val="17"/>
          <w:color w:val="auto"/>
        </w:rPr>
        <w:t>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It is difficult to predict how Medicare coverage and reimbursement policies will be applied to our products in the future and coverage and reimbursement under different federal healthcare programs are not always consistent. Medicare reimbursement rates may also reflect budgetary constraints placed on the Medicare program.</w:t>
      </w:r>
    </w:p>
    <w:p>
      <w:pPr>
        <w:spacing w:after="0" w:line="193" w:lineRule="exact"/>
        <w:rPr>
          <w:sz w:val="20"/>
          <w:szCs w:val="20"/>
          <w:color w:val="auto"/>
        </w:rPr>
      </w:pPr>
    </w:p>
    <w:p>
      <w:pPr>
        <w:ind w:left="380" w:right="80" w:firstLine="534"/>
        <w:spacing w:after="0" w:line="244" w:lineRule="auto"/>
        <w:rPr>
          <w:sz w:val="20"/>
          <w:szCs w:val="20"/>
          <w:color w:val="auto"/>
        </w:rPr>
      </w:pPr>
      <w:r>
        <w:rPr>
          <w:rFonts w:ascii="Arial" w:cs="Arial" w:eastAsia="Arial" w:hAnsi="Arial"/>
          <w:sz w:val="17"/>
          <w:szCs w:val="17"/>
          <w:color w:val="auto"/>
        </w:rPr>
        <w:t>Additionally, the federal Physician Payments Sunshine Act, or the Sunshine Act, within the Affordable Care Act,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Failure to report accurately could result in penalties.</w:t>
      </w:r>
    </w:p>
    <w:p>
      <w:pPr>
        <w:spacing w:after="0" w:line="13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1040"/>
          </w:cols>
          <w:pgMar w:left="240" w:top="449" w:right="619"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580"/>
        <w:spacing w:after="0" w:line="250" w:lineRule="auto"/>
        <w:rPr>
          <w:sz w:val="20"/>
          <w:szCs w:val="20"/>
          <w:color w:val="auto"/>
        </w:rPr>
      </w:pPr>
      <w:r>
        <w:rPr>
          <w:rFonts w:ascii="Arial" w:cs="Arial" w:eastAsia="Arial" w:hAnsi="Arial"/>
          <w:sz w:val="17"/>
          <w:szCs w:val="17"/>
          <w:color w:val="auto"/>
        </w:rPr>
        <w:t>In addition, many states also govern the reporting of payments or other transfers of value, many of which differ from each other in significant ways, are often not pre-empted, and may have a more prohibitive effect than the Sunshine Act, thus further complicating compliance efforts.</w:t>
      </w:r>
    </w:p>
    <w:p>
      <w:pPr>
        <w:spacing w:after="0" w:line="188" w:lineRule="exact"/>
        <w:rPr>
          <w:sz w:val="20"/>
          <w:szCs w:val="20"/>
          <w:color w:val="auto"/>
        </w:rPr>
      </w:pPr>
    </w:p>
    <w:p>
      <w:pPr>
        <w:ind w:left="380" w:right="80" w:firstLine="534"/>
        <w:spacing w:after="0" w:line="242" w:lineRule="auto"/>
        <w:rPr>
          <w:sz w:val="20"/>
          <w:szCs w:val="20"/>
          <w:color w:val="auto"/>
        </w:rPr>
      </w:pPr>
      <w:r>
        <w:rPr>
          <w:rFonts w:ascii="Arial" w:cs="Arial" w:eastAsia="Arial" w:hAnsi="Arial"/>
          <w:sz w:val="17"/>
          <w:szCs w:val="17"/>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399"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Ensuring business arrangements with third parties comply with applicable healthcare laws and regulations is a costly endeavor. If our operations are found to be in violation of any of the federal and state healthcare laws described above or any other current or future governmental regulations that apply to us, we may be subject to 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28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Coverage, Pricing and Reimbursement</w:t>
      </w:r>
    </w:p>
    <w:p>
      <w:pPr>
        <w:spacing w:after="0" w:line="126" w:lineRule="exact"/>
        <w:rPr>
          <w:sz w:val="20"/>
          <w:szCs w:val="20"/>
          <w:color w:val="auto"/>
        </w:rPr>
      </w:pPr>
    </w:p>
    <w:p>
      <w:pPr>
        <w:ind w:left="380" w:right="60" w:firstLine="534"/>
        <w:spacing w:after="0" w:line="244"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may obtain regulatory approval. In the United States and in foreign markets, sales of any products for which we receive regulatory approval for commercial sale will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Adequate coverage and reimbursement from governmental healthcare programs, such as Medicare and Medicaid in the United States, and commercial payors are critical to new product acceptance.</w:t>
      </w:r>
    </w:p>
    <w:p>
      <w:pPr>
        <w:spacing w:after="0" w:line="196" w:lineRule="exact"/>
        <w:rPr>
          <w:sz w:val="20"/>
          <w:szCs w:val="20"/>
          <w:color w:val="auto"/>
        </w:rPr>
      </w:pPr>
    </w:p>
    <w:p>
      <w:pPr>
        <w:ind w:left="380" w:right="40" w:firstLine="534"/>
        <w:spacing w:after="0" w:line="245" w:lineRule="auto"/>
        <w:rPr>
          <w:sz w:val="20"/>
          <w:szCs w:val="20"/>
          <w:color w:val="auto"/>
        </w:rPr>
      </w:pPr>
      <w:r>
        <w:rPr>
          <w:rFonts w:ascii="Arial" w:cs="Arial" w:eastAsia="Arial" w:hAnsi="Arial"/>
          <w:sz w:val="17"/>
          <w:szCs w:val="17"/>
          <w:color w:val="auto"/>
        </w:rPr>
        <w:t>Our ability to commercialize any products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therapeutics they will pay for and establish reimbursement levels. Coverage and reimbursement by a third-party payor may depend upon a number of factors, including the third-party payor’s determination that use of a therapeutic is:</w:t>
      </w:r>
    </w:p>
    <w:p>
      <w:pPr>
        <w:spacing w:after="0" w:line="102" w:lineRule="exact"/>
        <w:rPr>
          <w:sz w:val="20"/>
          <w:szCs w:val="20"/>
          <w:color w:val="auto"/>
        </w:rPr>
      </w:pPr>
    </w:p>
    <w:p>
      <w:pPr>
        <w:ind w:left="900"/>
        <w:spacing w:after="0"/>
        <w:tabs>
          <w:tab w:leader="none" w:pos="1080" w:val="left"/>
        </w:tabs>
        <w:rPr>
          <w:sz w:val="20"/>
          <w:szCs w:val="20"/>
          <w:color w:val="auto"/>
        </w:rPr>
      </w:pPr>
      <w:r>
        <w:rPr>
          <w:rFonts w:ascii="Arial" w:cs="Arial" w:eastAsia="Arial" w:hAnsi="Arial"/>
          <w:sz w:val="17"/>
          <w:szCs w:val="17"/>
          <w:color w:val="auto"/>
        </w:rPr>
        <w:t>•</w:t>
        <w:tab/>
        <w:t>a covered benefit under its health plan;</w:t>
      </w:r>
    </w:p>
    <w:p>
      <w:pPr>
        <w:spacing w:after="0" w:line="14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1040"/>
          </w:cols>
          <w:pgMar w:left="240" w:top="449" w:right="61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1100" w:hanging="205"/>
        <w:spacing w:after="0"/>
        <w:tabs>
          <w:tab w:leader="none" w:pos="11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safe, effective and medically necessary;</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appropriate for the specific patient;</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cost-effective; and</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neither experimental nor investigational.</w:t>
      </w:r>
    </w:p>
    <w:p>
      <w:pPr>
        <w:spacing w:after="0" w:line="210" w:lineRule="exact"/>
        <w:rPr>
          <w:sz w:val="20"/>
          <w:szCs w:val="20"/>
          <w:color w:val="auto"/>
        </w:rPr>
      </w:pPr>
    </w:p>
    <w:p>
      <w:pPr>
        <w:ind w:left="380" w:firstLine="534"/>
        <w:spacing w:after="0" w:line="247" w:lineRule="auto"/>
        <w:rPr>
          <w:sz w:val="20"/>
          <w:szCs w:val="20"/>
          <w:color w:val="auto"/>
        </w:rPr>
      </w:pPr>
      <w:r>
        <w:rPr>
          <w:rFonts w:ascii="Arial" w:cs="Arial" w:eastAsia="Arial" w:hAnsi="Arial"/>
          <w:sz w:val="17"/>
          <w:szCs w:val="17"/>
          <w:color w:val="auto"/>
        </w:rPr>
        <w:t>We cannot be sure that reimbursement will be available for any product that we commercialize and, if coverage and reimbursement are available, what the level of reimbursement will be. Coverage may also be more limited than the purposes for which the product is approved by the FDA or comparable foreign regulatory authorities. Reimbursement may impact the demand for, or the price of, any product for which we obtain regulatory approval.</w:t>
      </w:r>
    </w:p>
    <w:p>
      <w:pPr>
        <w:spacing w:after="0" w:line="190" w:lineRule="exact"/>
        <w:rPr>
          <w:sz w:val="20"/>
          <w:szCs w:val="20"/>
          <w:color w:val="auto"/>
        </w:rPr>
      </w:pPr>
    </w:p>
    <w:p>
      <w:pPr>
        <w:ind w:left="380" w:right="20" w:firstLine="534"/>
        <w:spacing w:after="0" w:line="242" w:lineRule="auto"/>
        <w:rPr>
          <w:sz w:val="20"/>
          <w:szCs w:val="20"/>
          <w:color w:val="auto"/>
        </w:rPr>
      </w:pPr>
      <w:r>
        <w:rPr>
          <w:rFonts w:ascii="Arial" w:cs="Arial" w:eastAsia="Arial" w:hAnsi="Arial"/>
          <w:sz w:val="17"/>
          <w:szCs w:val="17"/>
          <w:color w:val="auto"/>
        </w:rPr>
        <w:t>Third-party payors are increasingly challenging the price, examining the medical necessity, and reviewing the cost-effectiveness of medical products, therapies and services, in addition to questioning their safety and efficacy. Obtaining reimbursement for our products may be particularly difficult because of the higher prices often associated with branded drugs and drugs administered under the supervision of a physician. We may need to conduct expensive pharmacoeconomic studies in order to demonstrate the medical necessity and cost-effectiveness of our products, in addition to the costs required to obtain FDA approvals. Our product candidates may not be considered medically necessary or cost-effective. Obtaining coverage and reimbursement approval of a product from a government or other third-party payor is a time-consuming and costly process that could require us to provide to each payor supporting scientific, clinical and cost-effectiveness data for the use of our product on a payor-by-payor basis, with no assurance that coverage and adequate reimbursement will be obtained.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 If reimbursement is not available or is available only at limited levels, we may not be able to successfully commercialize any product candidate that we successfully develop.</w:t>
      </w:r>
    </w:p>
    <w:p>
      <w:pPr>
        <w:spacing w:after="0" w:line="201" w:lineRule="exact"/>
        <w:rPr>
          <w:sz w:val="20"/>
          <w:szCs w:val="20"/>
          <w:color w:val="auto"/>
        </w:rPr>
      </w:pPr>
    </w:p>
    <w:p>
      <w:pPr>
        <w:ind w:left="380" w:right="60" w:firstLine="534"/>
        <w:spacing w:after="0" w:line="243" w:lineRule="auto"/>
        <w:rPr>
          <w:sz w:val="20"/>
          <w:szCs w:val="20"/>
          <w:color w:val="auto"/>
        </w:rPr>
      </w:pPr>
      <w:r>
        <w:rPr>
          <w:rFonts w:ascii="Arial" w:cs="Arial" w:eastAsia="Arial" w:hAnsi="Arial"/>
          <w:sz w:val="17"/>
          <w:szCs w:val="17"/>
          <w:color w:val="auto"/>
        </w:rPr>
        <w:t>Different pricing and reimbursement schemes exist in other countries. In the European Union,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394" w:lineRule="exact"/>
        <w:rPr>
          <w:sz w:val="20"/>
          <w:szCs w:val="20"/>
          <w:color w:val="auto"/>
        </w:rPr>
      </w:pPr>
    </w:p>
    <w:p>
      <w:pPr>
        <w:ind w:left="380" w:right="180" w:firstLine="534"/>
        <w:spacing w:after="0" w:line="244" w:lineRule="auto"/>
        <w:rPr>
          <w:sz w:val="20"/>
          <w:szCs w:val="20"/>
          <w:color w:val="auto"/>
        </w:rPr>
      </w:pPr>
      <w:r>
        <w:rPr>
          <w:rFonts w:ascii="Arial" w:cs="Arial" w:eastAsia="Arial" w:hAnsi="Arial"/>
          <w:sz w:val="17"/>
          <w:szCs w:val="17"/>
          <w:color w:val="auto"/>
        </w:rPr>
        <w:t>The marketability of any product candidates for which we receive regulatory approval for commercial sale may suffer if the government and third-party payors fail to provide adequate coverage and reimbursement. In addition, emphasis on managed care, the increasing influence of health maintenance organizations, and additional legislative changes in the United States has increased, and we expect will continue to increase, the pressure on healthcare pricing. The downward pressure on the rise in healthcare costs in general, particularly prescription medicines, medical devices and surgical procedures and other treatments, has become very intense. Coverage policies and third-party reimbursement rates may change at any time. Even if favorable coverage and reimbursement status is</w:t>
      </w:r>
    </w:p>
    <w:p>
      <w:pPr>
        <w:spacing w:after="0" w:line="13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1020"/>
          </w:cols>
          <w:pgMar w:left="240" w:top="449" w:right="639" w:bottom="1440" w:gutter="0" w:footer="0" w:header="0"/>
        </w:sectPr>
      </w:pP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360"/>
        <w:spacing w:after="0" w:line="258" w:lineRule="auto"/>
        <w:rPr>
          <w:sz w:val="20"/>
          <w:szCs w:val="20"/>
          <w:color w:val="auto"/>
        </w:rPr>
      </w:pPr>
      <w:r>
        <w:rPr>
          <w:rFonts w:ascii="Arial" w:cs="Arial" w:eastAsia="Arial" w:hAnsi="Arial"/>
          <w:sz w:val="17"/>
          <w:szCs w:val="17"/>
          <w:color w:val="auto"/>
        </w:rPr>
        <w:t>attained for one or more products for which we receive regulatory approval, less favorable coverage policies and reimbursement rates may be implemented in the future.</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Healthcare Reform</w:t>
      </w:r>
    </w:p>
    <w:p>
      <w:pPr>
        <w:spacing w:after="0" w:line="126"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the ability to profitably sell product candidates for which marketing approval is obtained.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96" w:lineRule="exact"/>
        <w:rPr>
          <w:sz w:val="20"/>
          <w:szCs w:val="20"/>
          <w:color w:val="auto"/>
        </w:rPr>
      </w:pPr>
    </w:p>
    <w:p>
      <w:pPr>
        <w:ind w:left="380" w:right="160" w:firstLine="534"/>
        <w:spacing w:after="0" w:line="250" w:lineRule="auto"/>
        <w:rPr>
          <w:sz w:val="20"/>
          <w:szCs w:val="20"/>
          <w:color w:val="auto"/>
        </w:rPr>
      </w:pPr>
      <w:r>
        <w:rPr>
          <w:rFonts w:ascii="Arial" w:cs="Arial" w:eastAsia="Arial" w:hAnsi="Arial"/>
          <w:sz w:val="17"/>
          <w:szCs w:val="17"/>
          <w:color w:val="auto"/>
        </w:rPr>
        <w:t>For example, the Affordable Care Act has substantially changed healthcare financing and delivery by both governmental and private insurers. Among the Affordable Care Act provisions of importance to the pharmaceutical and biotechnology industries, in addition to those otherwise described above, are the following:</w:t>
      </w:r>
    </w:p>
    <w:p>
      <w:pPr>
        <w:spacing w:after="0" w:line="96" w:lineRule="exact"/>
        <w:rPr>
          <w:sz w:val="20"/>
          <w:szCs w:val="20"/>
          <w:color w:val="auto"/>
        </w:rPr>
      </w:pPr>
    </w:p>
    <w:p>
      <w:pPr>
        <w:ind w:left="1100" w:right="60" w:hanging="205"/>
        <w:spacing w:after="0" w:line="250" w:lineRule="auto"/>
        <w:tabs>
          <w:tab w:leader="none" w:pos="11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specified branded prescription drugs and biologic agents apportioned among these entities according to their market share in some government healthcare programs that began in 2011;</w:t>
      </w:r>
    </w:p>
    <w:p>
      <w:pPr>
        <w:spacing w:after="0" w:line="96" w:lineRule="exact"/>
        <w:rPr>
          <w:rFonts w:ascii="Arial" w:cs="Arial" w:eastAsia="Arial" w:hAnsi="Arial"/>
          <w:sz w:val="17"/>
          <w:szCs w:val="17"/>
          <w:color w:val="auto"/>
        </w:rPr>
      </w:pPr>
    </w:p>
    <w:p>
      <w:pPr>
        <w:ind w:left="1100" w:right="80" w:hanging="205"/>
        <w:spacing w:after="0" w:line="250" w:lineRule="auto"/>
        <w:tabs>
          <w:tab w:leader="none" w:pos="11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 increase in the statutory minimum rebates a manufacturer must pay under the Medicaid Drug Rebate Program, retroactive to January 1, 2010, to 23.1% and 13% of the average manufacturer price for most branded and generic drugs, respectively, and capped the total rebate amount for innovator drugs at 100% of the Average Manufacturer Price, or AMP;</w:t>
      </w:r>
    </w:p>
    <w:p>
      <w:pPr>
        <w:spacing w:after="0" w:line="96" w:lineRule="exact"/>
        <w:rPr>
          <w:rFonts w:ascii="Arial" w:cs="Arial" w:eastAsia="Arial" w:hAnsi="Arial"/>
          <w:sz w:val="17"/>
          <w:szCs w:val="17"/>
          <w:color w:val="auto"/>
        </w:rPr>
      </w:pPr>
    </w:p>
    <w:p>
      <w:pPr>
        <w:ind w:left="1100" w:right="20" w:hanging="205"/>
        <w:spacing w:after="0" w:line="247" w:lineRule="auto"/>
        <w:tabs>
          <w:tab w:leader="none" w:pos="11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 new Medicare Part D coverage gap discount program, in which manufacturers must agree to offer 50% point-of-sale discounts, which through subsequent legislative amendments, will be increased to 70%, starting in 2019, off negotiated prices of applicable brand drugs to eligible beneficiaries during their coverage gap period, as a condition for the manufacturers’ outpatient drugs to be covered under Medicare Part D;</w:t>
      </w:r>
    </w:p>
    <w:p>
      <w:pPr>
        <w:spacing w:after="0" w:line="98" w:lineRule="exact"/>
        <w:rPr>
          <w:rFonts w:ascii="Arial" w:cs="Arial" w:eastAsia="Arial" w:hAnsi="Arial"/>
          <w:sz w:val="17"/>
          <w:szCs w:val="17"/>
          <w:color w:val="auto"/>
        </w:rPr>
      </w:pPr>
    </w:p>
    <w:p>
      <w:pPr>
        <w:ind w:left="1100" w:right="400" w:hanging="205"/>
        <w:spacing w:after="0" w:line="258" w:lineRule="auto"/>
        <w:tabs>
          <w:tab w:leader="none" w:pos="11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extension of manufacturers’ Medicaid rebate liability to covered drugs dispensed to individuals who are enrolled in Medicaid managed care organizations;</w:t>
      </w:r>
    </w:p>
    <w:p>
      <w:pPr>
        <w:spacing w:after="0" w:line="90" w:lineRule="exact"/>
        <w:rPr>
          <w:rFonts w:ascii="Arial" w:cs="Arial" w:eastAsia="Arial" w:hAnsi="Arial"/>
          <w:sz w:val="17"/>
          <w:szCs w:val="17"/>
          <w:color w:val="auto"/>
        </w:rPr>
      </w:pPr>
    </w:p>
    <w:p>
      <w:pPr>
        <w:ind w:left="1100" w:right="460" w:hanging="205"/>
        <w:spacing w:after="0" w:line="250" w:lineRule="auto"/>
        <w:tabs>
          <w:tab w:leader="none" w:pos="11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expansion of eligibility criteria for Medicaid programs by, among other things, allowing states to offer Medicaid coverage to additional individuals beginning in 2014 and by adding new mandatory eligibility categories for individuals with income at or below 133% of the federal poverty level, thereby potentially increasing manufacturers’ Medicaid rebate liability;</w:t>
      </w:r>
    </w:p>
    <w:p>
      <w:pPr>
        <w:spacing w:after="0" w:line="96" w:lineRule="exact"/>
        <w:rPr>
          <w:rFonts w:ascii="Arial" w:cs="Arial" w:eastAsia="Arial" w:hAnsi="Arial"/>
          <w:sz w:val="17"/>
          <w:szCs w:val="17"/>
          <w:color w:val="auto"/>
        </w:rPr>
      </w:pPr>
    </w:p>
    <w:p>
      <w:pPr>
        <w:ind w:left="1100" w:hanging="205"/>
        <w:spacing w:after="0"/>
        <w:tabs>
          <w:tab w:leader="none" w:pos="11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expansion of the entities eligible for discounts under the 340B Drug Discount Program;</w:t>
      </w:r>
    </w:p>
    <w:p>
      <w:pPr>
        <w:spacing w:after="0" w:line="118" w:lineRule="exact"/>
        <w:rPr>
          <w:rFonts w:ascii="Arial" w:cs="Arial" w:eastAsia="Arial" w:hAnsi="Arial"/>
          <w:sz w:val="17"/>
          <w:szCs w:val="17"/>
          <w:color w:val="auto"/>
        </w:rPr>
      </w:pPr>
    </w:p>
    <w:p>
      <w:pPr>
        <w:ind w:left="1100" w:right="780" w:hanging="205"/>
        <w:spacing w:after="0" w:line="258" w:lineRule="auto"/>
        <w:tabs>
          <w:tab w:leader="none" w:pos="11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w:t>
      </w:r>
    </w:p>
    <w:p>
      <w:pPr>
        <w:spacing w:after="0" w:line="90" w:lineRule="exact"/>
        <w:rPr>
          <w:rFonts w:ascii="Arial" w:cs="Arial" w:eastAsia="Arial" w:hAnsi="Arial"/>
          <w:sz w:val="17"/>
          <w:szCs w:val="17"/>
          <w:color w:val="auto"/>
        </w:rPr>
      </w:pPr>
    </w:p>
    <w:p>
      <w:pPr>
        <w:ind w:left="1100" w:right="160" w:hanging="205"/>
        <w:spacing w:after="0" w:line="258" w:lineRule="auto"/>
        <w:tabs>
          <w:tab w:leader="none" w:pos="11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expansion of healthcare fraud and abuse laws, including the FCA and the Anti-Kickback Statute, new government investigative powers, and enhanced penalties for noncompliance;</w:t>
      </w:r>
    </w:p>
    <w:p>
      <w:pPr>
        <w:spacing w:after="0" w:line="90" w:lineRule="exact"/>
        <w:rPr>
          <w:rFonts w:ascii="Arial" w:cs="Arial" w:eastAsia="Arial" w:hAnsi="Arial"/>
          <w:sz w:val="17"/>
          <w:szCs w:val="17"/>
          <w:color w:val="auto"/>
        </w:rPr>
      </w:pPr>
    </w:p>
    <w:p>
      <w:pPr>
        <w:ind w:left="1100" w:right="40" w:hanging="205"/>
        <w:spacing w:after="0" w:line="258" w:lineRule="auto"/>
        <w:tabs>
          <w:tab w:leader="none" w:pos="11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 new methodology by which rebates owed by manufacturers under the Medicaid Drug Rebate Program are calculated for drugs that are inhaled, infused, instilled, implanted, or injected;</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requirements to report certain financial arrangements with physicians and teaching hospitals;</w:t>
      </w:r>
    </w:p>
    <w:p>
      <w:pPr>
        <w:spacing w:after="0" w:line="118" w:lineRule="exact"/>
        <w:rPr>
          <w:rFonts w:ascii="Arial" w:cs="Arial" w:eastAsia="Arial" w:hAnsi="Arial"/>
          <w:sz w:val="17"/>
          <w:szCs w:val="17"/>
          <w:color w:val="auto"/>
        </w:rPr>
      </w:pPr>
    </w:p>
    <w:p>
      <w:pPr>
        <w:ind w:left="1100" w:right="540" w:hanging="205"/>
        <w:spacing w:after="0" w:line="258" w:lineRule="auto"/>
        <w:tabs>
          <w:tab w:leader="none" w:pos="11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 requirement to annually report certain information regarding drug samples that manufacturers and distributors provide to physicians;</w:t>
      </w:r>
    </w:p>
    <w:p>
      <w:pPr>
        <w:spacing w:after="0" w:line="11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1040"/>
          </w:cols>
          <w:pgMar w:left="240" w:top="449" w:right="619" w:bottom="1440" w:gutter="0" w:footer="0" w:header="0"/>
        </w:sectPr>
      </w:pPr>
    </w:p>
    <w:bookmarkStart w:id="156" w:name="page157"/>
    <w:bookmarkEnd w:id="1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1100" w:right="60" w:hanging="205"/>
        <w:spacing w:after="0" w:line="258" w:lineRule="auto"/>
        <w:tabs>
          <w:tab w:leader="none" w:pos="11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establishment of a Center for Medicare and Medicaid Innovation at CMS to test innovative payment and service delivery models to lower Medicare and Medicaid spending; and</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licensure framework for follow on biologic products.</w:t>
      </w:r>
    </w:p>
    <w:p>
      <w:pPr>
        <w:spacing w:after="0" w:line="210" w:lineRule="exact"/>
        <w:rPr>
          <w:sz w:val="20"/>
          <w:szCs w:val="20"/>
          <w:color w:val="auto"/>
        </w:rPr>
      </w:pPr>
    </w:p>
    <w:p>
      <w:pPr>
        <w:ind w:left="380" w:right="20" w:firstLine="534"/>
        <w:spacing w:after="0" w:line="242" w:lineRule="auto"/>
        <w:rPr>
          <w:sz w:val="20"/>
          <w:szCs w:val="20"/>
          <w:color w:val="auto"/>
        </w:rPr>
      </w:pPr>
      <w:r>
        <w:rPr>
          <w:rFonts w:ascii="Arial" w:cs="Arial" w:eastAsia="Arial" w:hAnsi="Arial"/>
          <w:sz w:val="17"/>
          <w:szCs w:val="17"/>
          <w:color w:val="auto"/>
        </w:rPr>
        <w:t>Some of the provisions of the Affordable Care Act have yet to be implemented, and there have been legal and political challenges to certain aspects of the Affordable Care Act. Since January 2017, President Trump has signed two executive orders and other directives designed to delay, circumvent or loosen certain requirements mandated by the Affordable Care Act. In December 2017, Congress repealed the tax penalty for an individual’s failure to maintain Affordable Care Act-mandated health insurance as part of a tax reform bill. Further, on January 22, 2018, President Trump signed a continuing resolution on appropriations for fiscal year 2018 that delayed the implementation of certain Affordable Care Act-mandated fees, including the so-called “Cadillac” tax on certain high cost employer-sponsored insurance plans, the annual fee imposed on certain health insurance providers based on market share, and the medical device excise tax on non-exempt medical devices. Moreover, the Bipartisan Budget Act of 2018, or the BBA, among other things, amends the Affordable Care Act, effective January 1, 2019, to close the coverage gap in most Medicare drug plans, commonly referred to as the “donut hole”. More recently, in July 2018, CMS announced that it is suspending further collections and payments to and from certain Affordable Care Act qualified health plans and health insurance issuers under the Affordable Care Act risk adjustment program pending the outcome of federal district court litigation regarding the method CMS uses to determine this risk adjustment. Congress is continuing to consider legislation that would alter other aspects of the Affordable Care Act. The ultimate content, timing or effect of any healthcare reform legislation on the U.S. healthcare industry is unclear.</w:t>
      </w:r>
    </w:p>
    <w:p>
      <w:pPr>
        <w:spacing w:after="0" w:line="200" w:lineRule="exact"/>
        <w:rPr>
          <w:sz w:val="20"/>
          <w:szCs w:val="20"/>
          <w:color w:val="auto"/>
        </w:rPr>
      </w:pPr>
    </w:p>
    <w:p>
      <w:pPr>
        <w:ind w:left="380" w:right="160" w:firstLine="534"/>
        <w:spacing w:after="0" w:line="244" w:lineRule="auto"/>
        <w:rPr>
          <w:sz w:val="20"/>
          <w:szCs w:val="20"/>
          <w:color w:val="auto"/>
        </w:rPr>
      </w:pPr>
      <w:r>
        <w:rPr>
          <w:rFonts w:ascii="Arial" w:cs="Arial" w:eastAsia="Arial" w:hAnsi="Arial"/>
          <w:sz w:val="17"/>
          <w:szCs w:val="17"/>
          <w:color w:val="auto"/>
        </w:rPr>
        <w:t>On December 14, 2018, a United States District Court judge in Texas ruled that the Affordable Care Act is unconstitutional in its entirety because the “individual mandate” was repealed by Congress as part of the Tax Cuts and Jobs Act of 2017. Multiple parties have announced an intention to appeal this decision to the United States Court of Appeals for the Fifth Circuit. While this U.S. District Court judge, as well as the Trump administration and Centers for Medicare and Medicaid Services, have stated that the ruling will have no immediate effect pending appeal of the decision, it is unclear how this decision, subsequent appeals and other efforts to repeal and replace the Affordable Care Act will impact the Affordable Care Act.</w:t>
      </w:r>
    </w:p>
    <w:p>
      <w:pPr>
        <w:spacing w:after="0" w:line="196"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We anticipate that the Affordable Care Act, if substantially maintained in its current form, will continue to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193"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Further legislation or regulation could be passed that could harm our business, financial condition and results of operations. Other legislative changes have been proposed and adopted since the Affordable Care Act was enacted. For example, in August 2011, 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of at least $1.2 trillion for fiscal years 2012 through 2021, triggering the legislation’s automatic reduction to several government programs. This includes aggregate reductions to Medicare payments to providers of up to 2% per fiscal year,</w:t>
      </w:r>
    </w:p>
    <w:p>
      <w:pPr>
        <w:spacing w:after="0" w:line="13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1020"/>
          </w:cols>
          <w:pgMar w:left="240" w:top="449" w:right="639" w:bottom="1440" w:gutter="0" w:footer="0" w:header="0"/>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240"/>
        <w:spacing w:after="0" w:line="247" w:lineRule="auto"/>
        <w:rPr>
          <w:sz w:val="20"/>
          <w:szCs w:val="20"/>
          <w:color w:val="auto"/>
        </w:rPr>
      </w:pPr>
      <w:r>
        <w:rPr>
          <w:rFonts w:ascii="Arial" w:cs="Arial" w:eastAsia="Arial" w:hAnsi="Arial"/>
          <w:sz w:val="17"/>
          <w:szCs w:val="17"/>
          <w:color w:val="auto"/>
        </w:rPr>
        <w:t>which went into effect beginning on April 1, 2013 and will stay in effect through 2027 unless additional Congressional action is taken.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190" w:lineRule="exact"/>
        <w:rPr>
          <w:sz w:val="20"/>
          <w:szCs w:val="20"/>
          <w:color w:val="auto"/>
        </w:rPr>
      </w:pPr>
    </w:p>
    <w:p>
      <w:pPr>
        <w:ind w:left="380" w:firstLine="534"/>
        <w:spacing w:after="0" w:line="242" w:lineRule="auto"/>
        <w:rPr>
          <w:sz w:val="20"/>
          <w:szCs w:val="20"/>
          <w:color w:val="auto"/>
        </w:rPr>
      </w:pPr>
      <w:r>
        <w:rPr>
          <w:rFonts w:ascii="Arial" w:cs="Arial" w:eastAsia="Arial" w:hAnsi="Arial"/>
          <w:sz w:val="17"/>
          <w:szCs w:val="17"/>
          <w:color w:val="auto"/>
        </w:rPr>
        <w:t>Additionally, there has been increasing legislative and enforcement interest in the United States with respect to specialty drug pricing practices. Specifically, there have been several recent U.S. Congressional inquiries and proposed federal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Further, the Trump administration released a “Blueprint”, or plan,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The Department of Health and Human Services, or HHS, has already started the process of soliciting feedback on some of these measures and, at the same, is immediately implementing others under its existing authority. While some proposed measures will require authorization through additional legislation to become effective, Congress and the Trump administration have each indicated that it will continue to seek new legislative and/or administrative measures to control drug costs.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00" w:lineRule="exact"/>
        <w:rPr>
          <w:sz w:val="20"/>
          <w:szCs w:val="20"/>
          <w:color w:val="auto"/>
        </w:rPr>
      </w:pP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The Foreign Corrupt Practices Act</w:t>
      </w:r>
    </w:p>
    <w:p>
      <w:pPr>
        <w:spacing w:after="0" w:line="126"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80"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Additional Regulation</w:t>
      </w:r>
    </w:p>
    <w:p>
      <w:pPr>
        <w:spacing w:after="0" w:line="126"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1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1020"/>
          </w:cols>
          <w:pgMar w:left="240" w:top="449" w:right="63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Other Regulations</w:t>
      </w:r>
    </w:p>
    <w:p>
      <w:pPr>
        <w:spacing w:after="0" w:line="126" w:lineRule="exact"/>
        <w:rPr>
          <w:sz w:val="20"/>
          <w:szCs w:val="20"/>
          <w:color w:val="auto"/>
        </w:rPr>
      </w:pPr>
    </w:p>
    <w:p>
      <w:pPr>
        <w:ind w:left="380" w:right="180" w:firstLine="534"/>
        <w:spacing w:after="0" w:line="250" w:lineRule="auto"/>
        <w:rPr>
          <w:sz w:val="20"/>
          <w:szCs w:val="20"/>
          <w:color w:val="auto"/>
        </w:rPr>
      </w:pPr>
      <w:r>
        <w:rPr>
          <w:rFonts w:ascii="Arial" w:cs="Arial" w:eastAsia="Arial" w:hAnsi="Arial"/>
          <w:sz w:val="17"/>
          <w:szCs w:val="17"/>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271"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Competition</w:t>
      </w:r>
    </w:p>
    <w:p>
      <w:pPr>
        <w:spacing w:after="0" w:line="232"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The biopharmaceutical industry is characterized by intense competition and rapid innovation. Although we believe that we hold a leading position in research into cardio-metabolic disease and NASH, our competitors may be able to develop other compounds or drugs that are able to achieve similar or better results. Our competitors include multinational pharmaceutical companies, specialized biotechnology companies and universities and other research institutions. Smaller or earlier-stage companies may also prove to be significant competitors, particularly through collaborative arrangements with large, established companies. We believe the key competitive factors that will affect the development and commercial success of our product candidates are efficacy, safety and tolerability profile, reliability, convenience of dosing, price, the level of generic competition and reimbursement.</w:t>
      </w:r>
    </w:p>
    <w:p>
      <w:pPr>
        <w:spacing w:after="0" w:line="193" w:lineRule="exact"/>
        <w:rPr>
          <w:sz w:val="20"/>
          <w:szCs w:val="20"/>
          <w:color w:val="auto"/>
        </w:rPr>
      </w:pPr>
    </w:p>
    <w:p>
      <w:pPr>
        <w:ind w:left="380" w:right="120" w:firstLine="534"/>
        <w:spacing w:after="0" w:line="242" w:lineRule="auto"/>
        <w:rPr>
          <w:sz w:val="20"/>
          <w:szCs w:val="20"/>
          <w:color w:val="auto"/>
        </w:rPr>
      </w:pPr>
      <w:r>
        <w:rPr>
          <w:rFonts w:ascii="Arial" w:cs="Arial" w:eastAsia="Arial" w:hAnsi="Arial"/>
          <w:sz w:val="17"/>
          <w:szCs w:val="17"/>
          <w:color w:val="auto"/>
        </w:rPr>
        <w:t>There are many pharmaceutical companies, biotechnology companies, public and private universities and research organizations actively engaged in the research and development of products that may be similar to our products. A number of pharmaceutical companies, including Abbvie, Allergan, AstraZeneca/MedImmune, Bayer, Bristol-Myers Squibb, Eisai, Eli Lilly, GlaxoSmithKline, Johnson &amp; Johnson, Merck, Novartis, Novo Nordisk, Pfizer, Roche, Sanofi and Takeda, as well as large and small biotechnology companies such as 89Bio, Akero, Albireo, Amgen, Can-Fite, Cirius, Conatus, CymaBay, Enanta, Galectin, Galmed, Genfit, Gilead, Intarcia, Intercept, Inventiva, Madrigal, MannKind, MediciNova, Metacrine, Nalpropion, Terns, Viking, Vivus and Zafgen, are pursuing the development or marketing of pharmaceuticals that target the same diseases that we are targeting. It is probable that the number of companies seeking to develop products and therapies for the treatment of metabolic disorders, liver, oncologic and ophthalmic diseases will increase. For example, we are aware of other companies, including Enanta, Gilead, Intercept, Metacrine, Novartis and Terns that are seeking to develop FXR agonist drug candidates that modulate FGF19. Many of these and other existing or potential competitors have substantially greater financial, technical, human and other resources than we have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200"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If NGM282 or NGM313 were approved for the treatment of NASH, future competition could also arise from products currently in development, including: cenicriviroc, an immunomodulator that blocks CCR2 and CCR5 from Allergan; GS-0976, an ACC inhibitor, GS-9674, an FXR agonist, and selonsertib, an ASK1 inhibitor, from Gilead; OCA from Intercept; MGL-3196, a beta-thyroid hormone receptor agonist from Madrigal; pegbelfermin, a PEGylated FGF21, from Bristol-Myers Squibb; elobixibat, an IBAT-inhibitor from Albireo; a Galectin-3 inhibitor from Galectin; a synthetic conjugate of cholic acid and arachidic acid from Galmed; an FXR agonist from Metacrine; FXR agonists from Novartis; a mitochondrial pyruvate complex modulator from Cirius; a PPAR delta agonist from CymaBay; and a PPAR alpha/delta agonist from Genfit. The foregoing competitive risks apply to NGM282 and NGM313 and any variants of NGM282 and NGM313 we may commercialize, including the second-generation, half-life extended version of FGF19 we are currently developing.</w:t>
      </w:r>
    </w:p>
    <w:p>
      <w:pPr>
        <w:spacing w:after="0" w:line="198" w:lineRule="exact"/>
        <w:rPr>
          <w:sz w:val="20"/>
          <w:szCs w:val="20"/>
          <w:color w:val="auto"/>
        </w:rPr>
      </w:pPr>
    </w:p>
    <w:p>
      <w:pPr>
        <w:ind w:left="380" w:right="20" w:firstLine="534"/>
        <w:spacing w:after="0" w:line="258" w:lineRule="auto"/>
        <w:rPr>
          <w:sz w:val="20"/>
          <w:szCs w:val="20"/>
          <w:color w:val="auto"/>
        </w:rPr>
      </w:pPr>
      <w:r>
        <w:rPr>
          <w:rFonts w:ascii="Arial" w:cs="Arial" w:eastAsia="Arial" w:hAnsi="Arial"/>
          <w:sz w:val="17"/>
          <w:szCs w:val="17"/>
          <w:color w:val="auto"/>
        </w:rPr>
        <w:t xml:space="preserve">If NGM386 or NGM395 were approved for the treatment of obesity, these products would face competition from currently approved and marketed products, including </w:t>
      </w:r>
      <w:r>
        <w:rPr>
          <w:rFonts w:ascii="Arial" w:cs="Arial" w:eastAsia="Arial" w:hAnsi="Arial"/>
          <w:sz w:val="17"/>
          <w:szCs w:val="17"/>
          <w:i w:val="1"/>
          <w:iCs w:val="1"/>
          <w:color w:val="auto"/>
        </w:rPr>
        <w:t>Saxenda</w:t>
      </w:r>
      <w:r>
        <w:rPr>
          <w:rFonts w:ascii="Arial" w:cs="Arial" w:eastAsia="Arial" w:hAnsi="Arial"/>
          <w:sz w:val="17"/>
          <w:szCs w:val="17"/>
          <w:color w:val="auto"/>
        </w:rPr>
        <w:t xml:space="preserve"> (liraglutide), </w:t>
      </w:r>
      <w:r>
        <w:rPr>
          <w:rFonts w:ascii="Arial" w:cs="Arial" w:eastAsia="Arial" w:hAnsi="Arial"/>
          <w:sz w:val="17"/>
          <w:szCs w:val="17"/>
          <w:i w:val="1"/>
          <w:iCs w:val="1"/>
          <w:color w:val="auto"/>
        </w:rPr>
        <w:t>Contrave</w:t>
      </w:r>
    </w:p>
    <w:p>
      <w:pPr>
        <w:spacing w:after="0" w:line="11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1000"/>
          </w:cols>
          <w:pgMar w:left="240" w:top="449" w:right="659" w:bottom="1440" w:gutter="0" w:footer="0" w:header="0"/>
        </w:sectPr>
      </w:pPr>
    </w:p>
    <w:bookmarkStart w:id="159" w:name="page160"/>
    <w:bookmarkEnd w:id="1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380" w:right="20"/>
        <w:spacing w:after="0" w:line="248" w:lineRule="auto"/>
        <w:rPr>
          <w:sz w:val="20"/>
          <w:szCs w:val="20"/>
          <w:color w:val="auto"/>
        </w:rPr>
      </w:pPr>
      <w:r>
        <w:rPr>
          <w:rFonts w:ascii="Arial" w:cs="Arial" w:eastAsia="Arial" w:hAnsi="Arial"/>
          <w:sz w:val="17"/>
          <w:szCs w:val="17"/>
          <w:color w:val="auto"/>
        </w:rPr>
        <w:t xml:space="preserve">(bupropion and naltrexone), </w:t>
      </w:r>
      <w:r>
        <w:rPr>
          <w:rFonts w:ascii="Arial" w:cs="Arial" w:eastAsia="Arial" w:hAnsi="Arial"/>
          <w:sz w:val="17"/>
          <w:szCs w:val="17"/>
          <w:i w:val="1"/>
          <w:iCs w:val="1"/>
          <w:color w:val="auto"/>
        </w:rPr>
        <w:t>Qsymia</w:t>
      </w:r>
      <w:r>
        <w:rPr>
          <w:rFonts w:ascii="Arial" w:cs="Arial" w:eastAsia="Arial" w:hAnsi="Arial"/>
          <w:sz w:val="17"/>
          <w:szCs w:val="17"/>
          <w:color w:val="auto"/>
        </w:rPr>
        <w:t xml:space="preserve"> (phentermine and topiramate extended-release), </w:t>
      </w:r>
      <w:r>
        <w:rPr>
          <w:rFonts w:ascii="Arial" w:cs="Arial" w:eastAsia="Arial" w:hAnsi="Arial"/>
          <w:sz w:val="17"/>
          <w:szCs w:val="17"/>
          <w:i w:val="1"/>
          <w:iCs w:val="1"/>
          <w:color w:val="auto"/>
        </w:rPr>
        <w:t>Belviq</w:t>
      </w:r>
      <w:r>
        <w:rPr>
          <w:rFonts w:ascii="Arial" w:cs="Arial" w:eastAsia="Arial" w:hAnsi="Arial"/>
          <w:sz w:val="17"/>
          <w:szCs w:val="17"/>
          <w:color w:val="auto"/>
        </w:rPr>
        <w:t xml:space="preserve"> (lorcaserin HCL) and </w:t>
      </w:r>
      <w:r>
        <w:rPr>
          <w:rFonts w:ascii="Arial" w:cs="Arial" w:eastAsia="Arial" w:hAnsi="Arial"/>
          <w:sz w:val="17"/>
          <w:szCs w:val="17"/>
          <w:i w:val="1"/>
          <w:iCs w:val="1"/>
          <w:color w:val="auto"/>
        </w:rPr>
        <w:t>Xenical</w:t>
      </w:r>
      <w:r>
        <w:rPr>
          <w:rFonts w:ascii="Arial" w:cs="Arial" w:eastAsia="Arial" w:hAnsi="Arial"/>
          <w:sz w:val="17"/>
          <w:szCs w:val="17"/>
          <w:color w:val="auto"/>
        </w:rPr>
        <w:t xml:space="preserve"> (orlistat). Further competition could arise from products currently in development, including Lilly’s LY3298176 (dual GLP-1/GIP receptor agonist). To the extent any of our product candidates are approved for cardio-metabolic indications, particularly obesity, the commercial success of our products will also depend on our ability to demonstrate benefits over the then-prevailing standard of care, including diet and exercise. Finally, morbidly obese patients sometimes undergo the gastric bypass procedure, with salutary effects on the many co-morbid conditions of obesity. Some of these programs have been advanced further in clinical development then our clinical programs or have already received regulatory approval.</w:t>
      </w:r>
    </w:p>
    <w:p>
      <w:pPr>
        <w:spacing w:after="0" w:line="391" w:lineRule="exact"/>
        <w:rPr>
          <w:sz w:val="20"/>
          <w:szCs w:val="20"/>
          <w:color w:val="auto"/>
        </w:rPr>
      </w:pPr>
    </w:p>
    <w:p>
      <w:pPr>
        <w:ind w:left="380" w:right="60" w:firstLine="534"/>
        <w:spacing w:after="0" w:line="244" w:lineRule="auto"/>
        <w:rPr>
          <w:sz w:val="20"/>
          <w:szCs w:val="20"/>
          <w:color w:val="auto"/>
        </w:rPr>
      </w:pPr>
      <w:r>
        <w:rPr>
          <w:rFonts w:ascii="Arial" w:cs="Arial" w:eastAsia="Arial" w:hAnsi="Arial"/>
          <w:sz w:val="17"/>
          <w:szCs w:val="17"/>
          <w:color w:val="auto"/>
        </w:rPr>
        <w:t>If any of our product candidates were approved for the treatment of type 2 diabetes, these products would face competition from currently approved and marketed products, including: Biguanides; Sulfonylureas; Thiazolidinediones (TZDs); Alpha-glucosidase inhibitors (AGIs); Dipeptidyl peptidase 4 (DPP4) inhibitors; Glucagon-like peptide-1 (GLP-1) analogues; SGLT2 inhibitors; and Insulins, including injectable and inhaled versions. Further competition could arise from products currently in development, including: 11 beta HSD (Incyte, Japan Tobacco, Roche); GPR40 (Connexios, Takeda); and oral GLP-1 mimetics (Novo Nordisk). Some of these programs have been advanced further in clinical development than our product candidates and could receive approval before our product candidates are approved, if they are approved at all.</w:t>
      </w:r>
    </w:p>
    <w:p>
      <w:pPr>
        <w:spacing w:after="0" w:line="276"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Manufacturing</w:t>
      </w:r>
    </w:p>
    <w:p>
      <w:pPr>
        <w:spacing w:after="0" w:line="232" w:lineRule="exact"/>
        <w:rPr>
          <w:sz w:val="20"/>
          <w:szCs w:val="20"/>
          <w:color w:val="auto"/>
        </w:rPr>
      </w:pPr>
    </w:p>
    <w:p>
      <w:pPr>
        <w:ind w:left="380" w:right="60" w:firstLine="534"/>
        <w:spacing w:after="0" w:line="250" w:lineRule="auto"/>
        <w:rPr>
          <w:sz w:val="20"/>
          <w:szCs w:val="20"/>
          <w:color w:val="auto"/>
        </w:rPr>
      </w:pPr>
      <w:r>
        <w:rPr>
          <w:rFonts w:ascii="Arial" w:cs="Arial" w:eastAsia="Arial" w:hAnsi="Arial"/>
          <w:sz w:val="17"/>
          <w:szCs w:val="17"/>
          <w:color w:val="auto"/>
        </w:rPr>
        <w:t>We currently use third-party manufacturers to manufacture clinical quantities of NGM282, NGM313, NGM386, NGM395, NGM217, NGM120 and NGM621. As we advance our product candidates through clinical development and greater quantities of our biological molecules are required, we plan to continue to use third parties to manufacture our product candidates.</w:t>
      </w:r>
    </w:p>
    <w:p>
      <w:pPr>
        <w:spacing w:after="0" w:line="188" w:lineRule="exact"/>
        <w:rPr>
          <w:sz w:val="20"/>
          <w:szCs w:val="20"/>
          <w:color w:val="auto"/>
        </w:rPr>
      </w:pPr>
    </w:p>
    <w:p>
      <w:pPr>
        <w:ind w:left="380" w:right="120" w:firstLine="534"/>
        <w:spacing w:after="0" w:line="245" w:lineRule="auto"/>
        <w:rPr>
          <w:sz w:val="20"/>
          <w:szCs w:val="20"/>
          <w:color w:val="auto"/>
        </w:rPr>
      </w:pPr>
      <w:r>
        <w:rPr>
          <w:rFonts w:ascii="Arial" w:cs="Arial" w:eastAsia="Arial" w:hAnsi="Arial"/>
          <w:sz w:val="17"/>
          <w:szCs w:val="17"/>
          <w:color w:val="auto"/>
        </w:rPr>
        <w:t>We also plan to rely on third parties to manufacture commercial quantities of any products we successfully develop. Among the conditions for FDA approval of a pharmaceutical product is the requirement that the manufacturer’s quality control and manufacturing procedures conform to cGMP, which must be followed at all times. The FDA typically inspects manufacturing facilities every two years. In complying with cGMP regulations, pharmaceutical manufacturers must expend resources and time to ensure compliance with product specifications as well as production, record keeping, quality control, reporting, and other requirements.</w:t>
      </w:r>
    </w:p>
    <w:p>
      <w:pPr>
        <w:spacing w:after="0" w:line="27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Sales and Marketing</w:t>
      </w:r>
    </w:p>
    <w:p>
      <w:pPr>
        <w:spacing w:after="0" w:line="232" w:lineRule="exact"/>
        <w:rPr>
          <w:sz w:val="20"/>
          <w:szCs w:val="20"/>
          <w:color w:val="auto"/>
        </w:rPr>
      </w:pPr>
    </w:p>
    <w:p>
      <w:pPr>
        <w:ind w:left="380" w:right="20" w:firstLine="534"/>
        <w:spacing w:after="0" w:line="250" w:lineRule="auto"/>
        <w:rPr>
          <w:sz w:val="20"/>
          <w:szCs w:val="20"/>
          <w:color w:val="auto"/>
        </w:rPr>
      </w:pPr>
      <w:r>
        <w:rPr>
          <w:rFonts w:ascii="Arial" w:cs="Arial" w:eastAsia="Arial" w:hAnsi="Arial"/>
          <w:sz w:val="17"/>
          <w:szCs w:val="17"/>
          <w:color w:val="auto"/>
        </w:rPr>
        <w:t>We currently have no marketing, sales or distribution capabilities. In order to commercialize any products outside of our existing collaborations that are approved for commercial sale, we must either develop a sales and marketing infrastructure or collaborate with third parties that have sales and marketing experience.</w:t>
      </w:r>
    </w:p>
    <w:p>
      <w:pPr>
        <w:spacing w:after="0" w:line="188" w:lineRule="exact"/>
        <w:rPr>
          <w:sz w:val="20"/>
          <w:szCs w:val="20"/>
          <w:color w:val="auto"/>
        </w:rPr>
      </w:pPr>
    </w:p>
    <w:p>
      <w:pPr>
        <w:ind w:left="380" w:firstLine="534"/>
        <w:spacing w:after="0" w:line="245" w:lineRule="auto"/>
        <w:rPr>
          <w:sz w:val="20"/>
          <w:szCs w:val="20"/>
          <w:color w:val="auto"/>
        </w:rPr>
      </w:pPr>
      <w:r>
        <w:rPr>
          <w:rFonts w:ascii="Arial" w:cs="Arial" w:eastAsia="Arial" w:hAnsi="Arial"/>
          <w:sz w:val="17"/>
          <w:szCs w:val="17"/>
          <w:color w:val="auto"/>
        </w:rPr>
        <w:t>We may elect to establish our own sales force to market and sell a product for which we obtain regulatory approval if we elect to exercise our co-detail option on a product candidate from our collaboration with Merck or if we expect that the geographic market for a product we develop on our own is limited or that the prescriptions for the product will be written principally by a relatively small number of physicians. If we decide to market and sell any products ourselves, we do not expect to establish direct sales capability until shortly before the products are approved for commercial sale.</w:t>
      </w:r>
    </w:p>
    <w:p>
      <w:pPr>
        <w:spacing w:after="0" w:line="194" w:lineRule="exact"/>
        <w:rPr>
          <w:sz w:val="20"/>
          <w:szCs w:val="20"/>
          <w:color w:val="auto"/>
        </w:rPr>
      </w:pPr>
    </w:p>
    <w:p>
      <w:pPr>
        <w:ind w:left="380" w:right="480" w:firstLine="534"/>
        <w:spacing w:after="0" w:line="258" w:lineRule="auto"/>
        <w:rPr>
          <w:sz w:val="20"/>
          <w:szCs w:val="20"/>
          <w:color w:val="auto"/>
        </w:rPr>
      </w:pPr>
      <w:r>
        <w:rPr>
          <w:rFonts w:ascii="Arial" w:cs="Arial" w:eastAsia="Arial" w:hAnsi="Arial"/>
          <w:sz w:val="17"/>
          <w:szCs w:val="17"/>
          <w:color w:val="auto"/>
        </w:rPr>
        <w:t>We plan to seek third-party support from established pharmaceutical and biotechnology companies, such as Merck, for those products that would benefit from the promotional support of a</w:t>
      </w:r>
    </w:p>
    <w:p>
      <w:pPr>
        <w:spacing w:after="0" w:line="11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1020"/>
          </w:cols>
          <w:pgMar w:left="240" w:top="449" w:right="639" w:bottom="1440" w:gutter="0" w:footer="0" w:header="0"/>
        </w:sectPr>
      </w:pPr>
    </w:p>
    <w:bookmarkStart w:id="160" w:name="page161"/>
    <w:bookmarkEnd w:id="1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spacing w:after="0" w:line="258" w:lineRule="auto"/>
        <w:rPr>
          <w:sz w:val="20"/>
          <w:szCs w:val="20"/>
          <w:color w:val="auto"/>
        </w:rPr>
      </w:pPr>
      <w:r>
        <w:rPr>
          <w:rFonts w:ascii="Arial" w:cs="Arial" w:eastAsia="Arial" w:hAnsi="Arial"/>
          <w:sz w:val="17"/>
          <w:szCs w:val="17"/>
          <w:color w:val="auto"/>
        </w:rPr>
        <w:t>large sales and marketing force. In these cases, we might seek to promote our products in collaboration with marketing partners or rely on relationships with one or more companies with large established sales forces and distribution systems.</w:t>
      </w:r>
    </w:p>
    <w:p>
      <w:pPr>
        <w:spacing w:after="0" w:line="265"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Intellectual Property</w:t>
      </w:r>
    </w:p>
    <w:p>
      <w:pPr>
        <w:spacing w:after="0" w:line="232" w:lineRule="exact"/>
        <w:rPr>
          <w:sz w:val="20"/>
          <w:szCs w:val="20"/>
          <w:color w:val="auto"/>
        </w:rPr>
      </w:pPr>
    </w:p>
    <w:p>
      <w:pPr>
        <w:ind w:left="380" w:right="40" w:firstLine="534"/>
        <w:spacing w:after="0" w:line="243" w:lineRule="auto"/>
        <w:rPr>
          <w:sz w:val="20"/>
          <w:szCs w:val="20"/>
          <w:color w:val="auto"/>
        </w:rPr>
      </w:pPr>
      <w:r>
        <w:rPr>
          <w:rFonts w:ascii="Arial" w:cs="Arial" w:eastAsia="Arial" w:hAnsi="Arial"/>
          <w:sz w:val="17"/>
          <w:szCs w:val="17"/>
          <w:color w:val="auto"/>
        </w:rPr>
        <w:t>Our success depends, in part, on our ability to obtain and maintain intellectual property protection for our product candidates, technology and know-how, to defend and enforce our intellectual property rights, in particular, our patent rights, to preserve the confidentiality of our trade secrets, and to operate without infringing the proprietary rights of others. We seek to protect our biological molecules and technologies by, among other methods, filing U.S. and foreign patent applications related to our proprietary technology, inventions and improvements that are important to the development of our business, where patent protection is available. We also rely on trade secrets, know-how, continuing technological innovation and in-licensing of third-party intellectual property to develop and maintain our proprietary position. We, or our collaborator, file patent applications directed to our key product candidates in an effort to establish intellectual property positions regarding new biological molecules relating to our product candidates as well as uses of our product candidates and/or new biological molecules for the treatment of diseases.</w:t>
      </w:r>
    </w:p>
    <w:p>
      <w:pPr>
        <w:spacing w:after="0" w:line="28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Licensing Arrangements</w:t>
      </w:r>
    </w:p>
    <w:p>
      <w:pPr>
        <w:spacing w:after="0" w:line="126" w:lineRule="exact"/>
        <w:rPr>
          <w:sz w:val="20"/>
          <w:szCs w:val="20"/>
          <w:color w:val="auto"/>
        </w:rPr>
      </w:pPr>
    </w:p>
    <w:p>
      <w:pPr>
        <w:ind w:left="380" w:firstLine="534"/>
        <w:spacing w:after="0" w:line="247" w:lineRule="auto"/>
        <w:rPr>
          <w:sz w:val="20"/>
          <w:szCs w:val="20"/>
          <w:color w:val="auto"/>
        </w:rPr>
      </w:pPr>
      <w:r>
        <w:rPr>
          <w:rFonts w:ascii="Arial" w:cs="Arial" w:eastAsia="Arial" w:hAnsi="Arial"/>
          <w:sz w:val="17"/>
          <w:szCs w:val="17"/>
          <w:color w:val="auto"/>
        </w:rPr>
        <w:t>In October 2014, we entered into a Multi-Product Licence Agreement, or the Lonza License, with Lonza Sales AG, or Lonza, under which we obtained from Lonza a worldwide, non-exclusive license to use Lonza’s glutamine synthetase gene expression system, known as GS Xceed™, to manufacture and commercialize our proprietary products, including our product candidates that are currently subject to our collaboration with Merck.</w:t>
      </w:r>
    </w:p>
    <w:p>
      <w:pPr>
        <w:spacing w:after="0" w:line="190" w:lineRule="exact"/>
        <w:rPr>
          <w:sz w:val="20"/>
          <w:szCs w:val="20"/>
          <w:color w:val="auto"/>
        </w:rPr>
      </w:pPr>
    </w:p>
    <w:p>
      <w:pPr>
        <w:ind w:left="380" w:firstLine="534"/>
        <w:spacing w:after="0" w:line="250" w:lineRule="auto"/>
        <w:rPr>
          <w:sz w:val="20"/>
          <w:szCs w:val="20"/>
          <w:color w:val="auto"/>
        </w:rPr>
      </w:pPr>
      <w:r>
        <w:rPr>
          <w:rFonts w:ascii="Arial" w:cs="Arial" w:eastAsia="Arial" w:hAnsi="Arial"/>
          <w:sz w:val="17"/>
          <w:szCs w:val="17"/>
          <w:color w:val="auto"/>
        </w:rPr>
        <w:t>Pursuant to the Lonza License, we paid Lonza an upfront fee of £250,000. Upon the initiation of the first phase 2 clinical trial, the first phase 3 clinical trial and the first commercial sale of any product manufactured using GS Xceed™, we are required to pay Lonza one-time milestone payments of £100,000, £100,000 and £150,000, respectively.</w:t>
      </w:r>
    </w:p>
    <w:p>
      <w:pPr>
        <w:spacing w:after="0" w:line="188" w:lineRule="exact"/>
        <w:rPr>
          <w:sz w:val="20"/>
          <w:szCs w:val="20"/>
          <w:color w:val="auto"/>
        </w:rPr>
      </w:pPr>
    </w:p>
    <w:p>
      <w:pPr>
        <w:ind w:left="380" w:firstLine="534"/>
        <w:spacing w:after="0" w:line="245" w:lineRule="auto"/>
        <w:rPr>
          <w:sz w:val="20"/>
          <w:szCs w:val="20"/>
          <w:color w:val="auto"/>
        </w:rPr>
      </w:pPr>
      <w:r>
        <w:rPr>
          <w:rFonts w:ascii="Arial" w:cs="Arial" w:eastAsia="Arial" w:hAnsi="Arial"/>
          <w:sz w:val="17"/>
          <w:szCs w:val="17"/>
          <w:color w:val="auto"/>
        </w:rPr>
        <w:t>We are also required to pay low single-digit royalties to Lonza based on net sales of the product manufactured using GS Xceed™. Our royalty obligation to Lonza continues on a product-by-product basis until the later of the expiration of the last-to-expire licensed patent or ten years after the first commercial sale of the product. We are also required to pay an annual license fee to Lonza of up to £300,000 per product if a party other than Lonza, we, our affiliates or our strategic partners (including Merck) manufactures the product for commercial activities. We are currently required to pay this fee for NGM313, NGM386, NGM395, NGM217, NGM120 and NGM621.</w:t>
      </w:r>
    </w:p>
    <w:p>
      <w:pPr>
        <w:spacing w:after="0" w:line="194" w:lineRule="exact"/>
        <w:rPr>
          <w:sz w:val="20"/>
          <w:szCs w:val="20"/>
          <w:color w:val="auto"/>
        </w:rPr>
      </w:pPr>
    </w:p>
    <w:p>
      <w:pPr>
        <w:ind w:left="380" w:right="20" w:firstLine="534"/>
        <w:spacing w:after="0" w:line="247" w:lineRule="auto"/>
        <w:rPr>
          <w:sz w:val="20"/>
          <w:szCs w:val="20"/>
          <w:color w:val="auto"/>
        </w:rPr>
      </w:pPr>
      <w:r>
        <w:rPr>
          <w:rFonts w:ascii="Arial" w:cs="Arial" w:eastAsia="Arial" w:hAnsi="Arial"/>
          <w:sz w:val="17"/>
          <w:szCs w:val="17"/>
          <w:color w:val="auto"/>
        </w:rPr>
        <w:t>The Lonza License continues until the expiration of the royalty term. We have the right to terminate the Lonza License upon written notice to Lonza. Each party may terminate the Lonza License for the other party’s uncured material breach or bankruptcy. In addition, Lonza may terminate the Lonza License if we participate in the opposition or challenge of any Lonza patent or patent application licensed to us under the Lonza License.</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Patents and Other Proprietary Rights</w:t>
      </w:r>
    </w:p>
    <w:p>
      <w:pPr>
        <w:spacing w:after="0" w:line="126" w:lineRule="exact"/>
        <w:rPr>
          <w:sz w:val="20"/>
          <w:szCs w:val="20"/>
          <w:color w:val="auto"/>
        </w:rPr>
      </w:pPr>
    </w:p>
    <w:p>
      <w:pPr>
        <w:ind w:left="380" w:right="140" w:firstLine="534"/>
        <w:spacing w:after="0" w:line="250" w:lineRule="auto"/>
        <w:rPr>
          <w:sz w:val="20"/>
          <w:szCs w:val="20"/>
          <w:color w:val="auto"/>
        </w:rPr>
      </w:pPr>
      <w:r>
        <w:rPr>
          <w:rFonts w:ascii="Arial" w:cs="Arial" w:eastAsia="Arial" w:hAnsi="Arial"/>
          <w:sz w:val="17"/>
          <w:szCs w:val="17"/>
          <w:color w:val="auto"/>
        </w:rPr>
        <w:t>As of January 31, 2019, we owned 27 issued U.S. patents and 32 pending U.S. patent applications (six of which are provisional applications) along with 29 issued patents and approximately 241 corresponding patent applications in foreign jurisdictions (five of which are Patent Cooperation</w:t>
      </w:r>
    </w:p>
    <w:p>
      <w:pPr>
        <w:spacing w:after="0" w:line="12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158</w:t>
      </w:r>
    </w:p>
    <w:p>
      <w:pPr>
        <w:sectPr>
          <w:pgSz w:w="11900" w:h="16838" w:orient="portrait"/>
          <w:cols w:equalWidth="0" w:num="1">
            <w:col w:w="11000"/>
          </w:cols>
          <w:pgMar w:left="240" w:top="449" w:right="659" w:bottom="1440" w:gutter="0" w:footer="0" w:header="0"/>
        </w:sectPr>
      </w:pPr>
    </w:p>
    <w:bookmarkStart w:id="161" w:name="page162"/>
    <w:bookmarkEnd w:id="1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540"/>
        <w:spacing w:after="0" w:line="247" w:lineRule="auto"/>
        <w:rPr>
          <w:sz w:val="20"/>
          <w:szCs w:val="20"/>
          <w:color w:val="auto"/>
        </w:rPr>
      </w:pPr>
      <w:r>
        <w:rPr>
          <w:rFonts w:ascii="Arial" w:cs="Arial" w:eastAsia="Arial" w:hAnsi="Arial"/>
          <w:sz w:val="17"/>
          <w:szCs w:val="17"/>
          <w:color w:val="auto"/>
        </w:rPr>
        <w:t>Treaty, or PCT, applications), associated with, for example, the treatment of, cardio-metabolic, liver, ophthalmic and bile acid related diseases. The issued patents and pending patent applications contain claims directed to various aspects of our work, including compositions of matter, methods of treatment, use of our product candidates in combination with certain other therapeutics and formulations.</w:t>
      </w:r>
    </w:p>
    <w:p>
      <w:pPr>
        <w:spacing w:after="0" w:line="277"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NGM282 Patent Portfolio</w:t>
      </w:r>
    </w:p>
    <w:p>
      <w:pPr>
        <w:spacing w:after="0" w:line="124" w:lineRule="exact"/>
        <w:rPr>
          <w:sz w:val="20"/>
          <w:szCs w:val="20"/>
          <w:color w:val="auto"/>
        </w:rPr>
      </w:pPr>
    </w:p>
    <w:p>
      <w:pPr>
        <w:jc w:val="both"/>
        <w:ind w:left="380" w:right="220" w:firstLine="534"/>
        <w:spacing w:after="0" w:line="241" w:lineRule="auto"/>
        <w:rPr>
          <w:sz w:val="20"/>
          <w:szCs w:val="20"/>
          <w:color w:val="auto"/>
        </w:rPr>
      </w:pPr>
      <w:r>
        <w:rPr>
          <w:rFonts w:ascii="Arial" w:cs="Arial" w:eastAsia="Arial" w:hAnsi="Arial"/>
          <w:sz w:val="17"/>
          <w:szCs w:val="17"/>
          <w:color w:val="auto"/>
        </w:rPr>
        <w:t>Our NGM282 product candidate, and related compositions-of-matter and methods of use, are covered by fifteen U.S. patents, as well as issued patents in the following foreign countries: Australia, Japan, Malaysia, Mexico, New Zealand, Peru, and South Africa; and are disclosed and claimed in other applications that are pending in the United States and the following foreign countries and regions:</w:t>
      </w:r>
    </w:p>
    <w:p>
      <w:pPr>
        <w:ind w:left="380" w:right="120"/>
        <w:spacing w:after="0" w:line="243" w:lineRule="auto"/>
        <w:rPr>
          <w:sz w:val="20"/>
          <w:szCs w:val="20"/>
          <w:color w:val="auto"/>
        </w:rPr>
      </w:pPr>
      <w:r>
        <w:rPr>
          <w:rFonts w:ascii="Arial" w:cs="Arial" w:eastAsia="Arial" w:hAnsi="Arial"/>
          <w:sz w:val="17"/>
          <w:szCs w:val="17"/>
          <w:color w:val="auto"/>
        </w:rPr>
        <w:t>Australia, Brazil, Canada, Chile, China, Egypt, the European Patent Office, or EPO, Hong Kong, India, Indonesia, Israel, Japan, Republic of Korea, Mexico, New Zealand, Philippines, Russian Federation, Singapore, South Africa, Ukraine, United Arab Emirates and Vietnam. The earliest expected expiration date for these patents and any patents issuing from these patent applications is June 2032, exclusive of possible patent term extensions or adjustments. Any changes we make to the NGM282 molecule to cause it to have what we view as more advantageous properties may not be covered by our existing patents and patent applications, and we may be required to file new applications and/or seek other forms of protection for any such altered molecule. The patent landscape surrounding FGF19, the naturally occurring hormone upon which NGM282 is based, is crowded, and there can be no assurance that we would be able to secure patent protection that would adequately cover an alternative to our NGM282 molecule, including the half-life extended variant of FGF19 that we are developing.</w:t>
      </w:r>
    </w:p>
    <w:p>
      <w:pPr>
        <w:spacing w:after="0" w:line="283"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NGM313 Patent Portfolio</w:t>
      </w:r>
    </w:p>
    <w:p>
      <w:pPr>
        <w:spacing w:after="0" w:line="124" w:lineRule="exact"/>
        <w:rPr>
          <w:sz w:val="20"/>
          <w:szCs w:val="20"/>
          <w:color w:val="auto"/>
        </w:rPr>
      </w:pPr>
    </w:p>
    <w:p>
      <w:pPr>
        <w:ind w:left="380" w:right="160" w:firstLine="534"/>
        <w:spacing w:after="0" w:line="243" w:lineRule="auto"/>
        <w:rPr>
          <w:sz w:val="20"/>
          <w:szCs w:val="20"/>
          <w:color w:val="auto"/>
        </w:rPr>
      </w:pPr>
      <w:r>
        <w:rPr>
          <w:rFonts w:ascii="Arial" w:cs="Arial" w:eastAsia="Arial" w:hAnsi="Arial"/>
          <w:sz w:val="17"/>
          <w:szCs w:val="17"/>
          <w:color w:val="auto"/>
        </w:rPr>
        <w:t>Our NGM313 product candidate, and related compositions-of-matter and methods of use, are covered by two issued U.S. patents and one issued Colombia patent; and are disclosed and claimed in other applications that are pending in the United States and the following foreign countries: Australia, Brazil, Canada, Chile, China, the EPO, Hong Kong, India, Indonesia, Israel, Japan, Republic of Korea, Malaysia, Mexico, New Zealand, Peru, Philippines, Russian Federation, Singapore, South Africa, Ukraine and Vietnam. The earliest expected expiration date for these patents and any patents issuing from these patent applications is January 2035, exclusive of possible patent term extensions or adjustments. Any changes we make to the NGM313 molecule to cause it to have what we view as more advantageous properties may not be covered by our existing patents and patent applications, and we may be required to file new applications and/or seek other forms of protection for any such altered molecule. The patent landscape surrounding antibodies to FGFR1c/KLB is crowded, and there can be no assurance that we would be able to secure patent protection that would adequately cover an alternative to our NGM313 molecule.</w:t>
      </w:r>
    </w:p>
    <w:p>
      <w:pPr>
        <w:spacing w:after="0" w:line="281"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NGM386 Patent Portfolio</w:t>
      </w:r>
    </w:p>
    <w:p>
      <w:pPr>
        <w:spacing w:after="0" w:line="124"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Our NGM386 product candidate, and related compositions-of-matter and methods of use, are covered by one issued U.S. patent, one issued Lebanese patent and one issued Algerian patent; and are disclosed and claimed in other applications that are pending in the United States and the following foreign countries and regions: the African Regional Intellectual Property Organization, Argentina, Australia, Barbados, Belize, Brunei Darussalam, Brazil, Canada, Chile, China, Colombia, Costa Rica, Dominican Republic, El Salvador, Ecuador, Egypt, the Eurasian Patent Office, the EPO, Georgia, Guatemala, Gulf Cooperation Council, Honduras, Hong Kong, India, Indonesia, Iran, Israel, Jamaica, Japan, Jordan, Republic of Korea, Malaysia, Mexico, Republic of Moldova, Mongolia, New Zealand, Nicaragua, Nigeria, Pakistan, Panama, Peru, Philippines, Singapore, Sri Lanka, South Africa, Taiwan R.O.C., Thailand, Trinidad and Tobago, Tunisia, Ukraine, Venezuela and Vietnam. The earliest</w:t>
      </w:r>
    </w:p>
    <w:p>
      <w:pPr>
        <w:spacing w:after="0" w:line="13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1040"/>
          </w:cols>
          <w:pgMar w:left="240" w:top="449" w:right="619" w:bottom="1440" w:gutter="0" w:footer="0" w:header="0"/>
        </w:sectPr>
      </w:pPr>
    </w:p>
    <w:bookmarkStart w:id="162" w:name="page163"/>
    <w:bookmarkEnd w:id="1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60"/>
        <w:spacing w:after="0" w:line="244" w:lineRule="auto"/>
        <w:rPr>
          <w:sz w:val="20"/>
          <w:szCs w:val="20"/>
          <w:color w:val="auto"/>
        </w:rPr>
      </w:pPr>
      <w:r>
        <w:rPr>
          <w:rFonts w:ascii="Arial" w:cs="Arial" w:eastAsia="Arial" w:hAnsi="Arial"/>
          <w:sz w:val="17"/>
          <w:szCs w:val="17"/>
          <w:color w:val="auto"/>
        </w:rPr>
        <w:t>expected expiration date for these patents and any patents issuing from these patent applications is July 2035, exclusive of possible patent term extensions or adjustments. Any changes we make to the NGM386 molecule to cause it to have what we view as more advantageous properties may not be covered by our existing patents and patent applications, and we may be required to file new applications and/or seek other forms of protection for any such altered molecule. The patent landscape surrounding GDF15, the naturally-occurring hormone upon which NGM386 is based, is crowded, and there can be no assurance that we would be able to secure patent protection that would adequately cover an alternative to our NGM386 molecule.</w:t>
      </w:r>
    </w:p>
    <w:p>
      <w:pPr>
        <w:spacing w:after="0" w:line="282"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NGM395 Patent Portfolio</w:t>
      </w:r>
    </w:p>
    <w:p>
      <w:pPr>
        <w:spacing w:after="0" w:line="124" w:lineRule="exact"/>
        <w:rPr>
          <w:sz w:val="20"/>
          <w:szCs w:val="20"/>
          <w:color w:val="auto"/>
        </w:rPr>
      </w:pPr>
    </w:p>
    <w:p>
      <w:pPr>
        <w:ind w:left="380" w:firstLine="534"/>
        <w:spacing w:after="0" w:line="242" w:lineRule="auto"/>
        <w:rPr>
          <w:sz w:val="20"/>
          <w:szCs w:val="20"/>
          <w:color w:val="auto"/>
        </w:rPr>
      </w:pPr>
      <w:r>
        <w:rPr>
          <w:rFonts w:ascii="Arial" w:cs="Arial" w:eastAsia="Arial" w:hAnsi="Arial"/>
          <w:sz w:val="17"/>
          <w:szCs w:val="17"/>
          <w:color w:val="auto"/>
        </w:rPr>
        <w:t>Our NGM395 product candidate, and related compositions-of-matter and methods of use, are covered by one issued U.S. patent and one issued Lebanese patent; and are disclosed and claimed in other applications that are pending in the United States and the following foreign countries and regions: the African Regional Intellectual Property Organization, Algeria, Argentina, Australia, Barbados, Brazil, Brunei Darussalam, Canada, Chile, China, Colombia, Costa Rica, Dominican Republic, El Salvador, Ecuador, Egypt, the Eurasian Patent Office, the EPO, Georgia, Guatemala, Gulf Cooperation Council, Honduras, Hong Kong, India, Indonesia, Iran, Israel, Jamaica, Japan, Jordan, Republic of Korea, Malaysia, Republic of Moldova, Mongolia, Mexico, New Zealand, Nicaragua, Nigeria, Pakistan, Panama, Peru, Philippines, Singapore, Sri Lanka, South Africa, Taiwan R.O.C., Thailand, Trinidad and Tobago, Tunisia, Ukraine, Venezuela and Vietnam. The earliest expected expiration date for these patents and any patents issuing from these patent applications is October 2035, exclusive of possible patent term extensions or adjustments. Any changes we make to the NGM395 molecule to cause it to have what we view as more advantageous properties may not be covered by our existing patents and patent applications, and we may be required to file new applications and/or seek other forms of protection for any such altered molecule. The patent landscape surrounding GDF15, the naturally occurring hormone upon which NGM395 is based, is crowded, and there can be no assurance that we would be able to secure patent protection that would adequately cover an alternative to our NGM395 molecule.</w:t>
      </w:r>
    </w:p>
    <w:p>
      <w:pPr>
        <w:spacing w:after="0" w:line="287"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NGM120 Patent Portfolio</w:t>
      </w:r>
    </w:p>
    <w:p>
      <w:pPr>
        <w:spacing w:after="0" w:line="124" w:lineRule="exact"/>
        <w:rPr>
          <w:sz w:val="20"/>
          <w:szCs w:val="20"/>
          <w:color w:val="auto"/>
        </w:rPr>
      </w:pPr>
    </w:p>
    <w:p>
      <w:pPr>
        <w:ind w:left="380" w:right="40" w:firstLine="534"/>
        <w:spacing w:after="0" w:line="243" w:lineRule="auto"/>
        <w:rPr>
          <w:sz w:val="20"/>
          <w:szCs w:val="20"/>
          <w:color w:val="auto"/>
        </w:rPr>
      </w:pPr>
      <w:r>
        <w:rPr>
          <w:rFonts w:ascii="Arial" w:cs="Arial" w:eastAsia="Arial" w:hAnsi="Arial"/>
          <w:sz w:val="17"/>
          <w:szCs w:val="17"/>
          <w:color w:val="auto"/>
        </w:rPr>
        <w:t>Our NGM120 product candidate, and related compositions-of-matter and methods of use, are disclosed and claimed in one issued U.S. patent and in applications pending in the following foreign countries and regions: Australia, Brazil, Canada, Chile, China, Colombia, Egypt, the EPO, India, Indonesia, Israel, Japan, Republic of Korea, Malaysia, Mexico, New Zealand, Peru, Philippines, Russian Federation, Singapore, South Africa, Taiwan R.O.C., Ukraine and Vietnam. The earliest expected expiration date for this patent and any patents issuing from these patent applications is October 2037, exclusive of possible patent term extensions or adjustments. Any changes we make to the NGM120 molecule to cause it to have what we view as more advantageous properties may not be covered by our existing patent and patent applications, and we may be required to file new applications and/or seek other forms of protection for any such altered molecule. The patent landscape surrounding antibodies to GFRAL is crowded, and there can be no assurance that we would be able to secure patent protection that would adequately cover an alternative to our NGM120 molecule, nor can there be any assurance that we will obtain sufficiently broad claims to be able to prevent others from selling competing products.</w:t>
      </w:r>
    </w:p>
    <w:p>
      <w:pPr>
        <w:spacing w:after="0" w:line="281"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NGM217 Patent Portfolio</w:t>
      </w:r>
    </w:p>
    <w:p>
      <w:pPr>
        <w:spacing w:after="0" w:line="124" w:lineRule="exact"/>
        <w:rPr>
          <w:sz w:val="20"/>
          <w:szCs w:val="20"/>
          <w:color w:val="auto"/>
        </w:rPr>
      </w:pPr>
    </w:p>
    <w:p>
      <w:pPr>
        <w:jc w:val="both"/>
        <w:ind w:left="380" w:right="20" w:firstLine="534"/>
        <w:spacing w:after="0" w:line="250" w:lineRule="auto"/>
        <w:rPr>
          <w:sz w:val="20"/>
          <w:szCs w:val="20"/>
          <w:color w:val="auto"/>
        </w:rPr>
      </w:pPr>
      <w:r>
        <w:rPr>
          <w:rFonts w:ascii="Arial" w:cs="Arial" w:eastAsia="Arial" w:hAnsi="Arial"/>
          <w:sz w:val="17"/>
          <w:szCs w:val="17"/>
          <w:color w:val="auto"/>
        </w:rPr>
        <w:t>We do not currently own or have a license to any issued patent that covers our NGM217 product candidate. However, our NGM217 product candidate, and related compositions-of matter and methods of use, are disclosed and claimed in pending United States and PCT applications. The earliest</w:t>
      </w:r>
    </w:p>
    <w:p>
      <w:pPr>
        <w:spacing w:after="0" w:line="12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1040"/>
          </w:cols>
          <w:pgMar w:left="240" w:top="449" w:right="619" w:bottom="1440" w:gutter="0" w:footer="0" w:header="0"/>
        </w:sectPr>
      </w:pPr>
    </w:p>
    <w:bookmarkStart w:id="163" w:name="page164"/>
    <w:bookmarkEnd w:id="1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440"/>
        <w:spacing w:after="0" w:line="244" w:lineRule="auto"/>
        <w:rPr>
          <w:sz w:val="20"/>
          <w:szCs w:val="20"/>
          <w:color w:val="auto"/>
        </w:rPr>
      </w:pPr>
      <w:r>
        <w:rPr>
          <w:rFonts w:ascii="Arial" w:cs="Arial" w:eastAsia="Arial" w:hAnsi="Arial"/>
          <w:sz w:val="17"/>
          <w:szCs w:val="17"/>
          <w:color w:val="auto"/>
        </w:rPr>
        <w:t>expected expiration date for any patents issuing from these patent applications is January 2038, exclusive of possible patent term extensions or adjustments. Any changes we make to the NGM217 molecule to cause it to have what we view as more advantageous properties may not be covered by our existing patent applications, and we may be required to file new applications and/or seek other forms of protection for any such altered molecule. There can be no assurance that we would be able to secure patent protection that would adequately cover an alternative to our NGM217 molecule, nor can there be any assurance that we will obtain sufficiently broad claims to be able to prevent others from selling competing products.</w:t>
      </w:r>
    </w:p>
    <w:p>
      <w:pPr>
        <w:spacing w:after="0" w:line="282"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NGM621 Patent Portfolio</w:t>
      </w:r>
    </w:p>
    <w:p>
      <w:pPr>
        <w:spacing w:after="0" w:line="124" w:lineRule="exact"/>
        <w:rPr>
          <w:sz w:val="20"/>
          <w:szCs w:val="20"/>
          <w:color w:val="auto"/>
        </w:rPr>
      </w:pPr>
    </w:p>
    <w:p>
      <w:pPr>
        <w:ind w:left="380" w:right="40" w:firstLine="534"/>
        <w:spacing w:after="0" w:line="243" w:lineRule="auto"/>
        <w:rPr>
          <w:sz w:val="20"/>
          <w:szCs w:val="20"/>
          <w:color w:val="auto"/>
        </w:rPr>
      </w:pPr>
      <w:r>
        <w:rPr>
          <w:rFonts w:ascii="Arial" w:cs="Arial" w:eastAsia="Arial" w:hAnsi="Arial"/>
          <w:sz w:val="17"/>
          <w:szCs w:val="17"/>
          <w:color w:val="auto"/>
        </w:rPr>
        <w:t>We do not currently own or have a license to any issued patent that covers our NGM621 product candidate. However, our NGM621 product candidate, and related compositions-of-matter and methods of use, are disclosed and claimed in a pending United States provisional application filed in April 2018 that we expect to use as the basis for U.S. non-provisional and PCT applications. Any changes we make to the NGM621 molecule to cause it to have what we view as more advantageous properties may not be covered by our existing patent applications, and we may be required to file new applications and/or seek other forms of protection for any such altered molecule. There can be no assurance that we would be able to secure patent protection that would adequately cover an alternative to our NGM621 molecule, nor can there be any assurance that we will obtain sufficiently broad claims to be able to prevent others from selling competing products.</w:t>
      </w:r>
    </w:p>
    <w:p>
      <w:pPr>
        <w:spacing w:after="0" w:line="395" w:lineRule="exact"/>
        <w:rPr>
          <w:sz w:val="20"/>
          <w:szCs w:val="20"/>
          <w:color w:val="auto"/>
        </w:rPr>
      </w:pPr>
    </w:p>
    <w:p>
      <w:pPr>
        <w:ind w:left="380" w:right="80" w:firstLine="534"/>
        <w:spacing w:after="0" w:line="245" w:lineRule="auto"/>
        <w:rPr>
          <w:sz w:val="20"/>
          <w:szCs w:val="20"/>
          <w:color w:val="auto"/>
        </w:rPr>
      </w:pPr>
      <w:r>
        <w:rPr>
          <w:rFonts w:ascii="Arial" w:cs="Arial" w:eastAsia="Arial" w:hAnsi="Arial"/>
          <w:sz w:val="17"/>
          <w:szCs w:val="17"/>
          <w:color w:val="auto"/>
        </w:rPr>
        <w:t>The actual term of any patent that may issue from the above-described patent applications claiming one of our product candidates could be longer than described above due to patent term adjustment or patent term extension, if available, or shorter if we are required to file terminal disclaimers. The term of individual patents depends upon the legal term for patents in the countries in which they are granted. In most countries, including the United States, the patent term is 20 years from the earliest claimed filing date of a non-provisional patent application in the applicable country.</w:t>
      </w:r>
    </w:p>
    <w:p>
      <w:pPr>
        <w:spacing w:after="0" w:line="194"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The U.S. patent system permits the filing of provisional and non-provisional patent applications. A provisional patent application is not examined for patentability by the USPTO, and automatically expires 12 months after its filing date. As a result, a provisional patent application cannot mature into an issued patent. Provisional applications are often used, among other things, to establish an early effective filing date for a later-filed non-provisional patent application. A non-provisional patent application is examined by the USPTO and can mature into a patent once the USPTO determines that the claimed invention meets the standards for patentability. If we do not timely file any non-provisional patent applications with respect to any of our provisional patent applications, we may lose our priority date with respect to our provisional patent applications and any patent protection on the inventions disclosed therein. While we intend to timely file non-provisional patent applications relating to our provisional patent applications, we cannot predict whether any such patent applications will result in the issuance of patents that provide us with any competitive advantage.</w:t>
      </w:r>
    </w:p>
    <w:p>
      <w:pPr>
        <w:spacing w:after="0" w:line="196" w:lineRule="exact"/>
        <w:rPr>
          <w:sz w:val="20"/>
          <w:szCs w:val="20"/>
          <w:color w:val="auto"/>
        </w:rPr>
      </w:pPr>
    </w:p>
    <w:p>
      <w:pPr>
        <w:ind w:left="380" w:right="20" w:firstLine="534"/>
        <w:spacing w:after="0" w:line="243" w:lineRule="auto"/>
        <w:rPr>
          <w:sz w:val="20"/>
          <w:szCs w:val="20"/>
          <w:color w:val="auto"/>
        </w:rPr>
      </w:pPr>
      <w:r>
        <w:rPr>
          <w:rFonts w:ascii="Arial" w:cs="Arial" w:eastAsia="Arial" w:hAnsi="Arial"/>
          <w:sz w:val="17"/>
          <w:szCs w:val="17"/>
          <w:color w:val="auto"/>
        </w:rPr>
        <w:t>Our ability to maintain and solidify our proprietary position for our product candidates and technology will depend on our success in obtaining effective patent claims and enforcing those claims once granted. We do not know whether any of our patent applications will result in the issuance of any patents, or what the scope of the claims in any future issued patents may be. Our issued patents and those that may issue in the future, or those licensed to us, may be challenged, invalidated, narrowed, rendered unenforceable or circumvented, which could limit our ability to stop competitors from marketing identical or substantially similar products or could reduce the length of term of patent protection that we may have for our products. In addition, the claims granted in any of our issued patents may not provide us with advantages against competitors with similar biological molecules or technology. Furthermore, our competitors may independently develop technologies that are similar or</w:t>
      </w:r>
    </w:p>
    <w:p>
      <w:pPr>
        <w:spacing w:after="0" w:line="13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1060"/>
          </w:cols>
          <w:pgMar w:left="240" w:top="449" w:right="599" w:bottom="1440" w:gutter="0" w:footer="0" w:header="0"/>
        </w:sectPr>
      </w:pPr>
    </w:p>
    <w:bookmarkStart w:id="164" w:name="page165"/>
    <w:bookmarkEnd w:id="1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300"/>
        <w:spacing w:after="0" w:line="247" w:lineRule="auto"/>
        <w:rPr>
          <w:sz w:val="20"/>
          <w:szCs w:val="20"/>
          <w:color w:val="auto"/>
        </w:rPr>
      </w:pPr>
      <w:r>
        <w:rPr>
          <w:rFonts w:ascii="Arial" w:cs="Arial" w:eastAsia="Arial" w:hAnsi="Arial"/>
          <w:sz w:val="17"/>
          <w:szCs w:val="17"/>
          <w:color w:val="auto"/>
        </w:rPr>
        <w:t>identical to technology developed by us but that do not infringe our patents or other intellectual property. Because of the extensive time required for development, testing and regulatory review of a potential product, it is possible that, by the time that any of our drug candidates or those developed by our collaborator can be commercialized, the key patent may have expired or may only continue to remain in force for a short period of time following commercialization, thereby reducing the usefulness of the patent.</w:t>
      </w:r>
    </w:p>
    <w:p>
      <w:pPr>
        <w:spacing w:after="0" w:line="190"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We seek to protect our proprietary technology and processes, in part, by confidentiality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or contractors use technology or know-how owned by others in their work for us, disputes may arise as to the rights in related inventions. For this and more comprehensive risks related to our intellectual property, see “Risk Factors—Risks Related to Our Intellectual Property.”</w:t>
      </w:r>
    </w:p>
    <w:p>
      <w:pPr>
        <w:spacing w:after="0" w:line="278"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Employees</w:t>
      </w:r>
    </w:p>
    <w:p>
      <w:pPr>
        <w:spacing w:after="0" w:line="232" w:lineRule="exact"/>
        <w:rPr>
          <w:sz w:val="20"/>
          <w:szCs w:val="20"/>
          <w:color w:val="auto"/>
        </w:rPr>
      </w:pPr>
    </w:p>
    <w:p>
      <w:pPr>
        <w:ind w:left="380" w:right="120" w:firstLine="534"/>
        <w:spacing w:after="0" w:line="258" w:lineRule="auto"/>
        <w:rPr>
          <w:sz w:val="20"/>
          <w:szCs w:val="20"/>
          <w:color w:val="auto"/>
        </w:rPr>
      </w:pPr>
      <w:r>
        <w:rPr>
          <w:rFonts w:ascii="Arial" w:cs="Arial" w:eastAsia="Arial" w:hAnsi="Arial"/>
          <w:sz w:val="17"/>
          <w:szCs w:val="17"/>
          <w:color w:val="auto"/>
        </w:rPr>
        <w:t>As of December 31, 2018, we had 164 employees. Approximately 135 employees are engaged in research and development, and the others are engaged in business development, finance and other administrative functions.</w:t>
      </w:r>
    </w:p>
    <w:p>
      <w:pPr>
        <w:spacing w:after="0" w:line="265"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Facilities</w:t>
      </w:r>
    </w:p>
    <w:p>
      <w:pPr>
        <w:spacing w:after="0" w:line="232" w:lineRule="exact"/>
        <w:rPr>
          <w:sz w:val="20"/>
          <w:szCs w:val="20"/>
          <w:color w:val="auto"/>
        </w:rPr>
      </w:pPr>
    </w:p>
    <w:p>
      <w:pPr>
        <w:ind w:left="380" w:right="200" w:firstLine="534"/>
        <w:spacing w:after="0" w:line="250" w:lineRule="auto"/>
        <w:rPr>
          <w:sz w:val="20"/>
          <w:szCs w:val="20"/>
          <w:color w:val="auto"/>
        </w:rPr>
      </w:pPr>
      <w:r>
        <w:rPr>
          <w:rFonts w:ascii="Arial" w:cs="Arial" w:eastAsia="Arial" w:hAnsi="Arial"/>
          <w:sz w:val="17"/>
          <w:szCs w:val="17"/>
          <w:color w:val="auto"/>
        </w:rPr>
        <w:t>We lease and occupy approximately 122,000 square feet of laboratory and office space in South San Francisco, California. The lease is scheduled to expire in December 2023. We believe that our current spaces are adequate for our needs. We also believe we will be able to obtain additional space, as needed, on commercially reasonable terms.</w:t>
      </w:r>
    </w:p>
    <w:p>
      <w:pPr>
        <w:spacing w:after="0" w:line="271"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auto"/>
        </w:rPr>
        <w:t>Legal Proceedings</w:t>
      </w:r>
    </w:p>
    <w:p>
      <w:pPr>
        <w:spacing w:after="0" w:line="23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We are currently not a party to any material legal proceedings.</w:t>
      </w:r>
    </w:p>
    <w:p>
      <w:pPr>
        <w:spacing w:after="0" w:line="145"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1040"/>
          </w:cols>
          <w:pgMar w:left="240" w:top="449" w:right="619" w:bottom="1440" w:gutter="0" w:footer="0" w:header="0"/>
        </w:sectPr>
      </w:pPr>
    </w:p>
    <w:bookmarkStart w:id="165" w:name="page166"/>
    <w:bookmarkEnd w:id="1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MANAGEMENT</w:t>
      </w:r>
    </w:p>
    <w:p>
      <w:pPr>
        <w:spacing w:after="0" w:line="2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Directors and Executive Officers</w:t>
      </w:r>
    </w:p>
    <w:p>
      <w:pPr>
        <w:spacing w:after="0" w:line="23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following table sets forth the name, age and position of each of our directors and executive officers as of December 31, 2018.</w:t>
      </w:r>
    </w:p>
    <w:p>
      <w:pPr>
        <w:spacing w:after="0" w:line="226" w:lineRule="exact"/>
        <w:rPr>
          <w:sz w:val="20"/>
          <w:szCs w:val="20"/>
          <w:color w:val="auto"/>
        </w:rPr>
      </w:pPr>
    </w:p>
    <w:tbl>
      <w:tblPr>
        <w:tblLayout w:type="fixed"/>
        <w:tblInd w:w="380" w:type="dxa"/>
        <w:tblCellMar>
          <w:top w:w="0" w:type="dxa"/>
          <w:left w:w="0" w:type="dxa"/>
          <w:bottom w:w="0" w:type="dxa"/>
          <w:right w:w="0" w:type="dxa"/>
        </w:tblCellMar>
      </w:tblPr>
      <w:tr>
        <w:trPr>
          <w:trHeight w:val="169"/>
        </w:trPr>
        <w:tc>
          <w:tcPr>
            <w:tcW w:w="420" w:type="dxa"/>
            <w:vAlign w:val="bottom"/>
          </w:tcPr>
          <w:p>
            <w:pPr>
              <w:spacing w:after="0"/>
              <w:rPr>
                <w:sz w:val="20"/>
                <w:szCs w:val="20"/>
                <w:color w:val="auto"/>
              </w:rPr>
            </w:pPr>
            <w:r>
              <w:rPr>
                <w:rFonts w:ascii="Arial" w:cs="Arial" w:eastAsia="Arial" w:hAnsi="Arial"/>
                <w:sz w:val="14"/>
                <w:szCs w:val="14"/>
                <w:b w:val="1"/>
                <w:bCs w:val="1"/>
                <w:color w:val="auto"/>
                <w:w w:val="96"/>
              </w:rPr>
              <w:t>NAME</w:t>
            </w:r>
          </w:p>
        </w:tc>
        <w:tc>
          <w:tcPr>
            <w:tcW w:w="3480" w:type="dxa"/>
            <w:vAlign w:val="bottom"/>
          </w:tcPr>
          <w:p>
            <w:pPr>
              <w:spacing w:after="0"/>
              <w:rPr>
                <w:sz w:val="14"/>
                <w:szCs w:val="14"/>
                <w:color w:val="auto"/>
              </w:rPr>
            </w:pPr>
          </w:p>
        </w:tc>
        <w:tc>
          <w:tcPr>
            <w:tcW w:w="10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2"/>
              </w:rPr>
              <w:t>AGE</w:t>
            </w:r>
          </w:p>
        </w:tc>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shd w:val="clear" w:color="auto" w:fill="000000"/>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r>
      <w:tr>
        <w:trPr>
          <w:trHeight w:val="170"/>
        </w:trPr>
        <w:tc>
          <w:tcPr>
            <w:tcW w:w="3900" w:type="dxa"/>
            <w:vAlign w:val="bottom"/>
            <w:gridSpan w:val="2"/>
            <w:shd w:val="clear" w:color="auto" w:fill="CCEEFF"/>
          </w:tcPr>
          <w:p>
            <w:pPr>
              <w:spacing w:after="0" w:line="170" w:lineRule="exact"/>
              <w:rPr>
                <w:sz w:val="20"/>
                <w:szCs w:val="20"/>
                <w:color w:val="auto"/>
              </w:rPr>
            </w:pPr>
            <w:r>
              <w:rPr>
                <w:rFonts w:ascii="Arial" w:cs="Arial" w:eastAsia="Arial" w:hAnsi="Arial"/>
                <w:sz w:val="17"/>
                <w:szCs w:val="17"/>
                <w:i w:val="1"/>
                <w:iCs w:val="1"/>
                <w:color w:val="auto"/>
              </w:rPr>
              <w:t>Executive Officers</w:t>
            </w: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080" w:type="dxa"/>
            <w:vAlign w:val="bottom"/>
            <w:shd w:val="clear" w:color="auto" w:fill="CCEEFF"/>
          </w:tcPr>
          <w:p>
            <w:pPr>
              <w:spacing w:after="0"/>
              <w:rPr>
                <w:sz w:val="14"/>
                <w:szCs w:val="14"/>
                <w:color w:val="auto"/>
              </w:rPr>
            </w:pPr>
          </w:p>
        </w:tc>
      </w:tr>
      <w:tr>
        <w:trPr>
          <w:trHeight w:val="196"/>
        </w:trPr>
        <w:tc>
          <w:tcPr>
            <w:tcW w:w="3900" w:type="dxa"/>
            <w:vAlign w:val="bottom"/>
            <w:gridSpan w:val="2"/>
          </w:tcPr>
          <w:p>
            <w:pPr>
              <w:spacing w:after="0"/>
              <w:rPr>
                <w:sz w:val="20"/>
                <w:szCs w:val="20"/>
                <w:color w:val="auto"/>
              </w:rPr>
            </w:pPr>
            <w:r>
              <w:rPr>
                <w:rFonts w:ascii="Arial" w:cs="Arial" w:eastAsia="Arial" w:hAnsi="Arial"/>
                <w:sz w:val="17"/>
                <w:szCs w:val="17"/>
                <w:color w:val="auto"/>
              </w:rPr>
              <w:t>William J. Rieflin</w:t>
            </w:r>
          </w:p>
        </w:tc>
        <w:tc>
          <w:tcPr>
            <w:tcW w:w="1040" w:type="dxa"/>
            <w:vAlign w:val="bottom"/>
            <w:gridSpan w:val="2"/>
          </w:tcPr>
          <w:p>
            <w:pPr>
              <w:jc w:val="right"/>
              <w:ind w:right="740"/>
              <w:spacing w:after="0"/>
              <w:rPr>
                <w:sz w:val="20"/>
                <w:szCs w:val="20"/>
                <w:color w:val="auto"/>
              </w:rPr>
            </w:pPr>
            <w:r>
              <w:rPr>
                <w:rFonts w:ascii="Arial" w:cs="Arial" w:eastAsia="Arial" w:hAnsi="Arial"/>
                <w:sz w:val="17"/>
                <w:szCs w:val="17"/>
                <w:color w:val="auto"/>
              </w:rPr>
              <w:t>58</w:t>
            </w:r>
          </w:p>
        </w:tc>
        <w:tc>
          <w:tcPr>
            <w:tcW w:w="5740" w:type="dxa"/>
            <w:vAlign w:val="bottom"/>
            <w:gridSpan w:val="2"/>
          </w:tcPr>
          <w:p>
            <w:pPr>
              <w:spacing w:after="0"/>
              <w:rPr>
                <w:sz w:val="20"/>
                <w:szCs w:val="20"/>
                <w:color w:val="auto"/>
              </w:rPr>
            </w:pPr>
            <w:r>
              <w:rPr>
                <w:rFonts w:ascii="Arial" w:cs="Arial" w:eastAsia="Arial" w:hAnsi="Arial"/>
                <w:sz w:val="17"/>
                <w:szCs w:val="17"/>
                <w:color w:val="auto"/>
              </w:rPr>
              <w:t>Executive Chairman of the Board of Directors</w:t>
            </w:r>
          </w:p>
        </w:tc>
      </w:tr>
      <w:tr>
        <w:trPr>
          <w:trHeight w:val="196"/>
        </w:trPr>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David J. Woodhouse, Ph.D.</w:t>
            </w:r>
          </w:p>
        </w:tc>
        <w:tc>
          <w:tcPr>
            <w:tcW w:w="104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48</w:t>
            </w:r>
          </w:p>
        </w:tc>
        <w:tc>
          <w:tcPr>
            <w:tcW w:w="5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Chief Executive Officer, Acting Chief Financial Officer and Director</w:t>
            </w:r>
          </w:p>
        </w:tc>
      </w:tr>
      <w:tr>
        <w:trPr>
          <w:trHeight w:val="196"/>
        </w:trPr>
        <w:tc>
          <w:tcPr>
            <w:tcW w:w="3900" w:type="dxa"/>
            <w:vAlign w:val="bottom"/>
            <w:gridSpan w:val="2"/>
          </w:tcPr>
          <w:p>
            <w:pPr>
              <w:spacing w:after="0"/>
              <w:rPr>
                <w:sz w:val="20"/>
                <w:szCs w:val="20"/>
                <w:color w:val="auto"/>
              </w:rPr>
            </w:pPr>
            <w:r>
              <w:rPr>
                <w:rFonts w:ascii="Arial" w:cs="Arial" w:eastAsia="Arial" w:hAnsi="Arial"/>
                <w:sz w:val="17"/>
                <w:szCs w:val="17"/>
                <w:color w:val="auto"/>
              </w:rPr>
              <w:t>Jin-Long Chen, Ph.D.</w:t>
            </w:r>
          </w:p>
        </w:tc>
        <w:tc>
          <w:tcPr>
            <w:tcW w:w="1040" w:type="dxa"/>
            <w:vAlign w:val="bottom"/>
            <w:gridSpan w:val="2"/>
          </w:tcPr>
          <w:p>
            <w:pPr>
              <w:jc w:val="right"/>
              <w:ind w:right="740"/>
              <w:spacing w:after="0"/>
              <w:rPr>
                <w:sz w:val="20"/>
                <w:szCs w:val="20"/>
                <w:color w:val="auto"/>
              </w:rPr>
            </w:pPr>
            <w:r>
              <w:rPr>
                <w:rFonts w:ascii="Arial" w:cs="Arial" w:eastAsia="Arial" w:hAnsi="Arial"/>
                <w:sz w:val="17"/>
                <w:szCs w:val="17"/>
                <w:color w:val="auto"/>
              </w:rPr>
              <w:t>56</w:t>
            </w:r>
          </w:p>
        </w:tc>
        <w:tc>
          <w:tcPr>
            <w:tcW w:w="5740" w:type="dxa"/>
            <w:vAlign w:val="bottom"/>
            <w:gridSpan w:val="2"/>
          </w:tcPr>
          <w:p>
            <w:pPr>
              <w:spacing w:after="0"/>
              <w:rPr>
                <w:sz w:val="20"/>
                <w:szCs w:val="20"/>
                <w:color w:val="auto"/>
              </w:rPr>
            </w:pPr>
            <w:r>
              <w:rPr>
                <w:rFonts w:ascii="Arial" w:cs="Arial" w:eastAsia="Arial" w:hAnsi="Arial"/>
                <w:sz w:val="17"/>
                <w:szCs w:val="17"/>
                <w:color w:val="auto"/>
              </w:rPr>
              <w:t>Founder, Chief Scientific Officer and Director</w:t>
            </w:r>
          </w:p>
        </w:tc>
      </w:tr>
      <w:tr>
        <w:trPr>
          <w:trHeight w:val="196"/>
        </w:trPr>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Aetna Wun Trombley, Ph.D.</w:t>
            </w:r>
          </w:p>
        </w:tc>
        <w:tc>
          <w:tcPr>
            <w:tcW w:w="104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39</w:t>
            </w:r>
          </w:p>
        </w:tc>
        <w:tc>
          <w:tcPr>
            <w:tcW w:w="5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President and Chief Operating Officer</w:t>
            </w:r>
          </w:p>
        </w:tc>
      </w:tr>
      <w:tr>
        <w:trPr>
          <w:trHeight w:val="196"/>
        </w:trPr>
        <w:tc>
          <w:tcPr>
            <w:tcW w:w="3900" w:type="dxa"/>
            <w:vAlign w:val="bottom"/>
            <w:gridSpan w:val="2"/>
          </w:tcPr>
          <w:p>
            <w:pPr>
              <w:spacing w:after="0"/>
              <w:rPr>
                <w:sz w:val="20"/>
                <w:szCs w:val="20"/>
                <w:color w:val="auto"/>
              </w:rPr>
            </w:pPr>
            <w:r>
              <w:rPr>
                <w:rFonts w:ascii="Arial" w:cs="Arial" w:eastAsia="Arial" w:hAnsi="Arial"/>
                <w:sz w:val="17"/>
                <w:szCs w:val="17"/>
                <w:i w:val="1"/>
                <w:iCs w:val="1"/>
                <w:color w:val="auto"/>
              </w:rPr>
              <w:t>Non-Employee Directors</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80" w:type="dxa"/>
            <w:vAlign w:val="bottom"/>
          </w:tcPr>
          <w:p>
            <w:pPr>
              <w:spacing w:after="0"/>
              <w:rPr>
                <w:sz w:val="17"/>
                <w:szCs w:val="17"/>
                <w:color w:val="auto"/>
              </w:rPr>
            </w:pPr>
          </w:p>
        </w:tc>
      </w:tr>
      <w:tr>
        <w:trPr>
          <w:trHeight w:val="196"/>
        </w:trPr>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David V. Goeddel, Ph.D.(1)</w:t>
            </w:r>
          </w:p>
        </w:tc>
        <w:tc>
          <w:tcPr>
            <w:tcW w:w="104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67</w:t>
            </w:r>
          </w:p>
        </w:tc>
        <w:tc>
          <w:tcPr>
            <w:tcW w:w="5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Lead Independent Director</w:t>
            </w:r>
          </w:p>
        </w:tc>
      </w:tr>
      <w:tr>
        <w:trPr>
          <w:trHeight w:val="196"/>
        </w:trPr>
        <w:tc>
          <w:tcPr>
            <w:tcW w:w="3900" w:type="dxa"/>
            <w:vAlign w:val="bottom"/>
            <w:gridSpan w:val="2"/>
          </w:tcPr>
          <w:p>
            <w:pPr>
              <w:spacing w:after="0"/>
              <w:rPr>
                <w:sz w:val="20"/>
                <w:szCs w:val="20"/>
                <w:color w:val="auto"/>
              </w:rPr>
            </w:pPr>
            <w:r>
              <w:rPr>
                <w:rFonts w:ascii="Arial" w:cs="Arial" w:eastAsia="Arial" w:hAnsi="Arial"/>
                <w:sz w:val="17"/>
                <w:szCs w:val="17"/>
                <w:color w:val="auto"/>
              </w:rPr>
              <w:t>Suzanne Sawochka Hooper(1)(2)</w:t>
            </w:r>
          </w:p>
        </w:tc>
        <w:tc>
          <w:tcPr>
            <w:tcW w:w="1040" w:type="dxa"/>
            <w:vAlign w:val="bottom"/>
            <w:gridSpan w:val="2"/>
          </w:tcPr>
          <w:p>
            <w:pPr>
              <w:jc w:val="right"/>
              <w:ind w:right="740"/>
              <w:spacing w:after="0"/>
              <w:rPr>
                <w:sz w:val="20"/>
                <w:szCs w:val="20"/>
                <w:color w:val="auto"/>
              </w:rPr>
            </w:pPr>
            <w:r>
              <w:rPr>
                <w:rFonts w:ascii="Arial" w:cs="Arial" w:eastAsia="Arial" w:hAnsi="Arial"/>
                <w:sz w:val="17"/>
                <w:szCs w:val="17"/>
                <w:color w:val="auto"/>
              </w:rPr>
              <w:t>53</w:t>
            </w:r>
          </w:p>
        </w:tc>
        <w:tc>
          <w:tcPr>
            <w:tcW w:w="5740" w:type="dxa"/>
            <w:vAlign w:val="bottom"/>
            <w:gridSpan w:val="2"/>
          </w:tcPr>
          <w:p>
            <w:pPr>
              <w:spacing w:after="0"/>
              <w:rPr>
                <w:sz w:val="20"/>
                <w:szCs w:val="20"/>
                <w:color w:val="auto"/>
              </w:rPr>
            </w:pPr>
            <w:r>
              <w:rPr>
                <w:rFonts w:ascii="Arial" w:cs="Arial" w:eastAsia="Arial" w:hAnsi="Arial"/>
                <w:sz w:val="17"/>
                <w:szCs w:val="17"/>
                <w:color w:val="auto"/>
              </w:rPr>
              <w:t>Director</w:t>
            </w:r>
          </w:p>
        </w:tc>
      </w:tr>
      <w:tr>
        <w:trPr>
          <w:trHeight w:val="196"/>
        </w:trPr>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Mark Leschly(2)</w:t>
            </w:r>
          </w:p>
        </w:tc>
        <w:tc>
          <w:tcPr>
            <w:tcW w:w="104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50</w:t>
            </w:r>
          </w:p>
        </w:tc>
        <w:tc>
          <w:tcPr>
            <w:tcW w:w="5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196"/>
        </w:trPr>
        <w:tc>
          <w:tcPr>
            <w:tcW w:w="3900" w:type="dxa"/>
            <w:vAlign w:val="bottom"/>
            <w:gridSpan w:val="2"/>
          </w:tcPr>
          <w:p>
            <w:pPr>
              <w:spacing w:after="0"/>
              <w:rPr>
                <w:sz w:val="20"/>
                <w:szCs w:val="20"/>
                <w:color w:val="auto"/>
              </w:rPr>
            </w:pPr>
            <w:r>
              <w:rPr>
                <w:rFonts w:ascii="Arial" w:cs="Arial" w:eastAsia="Arial" w:hAnsi="Arial"/>
                <w:sz w:val="17"/>
                <w:szCs w:val="17"/>
                <w:color w:val="auto"/>
              </w:rPr>
              <w:t>David Schnell, M.D.(3)</w:t>
            </w:r>
          </w:p>
        </w:tc>
        <w:tc>
          <w:tcPr>
            <w:tcW w:w="1040" w:type="dxa"/>
            <w:vAlign w:val="bottom"/>
            <w:gridSpan w:val="2"/>
          </w:tcPr>
          <w:p>
            <w:pPr>
              <w:jc w:val="right"/>
              <w:ind w:right="740"/>
              <w:spacing w:after="0"/>
              <w:rPr>
                <w:sz w:val="20"/>
                <w:szCs w:val="20"/>
                <w:color w:val="auto"/>
              </w:rPr>
            </w:pPr>
            <w:r>
              <w:rPr>
                <w:rFonts w:ascii="Arial" w:cs="Arial" w:eastAsia="Arial" w:hAnsi="Arial"/>
                <w:sz w:val="17"/>
                <w:szCs w:val="17"/>
                <w:color w:val="auto"/>
              </w:rPr>
              <w:t>58</w:t>
            </w:r>
          </w:p>
        </w:tc>
        <w:tc>
          <w:tcPr>
            <w:tcW w:w="5740" w:type="dxa"/>
            <w:vAlign w:val="bottom"/>
            <w:gridSpan w:val="2"/>
          </w:tcPr>
          <w:p>
            <w:pPr>
              <w:spacing w:after="0"/>
              <w:rPr>
                <w:sz w:val="20"/>
                <w:szCs w:val="20"/>
                <w:color w:val="auto"/>
              </w:rPr>
            </w:pPr>
            <w:r>
              <w:rPr>
                <w:rFonts w:ascii="Arial" w:cs="Arial" w:eastAsia="Arial" w:hAnsi="Arial"/>
                <w:sz w:val="17"/>
                <w:szCs w:val="17"/>
                <w:color w:val="auto"/>
              </w:rPr>
              <w:t>Director</w:t>
            </w:r>
          </w:p>
        </w:tc>
      </w:tr>
      <w:tr>
        <w:trPr>
          <w:trHeight w:val="196"/>
        </w:trPr>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Peter Svennilson</w:t>
            </w:r>
          </w:p>
        </w:tc>
        <w:tc>
          <w:tcPr>
            <w:tcW w:w="104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57</w:t>
            </w:r>
          </w:p>
        </w:tc>
        <w:tc>
          <w:tcPr>
            <w:tcW w:w="5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10"/>
        </w:trPr>
        <w:tc>
          <w:tcPr>
            <w:tcW w:w="3900" w:type="dxa"/>
            <w:vAlign w:val="bottom"/>
            <w:gridSpan w:val="2"/>
          </w:tcPr>
          <w:p>
            <w:pPr>
              <w:spacing w:after="0"/>
              <w:rPr>
                <w:sz w:val="20"/>
                <w:szCs w:val="20"/>
                <w:color w:val="auto"/>
              </w:rPr>
            </w:pPr>
            <w:r>
              <w:rPr>
                <w:rFonts w:ascii="Arial" w:cs="Arial" w:eastAsia="Arial" w:hAnsi="Arial"/>
                <w:sz w:val="17"/>
                <w:szCs w:val="17"/>
                <w:color w:val="auto"/>
              </w:rPr>
              <w:t>McHenry T. Tichenor, Jr.(2)(3)</w:t>
            </w:r>
          </w:p>
        </w:tc>
        <w:tc>
          <w:tcPr>
            <w:tcW w:w="1040" w:type="dxa"/>
            <w:vAlign w:val="bottom"/>
            <w:gridSpan w:val="2"/>
          </w:tcPr>
          <w:p>
            <w:pPr>
              <w:jc w:val="right"/>
              <w:ind w:right="740"/>
              <w:spacing w:after="0"/>
              <w:rPr>
                <w:sz w:val="20"/>
                <w:szCs w:val="20"/>
                <w:color w:val="auto"/>
              </w:rPr>
            </w:pPr>
            <w:r>
              <w:rPr>
                <w:rFonts w:ascii="Arial" w:cs="Arial" w:eastAsia="Arial" w:hAnsi="Arial"/>
                <w:sz w:val="17"/>
                <w:szCs w:val="17"/>
                <w:color w:val="auto"/>
              </w:rPr>
              <w:t>63</w:t>
            </w:r>
          </w:p>
        </w:tc>
        <w:tc>
          <w:tcPr>
            <w:tcW w:w="5740" w:type="dxa"/>
            <w:vAlign w:val="bottom"/>
            <w:gridSpan w:val="2"/>
          </w:tcPr>
          <w:p>
            <w:pPr>
              <w:spacing w:after="0"/>
              <w:rPr>
                <w:sz w:val="20"/>
                <w:szCs w:val="20"/>
                <w:color w:val="auto"/>
              </w:rPr>
            </w:pPr>
            <w:r>
              <w:rPr>
                <w:rFonts w:ascii="Arial" w:cs="Arial" w:eastAsia="Arial" w:hAnsi="Arial"/>
                <w:sz w:val="17"/>
                <w:szCs w:val="17"/>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74295</wp:posOffset>
            </wp:positionV>
            <wp:extent cx="6819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1990" cy="8255"/>
                    </a:xfrm>
                    <a:prstGeom prst="rect">
                      <a:avLst/>
                    </a:prstGeom>
                    <a:noFill/>
                  </pic:spPr>
                </pic:pic>
              </a:graphicData>
            </a:graphic>
          </wp:anchor>
        </w:drawing>
      </w:r>
    </w:p>
    <w:p>
      <w:pPr>
        <w:spacing w:after="0" w:line="149" w:lineRule="exact"/>
        <w:rPr>
          <w:sz w:val="20"/>
          <w:szCs w:val="20"/>
          <w:color w:val="auto"/>
        </w:rPr>
      </w:pPr>
    </w:p>
    <w:p>
      <w:pPr>
        <w:ind w:left="900" w:hanging="529"/>
        <w:spacing w:after="0"/>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Member of the Nominating and Corporate Governance Committee.</w:t>
      </w:r>
    </w:p>
    <w:p>
      <w:pPr>
        <w:ind w:left="900" w:hanging="529"/>
        <w:spacing w:after="0"/>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Member of the Audit Committee.</w:t>
      </w:r>
    </w:p>
    <w:p>
      <w:pPr>
        <w:ind w:left="900" w:hanging="529"/>
        <w:spacing w:after="0"/>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Member of the Compensation Committee.</w:t>
      </w:r>
    </w:p>
    <w:p>
      <w:pPr>
        <w:spacing w:after="0" w:line="29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Executive Officers</w:t>
      </w:r>
    </w:p>
    <w:p>
      <w:pPr>
        <w:spacing w:after="0" w:line="108" w:lineRule="exact"/>
        <w:rPr>
          <w:sz w:val="20"/>
          <w:szCs w:val="20"/>
          <w:color w:val="auto"/>
        </w:rPr>
      </w:pPr>
    </w:p>
    <w:p>
      <w:pPr>
        <w:ind w:left="380" w:right="40" w:firstLine="534"/>
        <w:spacing w:after="0" w:line="244" w:lineRule="auto"/>
        <w:rPr>
          <w:sz w:val="20"/>
          <w:szCs w:val="20"/>
          <w:color w:val="auto"/>
        </w:rPr>
      </w:pPr>
      <w:r>
        <w:rPr>
          <w:rFonts w:ascii="Arial" w:cs="Arial" w:eastAsia="Arial" w:hAnsi="Arial"/>
          <w:sz w:val="17"/>
          <w:szCs w:val="17"/>
          <w:i w:val="1"/>
          <w:iCs w:val="1"/>
          <w:color w:val="auto"/>
        </w:rPr>
        <w:t xml:space="preserve">William J. Rieflin </w:t>
      </w:r>
      <w:r>
        <w:rPr>
          <w:rFonts w:ascii="Arial" w:cs="Arial" w:eastAsia="Arial" w:hAnsi="Arial"/>
          <w:sz w:val="17"/>
          <w:szCs w:val="17"/>
          <w:color w:val="auto"/>
        </w:rPr>
        <w:t>became executive chairman of our board of directors in September 2018, after having served as our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and a member of our board of directors since September 2010. From 2004 until 2010, he served as President of XenoPort, Inc., a biotechnology company focused on the discovery and development of transported prodrugs. From 1996 to 2004, he held various positions with Tularik, a biotechnology company focused on the discovery and development of product candidates based on the regulation of gene expression that was acquired by Amgen in 2004, most recently serving as Executive Vice President, Administration, Chief Financial Officer, General Counsel and Secretary. Mr. Rieflin has served as a director at FLX Bio, Inc. since 2015 and Kallyope Inc. since 2016. Mr. Rieflin also served as a director of Flexus Biosciences, until its acquisition in 2015, a director of XenoPort, until its acquisition in 2016 and as a director of Anacor Pharmaceuticals, until its acquisition in 2016. Mr. Rieflin received a B.S. from Cornell University, an M.B.A. from the University of Chicago Graduate School of Business and a J.D. from Stanford Law School. We believe that Mr. Rieflin’s extensive experience with us, which is a consequence of his tenure as Chief Executive Officer, brings necessary historic knowledge and continuity to our board of directors. In addition, we believe his experiences prior to joining us provided him with operational and industry expertise that are important to our board of directors.</w:t>
      </w:r>
    </w:p>
    <w:p>
      <w:pPr>
        <w:spacing w:after="0" w:line="182" w:lineRule="exact"/>
        <w:rPr>
          <w:sz w:val="20"/>
          <w:szCs w:val="20"/>
          <w:color w:val="auto"/>
        </w:rPr>
      </w:pPr>
    </w:p>
    <w:p>
      <w:pPr>
        <w:ind w:left="380" w:right="160" w:firstLine="534"/>
        <w:spacing w:after="0" w:line="249" w:lineRule="auto"/>
        <w:rPr>
          <w:sz w:val="20"/>
          <w:szCs w:val="20"/>
          <w:color w:val="auto"/>
        </w:rPr>
      </w:pPr>
      <w:r>
        <w:rPr>
          <w:rFonts w:ascii="Arial" w:cs="Arial" w:eastAsia="Arial" w:hAnsi="Arial"/>
          <w:sz w:val="17"/>
          <w:szCs w:val="17"/>
          <w:i w:val="1"/>
          <w:iCs w:val="1"/>
          <w:color w:val="auto"/>
        </w:rPr>
        <w:t xml:space="preserve">David J. Woodhouse, Ph.D. </w:t>
      </w:r>
      <w:r>
        <w:rPr>
          <w:rFonts w:ascii="Arial" w:cs="Arial" w:eastAsia="Arial" w:hAnsi="Arial"/>
          <w:sz w:val="17"/>
          <w:szCs w:val="17"/>
          <w:color w:val="auto"/>
        </w:rPr>
        <w:t>became our Chief Executive Officer, Acting Chief Financial Officer and a member of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in September 2018, after having served as our Chief Financial Officer from March 2015 until September 2018. From 2002 to 2015, he was an investment banker at Goldman Sachs &amp; Co. LLC, most recently as a Managing Director in the healthcare investment banking group and co-head of biotechnology investment banking. Earlier in his career, Dr. Woodhouse worked at Dynavax Technologies and also as a research assistant at Amgen, Inc. Dr. Woodhouse received a B.A. in pharmacology from the University of California, Santa Barbara, an M.B.A. from the</w:t>
      </w:r>
    </w:p>
    <w:p>
      <w:pPr>
        <w:spacing w:after="0" w:line="12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163</w:t>
      </w:r>
    </w:p>
    <w:p>
      <w:pPr>
        <w:sectPr>
          <w:pgSz w:w="11900" w:h="16838" w:orient="portrait"/>
          <w:cols w:equalWidth="0" w:num="1">
            <w:col w:w="11060"/>
          </w:cols>
          <w:pgMar w:left="240" w:top="449" w:right="599" w:bottom="1440" w:gutter="0" w:footer="0" w:header="0"/>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200"/>
        <w:spacing w:after="0" w:line="247" w:lineRule="auto"/>
        <w:rPr>
          <w:sz w:val="20"/>
          <w:szCs w:val="20"/>
          <w:color w:val="auto"/>
        </w:rPr>
      </w:pPr>
      <w:r>
        <w:rPr>
          <w:rFonts w:ascii="Arial" w:cs="Arial" w:eastAsia="Arial" w:hAnsi="Arial"/>
          <w:sz w:val="17"/>
          <w:szCs w:val="17"/>
          <w:color w:val="auto"/>
        </w:rPr>
        <w:t>Tuck School of Business at Dartmouth and a Ph.D. in molecular pharmacology from Stanford University School of Medicine. We believe Dr. Woodhouse’s experience with us, as well as his financial and executive experience, make him qualified to serve on our board of directors. In addition, Dr. Woodhouse’s experience in healthcare investment banking prior to joining us provided him with industry expertise that is important to our board of directors.</w:t>
      </w:r>
    </w:p>
    <w:p>
      <w:pPr>
        <w:spacing w:after="0" w:line="172" w:lineRule="exact"/>
        <w:rPr>
          <w:sz w:val="20"/>
          <w:szCs w:val="20"/>
          <w:color w:val="auto"/>
        </w:rPr>
      </w:pPr>
    </w:p>
    <w:p>
      <w:pPr>
        <w:ind w:left="380" w:right="60" w:firstLine="534"/>
        <w:spacing w:after="0" w:line="247" w:lineRule="auto"/>
        <w:rPr>
          <w:sz w:val="20"/>
          <w:szCs w:val="20"/>
          <w:color w:val="auto"/>
        </w:rPr>
      </w:pPr>
      <w:r>
        <w:rPr>
          <w:rFonts w:ascii="Arial" w:cs="Arial" w:eastAsia="Arial" w:hAnsi="Arial"/>
          <w:sz w:val="17"/>
          <w:szCs w:val="17"/>
          <w:i w:val="1"/>
          <w:iCs w:val="1"/>
          <w:color w:val="auto"/>
        </w:rPr>
        <w:t>Jin-Long Chen, Ph.D.</w:t>
      </w:r>
      <w:r>
        <w:rPr>
          <w:rFonts w:ascii="Arial" w:cs="Arial" w:eastAsia="Arial" w:hAnsi="Arial"/>
          <w:sz w:val="17"/>
          <w:szCs w:val="17"/>
          <w:color w:val="auto"/>
        </w:rPr>
        <w:t>, our founder, has served as a member of our board of directors and as our Chief Scientific Officer since</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2008. From 2004 to 2008, Dr. Chen held various positions at Amgen, most recently as its Vice President, Metabolic Research. Prior to joining Amgen, Dr. Chen was Vice President, Biology at Tularik. He has served as a director of Tenaya Therapeutics, Inc. since 2016. Dr. Chen received a B.S. from Fu-Jen Catholic University, an M.S. from National Taiwan University and a Ph.D. from the University of California, Berkeley. We believe that Dr. Chen’s extensive experience with us, which is a consequence of his long tenure as Chief Scientific Officer, brings necessary historic knowledge and continuity to our board of directors. In addition, we believe that his experiences prior to joining us provided him with operational and industry expertise that are important to our board of directors.</w:t>
      </w:r>
    </w:p>
    <w:p>
      <w:pPr>
        <w:spacing w:after="0" w:line="176" w:lineRule="exact"/>
        <w:rPr>
          <w:sz w:val="20"/>
          <w:szCs w:val="20"/>
          <w:color w:val="auto"/>
        </w:rPr>
      </w:pPr>
    </w:p>
    <w:p>
      <w:pPr>
        <w:ind w:left="380" w:right="20" w:firstLine="534"/>
        <w:spacing w:after="0" w:line="247" w:lineRule="auto"/>
        <w:rPr>
          <w:sz w:val="20"/>
          <w:szCs w:val="20"/>
          <w:color w:val="auto"/>
        </w:rPr>
      </w:pPr>
      <w:r>
        <w:rPr>
          <w:rFonts w:ascii="Arial" w:cs="Arial" w:eastAsia="Arial" w:hAnsi="Arial"/>
          <w:sz w:val="17"/>
          <w:szCs w:val="17"/>
          <w:i w:val="1"/>
          <w:iCs w:val="1"/>
          <w:color w:val="auto"/>
        </w:rPr>
        <w:t>Aetna Wun Trombley, Ph.D.</w:t>
      </w:r>
      <w:r>
        <w:rPr>
          <w:rFonts w:ascii="Arial" w:cs="Arial" w:eastAsia="Arial" w:hAnsi="Arial"/>
          <w:sz w:val="17"/>
          <w:szCs w:val="17"/>
          <w:color w:val="auto"/>
        </w:rPr>
        <w:t>, became our President in September 2018 and has served as our Chief Operating Officer since June</w:t>
      </w:r>
      <w:r>
        <w:rPr>
          <w:rFonts w:ascii="Arial" w:cs="Arial" w:eastAsia="Arial" w:hAnsi="Arial"/>
          <w:sz w:val="17"/>
          <w:szCs w:val="17"/>
          <w:i w:val="1"/>
          <w:iCs w:val="1"/>
          <w:color w:val="auto"/>
        </w:rPr>
        <w:t xml:space="preserve"> </w:t>
      </w:r>
      <w:r>
        <w:rPr>
          <w:rFonts w:ascii="Arial" w:cs="Arial" w:eastAsia="Arial" w:hAnsi="Arial"/>
          <w:sz w:val="17"/>
          <w:szCs w:val="17"/>
          <w:color w:val="auto"/>
        </w:rPr>
        <w:t>2015. Prior to that, Dr. Trombley was our Vice President and Executive Director, Business Development between September 2011 and June 2015. She was most recently at Novartis in Basel, Switzerland, where she was Chief of Staff for the Chief Executive Officer and worked on key corporate initiatives and strategic projects across the company’s healthcare businesses. Earlier in her career, Dr. Trombley worked at XenoPort, Inc., and at McKinsey &amp; Company, where she advised pharmaceutical and medical device clients on strategic, commercial and operational issues. Dr. Trombley has served as a director of Carmot Therapeutics, Inc. since 2016. She received a B.S. in Chemistry from the University of California, San Diego and a Ph.D. in Chemistry from MIT.</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Directors</w:t>
      </w:r>
    </w:p>
    <w:p>
      <w:pPr>
        <w:spacing w:after="0" w:line="108" w:lineRule="exact"/>
        <w:rPr>
          <w:sz w:val="20"/>
          <w:szCs w:val="20"/>
          <w:color w:val="auto"/>
        </w:rPr>
      </w:pPr>
    </w:p>
    <w:p>
      <w:pPr>
        <w:ind w:left="380" w:firstLine="534"/>
        <w:spacing w:after="0" w:line="245" w:lineRule="auto"/>
        <w:rPr>
          <w:sz w:val="20"/>
          <w:szCs w:val="20"/>
          <w:color w:val="auto"/>
        </w:rPr>
      </w:pPr>
      <w:r>
        <w:rPr>
          <w:rFonts w:ascii="Arial" w:cs="Arial" w:eastAsia="Arial" w:hAnsi="Arial"/>
          <w:sz w:val="17"/>
          <w:szCs w:val="17"/>
          <w:i w:val="1"/>
          <w:iCs w:val="1"/>
          <w:color w:val="auto"/>
        </w:rPr>
        <w:t>David V. Goeddel, Ph.D</w:t>
      </w:r>
      <w:r>
        <w:rPr>
          <w:rFonts w:ascii="Arial" w:cs="Arial" w:eastAsia="Arial" w:hAnsi="Arial"/>
          <w:sz w:val="17"/>
          <w:szCs w:val="17"/>
          <w:color w:val="auto"/>
        </w:rPr>
        <w:t>. became lead independent director of our board of directors in September 2018, after having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chairman since January 2008 and served as our Chief Executive Officer from 2008 to 2010. Dr. Goeddel has been a Managing Partner of The Column Group, or TCG, a venture capital partnership, since 2007. Dr. Goeddel co-founded Tularik in November 1991, was Vice President of Research until 1996 and Chief Executive Officer from 1996 through 2004. He served as Amgen’s first Senior Scientific Vice President until May 2006. Prior to Tularik, he was the first scientist hired by Genentech, and from 1978 to 1993 served in various positions, including Fellow, Staff Scientist and Director of Molecular Biology. He is a member of the National Academy of Sciences and the American Academy of Arts and Sciences. Dr. Goeddel received a B.S. in Chemistry from the University of California, San Diego and a Ph.D. from the University of Colorado. We believe that Dr. Goeddel’s scientific background, experience in the venture capital industry, experience serving as a director of other publicly traded and privately held life science companies and experience in founding and serving as President and Chief Executive Officer of a public biopharmaceutical company give him the qualifications, skills and financial expertise to serve on our board of directors.</w:t>
      </w:r>
    </w:p>
    <w:p>
      <w:pPr>
        <w:spacing w:after="0" w:line="375" w:lineRule="exact"/>
        <w:rPr>
          <w:sz w:val="20"/>
          <w:szCs w:val="20"/>
          <w:color w:val="auto"/>
        </w:rPr>
      </w:pPr>
    </w:p>
    <w:p>
      <w:pPr>
        <w:ind w:left="380" w:right="100" w:firstLine="534"/>
        <w:spacing w:after="0" w:line="249" w:lineRule="auto"/>
        <w:rPr>
          <w:sz w:val="20"/>
          <w:szCs w:val="20"/>
          <w:color w:val="auto"/>
        </w:rPr>
      </w:pPr>
      <w:r>
        <w:rPr>
          <w:rFonts w:ascii="Arial" w:cs="Arial" w:eastAsia="Arial" w:hAnsi="Arial"/>
          <w:sz w:val="17"/>
          <w:szCs w:val="17"/>
          <w:i w:val="1"/>
          <w:iCs w:val="1"/>
          <w:color w:val="auto"/>
        </w:rPr>
        <w:t xml:space="preserve">Suzanne Sawochka Hooper </w:t>
      </w:r>
      <w:r>
        <w:rPr>
          <w:rFonts w:ascii="Arial" w:cs="Arial" w:eastAsia="Arial" w:hAnsi="Arial"/>
          <w:sz w:val="17"/>
          <w:szCs w:val="17"/>
          <w:color w:val="auto"/>
        </w:rPr>
        <w:t>has served as a member of our board of directors since August 2018. From March 2012 to March</w:t>
      </w:r>
      <w:r>
        <w:rPr>
          <w:rFonts w:ascii="Arial" w:cs="Arial" w:eastAsia="Arial" w:hAnsi="Arial"/>
          <w:sz w:val="17"/>
          <w:szCs w:val="17"/>
          <w:i w:val="1"/>
          <w:iCs w:val="1"/>
          <w:color w:val="auto"/>
        </w:rPr>
        <w:t xml:space="preserve"> </w:t>
      </w:r>
      <w:r>
        <w:rPr>
          <w:rFonts w:ascii="Arial" w:cs="Arial" w:eastAsia="Arial" w:hAnsi="Arial"/>
          <w:sz w:val="17"/>
          <w:szCs w:val="17"/>
          <w:color w:val="auto"/>
        </w:rPr>
        <w:t>2019, Ms. Hooper served as the Executive Vice President and General Counsel of Jazz Pharmaceuticals plc. From 1999 until February 2012, she was a partner in the law firm Cooley LLP. Ms. Hooper previously served as a director of Gentium S.p.A. Ms. Hooper received a J.D. from the University of California, Berkeley, Boalt Hall School of Law and a B.A. in Political Science from the University of California, Santa Barbara. Ms. Hooper is a member of the State Bar of California. We believe Ms. Hooper’s legal and operational background and executive experience</w:t>
      </w:r>
    </w:p>
    <w:p>
      <w:pPr>
        <w:spacing w:after="0" w:line="12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1040"/>
          </w:cols>
          <w:pgMar w:left="240" w:top="449" w:right="619" w:bottom="1440" w:gutter="0" w:footer="0" w:header="0"/>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280"/>
        <w:spacing w:after="0" w:line="258" w:lineRule="auto"/>
        <w:rPr>
          <w:sz w:val="20"/>
          <w:szCs w:val="20"/>
          <w:color w:val="auto"/>
        </w:rPr>
      </w:pPr>
      <w:r>
        <w:rPr>
          <w:rFonts w:ascii="Arial" w:cs="Arial" w:eastAsia="Arial" w:hAnsi="Arial"/>
          <w:sz w:val="17"/>
          <w:szCs w:val="17"/>
          <w:color w:val="auto"/>
        </w:rPr>
        <w:t>make her qualified to serve on our board of directors. In addition, Ms. Hooper’s experience as the executive vice president of a publicly traded pharmaceutical company provided her with operational expertise that is important to our board of directors.</w:t>
      </w:r>
    </w:p>
    <w:p>
      <w:pPr>
        <w:spacing w:after="0" w:line="164" w:lineRule="exact"/>
        <w:rPr>
          <w:sz w:val="20"/>
          <w:szCs w:val="20"/>
          <w:color w:val="auto"/>
        </w:rPr>
      </w:pPr>
    </w:p>
    <w:p>
      <w:pPr>
        <w:ind w:left="380" w:right="20" w:firstLine="534"/>
        <w:spacing w:after="0" w:line="246" w:lineRule="auto"/>
        <w:rPr>
          <w:sz w:val="20"/>
          <w:szCs w:val="20"/>
          <w:color w:val="auto"/>
        </w:rPr>
      </w:pPr>
      <w:r>
        <w:rPr>
          <w:rFonts w:ascii="Arial" w:cs="Arial" w:eastAsia="Arial" w:hAnsi="Arial"/>
          <w:sz w:val="17"/>
          <w:szCs w:val="17"/>
          <w:i w:val="1"/>
          <w:iCs w:val="1"/>
          <w:color w:val="auto"/>
        </w:rPr>
        <w:t xml:space="preserve">Mark Leschly </w:t>
      </w:r>
      <w:r>
        <w:rPr>
          <w:rFonts w:ascii="Arial" w:cs="Arial" w:eastAsia="Arial" w:hAnsi="Arial"/>
          <w:sz w:val="17"/>
          <w:szCs w:val="17"/>
          <w:color w:val="auto"/>
        </w:rPr>
        <w:t>has served as a member of our board of directors since January 2008. Since 2017, Mr. Leschly has been the</w:t>
      </w:r>
      <w:r>
        <w:rPr>
          <w:rFonts w:ascii="Arial" w:cs="Arial" w:eastAsia="Arial" w:hAnsi="Arial"/>
          <w:sz w:val="17"/>
          <w:szCs w:val="17"/>
          <w:i w:val="1"/>
          <w:iCs w:val="1"/>
          <w:color w:val="auto"/>
        </w:rPr>
        <w:t xml:space="preserve"> </w:t>
      </w:r>
      <w:r>
        <w:rPr>
          <w:rFonts w:ascii="Arial" w:cs="Arial" w:eastAsia="Arial" w:hAnsi="Arial"/>
          <w:sz w:val="17"/>
          <w:szCs w:val="17"/>
          <w:color w:val="auto"/>
        </w:rPr>
        <w:t>Chairman and CEO of Universal Tennis, LLC, which is the developer of a software platform for tennis analytics and tournament management. Since 2014, Mr. Leschly has also been the owner and managing member of Iconica LLC, which primarily focuses on investments at the intersection of sports, media and technology. From 2002 to 2016, he was a member of the Board of Directors of Anacor Pharmaceuticals, Inc. Mr. Leschly also serves on the board of a number of private companies. Mr. Leschly received an A.B. from Harvard University and an M.B.A. from the Stanford Graduate School of Business. We believe that Mr. Leschly’s experience in venture capital and in investing in life sciences companies is valuable to our board of directors. In addition, we believe that Mr. Leschly’s prior service on several public company boards has given him experience in corporate governance matters, which is valuable in his position as a director.</w:t>
      </w:r>
    </w:p>
    <w:p>
      <w:pPr>
        <w:spacing w:after="0" w:line="178" w:lineRule="exact"/>
        <w:rPr>
          <w:sz w:val="20"/>
          <w:szCs w:val="20"/>
          <w:color w:val="auto"/>
        </w:rPr>
      </w:pPr>
    </w:p>
    <w:p>
      <w:pPr>
        <w:ind w:left="380" w:firstLine="534"/>
        <w:spacing w:after="0" w:line="245" w:lineRule="auto"/>
        <w:rPr>
          <w:sz w:val="20"/>
          <w:szCs w:val="20"/>
          <w:color w:val="auto"/>
        </w:rPr>
      </w:pPr>
      <w:r>
        <w:rPr>
          <w:rFonts w:ascii="Arial" w:cs="Arial" w:eastAsia="Arial" w:hAnsi="Arial"/>
          <w:sz w:val="17"/>
          <w:szCs w:val="17"/>
          <w:i w:val="1"/>
          <w:iCs w:val="1"/>
          <w:color w:val="auto"/>
        </w:rPr>
        <w:t xml:space="preserve">David Schnell, M.D. </w:t>
      </w:r>
      <w:r>
        <w:rPr>
          <w:rFonts w:ascii="Arial" w:cs="Arial" w:eastAsia="Arial" w:hAnsi="Arial"/>
          <w:sz w:val="17"/>
          <w:szCs w:val="17"/>
          <w:color w:val="auto"/>
        </w:rPr>
        <w:t>has served as a member of our board of directors since January 2008. Dr. Schnell co-founded and has been a</w:t>
      </w:r>
      <w:r>
        <w:rPr>
          <w:rFonts w:ascii="Arial" w:cs="Arial" w:eastAsia="Arial" w:hAnsi="Arial"/>
          <w:sz w:val="17"/>
          <w:szCs w:val="17"/>
          <w:i w:val="1"/>
          <w:iCs w:val="1"/>
          <w:color w:val="auto"/>
        </w:rPr>
        <w:t xml:space="preserve"> </w:t>
      </w:r>
      <w:r>
        <w:rPr>
          <w:rFonts w:ascii="Arial" w:cs="Arial" w:eastAsia="Arial" w:hAnsi="Arial"/>
          <w:sz w:val="17"/>
          <w:szCs w:val="17"/>
          <w:color w:val="auto"/>
        </w:rPr>
        <w:t>Managing Director at Prospect Venture Partners since 1997. Prior to that, Dr. Schnell served as a Partner at Kleiner Perkins Caufield &amp; Byers, a venture capital firm. Dr. Schnell has led private investments for and served on the board of directors of numerous public and private companies. Dr. Schnell previously served on the board of directors of Amira Pharmaceuticals, Inc. (acquired by Bristol-Myers Squibb), Gloucester Pharmaceuticals (acquired by Celgene Corporation), Kythera Biopharmaceuticals, Inc. (acquired by Allergan plc) and Rinat Neuroscience Corporation (acquired by Pfizer), among others. Dr. Schnell received a B.S. in Biological Sciences from Stanford University, an M.A. in Health Services Research from Stanford University School of Medicine, and an M.D. from Harvard Medical School. We believe Dr. Schnell’s medical background, venture and executive experience and numerous directorships make him qualified to serve on our board of directors. In addition, Dr. Schnell brings insight on compensation-related matters to the compensation committee based on his breadth of exposure to emerging and public companies.</w:t>
      </w:r>
    </w:p>
    <w:p>
      <w:pPr>
        <w:spacing w:after="0" w:line="178" w:lineRule="exact"/>
        <w:rPr>
          <w:sz w:val="20"/>
          <w:szCs w:val="20"/>
          <w:color w:val="auto"/>
        </w:rPr>
      </w:pPr>
    </w:p>
    <w:p>
      <w:pPr>
        <w:ind w:left="380" w:right="40" w:firstLine="534"/>
        <w:spacing w:after="0" w:line="246" w:lineRule="auto"/>
        <w:rPr>
          <w:sz w:val="20"/>
          <w:szCs w:val="20"/>
          <w:color w:val="auto"/>
        </w:rPr>
      </w:pPr>
      <w:r>
        <w:rPr>
          <w:rFonts w:ascii="Arial" w:cs="Arial" w:eastAsia="Arial" w:hAnsi="Arial"/>
          <w:sz w:val="17"/>
          <w:szCs w:val="17"/>
          <w:i w:val="1"/>
          <w:iCs w:val="1"/>
          <w:color w:val="auto"/>
        </w:rPr>
        <w:t xml:space="preserve">Peter Svennilson </w:t>
      </w:r>
      <w:r>
        <w:rPr>
          <w:rFonts w:ascii="Arial" w:cs="Arial" w:eastAsia="Arial" w:hAnsi="Arial"/>
          <w:sz w:val="17"/>
          <w:szCs w:val="17"/>
          <w:color w:val="auto"/>
        </w:rPr>
        <w:t>has served as a member of our board of directors since January 2008. He founded and has been a Managing</w:t>
      </w:r>
      <w:r>
        <w:rPr>
          <w:rFonts w:ascii="Arial" w:cs="Arial" w:eastAsia="Arial" w:hAnsi="Arial"/>
          <w:sz w:val="17"/>
          <w:szCs w:val="17"/>
          <w:i w:val="1"/>
          <w:iCs w:val="1"/>
          <w:color w:val="auto"/>
        </w:rPr>
        <w:t xml:space="preserve"> </w:t>
      </w:r>
      <w:r>
        <w:rPr>
          <w:rFonts w:ascii="Arial" w:cs="Arial" w:eastAsia="Arial" w:hAnsi="Arial"/>
          <w:sz w:val="17"/>
          <w:szCs w:val="17"/>
          <w:color w:val="auto"/>
        </w:rPr>
        <w:t>Partner of TCG since 2007. He also currently serves on the boards of Constellation Pharmaceuticals, Inc., Gritstone Oncology, Inc., ORIC Pharmaceuticals, Inc. and Ribon Therapeutics, Inc. He was the Chairman of Aragon Pharmaceuticals before it was sold to Johnson &amp; Johnson in 2013 and was the Chairman of Seragon Pharmaceuticals, Inc. until it was sold to Genentech, Inc./F. Hoffman-La Roche AG in 2014. Mr. Svennilson was also a former director of PTC Therapeutics, Inc. Prior to TCG, he founded Three Crowns Capital and was a Managing Partner from 1996 to 2007. Prior to Three Crowns Capital, he was an Associate Managing Director at Nomura Securities from 1987 to 1993. Mr. Svennilson is currently a trustee for The Institute for Advanced Study in Princeton, New Jersey. Mr. Svennilson received an M.B.A. from the Stockholm School of Economics and Finance. We believe that Mr. Svennilson’s experience in venture capital and in fund raising for life sciences companies makes him qualified to serve on our board of directors.</w:t>
      </w:r>
    </w:p>
    <w:p>
      <w:pPr>
        <w:spacing w:after="0" w:line="174" w:lineRule="exact"/>
        <w:rPr>
          <w:sz w:val="20"/>
          <w:szCs w:val="20"/>
          <w:color w:val="auto"/>
        </w:rPr>
      </w:pPr>
    </w:p>
    <w:p>
      <w:pPr>
        <w:ind w:left="380" w:right="60" w:firstLine="534"/>
        <w:spacing w:after="0" w:line="247" w:lineRule="auto"/>
        <w:rPr>
          <w:sz w:val="20"/>
          <w:szCs w:val="20"/>
          <w:color w:val="auto"/>
        </w:rPr>
      </w:pPr>
      <w:r>
        <w:rPr>
          <w:rFonts w:ascii="Arial" w:cs="Arial" w:eastAsia="Arial" w:hAnsi="Arial"/>
          <w:sz w:val="17"/>
          <w:szCs w:val="17"/>
          <w:i w:val="1"/>
          <w:iCs w:val="1"/>
          <w:color w:val="auto"/>
        </w:rPr>
        <w:t xml:space="preserve">McHenry T. Tichenor, Jr. </w:t>
      </w:r>
      <w:r>
        <w:rPr>
          <w:rFonts w:ascii="Arial" w:cs="Arial" w:eastAsia="Arial" w:hAnsi="Arial"/>
          <w:sz w:val="17"/>
          <w:szCs w:val="17"/>
          <w:color w:val="auto"/>
        </w:rPr>
        <w:t>has served as a member of our board of directors since March 2010. He has also served as the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of Tichenor Ventures, LLC since January 2010 and held a board observer role at Peloton Therapeutics, Inc. since October 2012. He served as a director of Belo Corp. from 2009 to 2013. Mr. Tichenor served as President, Chief Executive Officer and Director of Tichenor Media System, Inc. from 1981 to 1997, which he subsequently merged with the Hispanic Broadcasting Corporation and, ultimately, with Univision Communications. Mr. Tichenor currently serves as the Executive Director of WWWW Foundation, Inc., a non-profit organization devoted, in part, to cancer research. From 2010 to 2018, Mr. Tichenor served as Board Chairman of the Sarcoma Alliance for Research through Collaboration, a non-profit sponsor of clinical trials for the prevention, treatment and</w:t>
      </w:r>
    </w:p>
    <w:p>
      <w:pPr>
        <w:spacing w:after="0" w:line="129"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11040"/>
          </w:cols>
          <w:pgMar w:left="240" w:top="449" w:right="619"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spacing w:after="0" w:line="247" w:lineRule="auto"/>
        <w:rPr>
          <w:sz w:val="20"/>
          <w:szCs w:val="20"/>
          <w:color w:val="auto"/>
        </w:rPr>
      </w:pPr>
      <w:r>
        <w:rPr>
          <w:rFonts w:ascii="Arial" w:cs="Arial" w:eastAsia="Arial" w:hAnsi="Arial"/>
          <w:sz w:val="17"/>
          <w:szCs w:val="17"/>
          <w:color w:val="auto"/>
        </w:rPr>
        <w:t>cure of sarcomas. Mr. Tichenor earned a B.A. with Honors in Plan II and an M.B.A. from The University of Texas at Austin, and an M.S. in biotechnology from The University of Texas at Dallas. We believe Mr. Tichenor’s financial and scientific background, venture and executive experience, and multiple directorships make him qualified to serve on our board of directors. In addition, Mr. Tichenor’s experience as the chief executive officer of a publicly traded company provided him with operational expertise that is important to our board of directors.</w:t>
      </w:r>
    </w:p>
    <w:p>
      <w:pPr>
        <w:spacing w:after="0" w:line="273"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Composition of the Board of Directors</w:t>
      </w:r>
    </w:p>
    <w:p>
      <w:pPr>
        <w:spacing w:after="0" w:line="232" w:lineRule="exact"/>
        <w:rPr>
          <w:sz w:val="20"/>
          <w:szCs w:val="20"/>
          <w:color w:val="auto"/>
        </w:rPr>
      </w:pPr>
    </w:p>
    <w:p>
      <w:pPr>
        <w:ind w:left="380" w:right="20" w:firstLine="534"/>
        <w:spacing w:after="0" w:line="250" w:lineRule="auto"/>
        <w:rPr>
          <w:sz w:val="20"/>
          <w:szCs w:val="20"/>
          <w:color w:val="auto"/>
        </w:rPr>
      </w:pPr>
      <w:r>
        <w:rPr>
          <w:rFonts w:ascii="Arial" w:cs="Arial" w:eastAsia="Arial" w:hAnsi="Arial"/>
          <w:sz w:val="17"/>
          <w:szCs w:val="17"/>
          <w:color w:val="auto"/>
        </w:rPr>
        <w:t>Our amended and restated bylaws provide that the size of our board of directors will be determined from time to time by resolution of our board of directors. Our board of directors currently consists of nine directors, six of whom qualify as independent directors under the rules and regulations of the Securities and Exchange Commission, or SEC, and Nasdaq Stock Market, LLC, or Nasdaq.</w:t>
      </w:r>
    </w:p>
    <w:p>
      <w:pPr>
        <w:spacing w:after="0" w:line="27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Election of Directors</w:t>
      </w:r>
    </w:p>
    <w:p>
      <w:pPr>
        <w:spacing w:after="0" w:line="232" w:lineRule="exact"/>
        <w:rPr>
          <w:sz w:val="20"/>
          <w:szCs w:val="20"/>
          <w:color w:val="auto"/>
        </w:rPr>
      </w:pPr>
    </w:p>
    <w:p>
      <w:pPr>
        <w:ind w:left="380" w:right="100" w:firstLine="534"/>
        <w:spacing w:after="0" w:line="245" w:lineRule="auto"/>
        <w:rPr>
          <w:sz w:val="20"/>
          <w:szCs w:val="20"/>
          <w:color w:val="auto"/>
        </w:rPr>
      </w:pPr>
      <w:r>
        <w:rPr>
          <w:rFonts w:ascii="Arial" w:cs="Arial" w:eastAsia="Arial" w:hAnsi="Arial"/>
          <w:sz w:val="17"/>
          <w:szCs w:val="17"/>
          <w:color w:val="auto"/>
        </w:rPr>
        <w:t>Upon the completion of this offering, our amended and restated certificate of incorporation will provide for a classified board of directors consisting of three classes of directors. We will have three directors in each of Class I and Class II and two directors in Class III, each serving a staggered three-year term. At each annual meeting of stockholders, our stockholders will elect successors to directors whose terms then expire to serve from the time of election and qualification until the third annual meeting following election. After the completion of this offering, our directors will be divided among the three classes as follows:</w:t>
      </w:r>
    </w:p>
    <w:p>
      <w:pPr>
        <w:spacing w:after="0" w:line="102" w:lineRule="exact"/>
        <w:rPr>
          <w:sz w:val="20"/>
          <w:szCs w:val="20"/>
          <w:color w:val="auto"/>
        </w:rPr>
      </w:pPr>
    </w:p>
    <w:p>
      <w:pPr>
        <w:ind w:left="1100" w:hanging="205"/>
        <w:spacing w:after="0" w:line="258" w:lineRule="auto"/>
        <w:tabs>
          <w:tab w:leader="none" w:pos="11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Class I directors will be Mark Leschly, William J. Rieflin and Peter Svennilson, and their terms will expire at the annual meeting of stockholders to be held in 2019;</w:t>
      </w:r>
    </w:p>
    <w:p>
      <w:pPr>
        <w:spacing w:after="0" w:line="90" w:lineRule="exact"/>
        <w:rPr>
          <w:rFonts w:ascii="Arial" w:cs="Arial" w:eastAsia="Arial" w:hAnsi="Arial"/>
          <w:sz w:val="17"/>
          <w:szCs w:val="17"/>
          <w:color w:val="auto"/>
        </w:rPr>
      </w:pPr>
    </w:p>
    <w:p>
      <w:pPr>
        <w:ind w:left="1100" w:right="460" w:hanging="205"/>
        <w:spacing w:after="0" w:line="258" w:lineRule="auto"/>
        <w:tabs>
          <w:tab w:leader="none" w:pos="11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Class II directors will be Jin-Long Chen, David Schnell, M.D. and McHenry T. Tichenor, Jr., and their terms will expire at the annual meeting of stockholders to be held in 2020; and</w:t>
      </w:r>
    </w:p>
    <w:p>
      <w:pPr>
        <w:spacing w:after="0" w:line="90" w:lineRule="exact"/>
        <w:rPr>
          <w:rFonts w:ascii="Arial" w:cs="Arial" w:eastAsia="Arial" w:hAnsi="Arial"/>
          <w:sz w:val="17"/>
          <w:szCs w:val="17"/>
          <w:color w:val="auto"/>
        </w:rPr>
      </w:pPr>
    </w:p>
    <w:p>
      <w:pPr>
        <w:ind w:left="1100" w:right="60" w:hanging="205"/>
        <w:spacing w:after="0" w:line="258" w:lineRule="auto"/>
        <w:tabs>
          <w:tab w:leader="none" w:pos="11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Class III directors will be David V. Goeddel, Ph.D., Suzanne Sawochka Hooper and David J. Woodhouse, Ph.D., and their terms will expire at the annual meeting of stockholders to be held in 2021.</w:t>
      </w:r>
    </w:p>
    <w:p>
      <w:pPr>
        <w:spacing w:after="0" w:line="182" w:lineRule="exact"/>
        <w:rPr>
          <w:sz w:val="20"/>
          <w:szCs w:val="20"/>
          <w:color w:val="auto"/>
        </w:rPr>
      </w:pPr>
    </w:p>
    <w:p>
      <w:pPr>
        <w:ind w:left="380" w:right="20" w:firstLine="534"/>
        <w:spacing w:after="0" w:line="250" w:lineRule="auto"/>
        <w:rPr>
          <w:sz w:val="20"/>
          <w:szCs w:val="20"/>
          <w:color w:val="auto"/>
        </w:rPr>
      </w:pPr>
      <w:r>
        <w:rPr>
          <w:rFonts w:ascii="Arial" w:cs="Arial" w:eastAsia="Arial" w:hAnsi="Arial"/>
          <w:sz w:val="17"/>
          <w:szCs w:val="17"/>
          <w:color w:val="auto"/>
        </w:rPr>
        <w:t>The classification of our board of directors may have the effect of delaying or preventing changes in control of our company. We expect that additional directorships resulting from an increase in the number of directors, if any, will be distributed among the three classes so that, as nearly as possible, each class will consist of one-third of the directors.</w:t>
      </w:r>
    </w:p>
    <w:p>
      <w:pPr>
        <w:spacing w:after="0" w:line="27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Independence of the Board of Directors and Board Committees</w:t>
      </w:r>
    </w:p>
    <w:p>
      <w:pPr>
        <w:spacing w:after="0" w:line="232" w:lineRule="exact"/>
        <w:rPr>
          <w:sz w:val="20"/>
          <w:szCs w:val="20"/>
          <w:color w:val="auto"/>
        </w:rPr>
      </w:pPr>
    </w:p>
    <w:p>
      <w:pPr>
        <w:ind w:left="380" w:right="60" w:firstLine="534"/>
        <w:spacing w:after="0" w:line="243" w:lineRule="auto"/>
        <w:rPr>
          <w:sz w:val="20"/>
          <w:szCs w:val="20"/>
          <w:color w:val="auto"/>
        </w:rPr>
      </w:pPr>
      <w:r>
        <w:rPr>
          <w:rFonts w:ascii="Arial" w:cs="Arial" w:eastAsia="Arial" w:hAnsi="Arial"/>
          <w:sz w:val="17"/>
          <w:szCs w:val="17"/>
          <w:color w:val="auto"/>
        </w:rPr>
        <w:t>Upon the completion of this offering, we anticipate that our common stock will be listed on the Nasdaq Global Select Market. Rule 5605 of the Nasdaq Marketplace Rules, or the Nasdaq Listing Rules, requires that independent directors compose a majority of a listed company’s board of directors within one year of listing. In addition, the Nasdaq Listing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Under Nasdaq Listing Rule 5605(a)(2), a director will only qualify as an “independent director” if, in the opinion of our board of directors,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 may not,</w:t>
      </w:r>
    </w:p>
    <w:p>
      <w:pPr>
        <w:spacing w:after="0" w:line="3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166</w:t>
      </w:r>
    </w:p>
    <w:p>
      <w:pPr>
        <w:sectPr>
          <w:pgSz w:w="11900" w:h="16838" w:orient="portrait"/>
          <w:cols w:equalWidth="0" w:num="1">
            <w:col w:w="11040"/>
          </w:cols>
          <w:pgMar w:left="240" w:top="449" w:right="619" w:bottom="1440" w:gutter="0" w:footer="0" w:header="0"/>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20"/>
        <w:spacing w:after="0" w:line="243" w:lineRule="auto"/>
        <w:rPr>
          <w:sz w:val="20"/>
          <w:szCs w:val="20"/>
          <w:color w:val="auto"/>
        </w:rPr>
      </w:pPr>
      <w:r>
        <w:rPr>
          <w:rFonts w:ascii="Arial" w:cs="Arial" w:eastAsia="Arial" w:hAnsi="Arial"/>
          <w:sz w:val="17"/>
          <w:szCs w:val="17"/>
          <w:color w:val="auto"/>
        </w:rPr>
        <w:t>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 In addition to satisfying general independence requirements under the Nasdaq Listing Rules, members of the compensation committee must also satisfy additional independence requirements set forth in Nasdaq Listing Rule 5605(d)(2). In order to be considered independent for purposes of Nasdaq Listing Rule 5605(d)(2), a member of a compensation committee of a listed company may not, other than in his or her capacity as a member of the compensation committee, the board of directors or any other board committee, accept, directly or indirectly, any consulting, advisory or other compensatory fee from the listed company or any of its subsidiaries. Additionally, the board of directors of the listed company must consider whether the compensation committee member is an affiliated person of the listed company or any of its subsidiaries and, if so, must determine whether such affiliation would impair the director’s judgment as a member of the compensation committee.</w:t>
      </w:r>
    </w:p>
    <w:p>
      <w:pPr>
        <w:spacing w:after="0" w:line="195" w:lineRule="exact"/>
        <w:rPr>
          <w:sz w:val="20"/>
          <w:szCs w:val="20"/>
          <w:color w:val="auto"/>
        </w:rPr>
      </w:pPr>
    </w:p>
    <w:p>
      <w:pPr>
        <w:ind w:left="380" w:firstLine="534"/>
        <w:spacing w:after="0" w:line="241" w:lineRule="auto"/>
        <w:rPr>
          <w:sz w:val="20"/>
          <w:szCs w:val="20"/>
          <w:color w:val="auto"/>
        </w:rPr>
      </w:pPr>
      <w:r>
        <w:rPr>
          <w:rFonts w:ascii="Arial" w:cs="Arial" w:eastAsia="Arial" w:hAnsi="Arial"/>
          <w:sz w:val="17"/>
          <w:szCs w:val="17"/>
          <w:color w:val="auto"/>
        </w:rPr>
        <w:t>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and other relationships, including those relationships described under “Certain Relationships and Related Person Transactions,” our board of directors determined that none of Drs. Goeddel and Schnell, Messrs. Leschly, Svennilson and Tichenor and Ms. Hooper, representing six of our nine directors, has a relationship that would interfere with the exercise of independent judgment in carrying out the responsibilities of a director and that each of these directors is “independent” as that term is defined under Rule 5605(a)</w:t>
      </w:r>
    </w:p>
    <w:p>
      <w:pPr>
        <w:spacing w:after="0" w:line="1" w:lineRule="exact"/>
        <w:rPr>
          <w:sz w:val="20"/>
          <w:szCs w:val="20"/>
          <w:color w:val="auto"/>
        </w:rPr>
      </w:pPr>
    </w:p>
    <w:p>
      <w:pPr>
        <w:ind w:left="380" w:right="20" w:hanging="9"/>
        <w:spacing w:after="0" w:line="243" w:lineRule="auto"/>
        <w:tabs>
          <w:tab w:leader="none" w:pos="642" w:val="left"/>
        </w:tabs>
        <w:numPr>
          <w:ilvl w:val="0"/>
          <w:numId w:val="75"/>
        </w:numPr>
        <w:rPr>
          <w:rFonts w:ascii="Arial" w:cs="Arial" w:eastAsia="Arial" w:hAnsi="Arial"/>
          <w:sz w:val="17"/>
          <w:szCs w:val="17"/>
          <w:color w:val="auto"/>
        </w:rPr>
      </w:pPr>
      <w:r>
        <w:rPr>
          <w:rFonts w:ascii="Arial" w:cs="Arial" w:eastAsia="Arial" w:hAnsi="Arial"/>
          <w:sz w:val="17"/>
          <w:szCs w:val="17"/>
          <w:color w:val="auto"/>
        </w:rPr>
        <w:t>of the Nasdaq Listing Rules. Dr. Woodhouse is not considered independent because he currently serves as our Chief Executive Officer. Mr. Rieflin is not considered independent because he served as our Chief Executive Officer within the past three years. Dr. Chen is not considered independent because he currently serves as our Chief Scientific Officer. Our board of directors also determined that each member of the audit, compensation and nominating and corporate governance committees satisfies the independence standards for such committees established by the SEC and the Nasdaq Listing Rules, as applicable. In making these determinations on the independence of our directors, our board of directors considered the relationships that each such non-employee director has with our company and all other facts and circumstances our board of directors deemed relevant in determining independence, including the beneficial ownership of our capital stock by each non-employee director.</w:t>
      </w:r>
    </w:p>
    <w:p>
      <w:pPr>
        <w:spacing w:after="0" w:line="280" w:lineRule="exact"/>
        <w:rPr>
          <w:sz w:val="20"/>
          <w:szCs w:val="20"/>
          <w:color w:val="auto"/>
        </w:rPr>
      </w:pPr>
    </w:p>
    <w:p>
      <w:pPr>
        <w:ind w:left="2740"/>
        <w:spacing w:after="0"/>
        <w:rPr>
          <w:sz w:val="20"/>
          <w:szCs w:val="20"/>
          <w:color w:val="auto"/>
        </w:rPr>
      </w:pPr>
      <w:r>
        <w:rPr>
          <w:rFonts w:ascii="Arial" w:cs="Arial" w:eastAsia="Arial" w:hAnsi="Arial"/>
          <w:sz w:val="17"/>
          <w:szCs w:val="17"/>
          <w:b w:val="1"/>
          <w:bCs w:val="1"/>
          <w:color w:val="auto"/>
        </w:rPr>
        <w:t>Board Leadership Structure and the Role of the Board in Risk Oversight</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Board Leadership Structure</w:t>
      </w:r>
    </w:p>
    <w:p>
      <w:pPr>
        <w:spacing w:after="0" w:line="126" w:lineRule="exact"/>
        <w:rPr>
          <w:sz w:val="20"/>
          <w:szCs w:val="20"/>
          <w:color w:val="auto"/>
        </w:rPr>
      </w:pPr>
    </w:p>
    <w:p>
      <w:pPr>
        <w:ind w:left="380" w:right="20" w:firstLine="534"/>
        <w:spacing w:after="0" w:line="245" w:lineRule="auto"/>
        <w:rPr>
          <w:sz w:val="20"/>
          <w:szCs w:val="20"/>
          <w:color w:val="auto"/>
        </w:rPr>
      </w:pPr>
      <w:r>
        <w:rPr>
          <w:rFonts w:ascii="Arial" w:cs="Arial" w:eastAsia="Arial" w:hAnsi="Arial"/>
          <w:sz w:val="17"/>
          <w:szCs w:val="17"/>
          <w:color w:val="auto"/>
        </w:rPr>
        <w:t>The positions of our executive chairman of the board and chief executive officer are currently separated. Separating these positions allows our chief executive officer to focus on our day-to-day business, while allowing the chairman of the board to lead our board of directors in its fundamental role of providing advice to and oversight of management. Our board of directors recognizes the time, effort and energy that the chief executive officer must devote to his position in the current business environment, as well as the commitment required to serve as our chairman, particularly as our board of directors’ oversight responsibilities continue to grow.</w:t>
      </w:r>
    </w:p>
    <w:p>
      <w:pPr>
        <w:spacing w:after="0" w:line="194" w:lineRule="exact"/>
        <w:rPr>
          <w:sz w:val="20"/>
          <w:szCs w:val="20"/>
          <w:color w:val="auto"/>
        </w:rPr>
      </w:pPr>
    </w:p>
    <w:p>
      <w:pPr>
        <w:ind w:left="380" w:right="180" w:firstLine="534"/>
        <w:spacing w:after="0" w:line="247" w:lineRule="auto"/>
        <w:rPr>
          <w:sz w:val="20"/>
          <w:szCs w:val="20"/>
          <w:color w:val="auto"/>
        </w:rPr>
      </w:pPr>
      <w:r>
        <w:rPr>
          <w:rFonts w:ascii="Arial" w:cs="Arial" w:eastAsia="Arial" w:hAnsi="Arial"/>
          <w:sz w:val="17"/>
          <w:szCs w:val="17"/>
          <w:color w:val="auto"/>
        </w:rPr>
        <w:t>Although our amended and restated bylaws that will be in effect upon the completion of this offering will not require that we separate the chairman of the board and chief executive officer positions, our board of directors believes that having separate positions is the appropriate leadership structure for us at this time. Our board of directors recognizes that, depending on the circumstances, other leadership models, such as combining the role of executive chairman of the board with the role of</w:t>
      </w:r>
    </w:p>
    <w:p>
      <w:pPr>
        <w:spacing w:after="0" w:line="12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1060"/>
          </w:cols>
          <w:pgMar w:left="240" w:top="449" w:right="59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spacing w:after="0" w:line="258" w:lineRule="auto"/>
        <w:rPr>
          <w:sz w:val="20"/>
          <w:szCs w:val="20"/>
          <w:color w:val="auto"/>
        </w:rPr>
      </w:pPr>
      <w:r>
        <w:rPr>
          <w:rFonts w:ascii="Arial" w:cs="Arial" w:eastAsia="Arial" w:hAnsi="Arial"/>
          <w:sz w:val="17"/>
          <w:szCs w:val="17"/>
          <w:color w:val="auto"/>
        </w:rPr>
        <w:t>chief executive officer, might be appropriate. Accordingly, our board of directors may periodically review its leadership structure. Our board of directors believes its administration of its risk oversight function has not affected its leadership structure.</w:t>
      </w:r>
    </w:p>
    <w:p>
      <w:pPr>
        <w:spacing w:after="0" w:line="182" w:lineRule="exact"/>
        <w:rPr>
          <w:sz w:val="20"/>
          <w:szCs w:val="20"/>
          <w:color w:val="auto"/>
        </w:rPr>
      </w:pPr>
    </w:p>
    <w:p>
      <w:pPr>
        <w:ind w:left="380" w:right="80" w:firstLine="534"/>
        <w:spacing w:after="0" w:line="244" w:lineRule="auto"/>
        <w:rPr>
          <w:sz w:val="20"/>
          <w:szCs w:val="20"/>
          <w:color w:val="auto"/>
        </w:rPr>
      </w:pPr>
      <w:r>
        <w:rPr>
          <w:rFonts w:ascii="Arial" w:cs="Arial" w:eastAsia="Arial" w:hAnsi="Arial"/>
          <w:sz w:val="17"/>
          <w:szCs w:val="17"/>
          <w:color w:val="auto"/>
        </w:rPr>
        <w:t>Our corporate governance guidelines to be in effect following this offering will provide that in the event that the chairman of the board of directors is not an independent director, our board may designate one of the independent directors to serve as lead independent director. Our board of directors has appointed Dr. Goeddel to serve as our lead independent director. As lead independent director, Dr. Goeddel, with the executive chairman, establishes the agenda for regular board meetings, presides over periodic meetings of our independent directors, serves as a liaison among our chief executive officer, our executive chairman and the independent directors and performs such additional duties as our board of directors or executive chairman may otherwise determine or delegate.</w:t>
      </w:r>
    </w:p>
    <w:p>
      <w:pPr>
        <w:spacing w:after="0" w:line="196" w:lineRule="exact"/>
        <w:rPr>
          <w:sz w:val="20"/>
          <w:szCs w:val="20"/>
          <w:color w:val="auto"/>
        </w:rPr>
      </w:pPr>
    </w:p>
    <w:p>
      <w:pPr>
        <w:ind w:left="380" w:firstLine="534"/>
        <w:spacing w:after="0" w:line="253" w:lineRule="auto"/>
        <w:rPr>
          <w:sz w:val="20"/>
          <w:szCs w:val="20"/>
          <w:color w:val="auto"/>
        </w:rPr>
      </w:pPr>
      <w:r>
        <w:rPr>
          <w:rFonts w:ascii="Arial" w:cs="Arial" w:eastAsia="Arial" w:hAnsi="Arial"/>
          <w:sz w:val="17"/>
          <w:szCs w:val="17"/>
          <w:color w:val="auto"/>
        </w:rPr>
        <w:t>We anticipate that our independent directors will meet alone in executive session at no less than four regular meetings of our board of directors each year. The purpose of these executive sessions is to promote open and candid discussion among non-employee directors.</w:t>
      </w:r>
    </w:p>
    <w:p>
      <w:pPr>
        <w:spacing w:after="0" w:line="200" w:lineRule="exact"/>
        <w:rPr>
          <w:sz w:val="20"/>
          <w:szCs w:val="20"/>
          <w:color w:val="auto"/>
        </w:rPr>
      </w:pPr>
    </w:p>
    <w:p>
      <w:pPr>
        <w:spacing w:after="0" w:line="27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Role of the Board in Risk Oversight</w:t>
      </w:r>
    </w:p>
    <w:p>
      <w:pPr>
        <w:spacing w:after="0" w:line="126" w:lineRule="exact"/>
        <w:rPr>
          <w:sz w:val="20"/>
          <w:szCs w:val="20"/>
          <w:color w:val="auto"/>
        </w:rPr>
      </w:pPr>
    </w:p>
    <w:p>
      <w:pPr>
        <w:ind w:left="380" w:right="80" w:firstLine="534"/>
        <w:spacing w:after="0" w:line="243" w:lineRule="auto"/>
        <w:rPr>
          <w:sz w:val="20"/>
          <w:szCs w:val="20"/>
          <w:color w:val="auto"/>
        </w:rPr>
      </w:pPr>
      <w:r>
        <w:rPr>
          <w:rFonts w:ascii="Arial" w:cs="Arial" w:eastAsia="Arial" w:hAnsi="Arial"/>
          <w:sz w:val="17"/>
          <w:szCs w:val="17"/>
          <w:color w:val="auto"/>
        </w:rPr>
        <w:t>We face a number of risks, including those described under the section titled “Risk Factors” included elsewhere in this prospectus. Our board of directors believes that risk management is an important part of establishing, updating and executing on the company’s business strategy. Our board of directors, as a whole and at the committee level, has oversight responsibility relating to risks that could affect the corporate strategy, business objectives, compliance, operations and the financial condition and performance of the company. Our board of directors focuses its oversight on the most significant risks facing the company and on its processes to identify, prioritize, assess, manage and mitigate those risks. Our board of directors and its committees receive regular reports from members of the company’s senior management on areas of material risk to the company, including strategic, operational, financial, legal and regulatory risks. While our board of directors has an oversight role, management is principally tasked with direct responsibility for management and assessment of risks and the implementation of processes and controls to mitigate their effects on the company.</w:t>
      </w:r>
    </w:p>
    <w:p>
      <w:pPr>
        <w:spacing w:after="0" w:line="196"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The audit committee, as part of its responsibilities, oversees the management of financial risks, including accounting matters, liquidity and credit risks, corporate tax positions, insurance coverage and cash investment strategy and results. The audit committee is also responsible for overseeing the management of risks relating to the performance of our internal audit function, if required, and our independent registered public accounting firm, as well as our system of internal control and disclosure controls and procedures. The compensation committee is responsible for overseeing the management of risks relating to our executive compensation and overall compensation and benefit strategies, plans, arrangements, practices and policies. The nominating and corporate governance committee oversees the management of risks associated with our overall compliance and corporate governance practices and the independence and composition of our board of directors. These committees provide regular reports, on at least a quarterly basis, to the full board of directors.</w:t>
      </w:r>
    </w:p>
    <w:p>
      <w:pPr>
        <w:spacing w:after="0" w:line="28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Committees of the Board</w:t>
      </w:r>
    </w:p>
    <w:p>
      <w:pPr>
        <w:spacing w:after="0" w:line="232" w:lineRule="exact"/>
        <w:rPr>
          <w:sz w:val="20"/>
          <w:szCs w:val="20"/>
          <w:color w:val="auto"/>
        </w:rPr>
      </w:pPr>
    </w:p>
    <w:p>
      <w:pPr>
        <w:ind w:left="380" w:right="140" w:firstLine="534"/>
        <w:spacing w:after="0" w:line="250" w:lineRule="auto"/>
        <w:rPr>
          <w:sz w:val="20"/>
          <w:szCs w:val="20"/>
          <w:color w:val="auto"/>
        </w:rPr>
      </w:pPr>
      <w:r>
        <w:rPr>
          <w:rFonts w:ascii="Arial" w:cs="Arial" w:eastAsia="Arial" w:hAnsi="Arial"/>
          <w:sz w:val="17"/>
          <w:szCs w:val="17"/>
          <w:color w:val="auto"/>
        </w:rPr>
        <w:t>Our board of directors has a standing audit committee, compensation committee and nominating and corporate governance committee. The composition and responsibilities of each committee are described below. Members serve on these committees until their resignation or until otherwise determined by our board of directors.</w:t>
      </w:r>
    </w:p>
    <w:p>
      <w:pPr>
        <w:spacing w:after="0" w:line="12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168</w:t>
      </w:r>
    </w:p>
    <w:p>
      <w:pPr>
        <w:sectPr>
          <w:pgSz w:w="11900" w:h="16838" w:orient="portrait"/>
          <w:cols w:equalWidth="0" w:num="1">
            <w:col w:w="11020"/>
          </w:cols>
          <w:pgMar w:left="240" w:top="449" w:right="63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Audit Committee</w:t>
      </w:r>
    </w:p>
    <w:p>
      <w:pPr>
        <w:spacing w:after="0" w:line="126" w:lineRule="exact"/>
        <w:rPr>
          <w:sz w:val="20"/>
          <w:szCs w:val="20"/>
          <w:color w:val="auto"/>
        </w:rPr>
      </w:pPr>
    </w:p>
    <w:p>
      <w:pPr>
        <w:ind w:left="380" w:right="20" w:firstLine="534"/>
        <w:spacing w:after="0" w:line="244" w:lineRule="auto"/>
        <w:rPr>
          <w:sz w:val="20"/>
          <w:szCs w:val="20"/>
          <w:color w:val="auto"/>
        </w:rPr>
      </w:pPr>
      <w:r>
        <w:rPr>
          <w:rFonts w:ascii="Arial" w:cs="Arial" w:eastAsia="Arial" w:hAnsi="Arial"/>
          <w:sz w:val="17"/>
          <w:szCs w:val="17"/>
          <w:color w:val="auto"/>
        </w:rPr>
        <w:t>The audit committee is responsible for assisting our board of directors in its oversight of the integrity of our financial statements, the qualifications and independence of our independent registered public accounting firm and our internal financial and accounting controls. The audit committee has direct responsibility for the appointment, compensation, retention (including termination) and oversight of our independent registered public accounting firm, and our independent registered public accounting firm reports directly to the audit committee. The audit committee also prepares the audit committee report that the SEC requires to be included in our annual proxy statement.</w:t>
      </w:r>
    </w:p>
    <w:p>
      <w:pPr>
        <w:spacing w:after="0" w:line="394" w:lineRule="exact"/>
        <w:rPr>
          <w:sz w:val="20"/>
          <w:szCs w:val="20"/>
          <w:color w:val="auto"/>
        </w:rPr>
      </w:pPr>
    </w:p>
    <w:p>
      <w:pPr>
        <w:ind w:left="380" w:right="60" w:firstLine="534"/>
        <w:spacing w:after="0" w:line="244" w:lineRule="auto"/>
        <w:rPr>
          <w:sz w:val="20"/>
          <w:szCs w:val="20"/>
          <w:color w:val="auto"/>
        </w:rPr>
      </w:pPr>
      <w:r>
        <w:rPr>
          <w:rFonts w:ascii="Arial" w:cs="Arial" w:eastAsia="Arial" w:hAnsi="Arial"/>
          <w:sz w:val="17"/>
          <w:szCs w:val="17"/>
          <w:color w:val="auto"/>
        </w:rPr>
        <w:t>The members of the audit committee are Messrs. Leschly and Tichenor and Ms. Hooper, and Mr. Tichenor serves as chair of the audit committee. All members of the audit committee qualify as an independent director under the corporate governance standards of the Nasdaq Listing Rules and the independence requirements of Rule 10A-3 of the Exchange Act. Our board of directors has determined that Mr. Tichenor qualifies as an “audit committee financial expert” as such term is currently defined in Item 407(d)(5) of Regulation S-K. The audit committee has adopted a written charter that satisfies the applicable standards of the SEC and the Nasdaq Listing Rules, which we will post on our website upon completion of this offering.</w:t>
      </w:r>
    </w:p>
    <w:p>
      <w:pPr>
        <w:spacing w:after="0" w:line="280"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26" w:lineRule="exact"/>
        <w:rPr>
          <w:sz w:val="20"/>
          <w:szCs w:val="20"/>
          <w:color w:val="auto"/>
        </w:rPr>
      </w:pPr>
    </w:p>
    <w:p>
      <w:pPr>
        <w:ind w:left="380" w:right="400" w:firstLine="534"/>
        <w:spacing w:after="0" w:line="250" w:lineRule="auto"/>
        <w:rPr>
          <w:sz w:val="20"/>
          <w:szCs w:val="20"/>
          <w:color w:val="auto"/>
        </w:rPr>
      </w:pPr>
      <w:r>
        <w:rPr>
          <w:rFonts w:ascii="Arial" w:cs="Arial" w:eastAsia="Arial" w:hAnsi="Arial"/>
          <w:sz w:val="17"/>
          <w:szCs w:val="17"/>
          <w:color w:val="auto"/>
        </w:rPr>
        <w:t>The compensation committee approves the compensation objectives for the company, approves the compensation of the chief executive officer and approves or recommends to our board of directors for approval the compensation for other executives. The compensation committee reviews all compensation components, including base salary, bonus, benefits and other perquisites.</w:t>
      </w:r>
    </w:p>
    <w:p>
      <w:pPr>
        <w:spacing w:after="0" w:line="188" w:lineRule="exact"/>
        <w:rPr>
          <w:sz w:val="20"/>
          <w:szCs w:val="20"/>
          <w:color w:val="auto"/>
        </w:rPr>
      </w:pPr>
    </w:p>
    <w:p>
      <w:pPr>
        <w:ind w:left="380" w:right="100" w:firstLine="534"/>
        <w:spacing w:after="0" w:line="245" w:lineRule="auto"/>
        <w:rPr>
          <w:sz w:val="20"/>
          <w:szCs w:val="20"/>
          <w:color w:val="auto"/>
        </w:rPr>
      </w:pPr>
      <w:r>
        <w:rPr>
          <w:rFonts w:ascii="Arial" w:cs="Arial" w:eastAsia="Arial" w:hAnsi="Arial"/>
          <w:sz w:val="17"/>
          <w:szCs w:val="17"/>
          <w:color w:val="auto"/>
        </w:rPr>
        <w:t>The members of the compensation committee are Dr. Schnell and Mr. Tichenor, and Dr. Schnell serves as chair of the compensation committee. Each member of the compensation committee is a non-employee director within the meaning of Rule 16b-3 of the rules promulgated under the Exchange Act and each is an independent director as defined by the Nasdaq Listing Rules, including Nasdaq Listing Rule 5605(d)(2). The compensation committee has adopted a written charter that satisfies the applicable standards of the SEC and the Nasdaq Listing Rules, which we will post on our website upon completion of this offering.</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126" w:lineRule="exact"/>
        <w:rPr>
          <w:sz w:val="20"/>
          <w:szCs w:val="20"/>
          <w:color w:val="auto"/>
        </w:rPr>
      </w:pPr>
    </w:p>
    <w:p>
      <w:pPr>
        <w:ind w:left="380" w:right="340" w:firstLine="534"/>
        <w:spacing w:after="0" w:line="247" w:lineRule="auto"/>
        <w:rPr>
          <w:sz w:val="20"/>
          <w:szCs w:val="20"/>
          <w:color w:val="auto"/>
        </w:rPr>
      </w:pPr>
      <w:r>
        <w:rPr>
          <w:rFonts w:ascii="Arial" w:cs="Arial" w:eastAsia="Arial" w:hAnsi="Arial"/>
          <w:sz w:val="17"/>
          <w:szCs w:val="17"/>
          <w:color w:val="auto"/>
        </w:rPr>
        <w:t>The nominating and corporate governance committee is responsible for making recommendations to our board of directors regarding candidates for directorships and the structure and composition of our board and the board committees. In addition, the nominating and corporate governance committee is responsible for developing and recommending to our board corporate governance guidelines applicable to the company and advising our board on corporate governance matters.</w:t>
      </w:r>
    </w:p>
    <w:p>
      <w:pPr>
        <w:spacing w:after="0" w:line="190" w:lineRule="exact"/>
        <w:rPr>
          <w:sz w:val="20"/>
          <w:szCs w:val="20"/>
          <w:color w:val="auto"/>
        </w:rPr>
      </w:pPr>
    </w:p>
    <w:p>
      <w:pPr>
        <w:ind w:left="380" w:firstLine="534"/>
        <w:spacing w:after="0" w:line="245" w:lineRule="auto"/>
        <w:rPr>
          <w:sz w:val="20"/>
          <w:szCs w:val="20"/>
          <w:color w:val="auto"/>
        </w:rPr>
      </w:pPr>
      <w:r>
        <w:rPr>
          <w:rFonts w:ascii="Arial" w:cs="Arial" w:eastAsia="Arial" w:hAnsi="Arial"/>
          <w:sz w:val="17"/>
          <w:szCs w:val="17"/>
          <w:color w:val="auto"/>
        </w:rPr>
        <w:t>The members of the nominating and corporate governance committee are Dr. Goeddel and Ms. Hooper, and Dr. Goeddel serves as chair of the nominating and corporate governance committee. Each member of the nominating and corporate governance committee is a non-employee director within the meaning of Rule 16b-3 of the rules promulgated under the Exchange Act and an independent director as defined by the Nasdaq Listing Rules. The nominating and corporate governance committee has adopted a written charter that satisfies the applicable standards of the Nasdaq Listing Rules, which we will post on our website upon completion of this offering.</w:t>
      </w:r>
    </w:p>
    <w:p>
      <w:pPr>
        <w:spacing w:after="0" w:line="1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169</w:t>
      </w:r>
    </w:p>
    <w:p>
      <w:pPr>
        <w:sectPr>
          <w:pgSz w:w="11900" w:h="16838" w:orient="portrait"/>
          <w:cols w:equalWidth="0" w:num="1">
            <w:col w:w="11040"/>
          </w:cols>
          <w:pgMar w:left="240" w:top="449" w:right="61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Code of Business Conduct and Ethics</w:t>
      </w:r>
    </w:p>
    <w:p>
      <w:pPr>
        <w:spacing w:after="0" w:line="232" w:lineRule="exact"/>
        <w:rPr>
          <w:sz w:val="20"/>
          <w:szCs w:val="20"/>
          <w:color w:val="auto"/>
        </w:rPr>
      </w:pPr>
    </w:p>
    <w:p>
      <w:pPr>
        <w:ind w:left="380" w:firstLine="534"/>
        <w:spacing w:after="0" w:line="247" w:lineRule="auto"/>
        <w:rPr>
          <w:sz w:val="20"/>
          <w:szCs w:val="20"/>
          <w:color w:val="auto"/>
        </w:rPr>
      </w:pPr>
      <w:r>
        <w:rPr>
          <w:rFonts w:ascii="Arial" w:cs="Arial" w:eastAsia="Arial" w:hAnsi="Arial"/>
          <w:sz w:val="17"/>
          <w:szCs w:val="17"/>
          <w:color w:val="auto"/>
        </w:rPr>
        <w:t>We adopted a code of business conduct and ethics that applies to all of our employees, officers and directors including those officers responsible for financial reporting. Upon completion of this offering, we will post the code of business conduct and ethics on our website. We intend to disclose future amendments to the code or any waivers of its requirements on our website to the extent permitted by the applicable rules and exchange requirements.</w:t>
      </w:r>
    </w:p>
    <w:p>
      <w:pPr>
        <w:spacing w:after="0" w:line="273" w:lineRule="exact"/>
        <w:rPr>
          <w:sz w:val="20"/>
          <w:szCs w:val="20"/>
          <w:color w:val="auto"/>
        </w:rPr>
      </w:pPr>
    </w:p>
    <w:p>
      <w:pPr>
        <w:ind w:left="3160"/>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32" w:lineRule="exact"/>
        <w:rPr>
          <w:sz w:val="20"/>
          <w:szCs w:val="20"/>
          <w:color w:val="auto"/>
        </w:rPr>
      </w:pPr>
    </w:p>
    <w:p>
      <w:pPr>
        <w:ind w:left="380" w:firstLine="534"/>
        <w:spacing w:after="0" w:line="247" w:lineRule="auto"/>
        <w:rPr>
          <w:sz w:val="20"/>
          <w:szCs w:val="20"/>
          <w:color w:val="auto"/>
        </w:rPr>
      </w:pPr>
      <w:r>
        <w:rPr>
          <w:rFonts w:ascii="Arial" w:cs="Arial" w:eastAsia="Arial" w:hAnsi="Arial"/>
          <w:sz w:val="17"/>
          <w:szCs w:val="17"/>
          <w:color w:val="auto"/>
        </w:rPr>
        <w:t>None of the members of our compensation committee have ever been officers or employees of the company. None of our executive officers serves, or has served during the last three years, as a member of the board of directors, compensation committee or other board committee performing equivalent functions of any entity that has one or more executive officers serving as one of our directors or on our compensation committee.</w:t>
      </w:r>
    </w:p>
    <w:p>
      <w:pPr>
        <w:spacing w:after="0" w:line="12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11040"/>
          </w:cols>
          <w:pgMar w:left="240" w:top="449" w:right="61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EXECUTIVE AND DIRECTOR COMPENSATION</w:t>
      </w:r>
    </w:p>
    <w:p>
      <w:pPr>
        <w:spacing w:after="0" w:line="2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Executive Compensation</w:t>
      </w:r>
    </w:p>
    <w:p>
      <w:pPr>
        <w:spacing w:after="0" w:line="232" w:lineRule="exact"/>
        <w:rPr>
          <w:sz w:val="20"/>
          <w:szCs w:val="20"/>
          <w:color w:val="auto"/>
        </w:rPr>
      </w:pPr>
    </w:p>
    <w:p>
      <w:pPr>
        <w:jc w:val="both"/>
        <w:ind w:left="380" w:right="60" w:firstLine="534"/>
        <w:spacing w:after="0" w:line="250" w:lineRule="auto"/>
        <w:rPr>
          <w:sz w:val="20"/>
          <w:szCs w:val="20"/>
          <w:color w:val="auto"/>
        </w:rPr>
      </w:pPr>
      <w:r>
        <w:rPr>
          <w:rFonts w:ascii="Arial" w:cs="Arial" w:eastAsia="Arial" w:hAnsi="Arial"/>
          <w:sz w:val="17"/>
          <w:szCs w:val="17"/>
          <w:color w:val="auto"/>
        </w:rPr>
        <w:t>The following table provides information regarding the compensation of our current and former principal executive officer and each of our two other most highly compensated executive officers during the fiscal year ended December 31, 2018. Throughout this prospectus we refer to these executive officers as our named executive officers.</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Summary Compensation Table</w:t>
      </w:r>
    </w:p>
    <w:p>
      <w:pPr>
        <w:spacing w:after="0" w:line="242"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Non-Equity</w:t>
            </w: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8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7"/>
              </w:rPr>
              <w:t>Option</w:t>
            </w:r>
          </w:p>
        </w:tc>
        <w:tc>
          <w:tcPr>
            <w:tcW w:w="124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9"/>
              </w:rPr>
              <w:t>Incentive Plan</w:t>
            </w:r>
          </w:p>
        </w:tc>
        <w:tc>
          <w:tcPr>
            <w:tcW w:w="122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8"/>
              </w:rPr>
              <w:t>All Other</w:t>
            </w: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80" w:type="dxa"/>
            <w:vAlign w:val="bottom"/>
            <w:vMerge w:val="restart"/>
          </w:tcPr>
          <w:p>
            <w:pPr>
              <w:spacing w:after="0"/>
              <w:rPr>
                <w:sz w:val="20"/>
                <w:szCs w:val="20"/>
                <w:color w:val="auto"/>
              </w:rPr>
            </w:pPr>
            <w:r>
              <w:rPr>
                <w:rFonts w:ascii="Arial" w:cs="Arial" w:eastAsia="Arial" w:hAnsi="Arial"/>
                <w:sz w:val="14"/>
                <w:szCs w:val="14"/>
                <w:b w:val="1"/>
                <w:bCs w:val="1"/>
                <w:color w:val="auto"/>
                <w:w w:val="98"/>
              </w:rPr>
              <w:t>Name and Principal Position</w:t>
            </w:r>
          </w:p>
        </w:tc>
        <w:tc>
          <w:tcPr>
            <w:tcW w:w="2720" w:type="dxa"/>
            <w:vAlign w:val="bottom"/>
            <w:vMerge w:val="restart"/>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ind w:left="140"/>
              <w:spacing w:after="0" w:line="157" w:lineRule="exact"/>
              <w:rPr>
                <w:sz w:val="20"/>
                <w:szCs w:val="20"/>
                <w:color w:val="auto"/>
              </w:rPr>
            </w:pPr>
            <w:r>
              <w:rPr>
                <w:rFonts w:ascii="Arial" w:cs="Arial" w:eastAsia="Arial" w:hAnsi="Arial"/>
                <w:sz w:val="14"/>
                <w:szCs w:val="14"/>
                <w:b w:val="1"/>
                <w:bCs w:val="1"/>
                <w:color w:val="auto"/>
              </w:rPr>
              <w:t>Salary</w:t>
            </w:r>
          </w:p>
        </w:tc>
        <w:tc>
          <w:tcPr>
            <w:tcW w:w="108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8"/>
              </w:rPr>
              <w:t>Awards</w:t>
            </w:r>
          </w:p>
        </w:tc>
        <w:tc>
          <w:tcPr>
            <w:tcW w:w="1240" w:type="dxa"/>
            <w:vAlign w:val="bottom"/>
            <w:gridSpan w:val="2"/>
          </w:tcPr>
          <w:p>
            <w:pPr>
              <w:jc w:val="right"/>
              <w:ind w:right="260"/>
              <w:spacing w:after="0" w:line="157" w:lineRule="exact"/>
              <w:rPr>
                <w:sz w:val="20"/>
                <w:szCs w:val="20"/>
                <w:color w:val="auto"/>
              </w:rPr>
            </w:pPr>
            <w:r>
              <w:rPr>
                <w:rFonts w:ascii="Arial" w:cs="Arial" w:eastAsia="Arial" w:hAnsi="Arial"/>
                <w:sz w:val="14"/>
                <w:szCs w:val="14"/>
                <w:b w:val="1"/>
                <w:bCs w:val="1"/>
                <w:color w:val="auto"/>
                <w:w w:val="98"/>
              </w:rPr>
              <w:t>Compensation</w:t>
            </w:r>
          </w:p>
        </w:tc>
        <w:tc>
          <w:tcPr>
            <w:tcW w:w="122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Compensation</w:t>
            </w:r>
          </w:p>
        </w:tc>
        <w:tc>
          <w:tcPr>
            <w:tcW w:w="900" w:type="dxa"/>
            <w:vAlign w:val="bottom"/>
            <w:gridSpan w:val="2"/>
          </w:tcPr>
          <w:p>
            <w:pPr>
              <w:jc w:val="right"/>
              <w:ind w:right="320"/>
              <w:spacing w:after="0" w:line="157"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1880" w:type="dxa"/>
            <w:vAlign w:val="bottom"/>
            <w:tcBorders>
              <w:bottom w:val="single" w:sz="8" w:color="auto"/>
            </w:tcBorders>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70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Year</w:t>
            </w:r>
          </w:p>
        </w:tc>
        <w:tc>
          <w:tcPr>
            <w:tcW w:w="68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8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9"/>
              </w:rPr>
              <w:t>($)(1)</w:t>
            </w:r>
          </w:p>
        </w:tc>
        <w:tc>
          <w:tcPr>
            <w:tcW w:w="240" w:type="dxa"/>
            <w:vAlign w:val="bottom"/>
          </w:tcPr>
          <w:p>
            <w:pPr>
              <w:spacing w:after="0"/>
              <w:rPr>
                <w:sz w:val="15"/>
                <w:szCs w:val="15"/>
                <w:color w:val="auto"/>
              </w:rPr>
            </w:pPr>
          </w:p>
        </w:tc>
        <w:tc>
          <w:tcPr>
            <w:tcW w:w="9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9"/>
              </w:rPr>
              <w:t>($)(2)</w:t>
            </w:r>
          </w:p>
        </w:tc>
        <w:tc>
          <w:tcPr>
            <w:tcW w:w="260" w:type="dxa"/>
            <w:vAlign w:val="bottom"/>
          </w:tcPr>
          <w:p>
            <w:pPr>
              <w:spacing w:after="0"/>
              <w:rPr>
                <w:sz w:val="15"/>
                <w:szCs w:val="15"/>
                <w:color w:val="auto"/>
              </w:rPr>
            </w:pPr>
          </w:p>
        </w:tc>
        <w:tc>
          <w:tcPr>
            <w:tcW w:w="9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9"/>
              </w:rPr>
              <w:t>($)(3)</w:t>
            </w:r>
          </w:p>
        </w:tc>
        <w:tc>
          <w:tcPr>
            <w:tcW w:w="240" w:type="dxa"/>
            <w:vAlign w:val="bottom"/>
          </w:tcPr>
          <w:p>
            <w:pPr>
              <w:spacing w:after="0"/>
              <w:rPr>
                <w:sz w:val="15"/>
                <w:szCs w:val="15"/>
                <w:color w:val="auto"/>
              </w:rPr>
            </w:pPr>
          </w:p>
        </w:tc>
        <w:tc>
          <w:tcPr>
            <w:tcW w:w="840" w:type="dxa"/>
            <w:vAlign w:val="bottom"/>
          </w:tcPr>
          <w:p>
            <w:pPr>
              <w:jc w:val="right"/>
              <w:ind w:right="237"/>
              <w:spacing w:after="0" w:line="155"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600" w:type="dxa"/>
            <w:vAlign w:val="bottom"/>
            <w:tcBorders>
              <w:top w:val="single" w:sz="8" w:color="CCEEFF"/>
            </w:tcBorders>
            <w:gridSpan w:val="2"/>
            <w:shd w:val="clear" w:color="auto" w:fill="CCEEFF"/>
          </w:tcPr>
          <w:p>
            <w:pPr>
              <w:spacing w:after="0" w:line="151" w:lineRule="exact"/>
              <w:rPr>
                <w:sz w:val="20"/>
                <w:szCs w:val="20"/>
                <w:color w:val="auto"/>
              </w:rPr>
            </w:pPr>
            <w:r>
              <w:rPr>
                <w:rFonts w:ascii="Arial" w:cs="Arial" w:eastAsia="Arial" w:hAnsi="Arial"/>
                <w:sz w:val="17"/>
                <w:szCs w:val="17"/>
                <w:color w:val="auto"/>
              </w:rPr>
              <w:t>David J. Woodhouse, Ph.D.</w:t>
            </w:r>
          </w:p>
        </w:tc>
        <w:tc>
          <w:tcPr>
            <w:tcW w:w="440" w:type="dxa"/>
            <w:vAlign w:val="bottom"/>
            <w:tcBorders>
              <w:top w:val="single" w:sz="8" w:color="auto"/>
            </w:tcBorders>
            <w:shd w:val="clear" w:color="auto" w:fill="CCEEFF"/>
          </w:tcPr>
          <w:p>
            <w:pPr>
              <w:ind w:left="60"/>
              <w:spacing w:after="0" w:line="151" w:lineRule="exact"/>
              <w:rPr>
                <w:sz w:val="20"/>
                <w:szCs w:val="20"/>
                <w:color w:val="auto"/>
              </w:rPr>
            </w:pPr>
            <w:r>
              <w:rPr>
                <w:rFonts w:ascii="Arial" w:cs="Arial" w:eastAsia="Arial" w:hAnsi="Arial"/>
                <w:sz w:val="17"/>
                <w:szCs w:val="17"/>
                <w:color w:val="auto"/>
                <w:w w:val="95"/>
              </w:rPr>
              <w:t>2018</w:t>
            </w:r>
          </w:p>
        </w:tc>
        <w:tc>
          <w:tcPr>
            <w:tcW w:w="2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ind w:left="60"/>
              <w:spacing w:after="0" w:line="151" w:lineRule="exact"/>
              <w:rPr>
                <w:sz w:val="20"/>
                <w:szCs w:val="20"/>
                <w:color w:val="auto"/>
              </w:rPr>
            </w:pPr>
            <w:r>
              <w:rPr>
                <w:rFonts w:ascii="Arial" w:cs="Arial" w:eastAsia="Arial" w:hAnsi="Arial"/>
                <w:sz w:val="17"/>
                <w:szCs w:val="17"/>
                <w:color w:val="auto"/>
                <w:w w:val="97"/>
              </w:rPr>
              <w:t>412,500</w:t>
            </w:r>
          </w:p>
        </w:tc>
        <w:tc>
          <w:tcPr>
            <w:tcW w:w="26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7"/>
                <w:szCs w:val="17"/>
                <w:color w:val="auto"/>
              </w:rPr>
              <w:t>2,517,075</w:t>
            </w:r>
          </w:p>
        </w:tc>
        <w:tc>
          <w:tcPr>
            <w:tcW w:w="24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7"/>
                <w:szCs w:val="17"/>
                <w:color w:val="auto"/>
              </w:rPr>
              <w:t>57,000</w:t>
            </w:r>
          </w:p>
        </w:tc>
        <w:tc>
          <w:tcPr>
            <w:tcW w:w="26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7"/>
                <w:szCs w:val="17"/>
                <w:color w:val="auto"/>
              </w:rPr>
              <w:t>750</w:t>
            </w:r>
          </w:p>
        </w:tc>
        <w:tc>
          <w:tcPr>
            <w:tcW w:w="2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7"/>
                <w:szCs w:val="17"/>
                <w:color w:val="auto"/>
              </w:rPr>
              <w:t>2,987,325</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0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Chief Executive Officer and Acting Chief Financial</w:t>
            </w: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00" w:type="dxa"/>
            <w:vAlign w:val="bottom"/>
            <w:gridSpan w:val="2"/>
            <w:shd w:val="clear" w:color="auto" w:fill="CCEEFF"/>
          </w:tcPr>
          <w:p>
            <w:pPr>
              <w:ind w:left="160"/>
              <w:spacing w:after="0"/>
              <w:rPr>
                <w:sz w:val="20"/>
                <w:szCs w:val="20"/>
                <w:color w:val="auto"/>
              </w:rPr>
            </w:pPr>
            <w:r>
              <w:rPr>
                <w:rFonts w:ascii="Arial" w:cs="Arial" w:eastAsia="Arial" w:hAnsi="Arial"/>
                <w:sz w:val="17"/>
                <w:szCs w:val="17"/>
                <w:i w:val="1"/>
                <w:iCs w:val="1"/>
                <w:color w:val="auto"/>
              </w:rPr>
              <w:t>Officer</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4600" w:type="dxa"/>
            <w:vAlign w:val="bottom"/>
            <w:gridSpan w:val="2"/>
          </w:tcPr>
          <w:p>
            <w:pPr>
              <w:spacing w:after="0" w:line="178" w:lineRule="exact"/>
              <w:rPr>
                <w:sz w:val="20"/>
                <w:szCs w:val="20"/>
                <w:color w:val="auto"/>
              </w:rPr>
            </w:pPr>
            <w:r>
              <w:rPr>
                <w:rFonts w:ascii="Arial" w:cs="Arial" w:eastAsia="Arial" w:hAnsi="Arial"/>
                <w:sz w:val="17"/>
                <w:szCs w:val="17"/>
                <w:color w:val="auto"/>
              </w:rPr>
              <w:t>William J. Rieflin</w:t>
            </w:r>
          </w:p>
        </w:tc>
        <w:tc>
          <w:tcPr>
            <w:tcW w:w="700" w:type="dxa"/>
            <w:vAlign w:val="bottom"/>
            <w:gridSpan w:val="2"/>
          </w:tcPr>
          <w:p>
            <w:pPr>
              <w:ind w:left="60"/>
              <w:spacing w:after="0" w:line="178" w:lineRule="exact"/>
              <w:rPr>
                <w:sz w:val="20"/>
                <w:szCs w:val="20"/>
                <w:color w:val="auto"/>
              </w:rPr>
            </w:pPr>
            <w:r>
              <w:rPr>
                <w:rFonts w:ascii="Arial" w:cs="Arial" w:eastAsia="Arial" w:hAnsi="Arial"/>
                <w:sz w:val="17"/>
                <w:szCs w:val="17"/>
                <w:color w:val="auto"/>
              </w:rPr>
              <w:t>2018</w:t>
            </w:r>
          </w:p>
        </w:tc>
        <w:tc>
          <w:tcPr>
            <w:tcW w:w="940" w:type="dxa"/>
            <w:vAlign w:val="bottom"/>
            <w:gridSpan w:val="2"/>
          </w:tcPr>
          <w:p>
            <w:pPr>
              <w:ind w:left="60"/>
              <w:spacing w:after="0" w:line="178" w:lineRule="exact"/>
              <w:rPr>
                <w:sz w:val="20"/>
                <w:szCs w:val="20"/>
                <w:color w:val="auto"/>
              </w:rPr>
            </w:pPr>
            <w:r>
              <w:rPr>
                <w:rFonts w:ascii="Arial" w:cs="Arial" w:eastAsia="Arial" w:hAnsi="Arial"/>
                <w:sz w:val="17"/>
                <w:szCs w:val="17"/>
                <w:color w:val="auto"/>
              </w:rPr>
              <w:t>553,125</w:t>
            </w:r>
          </w:p>
        </w:tc>
        <w:tc>
          <w:tcPr>
            <w:tcW w:w="1080" w:type="dxa"/>
            <w:vAlign w:val="bottom"/>
            <w:gridSpan w:val="2"/>
          </w:tcPr>
          <w:p>
            <w:pPr>
              <w:jc w:val="right"/>
              <w:ind w:right="240"/>
              <w:spacing w:after="0" w:line="178" w:lineRule="exact"/>
              <w:rPr>
                <w:sz w:val="20"/>
                <w:szCs w:val="20"/>
                <w:color w:val="auto"/>
              </w:rPr>
            </w:pPr>
            <w:r>
              <w:rPr>
                <w:rFonts w:ascii="Arial" w:cs="Arial" w:eastAsia="Arial" w:hAnsi="Arial"/>
                <w:sz w:val="17"/>
                <w:szCs w:val="17"/>
                <w:color w:val="auto"/>
              </w:rPr>
              <w:t>1,116,581</w:t>
            </w:r>
          </w:p>
        </w:tc>
        <w:tc>
          <w:tcPr>
            <w:tcW w:w="1240" w:type="dxa"/>
            <w:vAlign w:val="bottom"/>
            <w:gridSpan w:val="2"/>
          </w:tcPr>
          <w:p>
            <w:pPr>
              <w:jc w:val="right"/>
              <w:ind w:right="260"/>
              <w:spacing w:after="0" w:line="178" w:lineRule="exact"/>
              <w:rPr>
                <w:sz w:val="20"/>
                <w:szCs w:val="20"/>
                <w:color w:val="auto"/>
              </w:rPr>
            </w:pPr>
            <w:r>
              <w:rPr>
                <w:rFonts w:ascii="Arial" w:cs="Arial" w:eastAsia="Arial" w:hAnsi="Arial"/>
                <w:sz w:val="17"/>
                <w:szCs w:val="17"/>
                <w:color w:val="auto"/>
              </w:rPr>
              <w:t>61,050</w:t>
            </w:r>
          </w:p>
        </w:tc>
        <w:tc>
          <w:tcPr>
            <w:tcW w:w="1220" w:type="dxa"/>
            <w:vAlign w:val="bottom"/>
            <w:gridSpan w:val="2"/>
          </w:tcPr>
          <w:p>
            <w:pPr>
              <w:jc w:val="right"/>
              <w:ind w:right="240"/>
              <w:spacing w:after="0" w:line="178"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60"/>
              <w:spacing w:after="0" w:line="178" w:lineRule="exact"/>
              <w:rPr>
                <w:sz w:val="20"/>
                <w:szCs w:val="20"/>
                <w:color w:val="auto"/>
              </w:rPr>
            </w:pPr>
            <w:r>
              <w:rPr>
                <w:rFonts w:ascii="Arial" w:cs="Arial" w:eastAsia="Arial" w:hAnsi="Arial"/>
                <w:sz w:val="17"/>
                <w:szCs w:val="17"/>
                <w:color w:val="auto"/>
              </w:rPr>
              <w:t>1,730,756</w:t>
            </w:r>
          </w:p>
        </w:tc>
        <w:tc>
          <w:tcPr>
            <w:tcW w:w="0" w:type="dxa"/>
            <w:vAlign w:val="bottom"/>
          </w:tcPr>
          <w:p>
            <w:pPr>
              <w:spacing w:after="0"/>
              <w:rPr>
                <w:sz w:val="1"/>
                <w:szCs w:val="1"/>
                <w:color w:val="auto"/>
              </w:rPr>
            </w:pPr>
          </w:p>
        </w:tc>
      </w:tr>
      <w:tr>
        <w:trPr>
          <w:trHeight w:val="228"/>
        </w:trPr>
        <w:tc>
          <w:tcPr>
            <w:tcW w:w="4600" w:type="dxa"/>
            <w:vAlign w:val="bottom"/>
            <w:gridSpan w:val="2"/>
          </w:tcPr>
          <w:p>
            <w:pPr>
              <w:spacing w:after="0"/>
              <w:rPr>
                <w:sz w:val="20"/>
                <w:szCs w:val="20"/>
                <w:color w:val="auto"/>
              </w:rPr>
            </w:pPr>
            <w:r>
              <w:rPr>
                <w:rFonts w:ascii="Arial" w:cs="Arial" w:eastAsia="Arial" w:hAnsi="Arial"/>
                <w:sz w:val="17"/>
                <w:szCs w:val="17"/>
                <w:i w:val="1"/>
                <w:iCs w:val="1"/>
                <w:color w:val="auto"/>
              </w:rPr>
              <w:t>Executive Chairman and Former Chief Executive Officer</w:t>
            </w:r>
          </w:p>
        </w:tc>
        <w:tc>
          <w:tcPr>
            <w:tcW w:w="700" w:type="dxa"/>
            <w:vAlign w:val="bottom"/>
            <w:gridSpan w:val="2"/>
          </w:tcPr>
          <w:p>
            <w:pPr>
              <w:ind w:left="60"/>
              <w:spacing w:after="0"/>
              <w:rPr>
                <w:sz w:val="20"/>
                <w:szCs w:val="20"/>
                <w:color w:val="auto"/>
              </w:rPr>
            </w:pPr>
            <w:r>
              <w:rPr>
                <w:rFonts w:ascii="Arial" w:cs="Arial" w:eastAsia="Arial" w:hAnsi="Arial"/>
                <w:sz w:val="17"/>
                <w:szCs w:val="17"/>
                <w:color w:val="auto"/>
              </w:rPr>
              <w:t>2017</w:t>
            </w:r>
          </w:p>
        </w:tc>
        <w:tc>
          <w:tcPr>
            <w:tcW w:w="940" w:type="dxa"/>
            <w:vAlign w:val="bottom"/>
            <w:gridSpan w:val="2"/>
          </w:tcPr>
          <w:p>
            <w:pPr>
              <w:ind w:left="60"/>
              <w:spacing w:after="0"/>
              <w:rPr>
                <w:sz w:val="20"/>
                <w:szCs w:val="20"/>
                <w:color w:val="auto"/>
              </w:rPr>
            </w:pPr>
            <w:r>
              <w:rPr>
                <w:rFonts w:ascii="Arial" w:cs="Arial" w:eastAsia="Arial" w:hAnsi="Arial"/>
                <w:sz w:val="17"/>
                <w:szCs w:val="17"/>
                <w:color w:val="auto"/>
              </w:rPr>
              <w:t>545,000</w:t>
            </w: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1,199,498</w:t>
            </w: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65,400</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1,809,898</w:t>
            </w:r>
          </w:p>
        </w:tc>
        <w:tc>
          <w:tcPr>
            <w:tcW w:w="0" w:type="dxa"/>
            <w:vAlign w:val="bottom"/>
          </w:tcPr>
          <w:p>
            <w:pPr>
              <w:spacing w:after="0"/>
              <w:rPr>
                <w:sz w:val="1"/>
                <w:szCs w:val="1"/>
                <w:color w:val="auto"/>
              </w:rPr>
            </w:pPr>
          </w:p>
        </w:tc>
      </w:tr>
      <w:tr>
        <w:trPr>
          <w:trHeight w:val="178"/>
        </w:trPr>
        <w:tc>
          <w:tcPr>
            <w:tcW w:w="4600" w:type="dxa"/>
            <w:vAlign w:val="bottom"/>
            <w:gridSpan w:val="2"/>
            <w:shd w:val="clear" w:color="auto" w:fill="CCEEFF"/>
          </w:tcPr>
          <w:p>
            <w:pPr>
              <w:spacing w:after="0" w:line="178" w:lineRule="exact"/>
              <w:rPr>
                <w:sz w:val="20"/>
                <w:szCs w:val="20"/>
                <w:color w:val="auto"/>
              </w:rPr>
            </w:pPr>
            <w:r>
              <w:rPr>
                <w:rFonts w:ascii="Arial" w:cs="Arial" w:eastAsia="Arial" w:hAnsi="Arial"/>
                <w:sz w:val="17"/>
                <w:szCs w:val="17"/>
                <w:color w:val="auto"/>
              </w:rPr>
              <w:t>Aetna Wun Trombley, Ph.D.</w:t>
            </w:r>
          </w:p>
        </w:tc>
        <w:tc>
          <w:tcPr>
            <w:tcW w:w="700" w:type="dxa"/>
            <w:vAlign w:val="bottom"/>
            <w:gridSpan w:val="2"/>
            <w:shd w:val="clear" w:color="auto" w:fill="CCEEFF"/>
          </w:tcPr>
          <w:p>
            <w:pPr>
              <w:ind w:left="60"/>
              <w:spacing w:after="0" w:line="178" w:lineRule="exact"/>
              <w:rPr>
                <w:sz w:val="20"/>
                <w:szCs w:val="20"/>
                <w:color w:val="auto"/>
              </w:rPr>
            </w:pPr>
            <w:r>
              <w:rPr>
                <w:rFonts w:ascii="Arial" w:cs="Arial" w:eastAsia="Arial" w:hAnsi="Arial"/>
                <w:sz w:val="17"/>
                <w:szCs w:val="17"/>
                <w:color w:val="auto"/>
              </w:rPr>
              <w:t>2018</w:t>
            </w:r>
          </w:p>
        </w:tc>
        <w:tc>
          <w:tcPr>
            <w:tcW w:w="940" w:type="dxa"/>
            <w:vAlign w:val="bottom"/>
            <w:gridSpan w:val="2"/>
            <w:shd w:val="clear" w:color="auto" w:fill="CCEEFF"/>
          </w:tcPr>
          <w:p>
            <w:pPr>
              <w:ind w:left="60"/>
              <w:spacing w:after="0" w:line="178" w:lineRule="exact"/>
              <w:rPr>
                <w:sz w:val="20"/>
                <w:szCs w:val="20"/>
                <w:color w:val="auto"/>
              </w:rPr>
            </w:pPr>
            <w:r>
              <w:rPr>
                <w:rFonts w:ascii="Arial" w:cs="Arial" w:eastAsia="Arial" w:hAnsi="Arial"/>
                <w:sz w:val="17"/>
                <w:szCs w:val="17"/>
                <w:color w:val="auto"/>
              </w:rPr>
              <w:t>382,500</w:t>
            </w:r>
          </w:p>
        </w:tc>
        <w:tc>
          <w:tcPr>
            <w:tcW w:w="1080" w:type="dxa"/>
            <w:vAlign w:val="bottom"/>
            <w:gridSpan w:val="2"/>
            <w:shd w:val="clear" w:color="auto" w:fill="CCEEFF"/>
          </w:tcPr>
          <w:p>
            <w:pPr>
              <w:jc w:val="right"/>
              <w:ind w:right="240"/>
              <w:spacing w:after="0" w:line="178" w:lineRule="exact"/>
              <w:rPr>
                <w:sz w:val="20"/>
                <w:szCs w:val="20"/>
                <w:color w:val="auto"/>
              </w:rPr>
            </w:pPr>
            <w:r>
              <w:rPr>
                <w:rFonts w:ascii="Arial" w:cs="Arial" w:eastAsia="Arial" w:hAnsi="Arial"/>
                <w:sz w:val="17"/>
                <w:szCs w:val="17"/>
                <w:color w:val="auto"/>
              </w:rPr>
              <w:t>1,855,001</w:t>
            </w:r>
          </w:p>
        </w:tc>
        <w:tc>
          <w:tcPr>
            <w:tcW w:w="1240" w:type="dxa"/>
            <w:vAlign w:val="bottom"/>
            <w:gridSpan w:val="2"/>
            <w:shd w:val="clear" w:color="auto" w:fill="CCEEFF"/>
          </w:tcPr>
          <w:p>
            <w:pPr>
              <w:jc w:val="right"/>
              <w:ind w:right="260"/>
              <w:spacing w:after="0" w:line="178" w:lineRule="exact"/>
              <w:rPr>
                <w:sz w:val="20"/>
                <w:szCs w:val="20"/>
                <w:color w:val="auto"/>
              </w:rPr>
            </w:pPr>
            <w:r>
              <w:rPr>
                <w:rFonts w:ascii="Arial" w:cs="Arial" w:eastAsia="Arial" w:hAnsi="Arial"/>
                <w:sz w:val="17"/>
                <w:szCs w:val="17"/>
                <w:color w:val="auto"/>
              </w:rPr>
              <w:t>51,000</w:t>
            </w:r>
          </w:p>
        </w:tc>
        <w:tc>
          <w:tcPr>
            <w:tcW w:w="1220" w:type="dxa"/>
            <w:vAlign w:val="bottom"/>
            <w:gridSpan w:val="2"/>
            <w:shd w:val="clear" w:color="auto" w:fill="CCEEFF"/>
          </w:tcPr>
          <w:p>
            <w:pPr>
              <w:jc w:val="right"/>
              <w:ind w:right="240"/>
              <w:spacing w:after="0" w:line="178"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60"/>
              <w:spacing w:after="0" w:line="178" w:lineRule="exact"/>
              <w:rPr>
                <w:sz w:val="20"/>
                <w:szCs w:val="20"/>
                <w:color w:val="auto"/>
              </w:rPr>
            </w:pPr>
            <w:r>
              <w:rPr>
                <w:rFonts w:ascii="Arial" w:cs="Arial" w:eastAsia="Arial" w:hAnsi="Arial"/>
                <w:sz w:val="17"/>
                <w:szCs w:val="17"/>
                <w:color w:val="auto"/>
              </w:rPr>
              <w:t>2,288,501</w:t>
            </w:r>
          </w:p>
        </w:tc>
        <w:tc>
          <w:tcPr>
            <w:tcW w:w="0" w:type="dxa"/>
            <w:vAlign w:val="bottom"/>
          </w:tcPr>
          <w:p>
            <w:pPr>
              <w:spacing w:after="0"/>
              <w:rPr>
                <w:sz w:val="1"/>
                <w:szCs w:val="1"/>
                <w:color w:val="auto"/>
              </w:rPr>
            </w:pPr>
          </w:p>
        </w:tc>
      </w:tr>
      <w:tr>
        <w:trPr>
          <w:trHeight w:val="228"/>
        </w:trPr>
        <w:tc>
          <w:tcPr>
            <w:tcW w:w="460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President and Chief Operating Officer</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4600" w:type="dxa"/>
            <w:vAlign w:val="bottom"/>
            <w:gridSpan w:val="2"/>
          </w:tcPr>
          <w:p>
            <w:pPr>
              <w:spacing w:after="0" w:line="178" w:lineRule="exact"/>
              <w:rPr>
                <w:sz w:val="20"/>
                <w:szCs w:val="20"/>
                <w:color w:val="auto"/>
              </w:rPr>
            </w:pPr>
            <w:r>
              <w:rPr>
                <w:rFonts w:ascii="Arial" w:cs="Arial" w:eastAsia="Arial" w:hAnsi="Arial"/>
                <w:sz w:val="17"/>
                <w:szCs w:val="17"/>
                <w:color w:val="auto"/>
              </w:rPr>
              <w:t>Jin-Long Chen, Ph.D.</w:t>
            </w:r>
          </w:p>
        </w:tc>
        <w:tc>
          <w:tcPr>
            <w:tcW w:w="700" w:type="dxa"/>
            <w:vAlign w:val="bottom"/>
            <w:gridSpan w:val="2"/>
          </w:tcPr>
          <w:p>
            <w:pPr>
              <w:ind w:left="60"/>
              <w:spacing w:after="0" w:line="178" w:lineRule="exact"/>
              <w:rPr>
                <w:sz w:val="20"/>
                <w:szCs w:val="20"/>
                <w:color w:val="auto"/>
              </w:rPr>
            </w:pPr>
            <w:r>
              <w:rPr>
                <w:rFonts w:ascii="Arial" w:cs="Arial" w:eastAsia="Arial" w:hAnsi="Arial"/>
                <w:sz w:val="17"/>
                <w:szCs w:val="17"/>
                <w:color w:val="auto"/>
              </w:rPr>
              <w:t>2018</w:t>
            </w:r>
          </w:p>
        </w:tc>
        <w:tc>
          <w:tcPr>
            <w:tcW w:w="940" w:type="dxa"/>
            <w:vAlign w:val="bottom"/>
            <w:gridSpan w:val="2"/>
          </w:tcPr>
          <w:p>
            <w:pPr>
              <w:ind w:left="60"/>
              <w:spacing w:after="0" w:line="178" w:lineRule="exact"/>
              <w:rPr>
                <w:sz w:val="20"/>
                <w:szCs w:val="20"/>
                <w:color w:val="auto"/>
              </w:rPr>
            </w:pPr>
            <w:r>
              <w:rPr>
                <w:rFonts w:ascii="Arial" w:cs="Arial" w:eastAsia="Arial" w:hAnsi="Arial"/>
                <w:sz w:val="17"/>
                <w:szCs w:val="17"/>
                <w:color w:val="auto"/>
              </w:rPr>
              <w:t>485,000</w:t>
            </w:r>
          </w:p>
        </w:tc>
        <w:tc>
          <w:tcPr>
            <w:tcW w:w="1080" w:type="dxa"/>
            <w:vAlign w:val="bottom"/>
            <w:gridSpan w:val="2"/>
          </w:tcPr>
          <w:p>
            <w:pPr>
              <w:jc w:val="right"/>
              <w:ind w:right="240"/>
              <w:spacing w:after="0" w:line="178" w:lineRule="exact"/>
              <w:rPr>
                <w:sz w:val="20"/>
                <w:szCs w:val="20"/>
                <w:color w:val="auto"/>
              </w:rPr>
            </w:pPr>
            <w:r>
              <w:rPr>
                <w:rFonts w:ascii="Arial" w:cs="Arial" w:eastAsia="Arial" w:hAnsi="Arial"/>
                <w:sz w:val="17"/>
                <w:szCs w:val="17"/>
                <w:color w:val="auto"/>
              </w:rPr>
              <w:t>992,516</w:t>
            </w:r>
          </w:p>
        </w:tc>
        <w:tc>
          <w:tcPr>
            <w:tcW w:w="1240" w:type="dxa"/>
            <w:vAlign w:val="bottom"/>
            <w:gridSpan w:val="2"/>
          </w:tcPr>
          <w:p>
            <w:pPr>
              <w:jc w:val="right"/>
              <w:ind w:right="260"/>
              <w:spacing w:after="0" w:line="178" w:lineRule="exact"/>
              <w:rPr>
                <w:sz w:val="20"/>
                <w:szCs w:val="20"/>
                <w:color w:val="auto"/>
              </w:rPr>
            </w:pPr>
            <w:r>
              <w:rPr>
                <w:rFonts w:ascii="Arial" w:cs="Arial" w:eastAsia="Arial" w:hAnsi="Arial"/>
                <w:sz w:val="17"/>
                <w:szCs w:val="17"/>
                <w:color w:val="auto"/>
              </w:rPr>
              <w:t>58,200</w:t>
            </w:r>
          </w:p>
        </w:tc>
        <w:tc>
          <w:tcPr>
            <w:tcW w:w="1220" w:type="dxa"/>
            <w:vAlign w:val="bottom"/>
            <w:gridSpan w:val="2"/>
          </w:tcPr>
          <w:p>
            <w:pPr>
              <w:jc w:val="right"/>
              <w:ind w:right="240"/>
              <w:spacing w:after="0" w:line="178" w:lineRule="exact"/>
              <w:rPr>
                <w:sz w:val="20"/>
                <w:szCs w:val="20"/>
                <w:color w:val="auto"/>
              </w:rPr>
            </w:pPr>
            <w:r>
              <w:rPr>
                <w:rFonts w:ascii="Arial" w:cs="Arial" w:eastAsia="Arial" w:hAnsi="Arial"/>
                <w:sz w:val="17"/>
                <w:szCs w:val="17"/>
                <w:color w:val="auto"/>
              </w:rPr>
              <w:t>750</w:t>
            </w:r>
          </w:p>
        </w:tc>
        <w:tc>
          <w:tcPr>
            <w:tcW w:w="900" w:type="dxa"/>
            <w:vAlign w:val="bottom"/>
            <w:gridSpan w:val="2"/>
          </w:tcPr>
          <w:p>
            <w:pPr>
              <w:jc w:val="right"/>
              <w:ind w:right="60"/>
              <w:spacing w:after="0" w:line="178" w:lineRule="exact"/>
              <w:rPr>
                <w:sz w:val="20"/>
                <w:szCs w:val="20"/>
                <w:color w:val="auto"/>
              </w:rPr>
            </w:pPr>
            <w:r>
              <w:rPr>
                <w:rFonts w:ascii="Arial" w:cs="Arial" w:eastAsia="Arial" w:hAnsi="Arial"/>
                <w:sz w:val="17"/>
                <w:szCs w:val="17"/>
                <w:color w:val="auto"/>
              </w:rPr>
              <w:t>1,536,466</w:t>
            </w:r>
          </w:p>
        </w:tc>
        <w:tc>
          <w:tcPr>
            <w:tcW w:w="0" w:type="dxa"/>
            <w:vAlign w:val="bottom"/>
          </w:tcPr>
          <w:p>
            <w:pPr>
              <w:spacing w:after="0"/>
              <w:rPr>
                <w:sz w:val="1"/>
                <w:szCs w:val="1"/>
                <w:color w:val="auto"/>
              </w:rPr>
            </w:pPr>
          </w:p>
        </w:tc>
      </w:tr>
      <w:tr>
        <w:trPr>
          <w:trHeight w:val="228"/>
        </w:trPr>
        <w:tc>
          <w:tcPr>
            <w:tcW w:w="4600" w:type="dxa"/>
            <w:vAlign w:val="bottom"/>
            <w:gridSpan w:val="2"/>
          </w:tcPr>
          <w:p>
            <w:pPr>
              <w:spacing w:after="0"/>
              <w:rPr>
                <w:sz w:val="20"/>
                <w:szCs w:val="20"/>
                <w:color w:val="auto"/>
              </w:rPr>
            </w:pPr>
            <w:r>
              <w:rPr>
                <w:rFonts w:ascii="Arial" w:cs="Arial" w:eastAsia="Arial" w:hAnsi="Arial"/>
                <w:sz w:val="17"/>
                <w:szCs w:val="17"/>
                <w:i w:val="1"/>
                <w:iCs w:val="1"/>
                <w:color w:val="auto"/>
              </w:rPr>
              <w:t>Founder and Chief Scientific Officer</w:t>
            </w:r>
          </w:p>
        </w:tc>
        <w:tc>
          <w:tcPr>
            <w:tcW w:w="700" w:type="dxa"/>
            <w:vAlign w:val="bottom"/>
            <w:gridSpan w:val="2"/>
          </w:tcPr>
          <w:p>
            <w:pPr>
              <w:ind w:left="60"/>
              <w:spacing w:after="0"/>
              <w:rPr>
                <w:sz w:val="20"/>
                <w:szCs w:val="20"/>
                <w:color w:val="auto"/>
              </w:rPr>
            </w:pPr>
            <w:r>
              <w:rPr>
                <w:rFonts w:ascii="Arial" w:cs="Arial" w:eastAsia="Arial" w:hAnsi="Arial"/>
                <w:sz w:val="17"/>
                <w:szCs w:val="17"/>
                <w:color w:val="auto"/>
              </w:rPr>
              <w:t>2017</w:t>
            </w:r>
          </w:p>
        </w:tc>
        <w:tc>
          <w:tcPr>
            <w:tcW w:w="940" w:type="dxa"/>
            <w:vAlign w:val="bottom"/>
            <w:gridSpan w:val="2"/>
          </w:tcPr>
          <w:p>
            <w:pPr>
              <w:ind w:left="60"/>
              <w:spacing w:after="0"/>
              <w:rPr>
                <w:sz w:val="20"/>
                <w:szCs w:val="20"/>
                <w:color w:val="auto"/>
              </w:rPr>
            </w:pPr>
            <w:r>
              <w:rPr>
                <w:rFonts w:ascii="Arial" w:cs="Arial" w:eastAsia="Arial" w:hAnsi="Arial"/>
                <w:sz w:val="17"/>
                <w:szCs w:val="17"/>
                <w:color w:val="auto"/>
              </w:rPr>
              <w:t>460,000</w:t>
            </w: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1,136,366</w:t>
            </w: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55,200</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750</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1,652,316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83185</wp:posOffset>
            </wp:positionV>
            <wp:extent cx="6819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1990" cy="8255"/>
                    </a:xfrm>
                    <a:prstGeom prst="rect">
                      <a:avLst/>
                    </a:prstGeom>
                    <a:noFill/>
                  </pic:spPr>
                </pic:pic>
              </a:graphicData>
            </a:graphic>
          </wp:anchor>
        </w:drawing>
      </w:r>
    </w:p>
    <w:p>
      <w:pPr>
        <w:spacing w:after="0" w:line="163" w:lineRule="exact"/>
        <w:rPr>
          <w:sz w:val="20"/>
          <w:szCs w:val="20"/>
          <w:color w:val="auto"/>
        </w:rPr>
      </w:pPr>
    </w:p>
    <w:p>
      <w:pPr>
        <w:ind w:left="900" w:hanging="529"/>
        <w:spacing w:after="0" w:line="241" w:lineRule="auto"/>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Amounts reflect the grant date fair value of option awards granted in the applicable year measured pursuant to Financial Accounting Standard Board Accounting Standard Codification, Topic 718. For information regarding assumptions underlying the value of equity awards, see Note 2 to our consolidated financial statements and the discussion under “Management’s Discussion and Analysis of Financial Condition and Results of Operations—Critical Accounting Policies and Estimates—Stock-Based Compensation,” included elsewhere in this prospectus. These amounts do not reflect actual value that the named executive officers may realize.</w:t>
      </w:r>
    </w:p>
    <w:p>
      <w:pPr>
        <w:ind w:left="900" w:right="160" w:hanging="529"/>
        <w:spacing w:after="0" w:line="241" w:lineRule="auto"/>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Amounts represent the annual performance-based cash bonuses earned by our named executive officers based on the achievement of certain corporate performance objectives and individual performance during 2017 and 2018. These amounts were paid to the named executive officers in early 2018 and 2019, respectively. Please see the descriptions of the annual performance bonuses paid to our named executive officers under “Performance Bonuses” below.</w:t>
      </w:r>
    </w:p>
    <w:p>
      <w:pPr>
        <w:ind w:left="900" w:right="40" w:hanging="529"/>
        <w:spacing w:after="0" w:line="250" w:lineRule="auto"/>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Amounts shown in this column represent defined contribution retirement matching contributions provided to the named executive officers on the same terms as provided to all of our regular full-time employees in the United States. For more information regarding these benefits, see below under “—401(k) Plan and Matching Plan.”</w:t>
      </w:r>
    </w:p>
    <w:p>
      <w:pPr>
        <w:spacing w:after="0" w:line="27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Narrative to Summary Compensation Table</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Performance Bonuses</w:t>
      </w:r>
    </w:p>
    <w:p>
      <w:pPr>
        <w:spacing w:after="0" w:line="126" w:lineRule="exact"/>
        <w:rPr>
          <w:sz w:val="20"/>
          <w:szCs w:val="20"/>
          <w:color w:val="auto"/>
        </w:rPr>
      </w:pPr>
    </w:p>
    <w:p>
      <w:pPr>
        <w:ind w:left="380" w:right="20" w:firstLine="534"/>
        <w:spacing w:after="0" w:line="250" w:lineRule="auto"/>
        <w:rPr>
          <w:sz w:val="20"/>
          <w:szCs w:val="20"/>
          <w:color w:val="auto"/>
        </w:rPr>
      </w:pPr>
      <w:r>
        <w:rPr>
          <w:rFonts w:ascii="Arial" w:cs="Arial" w:eastAsia="Arial" w:hAnsi="Arial"/>
          <w:sz w:val="17"/>
          <w:szCs w:val="17"/>
          <w:color w:val="auto"/>
        </w:rPr>
        <w:t>We maintain an annual performance-based cash bonus program in which each of our named executive officers participated in 2017 and 2018. Each of our named executive officers’ target bonus is expressed as a percentage of base salary that can be achieved by meeting corporate goals at target level. The annual bonuses for each of our named executive officers were targeted at 12% of their</w:t>
      </w:r>
    </w:p>
    <w:p>
      <w:pPr>
        <w:spacing w:after="0" w:line="12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1060"/>
          </w:cols>
          <w:pgMar w:left="240" w:top="449" w:right="599" w:bottom="1440" w:gutter="0" w:footer="0" w:header="0"/>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440"/>
        <w:spacing w:after="0" w:line="258" w:lineRule="auto"/>
        <w:rPr>
          <w:sz w:val="20"/>
          <w:szCs w:val="20"/>
          <w:color w:val="auto"/>
        </w:rPr>
      </w:pPr>
      <w:r>
        <w:rPr>
          <w:rFonts w:ascii="Arial" w:cs="Arial" w:eastAsia="Arial" w:hAnsi="Arial"/>
          <w:sz w:val="17"/>
          <w:szCs w:val="17"/>
          <w:color w:val="auto"/>
        </w:rPr>
        <w:t>respective base salaries. Pursuant to the bonus program, we expect the same target bonuses for each of these officers in 2019 as in 2018.</w:t>
      </w:r>
    </w:p>
    <w:p>
      <w:pPr>
        <w:spacing w:after="0" w:line="182" w:lineRule="exact"/>
        <w:rPr>
          <w:sz w:val="20"/>
          <w:szCs w:val="20"/>
          <w:color w:val="auto"/>
        </w:rPr>
      </w:pPr>
    </w:p>
    <w:p>
      <w:pPr>
        <w:ind w:left="380" w:right="20" w:firstLine="534"/>
        <w:spacing w:after="0" w:line="245" w:lineRule="auto"/>
        <w:rPr>
          <w:sz w:val="20"/>
          <w:szCs w:val="20"/>
          <w:color w:val="auto"/>
        </w:rPr>
      </w:pPr>
      <w:r>
        <w:rPr>
          <w:rFonts w:ascii="Arial" w:cs="Arial" w:eastAsia="Arial" w:hAnsi="Arial"/>
          <w:sz w:val="17"/>
          <w:szCs w:val="17"/>
          <w:color w:val="auto"/>
        </w:rPr>
        <w:t>For 2017 and 2018, our named executive officers were eligible to earn annual cash bonuses based on the achievement of certain corporate performance objectives approved by the compensation committee and our board of directors, as well as individual performance. For 2018, our board of directors set corporate performance goals in the three broad strategic areas of advancing therapeutic programs through development, discovering new molecules through an active research program and building capability. Each area included specific performance objectives.</w:t>
      </w:r>
    </w:p>
    <w:p>
      <w:pPr>
        <w:spacing w:after="0" w:line="194" w:lineRule="exact"/>
        <w:rPr>
          <w:sz w:val="20"/>
          <w:szCs w:val="20"/>
          <w:color w:val="auto"/>
        </w:rPr>
      </w:pPr>
    </w:p>
    <w:p>
      <w:pPr>
        <w:ind w:left="380" w:right="160" w:firstLine="534"/>
        <w:spacing w:after="0" w:line="258" w:lineRule="auto"/>
        <w:rPr>
          <w:sz w:val="20"/>
          <w:szCs w:val="20"/>
          <w:color w:val="auto"/>
        </w:rPr>
      </w:pPr>
      <w:r>
        <w:rPr>
          <w:rFonts w:ascii="Arial" w:cs="Arial" w:eastAsia="Arial" w:hAnsi="Arial"/>
          <w:sz w:val="17"/>
          <w:szCs w:val="17"/>
          <w:color w:val="auto"/>
        </w:rPr>
        <w:t>In early 2019, the compensation committee reviewed and approved the achievement of our 2018 corporate goals and determined that the corporate goals were met. Based on this level of corporate achievement, the bonus pool for the company was fully funded.</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Equity Compensation</w:t>
      </w:r>
    </w:p>
    <w:p>
      <w:pPr>
        <w:spacing w:after="0" w:line="126" w:lineRule="exact"/>
        <w:rPr>
          <w:sz w:val="20"/>
          <w:szCs w:val="20"/>
          <w:color w:val="auto"/>
        </w:rPr>
      </w:pPr>
    </w:p>
    <w:p>
      <w:pPr>
        <w:ind w:left="380" w:right="60" w:firstLine="534"/>
        <w:spacing w:after="0" w:line="258" w:lineRule="auto"/>
        <w:rPr>
          <w:sz w:val="20"/>
          <w:szCs w:val="20"/>
          <w:color w:val="auto"/>
        </w:rPr>
      </w:pPr>
      <w:r>
        <w:rPr>
          <w:rFonts w:ascii="Arial" w:cs="Arial" w:eastAsia="Arial" w:hAnsi="Arial"/>
          <w:sz w:val="17"/>
          <w:szCs w:val="17"/>
          <w:color w:val="auto"/>
        </w:rPr>
        <w:t>Each of our named executive officers currently hold options or restricted stock. In 2018, Drs. Woodhouse, Trombley, and Chen and Mr. Rieflin were granted options to purchase our common stock, in each case, pursuant to our 2018 Equity Incentive Plan.</w:t>
      </w:r>
    </w:p>
    <w:p>
      <w:pPr>
        <w:spacing w:after="0" w:line="182"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In January 2018, our board of directors granted to Drs. Woodhouse, Trombley and Chen and Mr. Rieflin options to purchase 62,500, 62,500, 200,000 and 225,000 shares of our common stock, respectively, which vest as to 1/48</w:t>
      </w:r>
      <w:r>
        <w:rPr>
          <w:rFonts w:ascii="Arial" w:cs="Arial" w:eastAsia="Arial" w:hAnsi="Arial"/>
          <w:sz w:val="14"/>
          <w:szCs w:val="14"/>
          <w:color w:val="auto"/>
        </w:rPr>
        <w:t>th</w:t>
      </w:r>
      <w:r>
        <w:rPr>
          <w:rFonts w:ascii="Arial" w:cs="Arial" w:eastAsia="Arial" w:hAnsi="Arial"/>
          <w:sz w:val="17"/>
          <w:szCs w:val="17"/>
          <w:color w:val="auto"/>
        </w:rPr>
        <w:t xml:space="preserve"> of the shares subject to the option each month from January 1, 2018, subject to each executive officer’s continued service to us on each applicable vesting date. In addition, the options granted to Drs. Woodhouse and Trombley and Mr. Rieflin are subject to the accelerated vesting provisions set forth in their respective employment agreement, as described below under “Other Elements of Compensation—Potential Payments Upon Termination or Change of Control.”</w:t>
      </w:r>
    </w:p>
    <w:p>
      <w:pPr>
        <w:spacing w:after="0" w:line="196" w:lineRule="exact"/>
        <w:rPr>
          <w:sz w:val="20"/>
          <w:szCs w:val="20"/>
          <w:color w:val="auto"/>
        </w:rPr>
      </w:pPr>
    </w:p>
    <w:p>
      <w:pPr>
        <w:jc w:val="both"/>
        <w:ind w:left="380" w:right="120" w:firstLine="534"/>
        <w:spacing w:after="0" w:line="250" w:lineRule="auto"/>
        <w:rPr>
          <w:sz w:val="20"/>
          <w:szCs w:val="20"/>
          <w:color w:val="auto"/>
        </w:rPr>
      </w:pPr>
      <w:r>
        <w:rPr>
          <w:rFonts w:ascii="Arial" w:cs="Arial" w:eastAsia="Arial" w:hAnsi="Arial"/>
          <w:sz w:val="17"/>
          <w:szCs w:val="17"/>
          <w:color w:val="auto"/>
        </w:rPr>
        <w:t>In July 2018, our board of directors granted to Drs. Woodhouse and Trombley options to purchase 500,000 and 350,000 shares of our common stock, respectively, which vest as to 1/48th of the shares subject to the option each month from July 13, 2018, subject to the executive officer’s continued service to us on each applicable vesting date.</w:t>
      </w:r>
    </w:p>
    <w:p>
      <w:pPr>
        <w:spacing w:after="0" w:line="188" w:lineRule="exact"/>
        <w:rPr>
          <w:sz w:val="20"/>
          <w:szCs w:val="20"/>
          <w:color w:val="auto"/>
        </w:rPr>
      </w:pPr>
    </w:p>
    <w:p>
      <w:pPr>
        <w:ind w:left="380" w:right="40" w:firstLine="534"/>
        <w:spacing w:after="0" w:line="245" w:lineRule="auto"/>
        <w:rPr>
          <w:sz w:val="20"/>
          <w:szCs w:val="20"/>
          <w:color w:val="auto"/>
        </w:rPr>
      </w:pPr>
      <w:r>
        <w:rPr>
          <w:rFonts w:ascii="Arial" w:cs="Arial" w:eastAsia="Arial" w:hAnsi="Arial"/>
          <w:sz w:val="17"/>
          <w:szCs w:val="17"/>
          <w:color w:val="auto"/>
        </w:rPr>
        <w:t>In March 2019, our board of directors and our stockholders approved the amendment and restatement of our 2018 Equity Incentive Plan, or the Restated 2018 Plan, to facilitate the grant of cash and equity incentives to directors, employees (including our named executive officers) and consultants and to enable us to obtain and retain services of these individuals, which is essential to our long-term success. The Restated 2018 Plan will become effective upon the completion of this offering. For additional information about the Restated 2018 Plan, please see the section titled “Equity Incentive Plans” below.</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172</w:t>
      </w:r>
    </w:p>
    <w:p>
      <w:pPr>
        <w:sectPr>
          <w:pgSz w:w="11900" w:h="16838" w:orient="portrait"/>
          <w:cols w:equalWidth="0" w:num="1">
            <w:col w:w="11040"/>
          </w:cols>
          <w:pgMar w:left="240" w:top="449" w:right="619"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Outstanding Equity Awards at Fiscal Year-End</w:t>
      </w:r>
    </w:p>
    <w:p>
      <w:pPr>
        <w:spacing w:after="0" w:line="126" w:lineRule="exact"/>
        <w:rPr>
          <w:sz w:val="20"/>
          <w:szCs w:val="20"/>
          <w:color w:val="auto"/>
        </w:rPr>
      </w:pPr>
    </w:p>
    <w:p>
      <w:pPr>
        <w:ind w:left="380" w:right="100" w:firstLine="534"/>
        <w:spacing w:after="0" w:line="258" w:lineRule="auto"/>
        <w:rPr>
          <w:sz w:val="20"/>
          <w:szCs w:val="20"/>
          <w:color w:val="auto"/>
        </w:rPr>
      </w:pPr>
      <w:r>
        <w:rPr>
          <w:rFonts w:ascii="Arial" w:cs="Arial" w:eastAsia="Arial" w:hAnsi="Arial"/>
          <w:sz w:val="17"/>
          <w:szCs w:val="17"/>
          <w:color w:val="auto"/>
        </w:rPr>
        <w:t>The following table provides information regarding equity awards held by the named executive officers that were outstanding as of December 31, 2018.</w:t>
      </w:r>
    </w:p>
    <w:p>
      <w:pPr>
        <w:sectPr>
          <w:pgSz w:w="11900" w:h="16838" w:orient="portrait"/>
          <w:cols w:equalWidth="0" w:num="1">
            <w:col w:w="11020"/>
          </w:cols>
          <w:pgMar w:left="240" w:top="44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80"/>
        <w:spacing w:after="0"/>
        <w:rPr>
          <w:sz w:val="20"/>
          <w:szCs w:val="20"/>
          <w:color w:val="auto"/>
        </w:rPr>
      </w:pPr>
      <w:r>
        <w:rPr>
          <w:rFonts w:ascii="Arial" w:cs="Arial" w:eastAsia="Arial" w:hAnsi="Arial"/>
          <w:sz w:val="14"/>
          <w:szCs w:val="14"/>
          <w:b w:val="1"/>
          <w:bCs w:val="1"/>
          <w:u w:val="single" w:color="auto"/>
          <w:color w:val="auto"/>
        </w:rPr>
        <w:t>Name</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David J. Woodhouse, Ph.D.</w:t>
      </w:r>
    </w:p>
    <w:p>
      <w:pPr>
        <w:spacing w:after="0" w:line="200" w:lineRule="exact"/>
        <w:rPr>
          <w:sz w:val="20"/>
          <w:szCs w:val="20"/>
          <w:color w:val="auto"/>
        </w:rPr>
      </w:pPr>
    </w:p>
    <w:p>
      <w:pPr>
        <w:spacing w:after="0" w:line="37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Aetna Wun Trombley,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William J. Rieflin</w:t>
      </w:r>
    </w:p>
    <w:p>
      <w:pPr>
        <w:spacing w:after="0" w:line="200" w:lineRule="exact"/>
        <w:rPr>
          <w:sz w:val="20"/>
          <w:szCs w:val="20"/>
          <w:color w:val="auto"/>
        </w:rPr>
      </w:pPr>
    </w:p>
    <w:p>
      <w:pPr>
        <w:spacing w:after="0" w:line="34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Jin-Long Chen,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1012825</wp:posOffset>
            </wp:positionV>
            <wp:extent cx="6819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1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Option Awards(1)</w:t>
            </w:r>
          </w:p>
        </w:tc>
        <w:tc>
          <w:tcPr>
            <w:tcW w:w="7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Borders>
              <w:bottom w:val="single" w:sz="8" w:color="auto"/>
            </w:tcBorders>
            <w:gridSpan w:val="3"/>
          </w:tcPr>
          <w:p>
            <w:pPr>
              <w:jc w:val="right"/>
              <w:ind w:right="463"/>
              <w:spacing w:after="0"/>
              <w:rPr>
                <w:sz w:val="20"/>
                <w:szCs w:val="20"/>
                <w:color w:val="auto"/>
              </w:rPr>
            </w:pPr>
            <w:r>
              <w:rPr>
                <w:rFonts w:ascii="Arial" w:cs="Arial" w:eastAsia="Arial" w:hAnsi="Arial"/>
                <w:sz w:val="14"/>
                <w:szCs w:val="14"/>
                <w:b w:val="1"/>
                <w:bCs w:val="1"/>
                <w:color w:val="auto"/>
              </w:rPr>
              <w:t>Stock Awards</w:t>
            </w:r>
          </w:p>
        </w:tc>
      </w:tr>
      <w:tr>
        <w:trPr>
          <w:trHeight w:val="139"/>
        </w:trPr>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7"/>
              </w:rPr>
              <w:t>Market</w:t>
            </w:r>
          </w:p>
        </w:tc>
      </w:tr>
      <w:tr>
        <w:trPr>
          <w:trHeight w:val="157"/>
        </w:trPr>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Value of</w:t>
            </w:r>
          </w:p>
        </w:tc>
      </w:tr>
      <w:tr>
        <w:trPr>
          <w:trHeight w:val="157"/>
        </w:trPr>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9"/>
              </w:rPr>
              <w:t>Number of</w:t>
            </w:r>
          </w:p>
        </w:tc>
        <w:tc>
          <w:tcPr>
            <w:tcW w:w="128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9"/>
              </w:rPr>
              <w:t>Number of</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9"/>
              </w:rPr>
              <w:t>Number of</w:t>
            </w:r>
          </w:p>
        </w:tc>
        <w:tc>
          <w:tcPr>
            <w:tcW w:w="7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Shares or</w:t>
            </w:r>
          </w:p>
        </w:tc>
      </w:tr>
      <w:tr>
        <w:trPr>
          <w:trHeight w:val="157"/>
        </w:trPr>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8"/>
              </w:rPr>
              <w:t>Securities</w:t>
            </w:r>
          </w:p>
        </w:tc>
        <w:tc>
          <w:tcPr>
            <w:tcW w:w="128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8"/>
              </w:rPr>
              <w:t>Securities</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9"/>
              </w:rPr>
              <w:t>Shares or</w:t>
            </w:r>
          </w:p>
        </w:tc>
        <w:tc>
          <w:tcPr>
            <w:tcW w:w="7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Units of</w:t>
            </w:r>
          </w:p>
        </w:tc>
      </w:tr>
      <w:tr>
        <w:trPr>
          <w:trHeight w:val="157"/>
        </w:trPr>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rPr>
              <w:t>Underlying</w:t>
            </w:r>
          </w:p>
        </w:tc>
        <w:tc>
          <w:tcPr>
            <w:tcW w:w="128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8"/>
              </w:rPr>
              <w:t>Underlying</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9"/>
              </w:rPr>
              <w:t>Units of</w:t>
            </w:r>
          </w:p>
        </w:tc>
        <w:tc>
          <w:tcPr>
            <w:tcW w:w="7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Stock That</w:t>
            </w:r>
          </w:p>
        </w:tc>
      </w:tr>
      <w:tr>
        <w:trPr>
          <w:trHeight w:val="157"/>
        </w:trPr>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8"/>
              </w:rPr>
              <w:t>Unexercised</w:t>
            </w:r>
          </w:p>
        </w:tc>
        <w:tc>
          <w:tcPr>
            <w:tcW w:w="128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rPr>
              <w:t>Unexercised</w:t>
            </w:r>
          </w:p>
        </w:tc>
        <w:tc>
          <w:tcPr>
            <w:tcW w:w="88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7"/>
              </w:rPr>
              <w:t>Option</w:t>
            </w:r>
          </w:p>
        </w:tc>
        <w:tc>
          <w:tcPr>
            <w:tcW w:w="108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rPr>
              <w:t>Option</w:t>
            </w:r>
          </w:p>
        </w:tc>
        <w:tc>
          <w:tcPr>
            <w:tcW w:w="124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9"/>
              </w:rPr>
              <w:t>Stock (#) That</w:t>
            </w:r>
          </w:p>
        </w:tc>
        <w:tc>
          <w:tcPr>
            <w:tcW w:w="7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Have Not</w:t>
            </w:r>
          </w:p>
        </w:tc>
      </w:tr>
      <w:tr>
        <w:trPr>
          <w:trHeight w:val="157"/>
        </w:trPr>
        <w:tc>
          <w:tcPr>
            <w:tcW w:w="1260" w:type="dxa"/>
            <w:vAlign w:val="bottom"/>
            <w:gridSpan w:val="2"/>
          </w:tcPr>
          <w:p>
            <w:pPr>
              <w:jc w:val="right"/>
              <w:ind w:right="700"/>
              <w:spacing w:after="0" w:line="157" w:lineRule="exact"/>
              <w:rPr>
                <w:sz w:val="20"/>
                <w:szCs w:val="20"/>
                <w:color w:val="auto"/>
              </w:rPr>
            </w:pPr>
            <w:r>
              <w:rPr>
                <w:rFonts w:ascii="Arial" w:cs="Arial" w:eastAsia="Arial" w:hAnsi="Arial"/>
                <w:sz w:val="14"/>
                <w:szCs w:val="14"/>
                <w:b w:val="1"/>
                <w:bCs w:val="1"/>
                <w:color w:val="auto"/>
              </w:rPr>
              <w:t>Grant</w:t>
            </w:r>
          </w:p>
        </w:tc>
        <w:tc>
          <w:tcPr>
            <w:tcW w:w="114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rPr>
              <w:t>Options (#)</w:t>
            </w:r>
          </w:p>
        </w:tc>
        <w:tc>
          <w:tcPr>
            <w:tcW w:w="128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rPr>
              <w:t>Options (#)</w:t>
            </w:r>
          </w:p>
        </w:tc>
        <w:tc>
          <w:tcPr>
            <w:tcW w:w="88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rPr>
              <w:t>Exercise</w:t>
            </w:r>
          </w:p>
        </w:tc>
        <w:tc>
          <w:tcPr>
            <w:tcW w:w="108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9"/>
              </w:rPr>
              <w:t>Expiration</w:t>
            </w:r>
          </w:p>
        </w:tc>
        <w:tc>
          <w:tcPr>
            <w:tcW w:w="124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8"/>
              </w:rPr>
              <w:t>Have Not</w:t>
            </w:r>
          </w:p>
        </w:tc>
        <w:tc>
          <w:tcPr>
            <w:tcW w:w="7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Vested ($)</w:t>
            </w:r>
          </w:p>
        </w:tc>
      </w:tr>
      <w:tr>
        <w:trPr>
          <w:trHeight w:val="169"/>
        </w:trPr>
        <w:tc>
          <w:tcPr>
            <w:tcW w:w="7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Date</w:t>
            </w:r>
          </w:p>
        </w:tc>
        <w:tc>
          <w:tcPr>
            <w:tcW w:w="5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Exercisable</w:t>
            </w:r>
          </w:p>
        </w:tc>
        <w:tc>
          <w:tcPr>
            <w:tcW w:w="30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Unexercisable</w:t>
            </w:r>
          </w:p>
        </w:tc>
        <w:tc>
          <w:tcPr>
            <w:tcW w:w="3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3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Vested</w:t>
            </w:r>
          </w:p>
        </w:tc>
        <w:tc>
          <w:tcPr>
            <w:tcW w:w="3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r>
      <w:tr>
        <w:trPr>
          <w:trHeight w:val="178"/>
        </w:trPr>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4/22/2015</w:t>
            </w:r>
          </w:p>
        </w:tc>
        <w:tc>
          <w:tcPr>
            <w:tcW w:w="500" w:type="dxa"/>
            <w:vAlign w:val="bottom"/>
          </w:tcPr>
          <w:p>
            <w:pPr>
              <w:spacing w:after="0"/>
              <w:rPr>
                <w:sz w:val="15"/>
                <w:szCs w:val="15"/>
                <w:color w:val="auto"/>
              </w:rPr>
            </w:pPr>
          </w:p>
        </w:tc>
        <w:tc>
          <w:tcPr>
            <w:tcW w:w="840" w:type="dxa"/>
            <w:vAlign w:val="bottom"/>
          </w:tcPr>
          <w:p>
            <w:pPr>
              <w:jc w:val="right"/>
              <w:spacing w:after="0" w:line="178" w:lineRule="exact"/>
              <w:rPr>
                <w:sz w:val="20"/>
                <w:szCs w:val="20"/>
                <w:color w:val="auto"/>
              </w:rPr>
            </w:pPr>
            <w:r>
              <w:rPr>
                <w:rFonts w:ascii="Arial" w:cs="Arial" w:eastAsia="Arial" w:hAnsi="Arial"/>
                <w:sz w:val="16"/>
                <w:szCs w:val="16"/>
                <w:color w:val="auto"/>
              </w:rPr>
              <w:t>270,000</w:t>
            </w:r>
          </w:p>
        </w:tc>
        <w:tc>
          <w:tcPr>
            <w:tcW w:w="300" w:type="dxa"/>
            <w:vAlign w:val="bottom"/>
          </w:tcPr>
          <w:p>
            <w:pPr>
              <w:spacing w:after="0"/>
              <w:rPr>
                <w:sz w:val="15"/>
                <w:szCs w:val="15"/>
                <w:color w:val="auto"/>
              </w:rPr>
            </w:pPr>
          </w:p>
        </w:tc>
        <w:tc>
          <w:tcPr>
            <w:tcW w:w="1280" w:type="dxa"/>
            <w:vAlign w:val="bottom"/>
            <w:gridSpan w:val="2"/>
          </w:tcPr>
          <w:p>
            <w:pPr>
              <w:jc w:val="right"/>
              <w:ind w:right="320"/>
              <w:spacing w:after="0" w:line="178"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00"/>
              <w:spacing w:after="0" w:line="178" w:lineRule="exact"/>
              <w:rPr>
                <w:sz w:val="20"/>
                <w:szCs w:val="20"/>
                <w:color w:val="auto"/>
              </w:rPr>
            </w:pPr>
            <w:r>
              <w:rPr>
                <w:rFonts w:ascii="Arial" w:cs="Arial" w:eastAsia="Arial" w:hAnsi="Arial"/>
                <w:sz w:val="16"/>
                <w:szCs w:val="16"/>
                <w:color w:val="auto"/>
              </w:rPr>
              <w:t>7.54</w:t>
            </w: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4/21/2025</w:t>
            </w:r>
          </w:p>
        </w:tc>
        <w:tc>
          <w:tcPr>
            <w:tcW w:w="320" w:type="dxa"/>
            <w:vAlign w:val="bottom"/>
          </w:tcPr>
          <w:p>
            <w:pPr>
              <w:spacing w:after="0"/>
              <w:rPr>
                <w:sz w:val="15"/>
                <w:szCs w:val="15"/>
                <w:color w:val="auto"/>
              </w:rPr>
            </w:pPr>
          </w:p>
        </w:tc>
        <w:tc>
          <w:tcPr>
            <w:tcW w:w="1240" w:type="dxa"/>
            <w:vAlign w:val="bottom"/>
            <w:gridSpan w:val="2"/>
          </w:tcPr>
          <w:p>
            <w:pPr>
              <w:jc w:val="right"/>
              <w:ind w:right="300"/>
              <w:spacing w:after="0" w:line="178"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r>
      <w:tr>
        <w:trPr>
          <w:trHeight w:val="183"/>
        </w:trPr>
        <w:tc>
          <w:tcPr>
            <w:tcW w:w="760" w:type="dxa"/>
            <w:vAlign w:val="bottom"/>
          </w:tcPr>
          <w:p>
            <w:pPr>
              <w:jc w:val="right"/>
              <w:spacing w:after="0"/>
              <w:rPr>
                <w:sz w:val="20"/>
                <w:szCs w:val="20"/>
                <w:color w:val="auto"/>
              </w:rPr>
            </w:pPr>
            <w:r>
              <w:rPr>
                <w:rFonts w:ascii="Arial" w:cs="Arial" w:eastAsia="Arial" w:hAnsi="Arial"/>
                <w:sz w:val="16"/>
                <w:szCs w:val="16"/>
                <w:color w:val="auto"/>
              </w:rPr>
              <w:t>1/20/2017</w:t>
            </w: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100,000</w:t>
            </w:r>
          </w:p>
        </w:tc>
        <w:tc>
          <w:tcPr>
            <w:tcW w:w="30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7.70</w:t>
            </w:r>
          </w:p>
        </w:tc>
        <w:tc>
          <w:tcPr>
            <w:tcW w:w="760" w:type="dxa"/>
            <w:vAlign w:val="bottom"/>
          </w:tcPr>
          <w:p>
            <w:pPr>
              <w:jc w:val="right"/>
              <w:spacing w:after="0"/>
              <w:rPr>
                <w:sz w:val="20"/>
                <w:szCs w:val="20"/>
                <w:color w:val="auto"/>
              </w:rPr>
            </w:pPr>
            <w:r>
              <w:rPr>
                <w:rFonts w:ascii="Arial" w:cs="Arial" w:eastAsia="Arial" w:hAnsi="Arial"/>
                <w:sz w:val="16"/>
                <w:szCs w:val="16"/>
                <w:color w:val="auto"/>
              </w:rPr>
              <w:t>1/19/2027</w:t>
            </w:r>
          </w:p>
        </w:tc>
        <w:tc>
          <w:tcPr>
            <w:tcW w:w="32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60" w:type="dxa"/>
            <w:vAlign w:val="bottom"/>
          </w:tcPr>
          <w:p>
            <w:pPr>
              <w:jc w:val="right"/>
              <w:spacing w:after="0"/>
              <w:rPr>
                <w:sz w:val="20"/>
                <w:szCs w:val="20"/>
                <w:color w:val="auto"/>
              </w:rPr>
            </w:pPr>
            <w:r>
              <w:rPr>
                <w:rFonts w:ascii="Arial" w:cs="Arial" w:eastAsia="Arial" w:hAnsi="Arial"/>
                <w:sz w:val="16"/>
                <w:szCs w:val="16"/>
                <w:color w:val="auto"/>
              </w:rPr>
              <w:t>1/31/2018</w:t>
            </w: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62,500</w:t>
            </w:r>
          </w:p>
        </w:tc>
        <w:tc>
          <w:tcPr>
            <w:tcW w:w="30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8.14</w:t>
            </w:r>
          </w:p>
        </w:tc>
        <w:tc>
          <w:tcPr>
            <w:tcW w:w="760" w:type="dxa"/>
            <w:vAlign w:val="bottom"/>
          </w:tcPr>
          <w:p>
            <w:pPr>
              <w:jc w:val="right"/>
              <w:spacing w:after="0"/>
              <w:rPr>
                <w:sz w:val="20"/>
                <w:szCs w:val="20"/>
                <w:color w:val="auto"/>
              </w:rPr>
            </w:pPr>
            <w:r>
              <w:rPr>
                <w:rFonts w:ascii="Arial" w:cs="Arial" w:eastAsia="Arial" w:hAnsi="Arial"/>
                <w:sz w:val="16"/>
                <w:szCs w:val="16"/>
                <w:color w:val="auto"/>
              </w:rPr>
              <w:t>1/30/2028</w:t>
            </w:r>
          </w:p>
        </w:tc>
        <w:tc>
          <w:tcPr>
            <w:tcW w:w="32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1"/>
        </w:trPr>
        <w:tc>
          <w:tcPr>
            <w:tcW w:w="760" w:type="dxa"/>
            <w:vAlign w:val="bottom"/>
          </w:tcPr>
          <w:p>
            <w:pPr>
              <w:jc w:val="right"/>
              <w:spacing w:after="0" w:line="181" w:lineRule="exact"/>
              <w:rPr>
                <w:sz w:val="20"/>
                <w:szCs w:val="20"/>
                <w:color w:val="auto"/>
              </w:rPr>
            </w:pPr>
            <w:r>
              <w:rPr>
                <w:rFonts w:ascii="Arial" w:cs="Arial" w:eastAsia="Arial" w:hAnsi="Arial"/>
                <w:sz w:val="16"/>
                <w:szCs w:val="16"/>
                <w:color w:val="auto"/>
              </w:rPr>
              <w:t>7/25/2018</w:t>
            </w:r>
          </w:p>
        </w:tc>
        <w:tc>
          <w:tcPr>
            <w:tcW w:w="50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Arial" w:cs="Arial" w:eastAsia="Arial" w:hAnsi="Arial"/>
                <w:sz w:val="16"/>
                <w:szCs w:val="16"/>
                <w:color w:val="auto"/>
              </w:rPr>
              <w:t>500,000</w:t>
            </w:r>
          </w:p>
        </w:tc>
        <w:tc>
          <w:tcPr>
            <w:tcW w:w="300" w:type="dxa"/>
            <w:vAlign w:val="bottom"/>
          </w:tcPr>
          <w:p>
            <w:pPr>
              <w:spacing w:after="0"/>
              <w:rPr>
                <w:sz w:val="15"/>
                <w:szCs w:val="15"/>
                <w:color w:val="auto"/>
              </w:rPr>
            </w:pPr>
          </w:p>
        </w:tc>
        <w:tc>
          <w:tcPr>
            <w:tcW w:w="1280" w:type="dxa"/>
            <w:vAlign w:val="bottom"/>
            <w:gridSpan w:val="2"/>
          </w:tcPr>
          <w:p>
            <w:pPr>
              <w:jc w:val="right"/>
              <w:ind w:right="320"/>
              <w:spacing w:after="0" w:line="181"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00"/>
              <w:spacing w:after="0" w:line="181" w:lineRule="exact"/>
              <w:rPr>
                <w:sz w:val="20"/>
                <w:szCs w:val="20"/>
                <w:color w:val="auto"/>
              </w:rPr>
            </w:pPr>
            <w:r>
              <w:rPr>
                <w:rFonts w:ascii="Arial" w:cs="Arial" w:eastAsia="Arial" w:hAnsi="Arial"/>
                <w:sz w:val="16"/>
                <w:szCs w:val="16"/>
                <w:color w:val="auto"/>
              </w:rPr>
              <w:t>11.00</w:t>
            </w:r>
          </w:p>
        </w:tc>
        <w:tc>
          <w:tcPr>
            <w:tcW w:w="760" w:type="dxa"/>
            <w:vAlign w:val="bottom"/>
          </w:tcPr>
          <w:p>
            <w:pPr>
              <w:jc w:val="right"/>
              <w:spacing w:after="0" w:line="181" w:lineRule="exact"/>
              <w:rPr>
                <w:sz w:val="20"/>
                <w:szCs w:val="20"/>
                <w:color w:val="auto"/>
              </w:rPr>
            </w:pPr>
            <w:r>
              <w:rPr>
                <w:rFonts w:ascii="Arial" w:cs="Arial" w:eastAsia="Arial" w:hAnsi="Arial"/>
                <w:sz w:val="16"/>
                <w:szCs w:val="16"/>
                <w:color w:val="auto"/>
              </w:rPr>
              <w:t>7/24/2028</w:t>
            </w:r>
          </w:p>
        </w:tc>
        <w:tc>
          <w:tcPr>
            <w:tcW w:w="320" w:type="dxa"/>
            <w:vAlign w:val="bottom"/>
          </w:tcPr>
          <w:p>
            <w:pPr>
              <w:spacing w:after="0"/>
              <w:rPr>
                <w:sz w:val="15"/>
                <w:szCs w:val="15"/>
                <w:color w:val="auto"/>
              </w:rPr>
            </w:pPr>
          </w:p>
        </w:tc>
        <w:tc>
          <w:tcPr>
            <w:tcW w:w="1240" w:type="dxa"/>
            <w:vAlign w:val="bottom"/>
            <w:gridSpan w:val="2"/>
          </w:tcPr>
          <w:p>
            <w:pPr>
              <w:jc w:val="right"/>
              <w:ind w:right="300"/>
              <w:spacing w:after="0" w:line="181"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r>
      <w:tr>
        <w:trPr>
          <w:trHeight w:val="199"/>
        </w:trPr>
        <w:tc>
          <w:tcPr>
            <w:tcW w:w="760" w:type="dxa"/>
            <w:vAlign w:val="bottom"/>
          </w:tcPr>
          <w:p>
            <w:pPr>
              <w:jc w:val="right"/>
              <w:spacing w:after="0"/>
              <w:rPr>
                <w:sz w:val="20"/>
                <w:szCs w:val="20"/>
                <w:color w:val="auto"/>
              </w:rPr>
            </w:pPr>
            <w:r>
              <w:rPr>
                <w:rFonts w:ascii="Arial" w:cs="Arial" w:eastAsia="Arial" w:hAnsi="Arial"/>
                <w:sz w:val="16"/>
                <w:szCs w:val="16"/>
                <w:color w:val="auto"/>
              </w:rPr>
              <w:t>9/14/2011</w:t>
            </w:r>
          </w:p>
        </w:tc>
        <w:tc>
          <w:tcPr>
            <w:tcW w:w="5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125,000</w:t>
            </w:r>
          </w:p>
        </w:tc>
        <w:tc>
          <w:tcPr>
            <w:tcW w:w="300" w:type="dxa"/>
            <w:vAlign w:val="bottom"/>
          </w:tcPr>
          <w:p>
            <w:pPr>
              <w:spacing w:after="0"/>
              <w:rPr>
                <w:sz w:val="17"/>
                <w:szCs w:val="17"/>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1.02</w:t>
            </w:r>
          </w:p>
        </w:tc>
        <w:tc>
          <w:tcPr>
            <w:tcW w:w="760" w:type="dxa"/>
            <w:vAlign w:val="bottom"/>
          </w:tcPr>
          <w:p>
            <w:pPr>
              <w:jc w:val="right"/>
              <w:spacing w:after="0"/>
              <w:rPr>
                <w:sz w:val="20"/>
                <w:szCs w:val="20"/>
                <w:color w:val="auto"/>
              </w:rPr>
            </w:pPr>
            <w:r>
              <w:rPr>
                <w:rFonts w:ascii="Arial" w:cs="Arial" w:eastAsia="Arial" w:hAnsi="Arial"/>
                <w:sz w:val="16"/>
                <w:szCs w:val="16"/>
                <w:color w:val="auto"/>
              </w:rPr>
              <w:t>9/13/2021</w:t>
            </w:r>
          </w:p>
        </w:tc>
        <w:tc>
          <w:tcPr>
            <w:tcW w:w="320" w:type="dxa"/>
            <w:vAlign w:val="bottom"/>
          </w:tcPr>
          <w:p>
            <w:pPr>
              <w:spacing w:after="0"/>
              <w:rPr>
                <w:sz w:val="17"/>
                <w:szCs w:val="17"/>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83"/>
        </w:trPr>
        <w:tc>
          <w:tcPr>
            <w:tcW w:w="760" w:type="dxa"/>
            <w:vAlign w:val="bottom"/>
          </w:tcPr>
          <w:p>
            <w:pPr>
              <w:jc w:val="right"/>
              <w:spacing w:after="0"/>
              <w:rPr>
                <w:sz w:val="20"/>
                <w:szCs w:val="20"/>
                <w:color w:val="auto"/>
              </w:rPr>
            </w:pPr>
            <w:r>
              <w:rPr>
                <w:rFonts w:ascii="Arial" w:cs="Arial" w:eastAsia="Arial" w:hAnsi="Arial"/>
                <w:sz w:val="16"/>
                <w:szCs w:val="16"/>
                <w:color w:val="auto"/>
              </w:rPr>
              <w:t>1/24/2013</w:t>
            </w: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62,500</w:t>
            </w:r>
          </w:p>
        </w:tc>
        <w:tc>
          <w:tcPr>
            <w:tcW w:w="30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1.44</w:t>
            </w:r>
          </w:p>
        </w:tc>
        <w:tc>
          <w:tcPr>
            <w:tcW w:w="760" w:type="dxa"/>
            <w:vAlign w:val="bottom"/>
          </w:tcPr>
          <w:p>
            <w:pPr>
              <w:jc w:val="right"/>
              <w:spacing w:after="0"/>
              <w:rPr>
                <w:sz w:val="20"/>
                <w:szCs w:val="20"/>
                <w:color w:val="auto"/>
              </w:rPr>
            </w:pPr>
            <w:r>
              <w:rPr>
                <w:rFonts w:ascii="Arial" w:cs="Arial" w:eastAsia="Arial" w:hAnsi="Arial"/>
                <w:sz w:val="16"/>
                <w:szCs w:val="16"/>
                <w:color w:val="auto"/>
              </w:rPr>
              <w:t>1/23/2023</w:t>
            </w:r>
          </w:p>
        </w:tc>
        <w:tc>
          <w:tcPr>
            <w:tcW w:w="32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60" w:type="dxa"/>
            <w:vAlign w:val="bottom"/>
          </w:tcPr>
          <w:p>
            <w:pPr>
              <w:jc w:val="right"/>
              <w:spacing w:after="0"/>
              <w:rPr>
                <w:sz w:val="20"/>
                <w:szCs w:val="20"/>
                <w:color w:val="auto"/>
              </w:rPr>
            </w:pPr>
            <w:r>
              <w:rPr>
                <w:rFonts w:ascii="Arial" w:cs="Arial" w:eastAsia="Arial" w:hAnsi="Arial"/>
                <w:sz w:val="16"/>
                <w:szCs w:val="16"/>
                <w:color w:val="auto"/>
              </w:rPr>
              <w:t>1/24/2014</w:t>
            </w: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62,500</w:t>
            </w:r>
          </w:p>
        </w:tc>
        <w:tc>
          <w:tcPr>
            <w:tcW w:w="30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2.16</w:t>
            </w:r>
          </w:p>
        </w:tc>
        <w:tc>
          <w:tcPr>
            <w:tcW w:w="760" w:type="dxa"/>
            <w:vAlign w:val="bottom"/>
          </w:tcPr>
          <w:p>
            <w:pPr>
              <w:jc w:val="right"/>
              <w:spacing w:after="0"/>
              <w:rPr>
                <w:sz w:val="20"/>
                <w:szCs w:val="20"/>
                <w:color w:val="auto"/>
              </w:rPr>
            </w:pPr>
            <w:r>
              <w:rPr>
                <w:rFonts w:ascii="Arial" w:cs="Arial" w:eastAsia="Arial" w:hAnsi="Arial"/>
                <w:sz w:val="16"/>
                <w:szCs w:val="16"/>
                <w:color w:val="auto"/>
              </w:rPr>
              <w:t>1/23/2024</w:t>
            </w:r>
          </w:p>
        </w:tc>
        <w:tc>
          <w:tcPr>
            <w:tcW w:w="32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60" w:type="dxa"/>
            <w:vAlign w:val="bottom"/>
          </w:tcPr>
          <w:p>
            <w:pPr>
              <w:jc w:val="right"/>
              <w:spacing w:after="0"/>
              <w:rPr>
                <w:sz w:val="20"/>
                <w:szCs w:val="20"/>
                <w:color w:val="auto"/>
              </w:rPr>
            </w:pPr>
            <w:r>
              <w:rPr>
                <w:rFonts w:ascii="Arial" w:cs="Arial" w:eastAsia="Arial" w:hAnsi="Arial"/>
                <w:sz w:val="16"/>
                <w:szCs w:val="16"/>
                <w:color w:val="auto"/>
              </w:rPr>
              <w:t>1/31/2015</w:t>
            </w: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75,000</w:t>
            </w:r>
          </w:p>
        </w:tc>
        <w:tc>
          <w:tcPr>
            <w:tcW w:w="30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4.00</w:t>
            </w:r>
          </w:p>
        </w:tc>
        <w:tc>
          <w:tcPr>
            <w:tcW w:w="760" w:type="dxa"/>
            <w:vAlign w:val="bottom"/>
          </w:tcPr>
          <w:p>
            <w:pPr>
              <w:jc w:val="right"/>
              <w:spacing w:after="0"/>
              <w:rPr>
                <w:sz w:val="20"/>
                <w:szCs w:val="20"/>
                <w:color w:val="auto"/>
              </w:rPr>
            </w:pPr>
            <w:r>
              <w:rPr>
                <w:rFonts w:ascii="Arial" w:cs="Arial" w:eastAsia="Arial" w:hAnsi="Arial"/>
                <w:sz w:val="16"/>
                <w:szCs w:val="16"/>
                <w:color w:val="auto"/>
              </w:rPr>
              <w:t>1/30/2025</w:t>
            </w:r>
          </w:p>
        </w:tc>
        <w:tc>
          <w:tcPr>
            <w:tcW w:w="32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60" w:type="dxa"/>
            <w:vAlign w:val="bottom"/>
          </w:tcPr>
          <w:p>
            <w:pPr>
              <w:jc w:val="right"/>
              <w:spacing w:after="0"/>
              <w:rPr>
                <w:sz w:val="20"/>
                <w:szCs w:val="20"/>
                <w:color w:val="auto"/>
              </w:rPr>
            </w:pPr>
            <w:r>
              <w:rPr>
                <w:rFonts w:ascii="Arial" w:cs="Arial" w:eastAsia="Arial" w:hAnsi="Arial"/>
                <w:sz w:val="16"/>
                <w:szCs w:val="16"/>
                <w:color w:val="auto"/>
              </w:rPr>
              <w:t>6/16/2015</w:t>
            </w: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50,000</w:t>
            </w:r>
          </w:p>
        </w:tc>
        <w:tc>
          <w:tcPr>
            <w:tcW w:w="30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7.64</w:t>
            </w:r>
          </w:p>
        </w:tc>
        <w:tc>
          <w:tcPr>
            <w:tcW w:w="760" w:type="dxa"/>
            <w:vAlign w:val="bottom"/>
          </w:tcPr>
          <w:p>
            <w:pPr>
              <w:jc w:val="right"/>
              <w:spacing w:after="0"/>
              <w:rPr>
                <w:sz w:val="20"/>
                <w:szCs w:val="20"/>
                <w:color w:val="auto"/>
              </w:rPr>
            </w:pPr>
            <w:r>
              <w:rPr>
                <w:rFonts w:ascii="Arial" w:cs="Arial" w:eastAsia="Arial" w:hAnsi="Arial"/>
                <w:sz w:val="16"/>
                <w:szCs w:val="16"/>
                <w:color w:val="auto"/>
              </w:rPr>
              <w:t>6/15/2025</w:t>
            </w:r>
          </w:p>
        </w:tc>
        <w:tc>
          <w:tcPr>
            <w:tcW w:w="32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60" w:type="dxa"/>
            <w:vAlign w:val="bottom"/>
          </w:tcPr>
          <w:p>
            <w:pPr>
              <w:jc w:val="right"/>
              <w:spacing w:after="0"/>
              <w:rPr>
                <w:sz w:val="20"/>
                <w:szCs w:val="20"/>
                <w:color w:val="auto"/>
              </w:rPr>
            </w:pPr>
            <w:r>
              <w:rPr>
                <w:rFonts w:ascii="Arial" w:cs="Arial" w:eastAsia="Arial" w:hAnsi="Arial"/>
                <w:sz w:val="16"/>
                <w:szCs w:val="16"/>
                <w:color w:val="auto"/>
              </w:rPr>
              <w:t>1/27/2016</w:t>
            </w: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50,000</w:t>
            </w:r>
          </w:p>
        </w:tc>
        <w:tc>
          <w:tcPr>
            <w:tcW w:w="30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7.64</w:t>
            </w:r>
          </w:p>
        </w:tc>
        <w:tc>
          <w:tcPr>
            <w:tcW w:w="760" w:type="dxa"/>
            <w:vAlign w:val="bottom"/>
          </w:tcPr>
          <w:p>
            <w:pPr>
              <w:jc w:val="right"/>
              <w:spacing w:after="0"/>
              <w:rPr>
                <w:sz w:val="20"/>
                <w:szCs w:val="20"/>
                <w:color w:val="auto"/>
              </w:rPr>
            </w:pPr>
            <w:r>
              <w:rPr>
                <w:rFonts w:ascii="Arial" w:cs="Arial" w:eastAsia="Arial" w:hAnsi="Arial"/>
                <w:sz w:val="16"/>
                <w:szCs w:val="16"/>
                <w:color w:val="auto"/>
              </w:rPr>
              <w:t>1/26/2026</w:t>
            </w:r>
          </w:p>
        </w:tc>
        <w:tc>
          <w:tcPr>
            <w:tcW w:w="32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60" w:type="dxa"/>
            <w:vAlign w:val="bottom"/>
          </w:tcPr>
          <w:p>
            <w:pPr>
              <w:jc w:val="right"/>
              <w:spacing w:after="0"/>
              <w:rPr>
                <w:sz w:val="20"/>
                <w:szCs w:val="20"/>
                <w:color w:val="auto"/>
              </w:rPr>
            </w:pPr>
            <w:r>
              <w:rPr>
                <w:rFonts w:ascii="Arial" w:cs="Arial" w:eastAsia="Arial" w:hAnsi="Arial"/>
                <w:sz w:val="16"/>
                <w:szCs w:val="16"/>
                <w:color w:val="auto"/>
              </w:rPr>
              <w:t>1/20/2017</w:t>
            </w: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70,000</w:t>
            </w:r>
          </w:p>
        </w:tc>
        <w:tc>
          <w:tcPr>
            <w:tcW w:w="30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7.70</w:t>
            </w:r>
          </w:p>
        </w:tc>
        <w:tc>
          <w:tcPr>
            <w:tcW w:w="760" w:type="dxa"/>
            <w:vAlign w:val="bottom"/>
          </w:tcPr>
          <w:p>
            <w:pPr>
              <w:jc w:val="right"/>
              <w:spacing w:after="0"/>
              <w:rPr>
                <w:sz w:val="20"/>
                <w:szCs w:val="20"/>
                <w:color w:val="auto"/>
              </w:rPr>
            </w:pPr>
            <w:r>
              <w:rPr>
                <w:rFonts w:ascii="Arial" w:cs="Arial" w:eastAsia="Arial" w:hAnsi="Arial"/>
                <w:sz w:val="16"/>
                <w:szCs w:val="16"/>
                <w:color w:val="auto"/>
              </w:rPr>
              <w:t>1/19/2027</w:t>
            </w:r>
          </w:p>
        </w:tc>
        <w:tc>
          <w:tcPr>
            <w:tcW w:w="32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60" w:type="dxa"/>
            <w:vAlign w:val="bottom"/>
          </w:tcPr>
          <w:p>
            <w:pPr>
              <w:jc w:val="right"/>
              <w:spacing w:after="0"/>
              <w:rPr>
                <w:sz w:val="20"/>
                <w:szCs w:val="20"/>
                <w:color w:val="auto"/>
              </w:rPr>
            </w:pPr>
            <w:r>
              <w:rPr>
                <w:rFonts w:ascii="Arial" w:cs="Arial" w:eastAsia="Arial" w:hAnsi="Arial"/>
                <w:sz w:val="16"/>
                <w:szCs w:val="16"/>
                <w:color w:val="auto"/>
              </w:rPr>
              <w:t>1/31/2018</w:t>
            </w: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62,500</w:t>
            </w:r>
          </w:p>
        </w:tc>
        <w:tc>
          <w:tcPr>
            <w:tcW w:w="30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8.14</w:t>
            </w:r>
          </w:p>
        </w:tc>
        <w:tc>
          <w:tcPr>
            <w:tcW w:w="760" w:type="dxa"/>
            <w:vAlign w:val="bottom"/>
          </w:tcPr>
          <w:p>
            <w:pPr>
              <w:jc w:val="right"/>
              <w:spacing w:after="0"/>
              <w:rPr>
                <w:sz w:val="20"/>
                <w:szCs w:val="20"/>
                <w:color w:val="auto"/>
              </w:rPr>
            </w:pPr>
            <w:r>
              <w:rPr>
                <w:rFonts w:ascii="Arial" w:cs="Arial" w:eastAsia="Arial" w:hAnsi="Arial"/>
                <w:sz w:val="16"/>
                <w:szCs w:val="16"/>
                <w:color w:val="auto"/>
              </w:rPr>
              <w:t>1/30/2028</w:t>
            </w:r>
          </w:p>
        </w:tc>
        <w:tc>
          <w:tcPr>
            <w:tcW w:w="32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60" w:type="dxa"/>
            <w:vAlign w:val="bottom"/>
          </w:tcPr>
          <w:p>
            <w:pPr>
              <w:jc w:val="right"/>
              <w:spacing w:after="0"/>
              <w:rPr>
                <w:sz w:val="20"/>
                <w:szCs w:val="20"/>
                <w:color w:val="auto"/>
              </w:rPr>
            </w:pPr>
            <w:r>
              <w:rPr>
                <w:rFonts w:ascii="Arial" w:cs="Arial" w:eastAsia="Arial" w:hAnsi="Arial"/>
                <w:sz w:val="16"/>
                <w:szCs w:val="16"/>
                <w:color w:val="auto"/>
              </w:rPr>
              <w:t>7/25/2018</w:t>
            </w: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350,000</w:t>
            </w:r>
          </w:p>
        </w:tc>
        <w:tc>
          <w:tcPr>
            <w:tcW w:w="30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11.00</w:t>
            </w:r>
          </w:p>
        </w:tc>
        <w:tc>
          <w:tcPr>
            <w:tcW w:w="760" w:type="dxa"/>
            <w:vAlign w:val="bottom"/>
          </w:tcPr>
          <w:p>
            <w:pPr>
              <w:jc w:val="right"/>
              <w:spacing w:after="0"/>
              <w:rPr>
                <w:sz w:val="20"/>
                <w:szCs w:val="20"/>
                <w:color w:val="auto"/>
              </w:rPr>
            </w:pPr>
            <w:r>
              <w:rPr>
                <w:rFonts w:ascii="Arial" w:cs="Arial" w:eastAsia="Arial" w:hAnsi="Arial"/>
                <w:sz w:val="16"/>
                <w:szCs w:val="16"/>
                <w:color w:val="auto"/>
              </w:rPr>
              <w:t>7/24/2028</w:t>
            </w:r>
          </w:p>
        </w:tc>
        <w:tc>
          <w:tcPr>
            <w:tcW w:w="32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1/31/2015(3)</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4,428</w:t>
            </w:r>
          </w:p>
        </w:tc>
        <w:tc>
          <w:tcPr>
            <w:tcW w:w="760" w:type="dxa"/>
            <w:vAlign w:val="bottom"/>
          </w:tcPr>
          <w:p>
            <w:pPr>
              <w:jc w:val="right"/>
              <w:spacing w:after="0"/>
              <w:rPr>
                <w:sz w:val="20"/>
                <w:szCs w:val="20"/>
                <w:color w:val="auto"/>
              </w:rPr>
            </w:pPr>
            <w:r>
              <w:rPr>
                <w:rFonts w:ascii="Arial" w:cs="Arial" w:eastAsia="Arial" w:hAnsi="Arial"/>
                <w:sz w:val="16"/>
                <w:szCs w:val="16"/>
                <w:color w:val="auto"/>
              </w:rPr>
              <w:t>53,396</w:t>
            </w:r>
          </w:p>
        </w:tc>
      </w:tr>
      <w:tr>
        <w:trPr>
          <w:trHeight w:val="183"/>
        </w:trPr>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1/27/2016(4)</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64,323</w:t>
            </w: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775,735</w:t>
            </w:r>
          </w:p>
        </w:tc>
      </w:tr>
      <w:tr>
        <w:trPr>
          <w:trHeight w:val="183"/>
        </w:trPr>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1/20/2017(5)</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123,698</w:t>
            </w: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1,491,798</w:t>
            </w:r>
          </w:p>
        </w:tc>
      </w:tr>
      <w:tr>
        <w:trPr>
          <w:trHeight w:val="183"/>
        </w:trPr>
        <w:tc>
          <w:tcPr>
            <w:tcW w:w="760" w:type="dxa"/>
            <w:vAlign w:val="bottom"/>
          </w:tcPr>
          <w:p>
            <w:pPr>
              <w:jc w:val="right"/>
              <w:spacing w:after="0"/>
              <w:rPr>
                <w:sz w:val="20"/>
                <w:szCs w:val="20"/>
                <w:color w:val="auto"/>
              </w:rPr>
            </w:pPr>
            <w:r>
              <w:rPr>
                <w:rFonts w:ascii="Arial" w:cs="Arial" w:eastAsia="Arial" w:hAnsi="Arial"/>
                <w:sz w:val="16"/>
                <w:szCs w:val="16"/>
                <w:color w:val="auto"/>
              </w:rPr>
              <w:t>1/31/2018</w:t>
            </w: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225,000</w:t>
            </w:r>
          </w:p>
        </w:tc>
        <w:tc>
          <w:tcPr>
            <w:tcW w:w="30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8.14</w:t>
            </w:r>
          </w:p>
        </w:tc>
        <w:tc>
          <w:tcPr>
            <w:tcW w:w="760" w:type="dxa"/>
            <w:vAlign w:val="bottom"/>
          </w:tcPr>
          <w:p>
            <w:pPr>
              <w:jc w:val="right"/>
              <w:spacing w:after="0"/>
              <w:rPr>
                <w:sz w:val="20"/>
                <w:szCs w:val="20"/>
                <w:color w:val="auto"/>
              </w:rPr>
            </w:pPr>
            <w:r>
              <w:rPr>
                <w:rFonts w:ascii="Arial" w:cs="Arial" w:eastAsia="Arial" w:hAnsi="Arial"/>
                <w:sz w:val="16"/>
                <w:szCs w:val="16"/>
                <w:color w:val="auto"/>
              </w:rPr>
              <w:t>1/30/2028</w:t>
            </w:r>
          </w:p>
        </w:tc>
        <w:tc>
          <w:tcPr>
            <w:tcW w:w="32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60" w:type="dxa"/>
            <w:vAlign w:val="bottom"/>
          </w:tcPr>
          <w:p>
            <w:pPr>
              <w:jc w:val="right"/>
              <w:spacing w:after="0"/>
              <w:rPr>
                <w:sz w:val="20"/>
                <w:szCs w:val="20"/>
                <w:color w:val="auto"/>
              </w:rPr>
            </w:pPr>
            <w:r>
              <w:rPr>
                <w:rFonts w:ascii="Arial" w:cs="Arial" w:eastAsia="Arial" w:hAnsi="Arial"/>
                <w:sz w:val="16"/>
                <w:szCs w:val="16"/>
                <w:color w:val="auto"/>
              </w:rPr>
              <w:t>2/25/2010</w:t>
            </w: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150,000</w:t>
            </w:r>
          </w:p>
        </w:tc>
        <w:tc>
          <w:tcPr>
            <w:tcW w:w="30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0.52</w:t>
            </w:r>
          </w:p>
        </w:tc>
        <w:tc>
          <w:tcPr>
            <w:tcW w:w="760" w:type="dxa"/>
            <w:vAlign w:val="bottom"/>
          </w:tcPr>
          <w:p>
            <w:pPr>
              <w:jc w:val="right"/>
              <w:spacing w:after="0"/>
              <w:rPr>
                <w:sz w:val="20"/>
                <w:szCs w:val="20"/>
                <w:color w:val="auto"/>
              </w:rPr>
            </w:pPr>
            <w:r>
              <w:rPr>
                <w:rFonts w:ascii="Arial" w:cs="Arial" w:eastAsia="Arial" w:hAnsi="Arial"/>
                <w:sz w:val="16"/>
                <w:szCs w:val="16"/>
                <w:color w:val="auto"/>
              </w:rPr>
              <w:t>2/24/2020</w:t>
            </w:r>
          </w:p>
        </w:tc>
        <w:tc>
          <w:tcPr>
            <w:tcW w:w="32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60" w:type="dxa"/>
            <w:vAlign w:val="bottom"/>
          </w:tcPr>
          <w:p>
            <w:pPr>
              <w:jc w:val="right"/>
              <w:spacing w:after="0"/>
              <w:rPr>
                <w:sz w:val="20"/>
                <w:szCs w:val="20"/>
                <w:color w:val="auto"/>
              </w:rPr>
            </w:pPr>
            <w:r>
              <w:rPr>
                <w:rFonts w:ascii="Arial" w:cs="Arial" w:eastAsia="Arial" w:hAnsi="Arial"/>
                <w:sz w:val="16"/>
                <w:szCs w:val="16"/>
                <w:color w:val="auto"/>
              </w:rPr>
              <w:t>2/11/2011</w:t>
            </w: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150,000</w:t>
            </w:r>
          </w:p>
        </w:tc>
        <w:tc>
          <w:tcPr>
            <w:tcW w:w="30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0.60</w:t>
            </w:r>
          </w:p>
        </w:tc>
        <w:tc>
          <w:tcPr>
            <w:tcW w:w="760" w:type="dxa"/>
            <w:vAlign w:val="bottom"/>
          </w:tcPr>
          <w:p>
            <w:pPr>
              <w:jc w:val="right"/>
              <w:spacing w:after="0"/>
              <w:rPr>
                <w:sz w:val="20"/>
                <w:szCs w:val="20"/>
                <w:color w:val="auto"/>
              </w:rPr>
            </w:pPr>
            <w:r>
              <w:rPr>
                <w:rFonts w:ascii="Arial" w:cs="Arial" w:eastAsia="Arial" w:hAnsi="Arial"/>
                <w:sz w:val="16"/>
                <w:szCs w:val="16"/>
                <w:color w:val="auto"/>
              </w:rPr>
              <w:t>2/10/2021</w:t>
            </w:r>
          </w:p>
        </w:tc>
        <w:tc>
          <w:tcPr>
            <w:tcW w:w="32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60" w:type="dxa"/>
            <w:vAlign w:val="bottom"/>
          </w:tcPr>
          <w:p>
            <w:pPr>
              <w:jc w:val="right"/>
              <w:spacing w:after="0"/>
              <w:rPr>
                <w:sz w:val="20"/>
                <w:szCs w:val="20"/>
                <w:color w:val="auto"/>
              </w:rPr>
            </w:pPr>
            <w:r>
              <w:rPr>
                <w:rFonts w:ascii="Arial" w:cs="Arial" w:eastAsia="Arial" w:hAnsi="Arial"/>
                <w:sz w:val="16"/>
                <w:szCs w:val="16"/>
                <w:color w:val="auto"/>
              </w:rPr>
              <w:t>3/2/2012</w:t>
            </w: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162,500</w:t>
            </w:r>
          </w:p>
        </w:tc>
        <w:tc>
          <w:tcPr>
            <w:tcW w:w="30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1.44</w:t>
            </w:r>
          </w:p>
        </w:tc>
        <w:tc>
          <w:tcPr>
            <w:tcW w:w="760" w:type="dxa"/>
            <w:vAlign w:val="bottom"/>
          </w:tcPr>
          <w:p>
            <w:pPr>
              <w:jc w:val="right"/>
              <w:spacing w:after="0"/>
              <w:rPr>
                <w:sz w:val="20"/>
                <w:szCs w:val="20"/>
                <w:color w:val="auto"/>
              </w:rPr>
            </w:pPr>
            <w:r>
              <w:rPr>
                <w:rFonts w:ascii="Arial" w:cs="Arial" w:eastAsia="Arial" w:hAnsi="Arial"/>
                <w:sz w:val="16"/>
                <w:szCs w:val="16"/>
                <w:color w:val="auto"/>
              </w:rPr>
              <w:t>3/1/2022</w:t>
            </w:r>
          </w:p>
        </w:tc>
        <w:tc>
          <w:tcPr>
            <w:tcW w:w="32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60" w:type="dxa"/>
            <w:vAlign w:val="bottom"/>
          </w:tcPr>
          <w:p>
            <w:pPr>
              <w:jc w:val="right"/>
              <w:spacing w:after="0"/>
              <w:rPr>
                <w:sz w:val="20"/>
                <w:szCs w:val="20"/>
                <w:color w:val="auto"/>
              </w:rPr>
            </w:pPr>
            <w:r>
              <w:rPr>
                <w:rFonts w:ascii="Arial" w:cs="Arial" w:eastAsia="Arial" w:hAnsi="Arial"/>
                <w:sz w:val="16"/>
                <w:szCs w:val="16"/>
                <w:color w:val="auto"/>
              </w:rPr>
              <w:t>1/24/2013</w:t>
            </w: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175,000</w:t>
            </w:r>
          </w:p>
        </w:tc>
        <w:tc>
          <w:tcPr>
            <w:tcW w:w="30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1.44</w:t>
            </w:r>
          </w:p>
        </w:tc>
        <w:tc>
          <w:tcPr>
            <w:tcW w:w="760" w:type="dxa"/>
            <w:vAlign w:val="bottom"/>
          </w:tcPr>
          <w:p>
            <w:pPr>
              <w:jc w:val="right"/>
              <w:spacing w:after="0"/>
              <w:rPr>
                <w:sz w:val="20"/>
                <w:szCs w:val="20"/>
                <w:color w:val="auto"/>
              </w:rPr>
            </w:pPr>
            <w:r>
              <w:rPr>
                <w:rFonts w:ascii="Arial" w:cs="Arial" w:eastAsia="Arial" w:hAnsi="Arial"/>
                <w:sz w:val="16"/>
                <w:szCs w:val="16"/>
                <w:color w:val="auto"/>
              </w:rPr>
              <w:t>1/23/2023</w:t>
            </w:r>
          </w:p>
        </w:tc>
        <w:tc>
          <w:tcPr>
            <w:tcW w:w="32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60" w:type="dxa"/>
            <w:vAlign w:val="bottom"/>
          </w:tcPr>
          <w:p>
            <w:pPr>
              <w:jc w:val="right"/>
              <w:spacing w:after="0"/>
              <w:rPr>
                <w:sz w:val="20"/>
                <w:szCs w:val="20"/>
                <w:color w:val="auto"/>
              </w:rPr>
            </w:pPr>
            <w:r>
              <w:rPr>
                <w:rFonts w:ascii="Arial" w:cs="Arial" w:eastAsia="Arial" w:hAnsi="Arial"/>
                <w:sz w:val="16"/>
                <w:szCs w:val="16"/>
                <w:color w:val="auto"/>
              </w:rPr>
              <w:t>1/24/2014</w:t>
            </w: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175,000</w:t>
            </w:r>
          </w:p>
        </w:tc>
        <w:tc>
          <w:tcPr>
            <w:tcW w:w="30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2.16</w:t>
            </w:r>
          </w:p>
        </w:tc>
        <w:tc>
          <w:tcPr>
            <w:tcW w:w="760" w:type="dxa"/>
            <w:vAlign w:val="bottom"/>
          </w:tcPr>
          <w:p>
            <w:pPr>
              <w:jc w:val="right"/>
              <w:spacing w:after="0"/>
              <w:rPr>
                <w:sz w:val="20"/>
                <w:szCs w:val="20"/>
                <w:color w:val="auto"/>
              </w:rPr>
            </w:pPr>
            <w:r>
              <w:rPr>
                <w:rFonts w:ascii="Arial" w:cs="Arial" w:eastAsia="Arial" w:hAnsi="Arial"/>
                <w:sz w:val="16"/>
                <w:szCs w:val="16"/>
                <w:color w:val="auto"/>
              </w:rPr>
              <w:t>1/23/2024</w:t>
            </w:r>
          </w:p>
        </w:tc>
        <w:tc>
          <w:tcPr>
            <w:tcW w:w="32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60" w:type="dxa"/>
            <w:vAlign w:val="bottom"/>
          </w:tcPr>
          <w:p>
            <w:pPr>
              <w:jc w:val="right"/>
              <w:spacing w:after="0"/>
              <w:rPr>
                <w:sz w:val="20"/>
                <w:szCs w:val="20"/>
                <w:color w:val="auto"/>
              </w:rPr>
            </w:pPr>
            <w:r>
              <w:rPr>
                <w:rFonts w:ascii="Arial" w:cs="Arial" w:eastAsia="Arial" w:hAnsi="Arial"/>
                <w:sz w:val="16"/>
                <w:szCs w:val="16"/>
                <w:color w:val="auto"/>
              </w:rPr>
              <w:t>1/31/2015</w:t>
            </w: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200,000</w:t>
            </w:r>
          </w:p>
        </w:tc>
        <w:tc>
          <w:tcPr>
            <w:tcW w:w="30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4.00</w:t>
            </w:r>
          </w:p>
        </w:tc>
        <w:tc>
          <w:tcPr>
            <w:tcW w:w="760" w:type="dxa"/>
            <w:vAlign w:val="bottom"/>
          </w:tcPr>
          <w:p>
            <w:pPr>
              <w:jc w:val="right"/>
              <w:spacing w:after="0"/>
              <w:rPr>
                <w:sz w:val="20"/>
                <w:szCs w:val="20"/>
                <w:color w:val="auto"/>
              </w:rPr>
            </w:pPr>
            <w:r>
              <w:rPr>
                <w:rFonts w:ascii="Arial" w:cs="Arial" w:eastAsia="Arial" w:hAnsi="Arial"/>
                <w:sz w:val="16"/>
                <w:szCs w:val="16"/>
                <w:color w:val="auto"/>
              </w:rPr>
              <w:t>1/30/2025</w:t>
            </w:r>
          </w:p>
        </w:tc>
        <w:tc>
          <w:tcPr>
            <w:tcW w:w="32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60" w:type="dxa"/>
            <w:vAlign w:val="bottom"/>
          </w:tcPr>
          <w:p>
            <w:pPr>
              <w:jc w:val="right"/>
              <w:spacing w:after="0"/>
              <w:rPr>
                <w:sz w:val="20"/>
                <w:szCs w:val="20"/>
                <w:color w:val="auto"/>
              </w:rPr>
            </w:pPr>
            <w:r>
              <w:rPr>
                <w:rFonts w:ascii="Arial" w:cs="Arial" w:eastAsia="Arial" w:hAnsi="Arial"/>
                <w:sz w:val="16"/>
                <w:szCs w:val="16"/>
                <w:color w:val="auto"/>
              </w:rPr>
              <w:t>1/27/2016</w:t>
            </w: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225,000</w:t>
            </w:r>
          </w:p>
        </w:tc>
        <w:tc>
          <w:tcPr>
            <w:tcW w:w="30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7.64</w:t>
            </w:r>
          </w:p>
        </w:tc>
        <w:tc>
          <w:tcPr>
            <w:tcW w:w="760" w:type="dxa"/>
            <w:vAlign w:val="bottom"/>
          </w:tcPr>
          <w:p>
            <w:pPr>
              <w:jc w:val="right"/>
              <w:spacing w:after="0"/>
              <w:rPr>
                <w:sz w:val="20"/>
                <w:szCs w:val="20"/>
                <w:color w:val="auto"/>
              </w:rPr>
            </w:pPr>
            <w:r>
              <w:rPr>
                <w:rFonts w:ascii="Arial" w:cs="Arial" w:eastAsia="Arial" w:hAnsi="Arial"/>
                <w:sz w:val="16"/>
                <w:szCs w:val="16"/>
                <w:color w:val="auto"/>
              </w:rPr>
              <w:t>1/26/2026</w:t>
            </w:r>
          </w:p>
        </w:tc>
        <w:tc>
          <w:tcPr>
            <w:tcW w:w="32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60" w:type="dxa"/>
            <w:vAlign w:val="bottom"/>
          </w:tcPr>
          <w:p>
            <w:pPr>
              <w:jc w:val="right"/>
              <w:spacing w:after="0"/>
              <w:rPr>
                <w:sz w:val="20"/>
                <w:szCs w:val="20"/>
                <w:color w:val="auto"/>
              </w:rPr>
            </w:pPr>
            <w:r>
              <w:rPr>
                <w:rFonts w:ascii="Arial" w:cs="Arial" w:eastAsia="Arial" w:hAnsi="Arial"/>
                <w:sz w:val="16"/>
                <w:szCs w:val="16"/>
                <w:color w:val="auto"/>
              </w:rPr>
              <w:t>1/20/2017</w:t>
            </w: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225,000</w:t>
            </w:r>
          </w:p>
        </w:tc>
        <w:tc>
          <w:tcPr>
            <w:tcW w:w="30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7.70</w:t>
            </w:r>
          </w:p>
        </w:tc>
        <w:tc>
          <w:tcPr>
            <w:tcW w:w="760" w:type="dxa"/>
            <w:vAlign w:val="bottom"/>
          </w:tcPr>
          <w:p>
            <w:pPr>
              <w:jc w:val="right"/>
              <w:spacing w:after="0"/>
              <w:rPr>
                <w:sz w:val="20"/>
                <w:szCs w:val="20"/>
                <w:color w:val="auto"/>
              </w:rPr>
            </w:pPr>
            <w:r>
              <w:rPr>
                <w:rFonts w:ascii="Arial" w:cs="Arial" w:eastAsia="Arial" w:hAnsi="Arial"/>
                <w:sz w:val="16"/>
                <w:szCs w:val="16"/>
                <w:color w:val="auto"/>
              </w:rPr>
              <w:t>1/19/2027</w:t>
            </w:r>
          </w:p>
        </w:tc>
        <w:tc>
          <w:tcPr>
            <w:tcW w:w="32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8"/>
        </w:trPr>
        <w:tc>
          <w:tcPr>
            <w:tcW w:w="760" w:type="dxa"/>
            <w:vAlign w:val="bottom"/>
          </w:tcPr>
          <w:p>
            <w:pPr>
              <w:jc w:val="right"/>
              <w:spacing w:after="0"/>
              <w:rPr>
                <w:sz w:val="20"/>
                <w:szCs w:val="20"/>
                <w:color w:val="auto"/>
              </w:rPr>
            </w:pPr>
            <w:r>
              <w:rPr>
                <w:rFonts w:ascii="Arial" w:cs="Arial" w:eastAsia="Arial" w:hAnsi="Arial"/>
                <w:sz w:val="16"/>
                <w:szCs w:val="16"/>
                <w:color w:val="auto"/>
              </w:rPr>
              <w:t>1/31/2018</w:t>
            </w: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200,000</w:t>
            </w:r>
          </w:p>
        </w:tc>
        <w:tc>
          <w:tcPr>
            <w:tcW w:w="300" w:type="dxa"/>
            <w:vAlign w:val="bottom"/>
          </w:tcPr>
          <w:p>
            <w:pPr>
              <w:spacing w:after="0"/>
              <w:rPr>
                <w:sz w:val="16"/>
                <w:szCs w:val="16"/>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8.14</w:t>
            </w:r>
          </w:p>
        </w:tc>
        <w:tc>
          <w:tcPr>
            <w:tcW w:w="760" w:type="dxa"/>
            <w:vAlign w:val="bottom"/>
          </w:tcPr>
          <w:p>
            <w:pPr>
              <w:jc w:val="right"/>
              <w:spacing w:after="0"/>
              <w:rPr>
                <w:sz w:val="20"/>
                <w:szCs w:val="20"/>
                <w:color w:val="auto"/>
              </w:rPr>
            </w:pPr>
            <w:r>
              <w:rPr>
                <w:rFonts w:ascii="Arial" w:cs="Arial" w:eastAsia="Arial" w:hAnsi="Arial"/>
                <w:sz w:val="16"/>
                <w:szCs w:val="16"/>
                <w:color w:val="auto"/>
              </w:rPr>
              <w:t>1/30/2028</w:t>
            </w:r>
          </w:p>
        </w:tc>
        <w:tc>
          <w:tcPr>
            <w:tcW w:w="320" w:type="dxa"/>
            <w:vAlign w:val="bottom"/>
          </w:tcPr>
          <w:p>
            <w:pPr>
              <w:spacing w:after="0"/>
              <w:rPr>
                <w:sz w:val="16"/>
                <w:szCs w:val="16"/>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-1897380</wp:posOffset>
            </wp:positionH>
            <wp:positionV relativeFrom="paragraph">
              <wp:posOffset>-3046730</wp:posOffset>
            </wp:positionV>
            <wp:extent cx="6784975" cy="1244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784975" cy="124460"/>
                    </a:xfrm>
                    <a:prstGeom prst="rect">
                      <a:avLst/>
                    </a:prstGeom>
                    <a:noFill/>
                  </pic:spPr>
                </pic:pic>
              </a:graphicData>
            </a:graphic>
          </wp:anchor>
        </w:drawing>
        <w:drawing>
          <wp:anchor simplePos="0" relativeHeight="251657728" behindDoc="1" locked="0" layoutInCell="0" allowOverlap="1">
            <wp:simplePos x="0" y="0"/>
            <wp:positionH relativeFrom="column">
              <wp:posOffset>-1897380</wp:posOffset>
            </wp:positionH>
            <wp:positionV relativeFrom="paragraph">
              <wp:posOffset>-2806065</wp:posOffset>
            </wp:positionV>
            <wp:extent cx="6784975" cy="1162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784975" cy="116205"/>
                    </a:xfrm>
                    <a:prstGeom prst="rect">
                      <a:avLst/>
                    </a:prstGeom>
                    <a:noFill/>
                  </pic:spPr>
                </pic:pic>
              </a:graphicData>
            </a:graphic>
          </wp:anchor>
        </w:drawing>
        <w:drawing>
          <wp:anchor simplePos="0" relativeHeight="251657728" behindDoc="1" locked="0" layoutInCell="0" allowOverlap="1">
            <wp:simplePos x="0" y="0"/>
            <wp:positionH relativeFrom="column">
              <wp:posOffset>-1897380</wp:posOffset>
            </wp:positionH>
            <wp:positionV relativeFrom="paragraph">
              <wp:posOffset>-2573020</wp:posOffset>
            </wp:positionV>
            <wp:extent cx="6784975" cy="1244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784975" cy="124460"/>
                    </a:xfrm>
                    <a:prstGeom prst="rect">
                      <a:avLst/>
                    </a:prstGeom>
                    <a:noFill/>
                  </pic:spPr>
                </pic:pic>
              </a:graphicData>
            </a:graphic>
          </wp:anchor>
        </w:drawing>
        <w:drawing>
          <wp:anchor simplePos="0" relativeHeight="251657728" behindDoc="1" locked="0" layoutInCell="0" allowOverlap="1">
            <wp:simplePos x="0" y="0"/>
            <wp:positionH relativeFrom="column">
              <wp:posOffset>-1897380</wp:posOffset>
            </wp:positionH>
            <wp:positionV relativeFrom="paragraph">
              <wp:posOffset>-2331720</wp:posOffset>
            </wp:positionV>
            <wp:extent cx="6784975" cy="1162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784975" cy="116205"/>
                    </a:xfrm>
                    <a:prstGeom prst="rect">
                      <a:avLst/>
                    </a:prstGeom>
                    <a:noFill/>
                  </pic:spPr>
                </pic:pic>
              </a:graphicData>
            </a:graphic>
          </wp:anchor>
        </w:drawing>
        <w:drawing>
          <wp:anchor simplePos="0" relativeHeight="251657728" behindDoc="1" locked="0" layoutInCell="0" allowOverlap="1">
            <wp:simplePos x="0" y="0"/>
            <wp:positionH relativeFrom="column">
              <wp:posOffset>-1897380</wp:posOffset>
            </wp:positionH>
            <wp:positionV relativeFrom="paragraph">
              <wp:posOffset>-2099310</wp:posOffset>
            </wp:positionV>
            <wp:extent cx="6784975" cy="1162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784975" cy="116205"/>
                    </a:xfrm>
                    <a:prstGeom prst="rect">
                      <a:avLst/>
                    </a:prstGeom>
                    <a:noFill/>
                  </pic:spPr>
                </pic:pic>
              </a:graphicData>
            </a:graphic>
          </wp:anchor>
        </w:drawing>
        <w:drawing>
          <wp:anchor simplePos="0" relativeHeight="251657728" behindDoc="1" locked="0" layoutInCell="0" allowOverlap="1">
            <wp:simplePos x="0" y="0"/>
            <wp:positionH relativeFrom="column">
              <wp:posOffset>-1897380</wp:posOffset>
            </wp:positionH>
            <wp:positionV relativeFrom="paragraph">
              <wp:posOffset>-1866265</wp:posOffset>
            </wp:positionV>
            <wp:extent cx="6784975" cy="1162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784975" cy="116205"/>
                    </a:xfrm>
                    <a:prstGeom prst="rect">
                      <a:avLst/>
                    </a:prstGeom>
                    <a:noFill/>
                  </pic:spPr>
                </pic:pic>
              </a:graphicData>
            </a:graphic>
          </wp:anchor>
        </w:drawing>
        <w:drawing>
          <wp:anchor simplePos="0" relativeHeight="251657728" behindDoc="1" locked="0" layoutInCell="0" allowOverlap="1">
            <wp:simplePos x="0" y="0"/>
            <wp:positionH relativeFrom="column">
              <wp:posOffset>-1897380</wp:posOffset>
            </wp:positionH>
            <wp:positionV relativeFrom="paragraph">
              <wp:posOffset>-1633220</wp:posOffset>
            </wp:positionV>
            <wp:extent cx="6784975" cy="1162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784975" cy="116205"/>
                    </a:xfrm>
                    <a:prstGeom prst="rect">
                      <a:avLst/>
                    </a:prstGeom>
                    <a:noFill/>
                  </pic:spPr>
                </pic:pic>
              </a:graphicData>
            </a:graphic>
          </wp:anchor>
        </w:drawing>
        <w:drawing>
          <wp:anchor simplePos="0" relativeHeight="251657728" behindDoc="1" locked="0" layoutInCell="0" allowOverlap="1">
            <wp:simplePos x="0" y="0"/>
            <wp:positionH relativeFrom="column">
              <wp:posOffset>-1897380</wp:posOffset>
            </wp:positionH>
            <wp:positionV relativeFrom="paragraph">
              <wp:posOffset>-1400810</wp:posOffset>
            </wp:positionV>
            <wp:extent cx="6784975" cy="1162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784975" cy="116205"/>
                    </a:xfrm>
                    <a:prstGeom prst="rect">
                      <a:avLst/>
                    </a:prstGeom>
                    <a:noFill/>
                  </pic:spPr>
                </pic:pic>
              </a:graphicData>
            </a:graphic>
          </wp:anchor>
        </w:drawing>
        <w:drawing>
          <wp:anchor simplePos="0" relativeHeight="251657728" behindDoc="1" locked="0" layoutInCell="0" allowOverlap="1">
            <wp:simplePos x="0" y="0"/>
            <wp:positionH relativeFrom="column">
              <wp:posOffset>-1897380</wp:posOffset>
            </wp:positionH>
            <wp:positionV relativeFrom="paragraph">
              <wp:posOffset>-1167765</wp:posOffset>
            </wp:positionV>
            <wp:extent cx="6784975" cy="1162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784975" cy="116205"/>
                    </a:xfrm>
                    <a:prstGeom prst="rect">
                      <a:avLst/>
                    </a:prstGeom>
                    <a:noFill/>
                  </pic:spPr>
                </pic:pic>
              </a:graphicData>
            </a:graphic>
          </wp:anchor>
        </w:drawing>
        <w:drawing>
          <wp:anchor simplePos="0" relativeHeight="251657728" behindDoc="1" locked="0" layoutInCell="0" allowOverlap="1">
            <wp:simplePos x="0" y="0"/>
            <wp:positionH relativeFrom="column">
              <wp:posOffset>-1897380</wp:posOffset>
            </wp:positionH>
            <wp:positionV relativeFrom="paragraph">
              <wp:posOffset>-934720</wp:posOffset>
            </wp:positionV>
            <wp:extent cx="6784975" cy="1162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784975" cy="116205"/>
                    </a:xfrm>
                    <a:prstGeom prst="rect">
                      <a:avLst/>
                    </a:prstGeom>
                    <a:noFill/>
                  </pic:spPr>
                </pic:pic>
              </a:graphicData>
            </a:graphic>
          </wp:anchor>
        </w:drawing>
        <w:drawing>
          <wp:anchor simplePos="0" relativeHeight="251657728" behindDoc="1" locked="0" layoutInCell="0" allowOverlap="1">
            <wp:simplePos x="0" y="0"/>
            <wp:positionH relativeFrom="column">
              <wp:posOffset>-1897380</wp:posOffset>
            </wp:positionH>
            <wp:positionV relativeFrom="paragraph">
              <wp:posOffset>-702310</wp:posOffset>
            </wp:positionV>
            <wp:extent cx="6784975" cy="1162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784975" cy="116205"/>
                    </a:xfrm>
                    <a:prstGeom prst="rect">
                      <a:avLst/>
                    </a:prstGeom>
                    <a:noFill/>
                  </pic:spPr>
                </pic:pic>
              </a:graphicData>
            </a:graphic>
          </wp:anchor>
        </w:drawing>
        <w:drawing>
          <wp:anchor simplePos="0" relativeHeight="251657728" behindDoc="1" locked="0" layoutInCell="0" allowOverlap="1">
            <wp:simplePos x="0" y="0"/>
            <wp:positionH relativeFrom="column">
              <wp:posOffset>-1897380</wp:posOffset>
            </wp:positionH>
            <wp:positionV relativeFrom="paragraph">
              <wp:posOffset>-469265</wp:posOffset>
            </wp:positionV>
            <wp:extent cx="6784975" cy="1162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784975" cy="116205"/>
                    </a:xfrm>
                    <a:prstGeom prst="rect">
                      <a:avLst/>
                    </a:prstGeom>
                    <a:noFill/>
                  </pic:spPr>
                </pic:pic>
              </a:graphicData>
            </a:graphic>
          </wp:anchor>
        </w:drawing>
        <w:drawing>
          <wp:anchor simplePos="0" relativeHeight="251657728" behindDoc="1" locked="0" layoutInCell="0" allowOverlap="1">
            <wp:simplePos x="0" y="0"/>
            <wp:positionH relativeFrom="column">
              <wp:posOffset>-1897380</wp:posOffset>
            </wp:positionH>
            <wp:positionV relativeFrom="paragraph">
              <wp:posOffset>-236220</wp:posOffset>
            </wp:positionV>
            <wp:extent cx="6784975" cy="1162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784975" cy="116205"/>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2">
            <w:col w:w="2640" w:space="720"/>
            <w:col w:w="7660"/>
          </w:cols>
          <w:pgMar w:left="240" w:top="449" w:right="639" w:bottom="1440" w:gutter="0" w:footer="0" w:header="0"/>
          <w:type w:val="continuous"/>
        </w:sectPr>
      </w:pPr>
    </w:p>
    <w:p>
      <w:pPr>
        <w:ind w:left="900" w:hanging="529"/>
        <w:spacing w:after="0" w:line="239"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Unless otherwise noted, shares subject to the options vest on a monthly basis upon the vesting commencement date over 48 months, subject to the continued service with us through each vesting date. The options are subject to an early exercise right and may be exercised in full prior to the vesting of the shares underlying the stock option.</w:t>
      </w:r>
    </w:p>
    <w:p>
      <w:pPr>
        <w:ind w:left="900" w:right="100" w:hanging="529"/>
        <w:spacing w:after="0" w:line="255" w:lineRule="auto"/>
        <w:tabs>
          <w:tab w:leader="none" w:pos="9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Because our common stock was not traded on a public market on December 31, 2018, the market value has been calculated based on an assumed fair market value of our common stock of $12.06 per share as of December 31, 2018. See the section titled “Management’s Discussion and Analysis of Financial Condition and Results of Operations—Critical Accounting Policies and Estimates—Stock-Based Compensation.”</w:t>
      </w:r>
    </w:p>
    <w:p>
      <w:pPr>
        <w:ind w:left="900" w:right="80" w:hanging="529"/>
        <w:spacing w:after="0" w:line="239"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Reflects the unvested portion of an early exercise for 212,500 shares of common stock granted on January 31, 2015. Our right to repurchase the unvested shares lapse in equal increments on a monthly basis through December 31, 2018.</w:t>
      </w:r>
    </w:p>
    <w:p>
      <w:pPr>
        <w:ind w:left="900" w:right="80" w:hanging="529"/>
        <w:spacing w:after="0" w:line="239"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Reflects the unvested portion of an early exercise for 237,500 shares of common stock granted on January 27, 2016. Our right to repurchase the unvested shares lapse in equal increments on a monthly basis through December 31, 2018.</w:t>
      </w:r>
    </w:p>
    <w:p>
      <w:pPr>
        <w:ind w:left="900" w:right="80" w:hanging="529"/>
        <w:spacing w:after="0" w:line="244"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Reflects the unvested portion of an early exercise for 237,500 shares of common stock granted on January 20, 2017. Our right to repurchase the unvested shares lapse in equal increments on a monthly basis through December 31, 2018.</w:t>
      </w:r>
    </w:p>
    <w:p>
      <w:pPr>
        <w:spacing w:after="0" w:line="13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173</w:t>
      </w:r>
    </w:p>
    <w:p>
      <w:pPr>
        <w:sectPr>
          <w:pgSz w:w="11900" w:h="16838" w:orient="portrait"/>
          <w:cols w:equalWidth="0" w:num="1">
            <w:col w:w="11020"/>
          </w:cols>
          <w:pgMar w:left="240" w:top="449" w:right="639" w:bottom="1440" w:gutter="0" w:footer="0" w:header="0"/>
          <w:type w:val="continuous"/>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Other Elements of Compensation</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Health, Welfare and Retirement Benefits</w:t>
      </w:r>
    </w:p>
    <w:p>
      <w:pPr>
        <w:spacing w:after="0" w:line="126" w:lineRule="exact"/>
        <w:rPr>
          <w:sz w:val="20"/>
          <w:szCs w:val="20"/>
          <w:color w:val="auto"/>
        </w:rPr>
      </w:pPr>
    </w:p>
    <w:p>
      <w:pPr>
        <w:ind w:left="380" w:right="180" w:firstLine="534"/>
        <w:spacing w:after="0" w:line="244" w:lineRule="auto"/>
        <w:rPr>
          <w:sz w:val="20"/>
          <w:szCs w:val="20"/>
          <w:color w:val="auto"/>
        </w:rPr>
      </w:pPr>
      <w:r>
        <w:rPr>
          <w:rFonts w:ascii="Arial" w:cs="Arial" w:eastAsia="Arial" w:hAnsi="Arial"/>
          <w:sz w:val="17"/>
          <w:szCs w:val="17"/>
          <w:color w:val="auto"/>
        </w:rPr>
        <w:t>Our named executive officers are eligible to participate in all of our employee benefit plans, such as medical, dental, vision, group life, short and long-term disability plans, in each case on the same basis as other employees, subject to applicable laws. We provide a 401(k) plan and a matching plan to our employees, including our named executive officers, as discussed in the section below titled “— 401(k) Plan and Matching Plan.” We also provide vacation and other paid holidays to all employees, including our named executive officers. We do not provide a pension plan for our employees, and none of our named executive officers participated in a nonqualified deferred compensation plan in 2018.</w:t>
      </w:r>
    </w:p>
    <w:p>
      <w:pPr>
        <w:spacing w:after="0" w:line="280"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401(k) Plan and Matching Plan</w:t>
      </w:r>
    </w:p>
    <w:p>
      <w:pPr>
        <w:spacing w:after="0" w:line="126" w:lineRule="exact"/>
        <w:rPr>
          <w:sz w:val="20"/>
          <w:szCs w:val="20"/>
          <w:color w:val="auto"/>
        </w:rPr>
      </w:pPr>
    </w:p>
    <w:p>
      <w:pPr>
        <w:ind w:left="380" w:right="20" w:firstLine="534"/>
        <w:spacing w:after="0" w:line="244" w:lineRule="auto"/>
        <w:rPr>
          <w:sz w:val="20"/>
          <w:szCs w:val="20"/>
          <w:color w:val="auto"/>
        </w:rPr>
      </w:pPr>
      <w:r>
        <w:rPr>
          <w:rFonts w:ascii="Arial" w:cs="Arial" w:eastAsia="Arial" w:hAnsi="Arial"/>
          <w:sz w:val="17"/>
          <w:szCs w:val="17"/>
          <w:color w:val="auto"/>
        </w:rPr>
        <w:t>We maintain a defined contribution employee retirement plan for our employees. Our 401(k) plan is intended to qualify as a tax-qualified plan under Section 401 of the Code so that contributions to our 401(k) plan and income earned on such contributions are not taxable to participants until withdrawn or distributed from the 401(k) plan. Our 401(k) plan provides that each participant may contribute up to 100% of his or her pre-tax compensation, up to a statutory limit of $19,000 for 2019. Participants who are at least 50 years old can also make “catch-up” contributions, which in 2019 may be up to an additional $6,000 above the statutory limit. Under our 401(k) plan, each employee is fully vested in his or her deferred salary contributions. Employee contributions are held and invested by the plan’s trustee. Our 401(k) plan also permits us to make discretionary and matching contributions, subject to established limits and a vesting schedule.</w:t>
      </w:r>
    </w:p>
    <w:p>
      <w:pPr>
        <w:spacing w:after="0" w:line="193"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Our NGM Biopharmaceuticals Matching Plan, or our 401(k) Matching Plan, effective January 1, 2011, is intended to be a tax-qualified defined contribution plan under Subsections 401(a) and 401(m) of the Code. All employees are eligible to participate and may enter the 401(k) Matching Plan as of the date they become eligible to participate in the 401(k) plan. Each participant who makes pre-tax contributions to the 401(k) plan is eligible to have a matching contribution in our common stock made by us to his or her 401(k) Matching Plan account, which is generally equal to 50% of the participant’s plan contribution, up to a maximum employer contribution of $ 1,500 per year. We may make additional discretionary contributions for all participants to the 401(k) plan. Each participant’s contributions, and the corresponding investment earnings, are generally not taxable to the participants until withdrawn. Participant contributions are held in trust as required by law. Individual participants may direct the trustee to invest their accounts in authorized investment alternatives.</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Perquisites and Other Personal Benefits</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We do not provide perquisites or other personal benefits to our named executive officers.</w:t>
      </w:r>
    </w:p>
    <w:p>
      <w:pPr>
        <w:spacing w:after="0" w:line="29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No Tax Gross-Ups</w:t>
      </w:r>
    </w:p>
    <w:p>
      <w:pPr>
        <w:spacing w:after="0" w:line="126" w:lineRule="exact"/>
        <w:rPr>
          <w:sz w:val="20"/>
          <w:szCs w:val="20"/>
          <w:color w:val="auto"/>
        </w:rPr>
      </w:pPr>
    </w:p>
    <w:p>
      <w:pPr>
        <w:ind w:left="380" w:right="760" w:firstLine="534"/>
        <w:spacing w:after="0" w:line="258" w:lineRule="auto"/>
        <w:rPr>
          <w:sz w:val="20"/>
          <w:szCs w:val="20"/>
          <w:color w:val="auto"/>
        </w:rPr>
      </w:pPr>
      <w:r>
        <w:rPr>
          <w:rFonts w:ascii="Arial" w:cs="Arial" w:eastAsia="Arial" w:hAnsi="Arial"/>
          <w:sz w:val="17"/>
          <w:szCs w:val="17"/>
          <w:color w:val="auto"/>
        </w:rPr>
        <w:t>In 2017 and 2018, we did not make gross-up payments to cover our named executive officers’ personal income taxes that pertained to any of the compensation or perquisites paid or provided by our company.</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Agreements with our Named Executive Officers</w:t>
      </w:r>
    </w:p>
    <w:p>
      <w:pPr>
        <w:spacing w:after="0" w:line="108" w:lineRule="exact"/>
        <w:rPr>
          <w:sz w:val="20"/>
          <w:szCs w:val="20"/>
          <w:color w:val="auto"/>
        </w:rPr>
      </w:pPr>
    </w:p>
    <w:p>
      <w:pPr>
        <w:ind w:left="380" w:right="240" w:firstLine="534"/>
        <w:spacing w:after="0" w:line="261" w:lineRule="auto"/>
        <w:rPr>
          <w:sz w:val="20"/>
          <w:szCs w:val="20"/>
          <w:color w:val="auto"/>
        </w:rPr>
      </w:pPr>
      <w:r>
        <w:rPr>
          <w:rFonts w:ascii="Arial" w:cs="Arial" w:eastAsia="Arial" w:hAnsi="Arial"/>
          <w:sz w:val="17"/>
          <w:szCs w:val="17"/>
          <w:i w:val="1"/>
          <w:iCs w:val="1"/>
          <w:color w:val="auto"/>
        </w:rPr>
        <w:t xml:space="preserve">Offer Letters or Employment Agreements. </w:t>
      </w:r>
      <w:r>
        <w:rPr>
          <w:rFonts w:ascii="Arial" w:cs="Arial" w:eastAsia="Arial" w:hAnsi="Arial"/>
          <w:sz w:val="17"/>
          <w:szCs w:val="17"/>
          <w:color w:val="auto"/>
        </w:rPr>
        <w:t>We have entered into offer letters or employment agreements with all of our named</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officers. We designed these agreements to be part of a competitive compensation package and to keep our named executive officers focused on our business</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174</w:t>
      </w:r>
    </w:p>
    <w:p>
      <w:pPr>
        <w:sectPr>
          <w:pgSz w:w="11900" w:h="16838" w:orient="portrait"/>
          <w:cols w:equalWidth="0" w:num="1">
            <w:col w:w="11040"/>
          </w:cols>
          <w:pgMar w:left="240" w:top="449" w:right="61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40"/>
        <w:spacing w:after="0" w:line="244" w:lineRule="auto"/>
        <w:rPr>
          <w:sz w:val="20"/>
          <w:szCs w:val="20"/>
          <w:color w:val="auto"/>
        </w:rPr>
      </w:pPr>
      <w:r>
        <w:rPr>
          <w:rFonts w:ascii="Arial" w:cs="Arial" w:eastAsia="Arial" w:hAnsi="Arial"/>
          <w:sz w:val="17"/>
          <w:szCs w:val="17"/>
          <w:color w:val="auto"/>
        </w:rPr>
        <w:t>goals and objectives. These agreements provide for base salaries and incentive compensation, and each component reflects the scope of each named executive officer’s anticipated responsibilities and the individual experience they bring to the company. Each named executive officer is also eligible to participate in our employee benefit plans on the same terms as other regular, full-time employees. The employment of each of our named executive officers is “at will” and may be terminated at any time. In addition, each of our named executive officers has executed a form of our standard proprietary information and inventions agreement. The key terms of the offer letters or employment agreements are described below.</w:t>
      </w:r>
    </w:p>
    <w:p>
      <w:pPr>
        <w:spacing w:after="0" w:line="196" w:lineRule="exact"/>
        <w:rPr>
          <w:sz w:val="20"/>
          <w:szCs w:val="20"/>
          <w:color w:val="auto"/>
        </w:rPr>
      </w:pPr>
    </w:p>
    <w:p>
      <w:pPr>
        <w:ind w:left="380" w:right="140" w:firstLine="534"/>
        <w:spacing w:after="0" w:line="247" w:lineRule="auto"/>
        <w:rPr>
          <w:sz w:val="20"/>
          <w:szCs w:val="20"/>
          <w:color w:val="auto"/>
        </w:rPr>
      </w:pPr>
      <w:r>
        <w:rPr>
          <w:rFonts w:ascii="Arial" w:cs="Arial" w:eastAsia="Arial" w:hAnsi="Arial"/>
          <w:sz w:val="17"/>
          <w:szCs w:val="17"/>
          <w:color w:val="auto"/>
        </w:rPr>
        <w:t>We entered into an employment agreement with Dr. Woodhouse effective as of January 28, 2015. Pursuant to Dr. Woodhouse’s employment agreement, we agreed to an initial annual base salary of $300,000. We also agreed to grant Dr. Woodhouse options to purchase shares of our common stock, subject to approval by our board of directors. Dr. Woodhouse’s annual base salary was increased from $330,000 to $350,000 effective January 1, 2018.</w:t>
      </w:r>
    </w:p>
    <w:p>
      <w:pPr>
        <w:spacing w:after="0" w:line="19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On July 25, 2018, we entered into a new employment agreement with Dr. Woodhouse upon his promotion to Chief Executive</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Officer. Pursuant to Dr. Woodhouse’s new employment agreement, we agreed to increase his annual base salary from $350,000 to</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$475,000, effective July 1, 2018. We also agreed to grant Dr. Woodhouse options to purchase shares of our common stock, subject to</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approval by our board of directors.</w:t>
      </w:r>
    </w:p>
    <w:p>
      <w:pPr>
        <w:spacing w:after="0" w:line="210" w:lineRule="exact"/>
        <w:rPr>
          <w:sz w:val="20"/>
          <w:szCs w:val="20"/>
          <w:color w:val="auto"/>
        </w:rPr>
      </w:pPr>
    </w:p>
    <w:p>
      <w:pPr>
        <w:ind w:left="380" w:firstLine="534"/>
        <w:spacing w:after="0" w:line="247" w:lineRule="auto"/>
        <w:rPr>
          <w:sz w:val="20"/>
          <w:szCs w:val="20"/>
          <w:color w:val="auto"/>
        </w:rPr>
      </w:pPr>
      <w:r>
        <w:rPr>
          <w:rFonts w:ascii="Arial" w:cs="Arial" w:eastAsia="Arial" w:hAnsi="Arial"/>
          <w:sz w:val="17"/>
          <w:szCs w:val="17"/>
          <w:color w:val="auto"/>
        </w:rPr>
        <w:t>We entered into an employment agreement with Dr. Trombley effective as of April 28, 2011. Pursuant to Dr. Trombley’s employment agreement, we agreed to an initial annual base salary of $225,000. We also agreed to grant Dr. Trombley options to purchase share of our common stock, subject to approval by our board of directors. Dr. Trombley’s annual base salary was increased from $317,000 to $340,000 effective January 1, 2018.</w:t>
      </w:r>
    </w:p>
    <w:p>
      <w:pPr>
        <w:spacing w:after="0" w:line="190" w:lineRule="exact"/>
        <w:rPr>
          <w:sz w:val="20"/>
          <w:szCs w:val="20"/>
          <w:color w:val="auto"/>
        </w:rPr>
      </w:pPr>
    </w:p>
    <w:p>
      <w:pPr>
        <w:ind w:left="380" w:right="160" w:firstLine="534"/>
        <w:spacing w:after="0" w:line="247" w:lineRule="auto"/>
        <w:rPr>
          <w:sz w:val="20"/>
          <w:szCs w:val="20"/>
          <w:color w:val="auto"/>
        </w:rPr>
      </w:pPr>
      <w:r>
        <w:rPr>
          <w:rFonts w:ascii="Arial" w:cs="Arial" w:eastAsia="Arial" w:hAnsi="Arial"/>
          <w:sz w:val="17"/>
          <w:szCs w:val="17"/>
          <w:color w:val="auto"/>
        </w:rPr>
        <w:t>On July 25, 2018, we entered into a new employment agreement with Dr. Trombley upon her promotion to President and Chief Operating Officer. Pursuant to Dr. Trombley’s new employment agreement, we agreed to increase her annual base salary from $340,000 to $425,000, effective July 1, 2018. We also agreed to grant Dr. Trombley options to purchase shares of our common stock, subject to approval by our board of directors.</w:t>
      </w:r>
    </w:p>
    <w:p>
      <w:pPr>
        <w:spacing w:after="0" w:line="190" w:lineRule="exact"/>
        <w:rPr>
          <w:sz w:val="20"/>
          <w:szCs w:val="20"/>
          <w:color w:val="auto"/>
        </w:rPr>
      </w:pPr>
    </w:p>
    <w:p>
      <w:pPr>
        <w:ind w:left="380" w:right="160" w:firstLine="534"/>
        <w:spacing w:after="0" w:line="247" w:lineRule="auto"/>
        <w:rPr>
          <w:sz w:val="20"/>
          <w:szCs w:val="20"/>
          <w:color w:val="auto"/>
        </w:rPr>
      </w:pPr>
      <w:r>
        <w:rPr>
          <w:rFonts w:ascii="Arial" w:cs="Arial" w:eastAsia="Arial" w:hAnsi="Arial"/>
          <w:sz w:val="17"/>
          <w:szCs w:val="17"/>
          <w:color w:val="auto"/>
        </w:rPr>
        <w:t>We entered into an employment agreement with Mr. Rieflin effective as of September 30, 2010. Pursuant to Mr. Rieflin’s employment agreement, we agreed to an initial annual base salary of $400,000 and a hiring bonus of $100,000. We also agreed to grant to Mr. Rieflin options to purchase shares of our common stock, subject to approval by our board of directors. Mr. Rieflin’s annual base salary was increased from $545,000 to $575,000 effective January 1, 2018.</w:t>
      </w:r>
    </w:p>
    <w:p>
      <w:pPr>
        <w:spacing w:after="0" w:line="190" w:lineRule="exact"/>
        <w:rPr>
          <w:sz w:val="20"/>
          <w:szCs w:val="20"/>
          <w:color w:val="auto"/>
        </w:rPr>
      </w:pPr>
    </w:p>
    <w:p>
      <w:pPr>
        <w:ind w:left="380" w:right="120" w:firstLine="534"/>
        <w:spacing w:after="0" w:line="245" w:lineRule="auto"/>
        <w:rPr>
          <w:sz w:val="20"/>
          <w:szCs w:val="20"/>
          <w:color w:val="auto"/>
        </w:rPr>
      </w:pPr>
      <w:r>
        <w:rPr>
          <w:rFonts w:ascii="Arial" w:cs="Arial" w:eastAsia="Arial" w:hAnsi="Arial"/>
          <w:sz w:val="17"/>
          <w:szCs w:val="17"/>
          <w:color w:val="auto"/>
        </w:rPr>
        <w:t>We entered into an employment offer letter with Dr. Chen on January 7, 2008. Dr. Chen resigned from his position as President on October 31, 2014, but remained as Chief Scientific Officer. Pursuant to Dr. Chen’s employment offer letter, we agreed to an initial annual base salary of $300,000 and a hiring bonus of $50,000. We also agreed to grant to Dr. Chen founder’s shares of our common stock, subject to approval by our board of directors. Dr. Chen’s annual base salary was increased from $460,000 to $485,000 effective January 1, 2018.</w:t>
      </w:r>
    </w:p>
    <w:p>
      <w:pPr>
        <w:spacing w:after="0" w:line="200" w:lineRule="exact"/>
        <w:rPr>
          <w:sz w:val="20"/>
          <w:szCs w:val="20"/>
          <w:color w:val="auto"/>
        </w:rPr>
      </w:pPr>
    </w:p>
    <w:p>
      <w:pPr>
        <w:spacing w:after="0" w:line="27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Potential Payments Upon Termination or Change of Control</w:t>
      </w:r>
    </w:p>
    <w:p>
      <w:pPr>
        <w:spacing w:after="0" w:line="126" w:lineRule="exact"/>
        <w:rPr>
          <w:sz w:val="20"/>
          <w:szCs w:val="20"/>
          <w:color w:val="auto"/>
        </w:rPr>
      </w:pPr>
    </w:p>
    <w:p>
      <w:pPr>
        <w:jc w:val="both"/>
        <w:ind w:left="380" w:right="180" w:firstLine="534"/>
        <w:spacing w:after="0" w:line="250" w:lineRule="auto"/>
        <w:rPr>
          <w:sz w:val="20"/>
          <w:szCs w:val="20"/>
          <w:color w:val="auto"/>
        </w:rPr>
      </w:pPr>
      <w:r>
        <w:rPr>
          <w:rFonts w:ascii="Arial" w:cs="Arial" w:eastAsia="Arial" w:hAnsi="Arial"/>
          <w:sz w:val="17"/>
          <w:szCs w:val="17"/>
          <w:color w:val="auto"/>
        </w:rPr>
        <w:t>The employment agreements with Drs. Woodhouse and Trombley and Mr. Rieflin described above under “—Agreements with our Named Executive Officers” contain severance benefits. These severance benefits provide that, in the event we terminate the executive’s employment without “cause,”</w:t>
      </w:r>
    </w:p>
    <w:p>
      <w:pPr>
        <w:spacing w:after="0" w:line="12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175</w:t>
      </w:r>
    </w:p>
    <w:p>
      <w:pPr>
        <w:sectPr>
          <w:pgSz w:w="11900" w:h="16838" w:orient="portrait"/>
          <w:cols w:equalWidth="0" w:num="1">
            <w:col w:w="11060"/>
          </w:cols>
          <w:pgMar w:left="240" w:top="449" w:right="59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60"/>
        <w:spacing w:after="0" w:line="247" w:lineRule="auto"/>
        <w:rPr>
          <w:sz w:val="20"/>
          <w:szCs w:val="20"/>
          <w:color w:val="auto"/>
        </w:rPr>
      </w:pPr>
      <w:r>
        <w:rPr>
          <w:rFonts w:ascii="Arial" w:cs="Arial" w:eastAsia="Arial" w:hAnsi="Arial"/>
          <w:sz w:val="17"/>
          <w:szCs w:val="17"/>
          <w:color w:val="auto"/>
        </w:rPr>
        <w:t>or he or she resigns for “good reason,” each as defined in the employment agreement, on or within 18 months following a change in control of the company, the named executive officer will be entitled to receive the severance benefits described below. These severance benefits are subject to the named executive officer executing a general release of claims in favor of us, and complying with his obligations under the proprietary information and inventions agreement entered into with us.</w:t>
      </w:r>
    </w:p>
    <w:p>
      <w:pPr>
        <w:spacing w:after="0" w:line="170" w:lineRule="exact"/>
        <w:rPr>
          <w:sz w:val="20"/>
          <w:szCs w:val="20"/>
          <w:color w:val="auto"/>
        </w:rPr>
      </w:pPr>
    </w:p>
    <w:p>
      <w:pPr>
        <w:ind w:left="900"/>
        <w:spacing w:after="0"/>
        <w:tabs>
          <w:tab w:leader="none" w:pos="3340" w:val="left"/>
        </w:tabs>
        <w:rPr>
          <w:sz w:val="20"/>
          <w:szCs w:val="20"/>
          <w:color w:val="auto"/>
        </w:rPr>
      </w:pPr>
      <w:r>
        <w:rPr>
          <w:rFonts w:ascii="Arial" w:cs="Arial" w:eastAsia="Arial" w:hAnsi="Arial"/>
          <w:sz w:val="17"/>
          <w:szCs w:val="17"/>
          <w:b w:val="1"/>
          <w:bCs w:val="1"/>
          <w:i w:val="1"/>
          <w:iCs w:val="1"/>
          <w:color w:val="auto"/>
        </w:rPr>
        <w:t>David J. Woodhouse, Ph.D.</w:t>
      </w:r>
      <w:r>
        <w:rPr>
          <w:sz w:val="20"/>
          <w:szCs w:val="20"/>
          <w:color w:val="auto"/>
        </w:rPr>
        <w:tab/>
      </w:r>
      <w:r>
        <w:rPr>
          <w:rFonts w:ascii="Arial" w:cs="Arial" w:eastAsia="Arial" w:hAnsi="Arial"/>
          <w:sz w:val="17"/>
          <w:szCs w:val="17"/>
          <w:color w:val="auto"/>
        </w:rPr>
        <w:t>In the event of a qualifying termination following a change in control, Dr. Woodhouse will be entitled</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to: (i) payments equal to 12 months of his base salary, as in effect on the date of his termination payable in substantially equal installments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accordance with our normal payroll policies then in effect, less applicable withholdings, with such installments to commence on the first</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payroll period following the later of the date of his termination and the effective date of his general release of claims; (ii) acceleration of any</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unvested shares subject to outstanding equity awards held by Dr. Woodhouse on the date of his termination; and (iii) if elected by</w:t>
      </w:r>
    </w:p>
    <w:p>
      <w:pPr>
        <w:spacing w:after="0" w:line="1" w:lineRule="exact"/>
        <w:rPr>
          <w:sz w:val="20"/>
          <w:szCs w:val="20"/>
          <w:color w:val="auto"/>
        </w:rPr>
      </w:pPr>
    </w:p>
    <w:p>
      <w:pPr>
        <w:ind w:left="380"/>
        <w:spacing w:after="0" w:line="258" w:lineRule="auto"/>
        <w:rPr>
          <w:sz w:val="20"/>
          <w:szCs w:val="20"/>
          <w:color w:val="auto"/>
        </w:rPr>
      </w:pPr>
      <w:r>
        <w:rPr>
          <w:rFonts w:ascii="Arial" w:cs="Arial" w:eastAsia="Arial" w:hAnsi="Arial"/>
          <w:sz w:val="17"/>
          <w:szCs w:val="17"/>
          <w:color w:val="auto"/>
        </w:rPr>
        <w:t>Dr. Woodhouse, payment or reimbursement of COBRA premiums through the earlier of 12 months from his termination date or the date he and his covered dependents, if any, cease to be eligible for such continued coverage.</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 xml:space="preserve">Aetna Wun Trombley, Ph.D. </w:t>
      </w:r>
      <w:r>
        <w:rPr>
          <w:rFonts w:ascii="Arial" w:cs="Arial" w:eastAsia="Arial" w:hAnsi="Arial"/>
          <w:sz w:val="17"/>
          <w:szCs w:val="17"/>
          <w:color w:val="auto"/>
        </w:rPr>
        <w:t>In the event of a qualifying termination following a change in control, Dr. Trombley will be entitled to:</w:t>
      </w:r>
    </w:p>
    <w:p>
      <w:pPr>
        <w:spacing w:after="0" w:line="21" w:lineRule="exact"/>
        <w:rPr>
          <w:sz w:val="20"/>
          <w:szCs w:val="20"/>
          <w:color w:val="auto"/>
        </w:rPr>
      </w:pPr>
    </w:p>
    <w:p>
      <w:pPr>
        <w:ind w:left="380" w:right="100" w:hanging="9"/>
        <w:spacing w:after="0" w:line="244" w:lineRule="auto"/>
        <w:tabs>
          <w:tab w:leader="none" w:pos="584" w:val="left"/>
        </w:tabs>
        <w:numPr>
          <w:ilvl w:val="0"/>
          <w:numId w:val="78"/>
        </w:numPr>
        <w:rPr>
          <w:rFonts w:ascii="Arial" w:cs="Arial" w:eastAsia="Arial" w:hAnsi="Arial"/>
          <w:sz w:val="17"/>
          <w:szCs w:val="17"/>
          <w:color w:val="auto"/>
        </w:rPr>
      </w:pPr>
      <w:r>
        <w:rPr>
          <w:rFonts w:ascii="Arial" w:cs="Arial" w:eastAsia="Arial" w:hAnsi="Arial"/>
          <w:sz w:val="17"/>
          <w:szCs w:val="17"/>
          <w:color w:val="auto"/>
        </w:rPr>
        <w:t>payments equal to 9 months of her base salary, as in effect on the date of her termination payable in substantially equal installments in accordance with our normal payroll policies then in effect, less applicable withholdings, with such installments to commence on the first payroll period following the later of the date of her termination and the effective date of her general release of claims; (ii) acceleration of any unvested shares subject to outstanding equity awards held by Dr. Trombley on the date of her termination; and (iii) if elected by Dr. Trombley payment or reimbursement of COBRA premiums through the earlier of 9 months from her termination date or the date she and her covered dependents, if any, cease to be eligible for such continued coverage.</w:t>
      </w:r>
    </w:p>
    <w:p>
      <w:pPr>
        <w:spacing w:after="0" w:line="176" w:lineRule="exact"/>
        <w:rPr>
          <w:sz w:val="20"/>
          <w:szCs w:val="20"/>
          <w:color w:val="auto"/>
        </w:rPr>
      </w:pPr>
    </w:p>
    <w:p>
      <w:pPr>
        <w:ind w:left="380" w:right="100" w:firstLine="534"/>
        <w:spacing w:after="0" w:line="248" w:lineRule="auto"/>
        <w:rPr>
          <w:sz w:val="20"/>
          <w:szCs w:val="20"/>
          <w:color w:val="auto"/>
        </w:rPr>
      </w:pPr>
      <w:r>
        <w:rPr>
          <w:rFonts w:ascii="Arial" w:cs="Arial" w:eastAsia="Arial" w:hAnsi="Arial"/>
          <w:sz w:val="17"/>
          <w:szCs w:val="17"/>
          <w:b w:val="1"/>
          <w:bCs w:val="1"/>
          <w:i w:val="1"/>
          <w:iCs w:val="1"/>
          <w:color w:val="auto"/>
        </w:rPr>
        <w:t xml:space="preserve">William J. Rieflin. </w:t>
      </w:r>
      <w:r>
        <w:rPr>
          <w:rFonts w:ascii="Arial" w:cs="Arial" w:eastAsia="Arial" w:hAnsi="Arial"/>
          <w:sz w:val="17"/>
          <w:szCs w:val="17"/>
          <w:color w:val="auto"/>
        </w:rPr>
        <w:t>In the event of a qualifying termination following a change in control, Mr. Rieflin will be entitled to: (i) payments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equal to 12 months of his base salary, as in effect on the date of his termination payable in substantially equal installments in accordance with our normal payroll policies then in effect, less applicable withholdings, with such installments to commence on the first payroll period following the later of the date of his termination and the effective date of his general release of claims; (ii) acceleration of any unvested shares subject to outstanding equity awards held by Mr. Rieflin on the date of his termination; and (iii) if elected by Mr. Rieflin, payment or reimbursement of COBRA premiums through the earlier of 12 months from his termination date or the date he and his covered dependents, if any, cease to be eligible for such continued coverage.</w:t>
      </w:r>
    </w:p>
    <w:p>
      <w:pPr>
        <w:spacing w:after="0" w:line="19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In addition, Mr. Rieflin’s employment agreement provides that in the event that the severance and other benefits provided for or</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otherwise payable to him constitute “parachute payments” within the meaning of Section 280G of the Code and are subject to the excise</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tax imposed by Section 4999 of the Code, and either the holders of at least 75% of the voting power of our capital stock as of</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September 30, 2010 do not still hold at least 75% of such voting power at the time of any proposed stockholder vote to approve parachute</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payments, or our board of directors does not recommend approval of such parachute payments, then Mr. Rieflin may be entitled to receive</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an additional tax gross-up payment with respect to such federal excise tax obligations. Our obligation to provide such tax gross-up</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payment will be terminated once we are a reporting company under the Exchange Act.</w:t>
      </w:r>
    </w:p>
    <w:p>
      <w:pPr>
        <w:spacing w:after="0" w:line="293"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Equity Incentive Plans</w:t>
      </w:r>
    </w:p>
    <w:p>
      <w:pPr>
        <w:spacing w:after="0" w:line="232" w:lineRule="exact"/>
        <w:rPr>
          <w:sz w:val="20"/>
          <w:szCs w:val="20"/>
          <w:color w:val="auto"/>
        </w:rPr>
      </w:pPr>
    </w:p>
    <w:p>
      <w:pPr>
        <w:ind w:left="380" w:right="540" w:firstLine="534"/>
        <w:spacing w:after="0" w:line="258" w:lineRule="auto"/>
        <w:rPr>
          <w:sz w:val="20"/>
          <w:szCs w:val="20"/>
          <w:color w:val="auto"/>
        </w:rPr>
      </w:pPr>
      <w:r>
        <w:rPr>
          <w:rFonts w:ascii="Arial" w:cs="Arial" w:eastAsia="Arial" w:hAnsi="Arial"/>
          <w:sz w:val="17"/>
          <w:szCs w:val="17"/>
          <w:color w:val="auto"/>
        </w:rPr>
        <w:t>The principal features of our equity incentive plans are summarized below. These summaries are qualified in their entirety by reference to the actual text of the plans, which are filed as exhibits to the registration statement of which this prospectus is a part.</w:t>
      </w:r>
    </w:p>
    <w:p>
      <w:pPr>
        <w:spacing w:after="0" w:line="1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176</w:t>
      </w:r>
    </w:p>
    <w:p>
      <w:pPr>
        <w:sectPr>
          <w:pgSz w:w="11900" w:h="16838" w:orient="portrait"/>
          <w:cols w:equalWidth="0" w:num="1">
            <w:col w:w="11040"/>
          </w:cols>
          <w:pgMar w:left="240" w:top="449" w:right="61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Amended and Restated 2018 Equity Incentive Plan</w:t>
      </w:r>
    </w:p>
    <w:p>
      <w:pPr>
        <w:spacing w:after="0" w:line="126" w:lineRule="exact"/>
        <w:rPr>
          <w:sz w:val="20"/>
          <w:szCs w:val="20"/>
          <w:color w:val="auto"/>
        </w:rPr>
      </w:pPr>
    </w:p>
    <w:p>
      <w:pPr>
        <w:ind w:left="380" w:right="220" w:firstLine="534"/>
        <w:spacing w:after="0" w:line="250" w:lineRule="auto"/>
        <w:rPr>
          <w:sz w:val="20"/>
          <w:szCs w:val="20"/>
          <w:color w:val="auto"/>
        </w:rPr>
      </w:pPr>
      <w:r>
        <w:rPr>
          <w:rFonts w:ascii="Arial" w:cs="Arial" w:eastAsia="Arial" w:hAnsi="Arial"/>
          <w:sz w:val="17"/>
          <w:szCs w:val="17"/>
          <w:color w:val="auto"/>
        </w:rPr>
        <w:t>In January 2018 our board of directors adopted, and in May 2018, our stockholders approved, our 2018 Plan. In March 2019, our board of directors and our stockholders approved the amendment and restatement of our 2018 Plan, or the Restated 2018 Plan, in anticipation of becoming a publicly traded company and which will become effective upon the completion of this offering.</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Types of Awards; Eligibility</w:t>
      </w:r>
    </w:p>
    <w:p>
      <w:pPr>
        <w:spacing w:after="0" w:line="124" w:lineRule="exact"/>
        <w:rPr>
          <w:sz w:val="20"/>
          <w:szCs w:val="20"/>
          <w:color w:val="auto"/>
        </w:rPr>
      </w:pPr>
    </w:p>
    <w:p>
      <w:pPr>
        <w:ind w:left="380" w:right="300" w:firstLine="534"/>
        <w:spacing w:after="0" w:line="245" w:lineRule="auto"/>
        <w:rPr>
          <w:sz w:val="20"/>
          <w:szCs w:val="20"/>
          <w:color w:val="auto"/>
        </w:rPr>
      </w:pPr>
      <w:r>
        <w:rPr>
          <w:rFonts w:ascii="Arial" w:cs="Arial" w:eastAsia="Arial" w:hAnsi="Arial"/>
          <w:sz w:val="17"/>
          <w:szCs w:val="17"/>
          <w:color w:val="auto"/>
        </w:rPr>
        <w:t>The Restated 2018 Plan provides for the grant of incentive stock options, nonstatutory stock options, stock appreciation rights, restricted stock awards, restricted stock unit awards, performance-based stock awards, and other forms of equity-based awards, all of which may be granted to employees, including officers, non-employee directors and consultants of us and our affiliates. Incentive stock options may be granted only to employees. All other awards may be granted to employees, including officers, and to non-employee directors and consultants.</w:t>
      </w:r>
    </w:p>
    <w:p>
      <w:pPr>
        <w:spacing w:after="0" w:line="281"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Share Reserve</w:t>
      </w:r>
    </w:p>
    <w:p>
      <w:pPr>
        <w:spacing w:after="0" w:line="124" w:lineRule="exact"/>
        <w:rPr>
          <w:sz w:val="20"/>
          <w:szCs w:val="20"/>
          <w:color w:val="auto"/>
        </w:rPr>
      </w:pPr>
    </w:p>
    <w:p>
      <w:pPr>
        <w:ind w:left="380" w:right="240" w:firstLine="534"/>
        <w:spacing w:after="0" w:line="247" w:lineRule="auto"/>
        <w:rPr>
          <w:sz w:val="20"/>
          <w:szCs w:val="20"/>
          <w:color w:val="auto"/>
        </w:rPr>
      </w:pPr>
      <w:r>
        <w:rPr>
          <w:rFonts w:ascii="Arial" w:cs="Arial" w:eastAsia="Arial" w:hAnsi="Arial"/>
          <w:sz w:val="17"/>
          <w:szCs w:val="17"/>
          <w:color w:val="auto"/>
        </w:rPr>
        <w:t>Initially, we have reserved 17,874,624 shares of our common stock for issuance pursuant to the Restated 2018 Plan, subject to certain adjustments set forth in the plan, including any shares of common stock subject to awards outstanding under the 2008 Plan that terminate by expiration, forfeiture, cancellation or otherwise without the issuance of such shares, up to a maximum of 8,441,785 shares, are added to 2018 Plan share reserve.</w:t>
      </w:r>
    </w:p>
    <w:p>
      <w:pPr>
        <w:spacing w:after="0" w:line="190" w:lineRule="exact"/>
        <w:rPr>
          <w:sz w:val="20"/>
          <w:szCs w:val="20"/>
          <w:color w:val="auto"/>
        </w:rPr>
      </w:pPr>
    </w:p>
    <w:p>
      <w:pPr>
        <w:ind w:left="380" w:right="20" w:firstLine="534"/>
        <w:spacing w:after="0" w:line="244" w:lineRule="auto"/>
        <w:rPr>
          <w:sz w:val="20"/>
          <w:szCs w:val="20"/>
          <w:color w:val="auto"/>
        </w:rPr>
      </w:pPr>
      <w:r>
        <w:rPr>
          <w:rFonts w:ascii="Arial" w:cs="Arial" w:eastAsia="Arial" w:hAnsi="Arial"/>
          <w:sz w:val="17"/>
          <w:szCs w:val="17"/>
          <w:color w:val="auto"/>
        </w:rPr>
        <w:t>The number of shares available for issuance under the Restated 2018 Plan will automatically increase on January 1st of each calendar year for ten years, starting on January 1, 2019 (assuming the Restated 2018 Plan becomes effective in calendar year 2019) and ending on and including January 1, 2028, in an amount equal to 4.0% of the total number of issued and outstanding shares of our common stock as of December 31 of the immediately preceding year, or a lesser number of shares determined by our board of directors. The maximum number of shares of our common stock that may be issued upon the exercise of incentive stock options under our Restated 2018 Plan is 36,000,000 shares.</w:t>
      </w:r>
    </w:p>
    <w:p>
      <w:pPr>
        <w:spacing w:after="0" w:line="196"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Shares subject to awards granted under our Restated 2018 Plan that expire or terminate without being exercised in full, or that are paid out in cash rather than in shares, do not reduce the number of shares available for issuance under our Restated 2018 Plan. Additionally, shares become available for future grant under our Restated 2018 Plan if they were issued under our Restated 2018 Plan and we repurchase them or they are forfeited because they fail to vest. Shares used to pay the exercise price of a stock award or to satisfy the tax withholding obligations related to an award are also returned to the Restated 2018 Plan and become available for future grant. Shares issued under the Restated 2018 Plan may be previously unissued shares or reacquired shares bought by us on the open market.</w:t>
      </w:r>
    </w:p>
    <w:p>
      <w:pPr>
        <w:spacing w:after="0" w:line="196" w:lineRule="exact"/>
        <w:rPr>
          <w:sz w:val="20"/>
          <w:szCs w:val="20"/>
          <w:color w:val="auto"/>
        </w:rPr>
      </w:pPr>
    </w:p>
    <w:p>
      <w:pPr>
        <w:ind w:left="380" w:right="180" w:firstLine="534"/>
        <w:spacing w:after="0" w:line="250" w:lineRule="auto"/>
        <w:rPr>
          <w:sz w:val="20"/>
          <w:szCs w:val="20"/>
          <w:color w:val="auto"/>
        </w:rPr>
      </w:pPr>
      <w:r>
        <w:rPr>
          <w:rFonts w:ascii="Arial" w:cs="Arial" w:eastAsia="Arial" w:hAnsi="Arial"/>
          <w:sz w:val="17"/>
          <w:szCs w:val="17"/>
          <w:color w:val="auto"/>
        </w:rPr>
        <w:t>As of December 31, 2018, options to purchase a total of 2,591,630 shares of common stock at a weighted average exercise price of $9.42 were issued and outstanding under the 2018 Plan and 6,287 shares of common stock had been issued upon the exercise of options granted under the 2018 Plan.</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Administration</w:t>
      </w:r>
    </w:p>
    <w:p>
      <w:pPr>
        <w:spacing w:after="0" w:line="124" w:lineRule="exact"/>
        <w:rPr>
          <w:sz w:val="20"/>
          <w:szCs w:val="20"/>
          <w:color w:val="auto"/>
        </w:rPr>
      </w:pPr>
    </w:p>
    <w:p>
      <w:pPr>
        <w:ind w:left="380" w:right="200" w:firstLine="534"/>
        <w:spacing w:after="0" w:line="245" w:lineRule="auto"/>
        <w:rPr>
          <w:sz w:val="20"/>
          <w:szCs w:val="20"/>
          <w:color w:val="auto"/>
        </w:rPr>
      </w:pPr>
      <w:r>
        <w:rPr>
          <w:rFonts w:ascii="Arial" w:cs="Arial" w:eastAsia="Arial" w:hAnsi="Arial"/>
          <w:sz w:val="17"/>
          <w:szCs w:val="17"/>
          <w:color w:val="auto"/>
        </w:rPr>
        <w:t>Our board of directors, or a duly authorized committee thereof, has the authority to administer the Restated 2018 Plan. Our board has delegated concurrent authority to administer our Restated 2018 Plan to the compensation committee under the terms of the compensation committee’s charter. Our board of directors may also delegate to one or more of our officers the authority to designate employees (other than other officers) to be recipients of certain awards, and determine the number of shares of common stock to be subject to such awards.</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177</w:t>
      </w:r>
    </w:p>
    <w:p>
      <w:pPr>
        <w:sectPr>
          <w:pgSz w:w="11900" w:h="16838" w:orient="portrait"/>
          <w:cols w:equalWidth="0" w:num="1">
            <w:col w:w="11060"/>
          </w:cols>
          <w:pgMar w:left="240" w:top="449" w:right="59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280" w:firstLine="534"/>
        <w:spacing w:after="0" w:line="247" w:lineRule="auto"/>
        <w:rPr>
          <w:sz w:val="20"/>
          <w:szCs w:val="20"/>
          <w:color w:val="auto"/>
        </w:rPr>
      </w:pPr>
      <w:r>
        <w:rPr>
          <w:rFonts w:ascii="Arial" w:cs="Arial" w:eastAsia="Arial" w:hAnsi="Arial"/>
          <w:sz w:val="17"/>
          <w:szCs w:val="17"/>
          <w:color w:val="auto"/>
        </w:rPr>
        <w:t>Subject to the terms of the Restated 2018 Plan, the plan administrator has the authority in its discretion to, among other things, select recipients of awards, determine the number of shares, terms and conditions and forms of agreement related to awards, construe and interpret terms of the plan and awards, and prescribe, amend and rescind rules related to the plan. All actions of the plan administrator will be final and binding on all persons.</w:t>
      </w:r>
    </w:p>
    <w:p>
      <w:pPr>
        <w:spacing w:after="0" w:line="190" w:lineRule="exact"/>
        <w:rPr>
          <w:sz w:val="20"/>
          <w:szCs w:val="20"/>
          <w:color w:val="auto"/>
        </w:rPr>
      </w:pPr>
    </w:p>
    <w:p>
      <w:pPr>
        <w:ind w:left="380" w:right="260" w:firstLine="534"/>
        <w:spacing w:after="0" w:line="247" w:lineRule="auto"/>
        <w:rPr>
          <w:sz w:val="20"/>
          <w:szCs w:val="20"/>
          <w:color w:val="auto"/>
        </w:rPr>
      </w:pPr>
      <w:r>
        <w:rPr>
          <w:rFonts w:ascii="Arial" w:cs="Arial" w:eastAsia="Arial" w:hAnsi="Arial"/>
          <w:sz w:val="17"/>
          <w:szCs w:val="17"/>
          <w:color w:val="auto"/>
        </w:rPr>
        <w:t>The plan administrator also has the authority to modify outstanding awards under our Restated 2018 Plan, and to reduce the exercise, purchase or strike price of any outstanding award, cancel any outstanding award in exchange for a new award, cash or other consideration, or take any other action that is treated as a repricing under generally accepted accounting principles, with the consent of any adversely affected participant.</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Options</w:t>
      </w:r>
    </w:p>
    <w:p>
      <w:pPr>
        <w:spacing w:after="0" w:line="124"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The Restated 2018 Plan authorizes the plan administrator to grant incentive stock options (under Section 421 of the Code) and options that do not qualify as incentive stock options, or nonstatutory stock options. The plan administrator will determine the exercise price of each option, provided that the price generally will be equal to at least 100% of the fair market value of the shares of common stock on the date on which the option is granted. Options granted under the Restated 2018 Plan vest at the rate specified by the plan administrator. Options may have a maximum term of up to 10 years from the date of grant, subject to earlier expiration following the cessation of a participant’s continuous service with us, as provided in the 2018 Plan and the specific award agreement.</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Tax Limitations On Incentive Stock Options</w:t>
      </w:r>
    </w:p>
    <w:p>
      <w:pPr>
        <w:spacing w:after="0" w:line="124" w:lineRule="exact"/>
        <w:rPr>
          <w:sz w:val="20"/>
          <w:szCs w:val="20"/>
          <w:color w:val="auto"/>
        </w:rPr>
      </w:pPr>
    </w:p>
    <w:p>
      <w:pPr>
        <w:ind w:left="380" w:right="60" w:firstLine="534"/>
        <w:spacing w:after="0" w:line="244" w:lineRule="auto"/>
        <w:rPr>
          <w:sz w:val="20"/>
          <w:szCs w:val="20"/>
          <w:color w:val="auto"/>
        </w:rPr>
      </w:pPr>
      <w:r>
        <w:rPr>
          <w:rFonts w:ascii="Arial" w:cs="Arial" w:eastAsia="Arial" w:hAnsi="Arial"/>
          <w:sz w:val="17"/>
          <w:szCs w:val="17"/>
          <w:color w:val="auto"/>
        </w:rPr>
        <w:t>The aggregate fair market value, determined at the time of grant, of our common stock with respect to incentive stock options that are exercisable for the first time by a participant during any calendar year under all of our stock plans may not exceed $100,000. We will generally treat options or portions thereof that exceed such limit as nonstatutory stock options. No incentive stock option may be granted to any person who, at the time of the grant, owns or is deemed to own stock possessing more than 10% of our total combined voting power or that of any of our affiliates unless (1) the option exercise price is at least 110% of the fair market value of the stock subject to the option on the date of grant, and (2) the term of the incentive stock option does not exceed five years from the date of grant.</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Restricted Stock Awards</w:t>
      </w:r>
    </w:p>
    <w:p>
      <w:pPr>
        <w:spacing w:after="0" w:line="124" w:lineRule="exact"/>
        <w:rPr>
          <w:sz w:val="20"/>
          <w:szCs w:val="20"/>
          <w:color w:val="auto"/>
        </w:rPr>
      </w:pPr>
    </w:p>
    <w:p>
      <w:pPr>
        <w:ind w:left="380" w:right="80" w:firstLine="534"/>
        <w:spacing w:after="0" w:line="243" w:lineRule="auto"/>
        <w:rPr>
          <w:sz w:val="20"/>
          <w:szCs w:val="20"/>
          <w:color w:val="auto"/>
        </w:rPr>
      </w:pPr>
      <w:r>
        <w:rPr>
          <w:rFonts w:ascii="Arial" w:cs="Arial" w:eastAsia="Arial" w:hAnsi="Arial"/>
          <w:sz w:val="17"/>
          <w:szCs w:val="17"/>
          <w:color w:val="auto"/>
        </w:rPr>
        <w:t>A restricted stock award is an award of shares of common stock that may, but need not, be subject to restrictions on transferability and other restrictions as the plan administrator determines in its sole discretion on the date of grant. The restrictions, if any, may lapse over a specified period of time or through the satisfaction of conditions, in installments or otherwise, as the plan administrator may determine. A participant who receives a restricted stock award will have all of the rights of a stockholder as to those shares, including the right to vote and the right to receive dividends or distributions on the shares, except that the board of directors may require any dividends to be reinvested in shares. During the period, if any, when stock awards are non-transferable or forfeitable, a participant is prohibited from selling, transferring, assigning, pledging or otherwise encumbering or disposing of his or her award shares. Except as otherwise provided in the applicable award agreement, restricted stock awards that have not vested may be forfeited or repurchased by us upon the participant’s cessation of continuous service for any reason.</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Restricted Stock Units</w:t>
      </w:r>
    </w:p>
    <w:p>
      <w:pPr>
        <w:spacing w:after="0" w:line="124" w:lineRule="exact"/>
        <w:rPr>
          <w:sz w:val="20"/>
          <w:szCs w:val="20"/>
          <w:color w:val="auto"/>
        </w:rPr>
      </w:pPr>
    </w:p>
    <w:p>
      <w:pPr>
        <w:ind w:left="380" w:right="20" w:firstLine="534"/>
        <w:spacing w:after="0" w:line="258" w:lineRule="auto"/>
        <w:rPr>
          <w:sz w:val="20"/>
          <w:szCs w:val="20"/>
          <w:color w:val="auto"/>
        </w:rPr>
      </w:pPr>
      <w:r>
        <w:rPr>
          <w:rFonts w:ascii="Arial" w:cs="Arial" w:eastAsia="Arial" w:hAnsi="Arial"/>
          <w:sz w:val="17"/>
          <w:szCs w:val="17"/>
          <w:color w:val="auto"/>
        </w:rPr>
        <w:t>Restricted stock units represent the participant’s right to receive a compensation amount, based on the value of our common stock, if the vesting criteria established by the plan administrator are met.</w:t>
      </w:r>
    </w:p>
    <w:p>
      <w:pPr>
        <w:spacing w:after="0" w:line="11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178</w:t>
      </w:r>
    </w:p>
    <w:p>
      <w:pPr>
        <w:sectPr>
          <w:pgSz w:w="11900" w:h="16838" w:orient="portrait"/>
          <w:cols w:equalWidth="0" w:num="1">
            <w:col w:w="11040"/>
          </w:cols>
          <w:pgMar w:left="240" w:top="449" w:right="619" w:bottom="1440" w:gutter="0" w:footer="0" w:header="0"/>
        </w:sectPr>
      </w:pPr>
    </w:p>
    <w:bookmarkStart w:id="181" w:name="page182"/>
    <w:bookmarkEnd w:id="1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jc w:val="both"/>
        <w:ind w:left="380"/>
        <w:spacing w:after="0" w:line="245" w:lineRule="auto"/>
        <w:rPr>
          <w:sz w:val="20"/>
          <w:szCs w:val="20"/>
          <w:color w:val="auto"/>
        </w:rPr>
      </w:pPr>
      <w:r>
        <w:rPr>
          <w:rFonts w:ascii="Arial" w:cs="Arial" w:eastAsia="Arial" w:hAnsi="Arial"/>
          <w:sz w:val="17"/>
          <w:szCs w:val="17"/>
          <w:color w:val="auto"/>
        </w:rPr>
        <w:t>We may issue restricted stock unit awards that settle on vesting in cash, delivery of shares of common stock, a combination of cash and stock, as deemed appropriate by the plan administrator and provided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281"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Stock Appreciation Rights</w:t>
      </w:r>
    </w:p>
    <w:p>
      <w:pPr>
        <w:spacing w:after="0" w:line="124"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Stock appreciation rights provide the participant with the right to receive, upon exercise of the stock appreciation right, cash, shares of common stock or a combination of cash and stock. The plan administrator determines the strike price for a stock appreciation right, which generally cannot be less than 100% of the fair market value of our common stock on the date of grant. Upon the exercise of a stock appreciation right, we will pay the participant an amount equal to the product of (1) the excess of the per share fair market value of our common stock on the date of exercise over the strike price, multiplied by (2) the number of shares of common stock with respect to which the stock appreciation right is exercised. A stock appreciation right granted under the Restated 2018 Plan vests at the rate specified in the stock appreciation right agreement as determined by the plan administrator. Stock appreciation rights may have a maximum term of up to 10 years, subject to earlier expiration following the cessation of a participant’s continuous service with us, as provided in the Restated 2018 Plan and the specific award agreement.</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Performance Awards</w:t>
      </w:r>
    </w:p>
    <w:p>
      <w:pPr>
        <w:spacing w:after="0" w:line="124" w:lineRule="exact"/>
        <w:rPr>
          <w:sz w:val="20"/>
          <w:szCs w:val="20"/>
          <w:color w:val="auto"/>
        </w:rPr>
      </w:pPr>
    </w:p>
    <w:p>
      <w:pPr>
        <w:ind w:left="380" w:right="200" w:firstLine="534"/>
        <w:spacing w:after="0" w:line="258" w:lineRule="auto"/>
        <w:rPr>
          <w:sz w:val="20"/>
          <w:szCs w:val="20"/>
          <w:color w:val="auto"/>
        </w:rPr>
      </w:pPr>
      <w:r>
        <w:rPr>
          <w:rFonts w:ascii="Arial" w:cs="Arial" w:eastAsia="Arial" w:hAnsi="Arial"/>
          <w:sz w:val="17"/>
          <w:szCs w:val="17"/>
          <w:color w:val="auto"/>
        </w:rPr>
        <w:t>The Restated 2018 Plan permits the grant of awards that vest (or are eligible to vest) in whole or in part upon the achievement of certain pre-established performance goals during a designated performance period.</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Other Equity-Based Awards</w:t>
      </w:r>
    </w:p>
    <w:p>
      <w:pPr>
        <w:spacing w:after="0" w:line="124" w:lineRule="exact"/>
        <w:rPr>
          <w:sz w:val="20"/>
          <w:szCs w:val="20"/>
          <w:color w:val="auto"/>
        </w:rPr>
      </w:pPr>
    </w:p>
    <w:p>
      <w:pPr>
        <w:ind w:left="380" w:right="220" w:firstLine="534"/>
        <w:spacing w:after="0" w:line="247" w:lineRule="auto"/>
        <w:rPr>
          <w:sz w:val="20"/>
          <w:szCs w:val="20"/>
          <w:color w:val="auto"/>
        </w:rPr>
      </w:pPr>
      <w:r>
        <w:rPr>
          <w:rFonts w:ascii="Arial" w:cs="Arial" w:eastAsia="Arial" w:hAnsi="Arial"/>
          <w:sz w:val="17"/>
          <w:szCs w:val="17"/>
          <w:color w:val="auto"/>
        </w:rPr>
        <w:t>The plan administrator may grant other types of equity-based awards under the Restated 2018 Plan. Other equity-based awards are payable in cash, shares of common stock or other equity, or a combination thereof, and may be restricted or unrestricted, as determined by the plan administrator. The terms and conditions that apply to other equity-based awards are determined by the plan administrator.</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Transferability.</w:t>
      </w:r>
    </w:p>
    <w:p>
      <w:pPr>
        <w:spacing w:after="0" w:line="124" w:lineRule="exact"/>
        <w:rPr>
          <w:sz w:val="20"/>
          <w:szCs w:val="20"/>
          <w:color w:val="auto"/>
        </w:rPr>
      </w:pPr>
    </w:p>
    <w:p>
      <w:pPr>
        <w:ind w:left="380" w:right="160" w:firstLine="534"/>
        <w:spacing w:after="0" w:line="258" w:lineRule="auto"/>
        <w:rPr>
          <w:sz w:val="20"/>
          <w:szCs w:val="20"/>
          <w:color w:val="auto"/>
        </w:rPr>
      </w:pPr>
      <w:r>
        <w:rPr>
          <w:rFonts w:ascii="Arial" w:cs="Arial" w:eastAsia="Arial" w:hAnsi="Arial"/>
          <w:sz w:val="17"/>
          <w:szCs w:val="17"/>
          <w:color w:val="auto"/>
        </w:rPr>
        <w:t>A participant generally may not transfer awards granted under our Restated 2018 Plan other than by will, the laws of descent and distribution, or as otherwise provided under our Restated 2018 Plan.</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Changes to Capital Structure</w:t>
      </w:r>
    </w:p>
    <w:p>
      <w:pPr>
        <w:spacing w:after="0" w:line="124" w:lineRule="exact"/>
        <w:rPr>
          <w:sz w:val="20"/>
          <w:szCs w:val="20"/>
          <w:color w:val="auto"/>
        </w:rPr>
      </w:pPr>
    </w:p>
    <w:p>
      <w:pPr>
        <w:ind w:left="380" w:right="180" w:firstLine="534"/>
        <w:spacing w:after="0" w:line="245" w:lineRule="auto"/>
        <w:rPr>
          <w:sz w:val="20"/>
          <w:szCs w:val="20"/>
          <w:color w:val="auto"/>
        </w:rPr>
      </w:pPr>
      <w:r>
        <w:rPr>
          <w:rFonts w:ascii="Arial" w:cs="Arial" w:eastAsia="Arial" w:hAnsi="Arial"/>
          <w:sz w:val="17"/>
          <w:szCs w:val="17"/>
          <w:color w:val="auto"/>
        </w:rPr>
        <w:t>In the event that there is a specified type of change in our capital structure, such as a stock split or recapitalization, appropriate adjustments will be made to (1) the class and maximum number of shares reserved for issuance under the Restated 2018 Plan, (2) the class and maximum number of shares by which the share reserve may increase automatically each year, (3) the class and maximum number of shares that may be issued upon the exercise of incentive stock options, and (4) the class and number of shares and exercise price, strike price, or purchase price, if applicable, of all outstanding stock awards.</w:t>
      </w:r>
    </w:p>
    <w:p>
      <w:pPr>
        <w:spacing w:after="0" w:line="1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179</w:t>
      </w:r>
    </w:p>
    <w:p>
      <w:pPr>
        <w:sectPr>
          <w:pgSz w:w="11900" w:h="16838" w:orient="portrait"/>
          <w:cols w:equalWidth="0" w:num="1">
            <w:col w:w="11020"/>
          </w:cols>
          <w:pgMar w:left="240" w:top="449" w:right="639" w:bottom="1440" w:gutter="0" w:footer="0" w:header="0"/>
        </w:sectPr>
      </w:pPr>
    </w:p>
    <w:bookmarkStart w:id="182" w:name="page183"/>
    <w:bookmarkEnd w:id="1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Corporate Transaction</w:t>
      </w:r>
    </w:p>
    <w:p>
      <w:pPr>
        <w:spacing w:after="0" w:line="124" w:lineRule="exact"/>
        <w:rPr>
          <w:sz w:val="20"/>
          <w:szCs w:val="20"/>
          <w:color w:val="auto"/>
        </w:rPr>
      </w:pPr>
    </w:p>
    <w:p>
      <w:pPr>
        <w:ind w:left="380" w:right="60" w:firstLine="534"/>
        <w:spacing w:after="0" w:line="244" w:lineRule="auto"/>
        <w:rPr>
          <w:sz w:val="20"/>
          <w:szCs w:val="20"/>
          <w:color w:val="auto"/>
        </w:rPr>
      </w:pPr>
      <w:r>
        <w:rPr>
          <w:rFonts w:ascii="Arial" w:cs="Arial" w:eastAsia="Arial" w:hAnsi="Arial"/>
          <w:sz w:val="17"/>
          <w:szCs w:val="17"/>
          <w:color w:val="auto"/>
        </w:rPr>
        <w:t>Our 2018 Plan provides that in the event of a corporate transaction, the successor corporation may assume each outstanding award or may substitute similar awards for each outstanding award. If outstanding awards are not assumed or substituted, the vesting of such awards held by current service providers will accelerate in full prior to the consummation of the transaction, and any awards not exercised will terminate upon closing of the corporate transaction. In addition, the plan administrator may provide for unexercised awards that will otherwise terminate upon closing of the corporate transaction to be cancelled at closing in exchange for a payment equal in value to the amount such award holder would have received in such transaction upon exercise of the award, minus the exercise price.</w:t>
      </w:r>
    </w:p>
    <w:p>
      <w:pPr>
        <w:spacing w:after="0" w:line="196" w:lineRule="exact"/>
        <w:rPr>
          <w:sz w:val="20"/>
          <w:szCs w:val="20"/>
          <w:color w:val="auto"/>
        </w:rPr>
      </w:pPr>
    </w:p>
    <w:p>
      <w:pPr>
        <w:ind w:left="380" w:right="280" w:firstLine="534"/>
        <w:spacing w:after="0" w:line="245" w:lineRule="auto"/>
        <w:rPr>
          <w:sz w:val="20"/>
          <w:szCs w:val="20"/>
          <w:color w:val="auto"/>
        </w:rPr>
      </w:pPr>
      <w:r>
        <w:rPr>
          <w:rFonts w:ascii="Arial" w:cs="Arial" w:eastAsia="Arial" w:hAnsi="Arial"/>
          <w:sz w:val="17"/>
          <w:szCs w:val="17"/>
          <w:color w:val="auto"/>
        </w:rPr>
        <w:t>Under the Restated 2018 Plan, a corporate transaction is generally the consummation of (1) a sale or other disposition of all or substantially all of our consolidated assets, (2) 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281"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Amendment; Termination</w:t>
      </w:r>
    </w:p>
    <w:p>
      <w:pPr>
        <w:spacing w:after="0" w:line="124" w:lineRule="exact"/>
        <w:rPr>
          <w:sz w:val="20"/>
          <w:szCs w:val="20"/>
          <w:color w:val="auto"/>
        </w:rPr>
      </w:pPr>
    </w:p>
    <w:p>
      <w:pPr>
        <w:ind w:left="380" w:right="120" w:firstLine="534"/>
        <w:spacing w:after="0" w:line="247" w:lineRule="auto"/>
        <w:rPr>
          <w:sz w:val="20"/>
          <w:szCs w:val="20"/>
          <w:color w:val="auto"/>
        </w:rPr>
      </w:pPr>
      <w:r>
        <w:rPr>
          <w:rFonts w:ascii="Arial" w:cs="Arial" w:eastAsia="Arial" w:hAnsi="Arial"/>
          <w:sz w:val="17"/>
          <w:szCs w:val="17"/>
          <w:color w:val="auto"/>
        </w:rPr>
        <w:t>Our board of directors may amend or terminate the Restated 2018 Plan at any time; provided that no amendment may adversely impair the benefits of participants with outstanding awards without such participant’s consent. Our stockholders must approve any amendment if such approval is required under applicable law or listing requirements. No incentive stock options may be granted after the tenth anniversary of the date our board of directors adopted our Restated 2018 Plan.</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2008 Equity Incentive Plan</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General</w:t>
      </w:r>
    </w:p>
    <w:p>
      <w:pPr>
        <w:spacing w:after="0" w:line="124" w:lineRule="exact"/>
        <w:rPr>
          <w:sz w:val="20"/>
          <w:szCs w:val="20"/>
          <w:color w:val="auto"/>
        </w:rPr>
      </w:pPr>
    </w:p>
    <w:p>
      <w:pPr>
        <w:jc w:val="both"/>
        <w:ind w:left="380" w:right="360" w:firstLine="534"/>
        <w:spacing w:after="0" w:line="250" w:lineRule="auto"/>
        <w:rPr>
          <w:sz w:val="20"/>
          <w:szCs w:val="20"/>
          <w:color w:val="auto"/>
        </w:rPr>
      </w:pPr>
      <w:r>
        <w:rPr>
          <w:rFonts w:ascii="Arial" w:cs="Arial" w:eastAsia="Arial" w:hAnsi="Arial"/>
          <w:sz w:val="17"/>
          <w:szCs w:val="17"/>
          <w:color w:val="auto"/>
        </w:rPr>
        <w:t>In January 2008, our board of directors adopted and our stockholders approved our 2008 Plan. Our 2008 Plan provided for the grant of incentive stock options, nonstatutory stock options, stock appreciation rights, restricted stock awards and restricted stock unit awards to our employees, directors and consultants and those of our affiliates.</w:t>
      </w:r>
    </w:p>
    <w:p>
      <w:pPr>
        <w:spacing w:after="0" w:line="188" w:lineRule="exact"/>
        <w:rPr>
          <w:sz w:val="20"/>
          <w:szCs w:val="20"/>
          <w:color w:val="auto"/>
        </w:rPr>
      </w:pPr>
    </w:p>
    <w:p>
      <w:pPr>
        <w:ind w:left="380" w:firstLine="534"/>
        <w:spacing w:after="0" w:line="250" w:lineRule="auto"/>
        <w:rPr>
          <w:sz w:val="20"/>
          <w:szCs w:val="20"/>
          <w:color w:val="auto"/>
        </w:rPr>
      </w:pPr>
      <w:r>
        <w:rPr>
          <w:rFonts w:ascii="Arial" w:cs="Arial" w:eastAsia="Arial" w:hAnsi="Arial"/>
          <w:sz w:val="17"/>
          <w:szCs w:val="17"/>
          <w:color w:val="auto"/>
        </w:rPr>
        <w:t>Our 2008 Plan expired pursuant to its terms in January 2018, and therefore no new awards may be issued from this plan. However, outstanding options granted under the 2008 Plan will remain outstanding, subject to the terms of the 2008 Plan and the relevant award agreement, until such options are exercised or they terminate or expire by their terms.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Authorized Shares</w:t>
      </w:r>
    </w:p>
    <w:p>
      <w:pPr>
        <w:spacing w:after="0" w:line="124" w:lineRule="exact"/>
        <w:rPr>
          <w:sz w:val="20"/>
          <w:szCs w:val="20"/>
          <w:color w:val="auto"/>
        </w:rPr>
      </w:pPr>
    </w:p>
    <w:p>
      <w:pPr>
        <w:ind w:left="380" w:right="140" w:firstLine="534"/>
        <w:spacing w:after="0" w:line="250" w:lineRule="auto"/>
        <w:rPr>
          <w:sz w:val="20"/>
          <w:szCs w:val="20"/>
          <w:color w:val="auto"/>
        </w:rPr>
      </w:pPr>
      <w:r>
        <w:rPr>
          <w:rFonts w:ascii="Arial" w:cs="Arial" w:eastAsia="Arial" w:hAnsi="Arial"/>
          <w:sz w:val="17"/>
          <w:szCs w:val="17"/>
          <w:color w:val="auto"/>
        </w:rPr>
        <w:t>As of December 31, 2018, options to purchase a total of 7,215,059 shares of common stock at a weighted average exercise price of $4.58 were issued and outstanding under the 2008 Plan and a total of 5,256,824 shares of common stock (net of early exercised options repurchased) had been issued upon the exercise of options granted under the 2008 Plan.</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Administration</w:t>
      </w:r>
    </w:p>
    <w:p>
      <w:pPr>
        <w:spacing w:after="0" w:line="124" w:lineRule="exact"/>
        <w:rPr>
          <w:sz w:val="20"/>
          <w:szCs w:val="20"/>
          <w:color w:val="auto"/>
        </w:rPr>
      </w:pPr>
    </w:p>
    <w:p>
      <w:pPr>
        <w:ind w:left="380" w:right="560" w:firstLine="534"/>
        <w:spacing w:after="0" w:line="258" w:lineRule="auto"/>
        <w:rPr>
          <w:sz w:val="20"/>
          <w:szCs w:val="20"/>
          <w:color w:val="auto"/>
        </w:rPr>
      </w:pPr>
      <w:r>
        <w:rPr>
          <w:rFonts w:ascii="Arial" w:cs="Arial" w:eastAsia="Arial" w:hAnsi="Arial"/>
          <w:sz w:val="17"/>
          <w:szCs w:val="17"/>
          <w:color w:val="auto"/>
        </w:rPr>
        <w:t>Our board of directors, or a duly authorized committee thereof, has the authority to administer the 2008 Plan. Our board has delegated concurrent authority to administer our 2008 Plan to the</w:t>
      </w:r>
    </w:p>
    <w:p>
      <w:pPr>
        <w:spacing w:after="0" w:line="11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180</w:t>
      </w:r>
    </w:p>
    <w:p>
      <w:pPr>
        <w:sectPr>
          <w:pgSz w:w="11900" w:h="16838" w:orient="portrait"/>
          <w:cols w:equalWidth="0" w:num="1">
            <w:col w:w="11020"/>
          </w:cols>
          <w:pgMar w:left="240" w:top="449" w:right="639" w:bottom="1440" w:gutter="0" w:footer="0" w:header="0"/>
        </w:sectPr>
      </w:pPr>
    </w:p>
    <w:bookmarkStart w:id="183" w:name="page184"/>
    <w:bookmarkEnd w:id="1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120"/>
        <w:spacing w:after="0" w:line="247" w:lineRule="auto"/>
        <w:rPr>
          <w:sz w:val="20"/>
          <w:szCs w:val="20"/>
          <w:color w:val="auto"/>
        </w:rPr>
      </w:pPr>
      <w:r>
        <w:rPr>
          <w:rFonts w:ascii="Arial" w:cs="Arial" w:eastAsia="Arial" w:hAnsi="Arial"/>
          <w:sz w:val="17"/>
          <w:szCs w:val="17"/>
          <w:color w:val="auto"/>
        </w:rPr>
        <w:t>compensation committee under the terms of the compensation committee’s charter. Among other powers, the plan administrator has the authority to modify outstanding awards under our 2008 Plan, and to reduce the exercise price of any outstanding award, cancel any outstanding award in exchange for a new award, cash or other consideration, or take any other action that is treated as a repricing under generally accepted accounting principles, in each case with the consent of any adversely affected participant.</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Corporate Transaction</w:t>
      </w:r>
    </w:p>
    <w:p>
      <w:pPr>
        <w:spacing w:after="0" w:line="124" w:lineRule="exact"/>
        <w:rPr>
          <w:sz w:val="20"/>
          <w:szCs w:val="20"/>
          <w:color w:val="auto"/>
        </w:rPr>
      </w:pPr>
    </w:p>
    <w:p>
      <w:pPr>
        <w:ind w:left="380" w:right="60" w:firstLine="534"/>
        <w:spacing w:after="0" w:line="244" w:lineRule="auto"/>
        <w:rPr>
          <w:sz w:val="20"/>
          <w:szCs w:val="20"/>
          <w:color w:val="auto"/>
        </w:rPr>
      </w:pPr>
      <w:r>
        <w:rPr>
          <w:rFonts w:ascii="Arial" w:cs="Arial" w:eastAsia="Arial" w:hAnsi="Arial"/>
          <w:sz w:val="17"/>
          <w:szCs w:val="17"/>
          <w:color w:val="auto"/>
        </w:rPr>
        <w:t>Our 2008 Plan provides that in the event of a corporate transaction, the successor corporation may assume each outstanding award or may substitute similar awards for each outstanding award. If outstanding awards are not assumed or substituted, the vesting of such awards held by current service providers will accelerate in full prior to the consummation of the transaction, and any awards not exercised will terminate upon closing of the corporate transaction. In addition, the plan administrator may provide for unexercised awards that will otherwise terminate upon closing of the corporate transaction to be cancelled at closing in exchange for a payment equal in value to the amount such award holder would have received in such transaction upon exercise of the award, minus the exercise price.</w:t>
      </w:r>
    </w:p>
    <w:p>
      <w:pPr>
        <w:spacing w:after="0" w:line="196" w:lineRule="exact"/>
        <w:rPr>
          <w:sz w:val="20"/>
          <w:szCs w:val="20"/>
          <w:color w:val="auto"/>
        </w:rPr>
      </w:pPr>
    </w:p>
    <w:p>
      <w:pPr>
        <w:ind w:left="380" w:right="100" w:firstLine="534"/>
        <w:spacing w:after="0" w:line="245" w:lineRule="auto"/>
        <w:rPr>
          <w:sz w:val="20"/>
          <w:szCs w:val="20"/>
          <w:color w:val="auto"/>
        </w:rPr>
      </w:pPr>
      <w:r>
        <w:rPr>
          <w:rFonts w:ascii="Arial" w:cs="Arial" w:eastAsia="Arial" w:hAnsi="Arial"/>
          <w:sz w:val="17"/>
          <w:szCs w:val="17"/>
          <w:color w:val="auto"/>
        </w:rPr>
        <w:t>Under the 2008 Plan, a corporate transaction is generally the consummation of (1) a sale or other disposition of all or substantially all of our consolidated assets, (2) a sale or other disposition of at least 90% of our outstanding securities, (3) a merger, consolidation or similar transaction following which we are not the surviving corporation, or (4)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2019 Employee Stock Purchase Plan</w:t>
      </w:r>
    </w:p>
    <w:p>
      <w:pPr>
        <w:spacing w:after="0" w:line="126" w:lineRule="exact"/>
        <w:rPr>
          <w:sz w:val="20"/>
          <w:szCs w:val="20"/>
          <w:color w:val="auto"/>
        </w:rPr>
      </w:pPr>
    </w:p>
    <w:p>
      <w:pPr>
        <w:ind w:left="380" w:firstLine="534"/>
        <w:spacing w:after="0" w:line="247" w:lineRule="auto"/>
        <w:rPr>
          <w:sz w:val="20"/>
          <w:szCs w:val="20"/>
          <w:color w:val="auto"/>
        </w:rPr>
      </w:pPr>
      <w:r>
        <w:rPr>
          <w:rFonts w:ascii="Arial" w:cs="Arial" w:eastAsia="Arial" w:hAnsi="Arial"/>
          <w:sz w:val="17"/>
          <w:szCs w:val="17"/>
          <w:color w:val="auto"/>
        </w:rPr>
        <w:t>In March 2019, our board of directors adopted, and our stockholders approved, the 2019 Employee Stock Purchase Plan, or ESPP, which will become effective upon the completion of this offering. The purpose of the ESPP is to enable our eligible employees, through payroll deductions or cash contributions, to purchase shares of our common stock, to increase our employees’ interest in our growth and success and encourage employees to remain in our employment.</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Share Reserve</w:t>
      </w:r>
    </w:p>
    <w:p>
      <w:pPr>
        <w:spacing w:after="0" w:line="124" w:lineRule="exact"/>
        <w:rPr>
          <w:sz w:val="20"/>
          <w:szCs w:val="20"/>
          <w:color w:val="auto"/>
        </w:rPr>
      </w:pPr>
    </w:p>
    <w:p>
      <w:pPr>
        <w:ind w:left="380" w:right="80" w:firstLine="534"/>
        <w:spacing w:after="0" w:line="241" w:lineRule="auto"/>
        <w:rPr>
          <w:sz w:val="20"/>
          <w:szCs w:val="20"/>
          <w:color w:val="auto"/>
        </w:rPr>
      </w:pPr>
      <w:r>
        <w:rPr>
          <w:rFonts w:ascii="Arial" w:cs="Arial" w:eastAsia="Arial" w:hAnsi="Arial"/>
          <w:sz w:val="17"/>
          <w:szCs w:val="17"/>
          <w:color w:val="auto"/>
        </w:rPr>
        <w:t>Following this offering, the ESPP authorizes the issuance of 1,000,000 shares of our common stock pursuant to purchase rights granted to our employees or to employees of any of our designated affiliates. The number of shares of our common stock reserved for issuance will automatically increase on January 1 of each calendar year, from January 1, 2020 (assuming the ESPP becomes effective before such date) through January 1, 2029 by the least of (1) 1.0% of the total number of shares of our common stock outstanding on December 31 of the preceding calendar year, (2) 1,000,000 shares, or (3) a number determined by our board of directors that is less than</w:t>
      </w:r>
    </w:p>
    <w:p>
      <w:pPr>
        <w:spacing w:after="0" w:line="1" w:lineRule="exact"/>
        <w:rPr>
          <w:sz w:val="20"/>
          <w:szCs w:val="20"/>
          <w:color w:val="auto"/>
        </w:rPr>
      </w:pPr>
    </w:p>
    <w:p>
      <w:pPr>
        <w:ind w:left="380" w:right="180" w:hanging="9"/>
        <w:spacing w:after="0" w:line="258" w:lineRule="auto"/>
        <w:tabs>
          <w:tab w:leader="none" w:pos="642"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and (2). The ESPP is intended to qualify as an “employee stock purchase plan” within the meaning of Section 423 of the Code. As of the date hereof, no shares of our common stock have been purchased under the ESPP.</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Administration</w:t>
      </w:r>
    </w:p>
    <w:p>
      <w:pPr>
        <w:spacing w:after="0" w:line="124" w:lineRule="exact"/>
        <w:rPr>
          <w:sz w:val="20"/>
          <w:szCs w:val="20"/>
          <w:color w:val="auto"/>
        </w:rPr>
      </w:pPr>
    </w:p>
    <w:p>
      <w:pPr>
        <w:ind w:left="380" w:firstLine="534"/>
        <w:spacing w:after="0" w:line="250" w:lineRule="auto"/>
        <w:rPr>
          <w:sz w:val="20"/>
          <w:szCs w:val="20"/>
          <w:color w:val="auto"/>
        </w:rPr>
      </w:pPr>
      <w:r>
        <w:rPr>
          <w:rFonts w:ascii="Arial" w:cs="Arial" w:eastAsia="Arial" w:hAnsi="Arial"/>
          <w:sz w:val="17"/>
          <w:szCs w:val="17"/>
          <w:color w:val="auto"/>
        </w:rPr>
        <w:t>Our board of directors, or a duly authorized committee thereof, has the authority to administer the ESPP. Our board of directors has delegated concurrent authority to administer the ESPP to our compensation committee. The ESPP is implemented through a series of offerings of purchase rights to eligible employees. Under the ESPP, we may specify offerings with durations of not more than</w:t>
      </w:r>
    </w:p>
    <w:p>
      <w:pPr>
        <w:spacing w:after="0" w:line="12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181</w:t>
      </w:r>
    </w:p>
    <w:p>
      <w:pPr>
        <w:sectPr>
          <w:pgSz w:w="11900" w:h="16838" w:orient="portrait"/>
          <w:cols w:equalWidth="0" w:num="1">
            <w:col w:w="11020"/>
          </w:cols>
          <w:pgMar w:left="240" w:top="449" w:right="639" w:bottom="1440" w:gutter="0" w:footer="0" w:header="0"/>
        </w:sectPr>
      </w:pPr>
    </w:p>
    <w:bookmarkStart w:id="184" w:name="page185"/>
    <w:bookmarkEnd w:id="1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180"/>
        <w:spacing w:after="0" w:line="250" w:lineRule="auto"/>
        <w:rPr>
          <w:sz w:val="20"/>
          <w:szCs w:val="20"/>
          <w:color w:val="auto"/>
        </w:rPr>
      </w:pPr>
      <w:r>
        <w:rPr>
          <w:rFonts w:ascii="Arial" w:cs="Arial" w:eastAsia="Arial" w:hAnsi="Arial"/>
          <w:sz w:val="17"/>
          <w:szCs w:val="17"/>
          <w:color w:val="auto"/>
        </w:rPr>
        <w:t>27 months, and may specify shorter purchase periods within each offering. Each offering will have one or more purchase dates on which shares of our common stock will be purchased for employees participating in the offering. An offering may be terminated under certain circumstances.</w:t>
      </w:r>
    </w:p>
    <w:p>
      <w:pPr>
        <w:spacing w:after="0" w:line="188" w:lineRule="exact"/>
        <w:rPr>
          <w:sz w:val="20"/>
          <w:szCs w:val="20"/>
          <w:color w:val="auto"/>
        </w:rPr>
      </w:pPr>
    </w:p>
    <w:p>
      <w:pPr>
        <w:jc w:val="both"/>
        <w:ind w:left="380" w:right="140" w:firstLine="534"/>
        <w:spacing w:after="0" w:line="247" w:lineRule="auto"/>
        <w:rPr>
          <w:sz w:val="20"/>
          <w:szCs w:val="20"/>
          <w:color w:val="auto"/>
        </w:rPr>
      </w:pPr>
      <w:r>
        <w:rPr>
          <w:rFonts w:ascii="Arial" w:cs="Arial" w:eastAsia="Arial" w:hAnsi="Arial"/>
          <w:sz w:val="17"/>
          <w:szCs w:val="17"/>
          <w:color w:val="auto"/>
        </w:rPr>
        <w:t>The ESPP is intended to qualify as an “employee stock purchase plan” within the meaning of Section 423 of the Code for our U.S. employees. In addition, the ESPP authorizes grants of purchase rights that do not comply with Section 423 of the Code under a separate non-423 component. In particular, where such purchase rights are granted to employees who are employed or located outside the United States, our board of directors may adopt rules that are beyond the scope of Section 423 of the Code.</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Payroll Deductions</w:t>
      </w:r>
    </w:p>
    <w:p>
      <w:pPr>
        <w:spacing w:after="0" w:line="124" w:lineRule="exact"/>
        <w:rPr>
          <w:sz w:val="20"/>
          <w:szCs w:val="20"/>
          <w:color w:val="auto"/>
        </w:rPr>
      </w:pPr>
    </w:p>
    <w:p>
      <w:pPr>
        <w:ind w:left="380" w:right="40" w:firstLine="534"/>
        <w:spacing w:after="0" w:line="245" w:lineRule="auto"/>
        <w:rPr>
          <w:sz w:val="20"/>
          <w:szCs w:val="20"/>
          <w:color w:val="auto"/>
        </w:rPr>
      </w:pPr>
      <w:r>
        <w:rPr>
          <w:rFonts w:ascii="Arial" w:cs="Arial" w:eastAsia="Arial" w:hAnsi="Arial"/>
          <w:sz w:val="17"/>
          <w:szCs w:val="17"/>
          <w:color w:val="auto"/>
        </w:rPr>
        <w:t>Generally, all regular employees, including executive officers, employed by us or by any of our designated affiliates, may participate in the ESPP and may contribute, normally through payroll deductions, up to 15.0% of their earnings for the purchase of our common stock under the ESPP. Unless otherwise determined by our board of directors, common stock will be purchased for accounts of employees participating in the ESPP at a price per share equal to the lower of (1) 85% of the fair market value of a share of our common stock on the first date of an offering or (2) 85% of the fair market value of a share of our common stock on the date of purchase.</w:t>
      </w:r>
    </w:p>
    <w:p>
      <w:pPr>
        <w:spacing w:after="0" w:line="281"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Limitations</w:t>
      </w:r>
    </w:p>
    <w:p>
      <w:pPr>
        <w:spacing w:after="0" w:line="124" w:lineRule="exact"/>
        <w:rPr>
          <w:sz w:val="20"/>
          <w:szCs w:val="20"/>
          <w:color w:val="auto"/>
        </w:rPr>
      </w:pPr>
    </w:p>
    <w:p>
      <w:pPr>
        <w:ind w:left="380" w:right="20" w:firstLine="534"/>
        <w:spacing w:after="0" w:line="244" w:lineRule="auto"/>
        <w:rPr>
          <w:sz w:val="20"/>
          <w:szCs w:val="20"/>
          <w:color w:val="auto"/>
        </w:rPr>
      </w:pPr>
      <w:r>
        <w:rPr>
          <w:rFonts w:ascii="Arial" w:cs="Arial" w:eastAsia="Arial" w:hAnsi="Arial"/>
          <w:sz w:val="17"/>
          <w:szCs w:val="17"/>
          <w:color w:val="auto"/>
        </w:rPr>
        <w:t>Employees may have to satisfy one or more of the following service requirements before participating in the ESPP, as determined by our board of directors: (1) customarily employed for more than 20 hours per week, (2) customarily employed for more than five months per calendar year or (3) continuous employment with us or one of our affiliates for a period of time (not to exceed two years). No employee may purchase shares under the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pursuant to Section 424(d) of the Code.</w:t>
      </w:r>
    </w:p>
    <w:p>
      <w:pPr>
        <w:spacing w:after="0" w:line="280"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Changes to Capital Structure</w:t>
      </w:r>
    </w:p>
    <w:p>
      <w:pPr>
        <w:spacing w:after="0" w:line="124" w:lineRule="exact"/>
        <w:rPr>
          <w:sz w:val="20"/>
          <w:szCs w:val="20"/>
          <w:color w:val="auto"/>
        </w:rPr>
      </w:pPr>
    </w:p>
    <w:p>
      <w:pPr>
        <w:ind w:left="380" w:firstLine="534"/>
        <w:spacing w:after="0" w:line="245" w:lineRule="auto"/>
        <w:rPr>
          <w:sz w:val="20"/>
          <w:szCs w:val="20"/>
          <w:color w:val="auto"/>
        </w:rPr>
      </w:pPr>
      <w:r>
        <w:rPr>
          <w:rFonts w:ascii="Arial" w:cs="Arial" w:eastAsia="Arial" w:hAnsi="Arial"/>
          <w:sz w:val="17"/>
          <w:szCs w:val="17"/>
          <w:color w:val="auto"/>
        </w:rPr>
        <w:t>In the event that there occurs a change in our capital structure through such actions as a stock split, merger, 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(1) the number of shares reserved under the ESPP, (2) the maximum number of shares by which the share reserve may increase automatically each year and (3) the number of shares and purchase price of all outstanding purchase rights.</w:t>
      </w:r>
    </w:p>
    <w:p>
      <w:pPr>
        <w:spacing w:after="0" w:line="281"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Corporate Transactions</w:t>
      </w:r>
    </w:p>
    <w:p>
      <w:pPr>
        <w:spacing w:after="0" w:line="124" w:lineRule="exact"/>
        <w:rPr>
          <w:sz w:val="20"/>
          <w:szCs w:val="20"/>
          <w:color w:val="auto"/>
        </w:rPr>
      </w:pPr>
    </w:p>
    <w:p>
      <w:pPr>
        <w:ind w:left="380" w:right="40" w:firstLine="534"/>
        <w:spacing w:after="0" w:line="245" w:lineRule="auto"/>
        <w:rPr>
          <w:sz w:val="20"/>
          <w:szCs w:val="20"/>
          <w:color w:val="auto"/>
        </w:rPr>
      </w:pPr>
      <w:r>
        <w:rPr>
          <w:rFonts w:ascii="Arial" w:cs="Arial" w:eastAsia="Arial" w:hAnsi="Arial"/>
          <w:sz w:val="17"/>
          <w:szCs w:val="17"/>
          <w:color w:val="auto"/>
        </w:rPr>
        <w:t>In the event of certain significant corporate transactions, including the consummation of: (1) a sale of all our assets, (2) the sale or disposition of 90% of our outstanding securities, (3) a merger or consolidation where we do not survive the transaction and (4) a merger or consolidation where we do survive the transaction but the shares of our common stock outstanding immediately prior to such transaction are converted or exchanged into other property by virtue of the transaction, any then-outstanding rights to purchase our stock under the ESPP may be assumed, continued or substituted</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182</w:t>
      </w:r>
    </w:p>
    <w:p>
      <w:pPr>
        <w:sectPr>
          <w:pgSz w:w="11900" w:h="16838" w:orient="portrait"/>
          <w:cols w:equalWidth="0" w:num="1">
            <w:col w:w="11060"/>
          </w:cols>
          <w:pgMar w:left="240" w:top="449" w:right="599" w:bottom="1440" w:gutter="0" w:footer="0" w:header="0"/>
        </w:sectPr>
      </w:pPr>
    </w:p>
    <w:bookmarkStart w:id="185" w:name="page186"/>
    <w:bookmarkEnd w:id="1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100"/>
        <w:spacing w:after="0" w:line="247" w:lineRule="auto"/>
        <w:rPr>
          <w:sz w:val="20"/>
          <w:szCs w:val="20"/>
          <w:color w:val="auto"/>
        </w:rPr>
      </w:pPr>
      <w:r>
        <w:rPr>
          <w:rFonts w:ascii="Arial" w:cs="Arial" w:eastAsia="Arial" w:hAnsi="Arial"/>
          <w:sz w:val="17"/>
          <w:szCs w:val="17"/>
          <w:color w:val="auto"/>
        </w:rPr>
        <w:t>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ten business days prior to such corporate transaction, and such purchase rights will terminate immediately.</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Plan Amendments, Termination</w:t>
      </w:r>
    </w:p>
    <w:p>
      <w:pPr>
        <w:spacing w:after="0" w:line="124" w:lineRule="exact"/>
        <w:rPr>
          <w:sz w:val="20"/>
          <w:szCs w:val="20"/>
          <w:color w:val="auto"/>
        </w:rPr>
      </w:pPr>
    </w:p>
    <w:p>
      <w:pPr>
        <w:ind w:left="380" w:right="200" w:firstLine="534"/>
        <w:spacing w:after="0" w:line="250" w:lineRule="auto"/>
        <w:rPr>
          <w:sz w:val="20"/>
          <w:szCs w:val="20"/>
          <w:color w:val="auto"/>
        </w:rPr>
      </w:pPr>
      <w:r>
        <w:rPr>
          <w:rFonts w:ascii="Arial" w:cs="Arial" w:eastAsia="Arial" w:hAnsi="Arial"/>
          <w:sz w:val="17"/>
          <w:szCs w:val="17"/>
          <w:color w:val="auto"/>
        </w:rPr>
        <w:t>Our board of directors has the authority to amend or terminate our ESPP, provided that except in certain circumstances any such amendment or termination may not materially impair any outstanding purchase rights without the holder’s consent. We will obtain stockholder approval of any amendment to our ESPP as required by applicable law or listing requirements.</w:t>
      </w:r>
    </w:p>
    <w:p>
      <w:pPr>
        <w:spacing w:after="0" w:line="27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Non-Employee Director Compensation</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Future Director Compensation</w:t>
      </w:r>
    </w:p>
    <w:p>
      <w:pPr>
        <w:spacing w:after="0" w:line="126" w:lineRule="exact"/>
        <w:rPr>
          <w:sz w:val="20"/>
          <w:szCs w:val="20"/>
          <w:color w:val="auto"/>
        </w:rPr>
      </w:pPr>
    </w:p>
    <w:p>
      <w:pPr>
        <w:ind w:left="380" w:right="80" w:firstLine="534"/>
        <w:spacing w:after="0" w:line="250" w:lineRule="auto"/>
        <w:rPr>
          <w:sz w:val="20"/>
          <w:szCs w:val="20"/>
          <w:color w:val="auto"/>
        </w:rPr>
      </w:pPr>
      <w:r>
        <w:rPr>
          <w:rFonts w:ascii="Arial" w:cs="Arial" w:eastAsia="Arial" w:hAnsi="Arial"/>
          <w:sz w:val="17"/>
          <w:szCs w:val="17"/>
          <w:color w:val="auto"/>
        </w:rPr>
        <w:t>In March 2019, our board of directors approved a non-employee director compensation policy, which will be effective for all non-employee directors upon the completion of this offering. Each non-employee director will receive an annual base retainer of $40,000. In addition, our non-employee directors will receive the following cash compensation for board services, as applicable:</w:t>
      </w:r>
    </w:p>
    <w:p>
      <w:pPr>
        <w:spacing w:after="0" w:line="96" w:lineRule="exact"/>
        <w:rPr>
          <w:sz w:val="20"/>
          <w:szCs w:val="20"/>
          <w:color w:val="auto"/>
        </w:rPr>
      </w:pPr>
    </w:p>
    <w:p>
      <w:pPr>
        <w:ind w:left="1100" w:hanging="205"/>
        <w:spacing w:after="0"/>
        <w:tabs>
          <w:tab w:leader="none" w:pos="11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lead independent director will receive an additional annual retainer of $25,000;</w:t>
      </w:r>
    </w:p>
    <w:p>
      <w:pPr>
        <w:spacing w:after="0" w:line="118" w:lineRule="exact"/>
        <w:rPr>
          <w:rFonts w:ascii="Arial" w:cs="Arial" w:eastAsia="Arial" w:hAnsi="Arial"/>
          <w:sz w:val="17"/>
          <w:szCs w:val="17"/>
          <w:color w:val="auto"/>
        </w:rPr>
      </w:pPr>
    </w:p>
    <w:p>
      <w:pPr>
        <w:ind w:left="1100" w:hanging="205"/>
        <w:spacing w:after="0" w:line="258" w:lineRule="auto"/>
        <w:tabs>
          <w:tab w:leader="none" w:pos="11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each member of our audit, compensation and nominating and corporate governance committees, other than the chairperson, will receive an additional annual retainer of $10,000, $6,000 and $5,000, respectively; and</w:t>
      </w:r>
    </w:p>
    <w:p>
      <w:pPr>
        <w:spacing w:after="0" w:line="90" w:lineRule="exact"/>
        <w:rPr>
          <w:rFonts w:ascii="Arial" w:cs="Arial" w:eastAsia="Arial" w:hAnsi="Arial"/>
          <w:sz w:val="17"/>
          <w:szCs w:val="17"/>
          <w:color w:val="auto"/>
        </w:rPr>
      </w:pPr>
    </w:p>
    <w:p>
      <w:pPr>
        <w:ind w:left="1100" w:right="260" w:hanging="205"/>
        <w:spacing w:after="0" w:line="258" w:lineRule="auto"/>
        <w:tabs>
          <w:tab w:leader="none" w:pos="11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each chairperson of our audit, compensation and nominating and corporate governance committees will receive an additional annual retainer of $30,000, $15,000 and $5,000, respectively.</w:t>
      </w:r>
    </w:p>
    <w:p>
      <w:pPr>
        <w:spacing w:after="0" w:line="182" w:lineRule="exact"/>
        <w:rPr>
          <w:sz w:val="20"/>
          <w:szCs w:val="20"/>
          <w:color w:val="auto"/>
        </w:rPr>
      </w:pPr>
    </w:p>
    <w:p>
      <w:pPr>
        <w:ind w:left="380" w:right="100" w:firstLine="534"/>
        <w:spacing w:after="0" w:line="243" w:lineRule="auto"/>
        <w:rPr>
          <w:sz w:val="20"/>
          <w:szCs w:val="20"/>
          <w:color w:val="auto"/>
        </w:rPr>
      </w:pPr>
      <w:r>
        <w:rPr>
          <w:rFonts w:ascii="Arial" w:cs="Arial" w:eastAsia="Arial" w:hAnsi="Arial"/>
          <w:sz w:val="17"/>
          <w:szCs w:val="17"/>
          <w:color w:val="auto"/>
        </w:rPr>
        <w:t>We will pay all amounts in quarterly installments. We will also reimburse each of our directors for their travel expenses incurred in connection with their attendance at board of directors and committee meetings. In addition, newly appointed non-employee directors will receive a one-time initial award of options with a grant date fair value of $500,000, which will vest one-third after the first year, with the remaining shares vesting quarterly in years two and three following the grant date, such that the shares will be fully vested on the third anniversary of the date of grant, subject to the director’s continued service on the board of directors. Thereafter, each non-employee director will receive an annual award of options with a grant date fair value of $200,000, which will vest quarterly over one year from the grant date, such that the shares will be fully vested on the first anniversary of the date of grant, subject to the director’s continued service on the board of directors. In addition, in the event of a change in control of the company, the shares underlying such grants will vest and become exercisable immediately prior to the effectiveness of such change in control.</w:t>
      </w:r>
    </w:p>
    <w:p>
      <w:pPr>
        <w:spacing w:after="0" w:line="28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Director Compensation</w:t>
      </w:r>
    </w:p>
    <w:p>
      <w:pPr>
        <w:spacing w:after="0" w:line="126" w:lineRule="exact"/>
        <w:rPr>
          <w:sz w:val="20"/>
          <w:szCs w:val="20"/>
          <w:color w:val="auto"/>
        </w:rPr>
      </w:pPr>
    </w:p>
    <w:p>
      <w:pPr>
        <w:ind w:left="380" w:right="40" w:firstLine="534"/>
        <w:spacing w:after="0" w:line="258" w:lineRule="auto"/>
        <w:rPr>
          <w:sz w:val="20"/>
          <w:szCs w:val="20"/>
          <w:color w:val="auto"/>
        </w:rPr>
      </w:pPr>
      <w:r>
        <w:rPr>
          <w:rFonts w:ascii="Arial" w:cs="Arial" w:eastAsia="Arial" w:hAnsi="Arial"/>
          <w:sz w:val="17"/>
          <w:szCs w:val="17"/>
          <w:color w:val="auto"/>
        </w:rPr>
        <w:t>Other than Ms. Hooper, who received an annual retainer of $40,000 and an initial option grant of 25,000 shares, our non-employee directors did not receive any cash or equity compensation for their services as directors during 2018.</w:t>
      </w:r>
    </w:p>
    <w:p>
      <w:pPr>
        <w:spacing w:after="0" w:line="265"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Limitation of Liability and Indemnification Agreements</w:t>
      </w:r>
    </w:p>
    <w:p>
      <w:pPr>
        <w:spacing w:after="0" w:line="232" w:lineRule="exact"/>
        <w:rPr>
          <w:sz w:val="20"/>
          <w:szCs w:val="20"/>
          <w:color w:val="auto"/>
        </w:rPr>
      </w:pPr>
    </w:p>
    <w:p>
      <w:pPr>
        <w:ind w:left="380" w:right="500" w:firstLine="534"/>
        <w:spacing w:after="0" w:line="258" w:lineRule="auto"/>
        <w:rPr>
          <w:sz w:val="20"/>
          <w:szCs w:val="20"/>
          <w:color w:val="auto"/>
        </w:rPr>
      </w:pPr>
      <w:r>
        <w:rPr>
          <w:rFonts w:ascii="Arial" w:cs="Arial" w:eastAsia="Arial" w:hAnsi="Arial"/>
          <w:sz w:val="17"/>
          <w:szCs w:val="17"/>
          <w:color w:val="auto"/>
        </w:rPr>
        <w:t>Our amended and restated certificate of incorporation and amended and restated bylaws, each to become effective upon the completion of this offering, provide that we will limit the liability of our</w:t>
      </w:r>
    </w:p>
    <w:p>
      <w:pPr>
        <w:spacing w:after="0" w:line="11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183</w:t>
      </w:r>
    </w:p>
    <w:p>
      <w:pPr>
        <w:sectPr>
          <w:pgSz w:w="11900" w:h="16838" w:orient="portrait"/>
          <w:cols w:equalWidth="0" w:num="1">
            <w:col w:w="11020"/>
          </w:cols>
          <w:pgMar w:left="240" w:top="449" w:right="639" w:bottom="1440" w:gutter="0" w:footer="0" w:header="0"/>
        </w:sectPr>
      </w:pPr>
    </w:p>
    <w:bookmarkStart w:id="186" w:name="page187"/>
    <w:bookmarkEnd w:id="1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jc w:val="both"/>
        <w:ind w:left="380" w:right="220"/>
        <w:spacing w:after="0" w:line="250" w:lineRule="auto"/>
        <w:rPr>
          <w:sz w:val="20"/>
          <w:szCs w:val="20"/>
          <w:color w:val="auto"/>
        </w:rPr>
      </w:pPr>
      <w:r>
        <w:rPr>
          <w:rFonts w:ascii="Arial" w:cs="Arial" w:eastAsia="Arial" w:hAnsi="Arial"/>
          <w:sz w:val="17"/>
          <w:szCs w:val="17"/>
          <w:color w:val="auto"/>
        </w:rPr>
        <w:t>directors, and may indemnify our directors and officers, to the maximum extent permitted by the Delaware General Corporation Law, or DGCL. The DGCL provides that directors of a corporation will not be personally liable for monetary damages for breach of their fiduciary duties as directors, except for liability for any:</w:t>
      </w:r>
    </w:p>
    <w:p>
      <w:pPr>
        <w:spacing w:after="0" w:line="96" w:lineRule="exact"/>
        <w:rPr>
          <w:sz w:val="20"/>
          <w:szCs w:val="20"/>
          <w:color w:val="auto"/>
        </w:rPr>
      </w:pPr>
    </w:p>
    <w:p>
      <w:pPr>
        <w:ind w:left="1100" w:hanging="205"/>
        <w:spacing w:after="0"/>
        <w:tabs>
          <w:tab w:leader="none" w:pos="11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breach of their duty of loyalty to the corporation or its stockholders;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act or omission not in good faith or that involves intentional misconduct or a knowing violation of law;</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unlawful payment of dividends or redemption of shares; or</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transaction from which the directors derived an improper personal benefit.</w:t>
      </w:r>
    </w:p>
    <w:p>
      <w:pPr>
        <w:spacing w:after="0" w:line="210" w:lineRule="exact"/>
        <w:rPr>
          <w:sz w:val="20"/>
          <w:szCs w:val="20"/>
          <w:color w:val="auto"/>
        </w:rPr>
      </w:pPr>
    </w:p>
    <w:p>
      <w:pPr>
        <w:ind w:left="380" w:right="660" w:firstLine="534"/>
        <w:spacing w:after="0" w:line="258" w:lineRule="auto"/>
        <w:rPr>
          <w:sz w:val="20"/>
          <w:szCs w:val="20"/>
          <w:color w:val="auto"/>
        </w:rPr>
      </w:pPr>
      <w:r>
        <w:rPr>
          <w:rFonts w:ascii="Arial" w:cs="Arial" w:eastAsia="Arial" w:hAnsi="Arial"/>
          <w:sz w:val="17"/>
          <w:szCs w:val="17"/>
          <w:color w:val="auto"/>
        </w:rPr>
        <w:t>These limitations of liability do not apply to liabilities arising under federal securities laws and do not affect the availability of equitable remedies, such as injunctive relief or rescission.</w:t>
      </w:r>
    </w:p>
    <w:p>
      <w:pPr>
        <w:spacing w:after="0" w:line="182"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We have entered into separate indemnification agreements with our directors and officers in addition to the indemnification provided for in our amended and restated bylaws. These indemnification agreements provide, among other things, that we will indemnify our directors and officers for certain expenses, including damages, judgments, fines, penalties, settlements and costs and attorneys’ fees and disbursements, incurred by a director or officer in any claim, action or proceeding arising in his or her capacity as a director or officer of our company or in connection with service at our request for another corporation or entity. The indemnification agreements also provide for procedures that will apply in the event that a director or officer makes a claim for indemnification.</w:t>
      </w:r>
    </w:p>
    <w:p>
      <w:pPr>
        <w:spacing w:after="0" w:line="196" w:lineRule="exact"/>
        <w:rPr>
          <w:sz w:val="20"/>
          <w:szCs w:val="20"/>
          <w:color w:val="auto"/>
        </w:rPr>
      </w:pPr>
    </w:p>
    <w:p>
      <w:pPr>
        <w:jc w:val="both"/>
        <w:ind w:left="380" w:right="140" w:firstLine="534"/>
        <w:spacing w:after="0" w:line="250" w:lineRule="auto"/>
        <w:rPr>
          <w:sz w:val="20"/>
          <w:szCs w:val="20"/>
          <w:color w:val="auto"/>
        </w:rPr>
      </w:pPr>
      <w:r>
        <w:rPr>
          <w:rFonts w:ascii="Arial" w:cs="Arial" w:eastAsia="Arial" w:hAnsi="Arial"/>
          <w:sz w:val="17"/>
          <w:szCs w:val="17"/>
          <w:color w:val="auto"/>
        </w:rPr>
        <w:t>We also maintain a directors’ and officers’ insurance policy pursuant to which our directors and officers are insured against liability for actions taken in their capacities as directors and officers. We believe that these indemnification provisions and insurance are useful to attract and retain qualified directors and officers.</w:t>
      </w:r>
    </w:p>
    <w:p>
      <w:pPr>
        <w:spacing w:after="0" w:line="188" w:lineRule="exact"/>
        <w:rPr>
          <w:sz w:val="20"/>
          <w:szCs w:val="20"/>
          <w:color w:val="auto"/>
        </w:rPr>
      </w:pPr>
    </w:p>
    <w:p>
      <w:pPr>
        <w:ind w:left="380" w:right="120" w:firstLine="534"/>
        <w:spacing w:after="0" w:line="243"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3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184</w:t>
      </w:r>
    </w:p>
    <w:p>
      <w:pPr>
        <w:sectPr>
          <w:pgSz w:w="11900" w:h="16838" w:orient="portrait"/>
          <w:cols w:equalWidth="0" w:num="1">
            <w:col w:w="11060"/>
          </w:cols>
          <w:pgMar w:left="240" w:top="449" w:right="599" w:bottom="1440" w:gutter="0" w:footer="0" w:header="0"/>
        </w:sectPr>
      </w:pPr>
    </w:p>
    <w:bookmarkStart w:id="187" w:name="page188"/>
    <w:bookmarkEnd w:id="1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CERTAIN RELATIONSHIPS AND RELATED PERSON TRANSACTIONS</w:t>
      </w:r>
    </w:p>
    <w:p>
      <w:pPr>
        <w:spacing w:after="0" w:line="232" w:lineRule="exact"/>
        <w:rPr>
          <w:sz w:val="20"/>
          <w:szCs w:val="20"/>
          <w:color w:val="auto"/>
        </w:rPr>
      </w:pPr>
    </w:p>
    <w:p>
      <w:pPr>
        <w:ind w:left="380" w:right="60" w:firstLine="534"/>
        <w:spacing w:after="0" w:line="258" w:lineRule="auto"/>
        <w:rPr>
          <w:sz w:val="20"/>
          <w:szCs w:val="20"/>
          <w:color w:val="auto"/>
        </w:rPr>
      </w:pPr>
      <w:r>
        <w:rPr>
          <w:rFonts w:ascii="Arial" w:cs="Arial" w:eastAsia="Arial" w:hAnsi="Arial"/>
          <w:sz w:val="17"/>
          <w:szCs w:val="17"/>
          <w:color w:val="auto"/>
        </w:rPr>
        <w:t>Other than compensation arrangements, we describe below transactions and series of similar transactions, since January 1, 2016, to which we were a party or will be a party, in which:</w:t>
      </w:r>
    </w:p>
    <w:p>
      <w:pPr>
        <w:spacing w:after="0" w:line="90" w:lineRule="exact"/>
        <w:rPr>
          <w:sz w:val="20"/>
          <w:szCs w:val="20"/>
          <w:color w:val="auto"/>
        </w:rPr>
      </w:pPr>
    </w:p>
    <w:p>
      <w:pPr>
        <w:ind w:left="1100" w:hanging="205"/>
        <w:spacing w:after="0"/>
        <w:tabs>
          <w:tab w:leader="none" w:pos="11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amounts involved exceeded or will exceed $120,000; and</w:t>
      </w:r>
    </w:p>
    <w:p>
      <w:pPr>
        <w:spacing w:after="0" w:line="118" w:lineRule="exact"/>
        <w:rPr>
          <w:rFonts w:ascii="Arial" w:cs="Arial" w:eastAsia="Arial" w:hAnsi="Arial"/>
          <w:sz w:val="17"/>
          <w:szCs w:val="17"/>
          <w:color w:val="auto"/>
        </w:rPr>
      </w:pPr>
    </w:p>
    <w:p>
      <w:pPr>
        <w:ind w:left="1100" w:hanging="205"/>
        <w:spacing w:after="0" w:line="258" w:lineRule="auto"/>
        <w:tabs>
          <w:tab w:leader="none" w:pos="11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any of our directors, executive officers, or holders of more than 5% of our common stock, or any member of the immediate family of the foregoing persons, had or will have a direct or indirect material interest.</w:t>
      </w:r>
    </w:p>
    <w:p>
      <w:pPr>
        <w:spacing w:after="0" w:line="182" w:lineRule="exact"/>
        <w:rPr>
          <w:sz w:val="20"/>
          <w:szCs w:val="20"/>
          <w:color w:val="auto"/>
        </w:rPr>
      </w:pPr>
    </w:p>
    <w:p>
      <w:pPr>
        <w:ind w:left="380" w:right="180" w:firstLine="534"/>
        <w:spacing w:after="0" w:line="247" w:lineRule="auto"/>
        <w:rPr>
          <w:sz w:val="20"/>
          <w:szCs w:val="20"/>
          <w:color w:val="auto"/>
        </w:rPr>
      </w:pPr>
      <w:r>
        <w:rPr>
          <w:rFonts w:ascii="Arial" w:cs="Arial" w:eastAsia="Arial" w:hAnsi="Arial"/>
          <w:sz w:val="17"/>
          <w:szCs w:val="17"/>
          <w:color w:val="auto"/>
        </w:rPr>
        <w:t>We have entered into various employment-related agreements and compensatory arrangements with our directors and executive officers that, among other things, provide for compensatory and certain severance and change in control benefits. For a description of these agreements and arrangements, see the sections titled “Executive and Director Compensation—Agreements with our Named Executive Officers” and “Executive and Director Compensation—Potential Payments upon Termination or Change of Control.”</w:t>
      </w:r>
    </w:p>
    <w:p>
      <w:pPr>
        <w:spacing w:after="0" w:line="273"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Merck Collaboration</w:t>
      </w:r>
    </w:p>
    <w:p>
      <w:pPr>
        <w:spacing w:after="0" w:line="232" w:lineRule="exact"/>
        <w:rPr>
          <w:sz w:val="20"/>
          <w:szCs w:val="20"/>
          <w:color w:val="auto"/>
        </w:rPr>
      </w:pPr>
    </w:p>
    <w:p>
      <w:pPr>
        <w:jc w:val="both"/>
        <w:ind w:left="380" w:right="80" w:firstLine="534"/>
        <w:spacing w:after="0" w:line="250" w:lineRule="auto"/>
        <w:rPr>
          <w:sz w:val="20"/>
          <w:szCs w:val="20"/>
          <w:color w:val="auto"/>
        </w:rPr>
      </w:pPr>
      <w:r>
        <w:rPr>
          <w:rFonts w:ascii="Arial" w:cs="Arial" w:eastAsia="Arial" w:hAnsi="Arial"/>
          <w:sz w:val="17"/>
          <w:szCs w:val="17"/>
          <w:color w:val="auto"/>
        </w:rPr>
        <w:t>In 2015, we entered into a research collaboration, product development and license agreement with Merck, pursuant to which we subsequently licensed our NGM313 program to Merck. In March 2019, Merck exercised its option to extend this collaboration from March 2020 through March 2022. For a detailed description of this agreement, see the section titled “Business—Our Collaboration with Merck.”</w:t>
      </w:r>
    </w:p>
    <w:p>
      <w:pPr>
        <w:spacing w:after="0" w:line="27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Concurrent Private Placement</w:t>
      </w:r>
    </w:p>
    <w:p>
      <w:pPr>
        <w:spacing w:after="0" w:line="232" w:lineRule="exact"/>
        <w:rPr>
          <w:sz w:val="20"/>
          <w:szCs w:val="20"/>
          <w:color w:val="auto"/>
        </w:rPr>
      </w:pPr>
    </w:p>
    <w:p>
      <w:pPr>
        <w:ind w:left="380" w:right="80" w:firstLine="534"/>
        <w:spacing w:after="0" w:line="244" w:lineRule="auto"/>
        <w:rPr>
          <w:sz w:val="20"/>
          <w:szCs w:val="20"/>
          <w:color w:val="auto"/>
        </w:rPr>
      </w:pPr>
      <w:r>
        <w:rPr>
          <w:rFonts w:ascii="Arial" w:cs="Arial" w:eastAsia="Arial" w:hAnsi="Arial"/>
          <w:sz w:val="17"/>
          <w:szCs w:val="17"/>
          <w:color w:val="auto"/>
        </w:rPr>
        <w:t>Merck, a strategic collaborator and existing stockholder, has agreed to purchase, in a separate private placement concurrent with the completion of this offering at a price per share equal to the public offering price, a number of shares of our common stock that would result in Merck owning approximately 19.9% of our outstanding shares of common stock following the completion of this offering. Based upon an offering size of 6,666,667 shares of our common stock, Merck would purchase 4,121,683 shares of our common stock. The sale of such shares will not be registered under the Securities Act of 1933, as amended. The completion of this offering is not contingent upon the completion of such concurrent private placement.</w:t>
      </w:r>
    </w:p>
    <w:p>
      <w:pPr>
        <w:spacing w:after="0" w:line="278"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Amended and Restated Investor Rights Agreement</w:t>
      </w:r>
    </w:p>
    <w:p>
      <w:pPr>
        <w:spacing w:after="0" w:line="232" w:lineRule="exact"/>
        <w:rPr>
          <w:sz w:val="20"/>
          <w:szCs w:val="20"/>
          <w:color w:val="auto"/>
        </w:rPr>
      </w:pPr>
    </w:p>
    <w:p>
      <w:pPr>
        <w:ind w:left="380" w:right="60" w:firstLine="534"/>
        <w:spacing w:after="0" w:line="243" w:lineRule="auto"/>
        <w:rPr>
          <w:sz w:val="20"/>
          <w:szCs w:val="20"/>
          <w:color w:val="auto"/>
        </w:rPr>
      </w:pPr>
      <w:r>
        <w:rPr>
          <w:rFonts w:ascii="Arial" w:cs="Arial" w:eastAsia="Arial" w:hAnsi="Arial"/>
          <w:sz w:val="17"/>
          <w:szCs w:val="17"/>
          <w:color w:val="auto"/>
        </w:rPr>
        <w:t>We have entered into an amended and restated investor rights agreement with certain holders of our convertible preferred stock, including entities with which certain of our directors are affiliated. This agreement provides that the holders of common stock issuable upon conversion of our convertible preferred stock have the right to demand that we file a registration statement or request that their shares of common stock be covered by a registration statement that we are otherwise filing. With respect to this offering, the registration rights have been validly waived. In addition to registration rights, the amended and restated investor rights agreement provides for certain information rights and a right of first offer. The provisions of the amended and restated investors’ rights agreement, other than those related to registration rights, will terminate upon the completion of this offering. For a detailed description of registration rights under this agreement, see “Description of Capital Stock—Registration Rights.”</w:t>
      </w:r>
    </w:p>
    <w:p>
      <w:pPr>
        <w:spacing w:after="0" w:line="13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185</w:t>
      </w:r>
    </w:p>
    <w:p>
      <w:pPr>
        <w:sectPr>
          <w:pgSz w:w="11900" w:h="16838" w:orient="portrait"/>
          <w:cols w:equalWidth="0" w:num="1">
            <w:col w:w="11020"/>
          </w:cols>
          <w:pgMar w:left="240" w:top="450" w:right="639" w:bottom="1440" w:gutter="0" w:footer="0" w:header="0"/>
        </w:sectPr>
      </w:pPr>
    </w:p>
    <w:bookmarkStart w:id="188" w:name="page189"/>
    <w:bookmarkEnd w:id="1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Voting Agreement</w:t>
      </w:r>
    </w:p>
    <w:p>
      <w:pPr>
        <w:spacing w:after="0" w:line="232" w:lineRule="exact"/>
        <w:rPr>
          <w:sz w:val="20"/>
          <w:szCs w:val="20"/>
          <w:color w:val="auto"/>
        </w:rPr>
      </w:pPr>
    </w:p>
    <w:p>
      <w:pPr>
        <w:ind w:left="380" w:firstLine="534"/>
        <w:spacing w:after="0" w:line="247" w:lineRule="auto"/>
        <w:rPr>
          <w:sz w:val="20"/>
          <w:szCs w:val="20"/>
          <w:color w:val="auto"/>
        </w:rPr>
      </w:pPr>
      <w:r>
        <w:rPr>
          <w:rFonts w:ascii="Arial" w:cs="Arial" w:eastAsia="Arial" w:hAnsi="Arial"/>
          <w:sz w:val="17"/>
          <w:szCs w:val="17"/>
          <w:color w:val="auto"/>
        </w:rPr>
        <w:t>We have entered into an amended and restated voting agreement under which certain holders of our capital stock, including certain holders of 5% of our capital stock and entities affiliated with certain of our directors, have agreed to vote in a certain way on certain matters, including with respect to the election of directors. All of our current directors were elected pursuant to the terms of this agreement. The amended and restated voting agreement will terminate upon the completion of this offering.</w:t>
      </w:r>
    </w:p>
    <w:p>
      <w:pPr>
        <w:spacing w:after="0" w:line="273"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Right of First Refusal and Co-Sale Agreement</w:t>
      </w:r>
    </w:p>
    <w:p>
      <w:pPr>
        <w:spacing w:after="0" w:line="232" w:lineRule="exact"/>
        <w:rPr>
          <w:sz w:val="20"/>
          <w:szCs w:val="20"/>
          <w:color w:val="auto"/>
        </w:rPr>
      </w:pPr>
    </w:p>
    <w:p>
      <w:pPr>
        <w:ind w:left="380" w:right="180" w:firstLine="534"/>
        <w:spacing w:after="0" w:line="245" w:lineRule="auto"/>
        <w:rPr>
          <w:sz w:val="20"/>
          <w:szCs w:val="20"/>
          <w:color w:val="auto"/>
        </w:rPr>
      </w:pPr>
      <w:r>
        <w:rPr>
          <w:rFonts w:ascii="Arial" w:cs="Arial" w:eastAsia="Arial" w:hAnsi="Arial"/>
          <w:sz w:val="17"/>
          <w:szCs w:val="17"/>
          <w:color w:val="auto"/>
        </w:rPr>
        <w:t>We have entered into an amended and restated right of first refusal and co-sale agreement with our founder, our chief executive officer and the holders of our convertible preferred stock, including certain holders of 5% of our capital stock and entities affiliated with certain of our directors, pursuant to which the holders of convertible preferred stock have a right of first refusal and co-sale in respect of certain sales of securities by our founder and our chief executive officer. Upon the completion of this offering, the right of first refusal and co-sale agreement will terminate.</w:t>
      </w:r>
    </w:p>
    <w:p>
      <w:pPr>
        <w:spacing w:after="0" w:line="27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Other Transactions</w:t>
      </w:r>
    </w:p>
    <w:p>
      <w:pPr>
        <w:spacing w:after="0" w:line="232" w:lineRule="exact"/>
        <w:rPr>
          <w:sz w:val="20"/>
          <w:szCs w:val="20"/>
          <w:color w:val="auto"/>
        </w:rPr>
      </w:pPr>
    </w:p>
    <w:p>
      <w:pPr>
        <w:ind w:left="380" w:right="400" w:firstLine="534"/>
        <w:spacing w:after="0" w:line="258" w:lineRule="auto"/>
        <w:rPr>
          <w:sz w:val="20"/>
          <w:szCs w:val="20"/>
          <w:color w:val="auto"/>
        </w:rPr>
      </w:pPr>
      <w:r>
        <w:rPr>
          <w:rFonts w:ascii="Arial" w:cs="Arial" w:eastAsia="Arial" w:hAnsi="Arial"/>
          <w:sz w:val="17"/>
          <w:szCs w:val="17"/>
          <w:color w:val="auto"/>
        </w:rPr>
        <w:t>In May 2016, entities affiliated with The Column Group and Tichenor Ventures, LLC purchased a total of 314,940 shares of our common stock at a price of $7.64 per share from a total of six employees, including 205,317 shares purchased from Dr. Chen.</w:t>
      </w:r>
    </w:p>
    <w:p>
      <w:pPr>
        <w:spacing w:after="0" w:line="182" w:lineRule="exact"/>
        <w:rPr>
          <w:sz w:val="20"/>
          <w:szCs w:val="20"/>
          <w:color w:val="auto"/>
        </w:rPr>
      </w:pPr>
    </w:p>
    <w:p>
      <w:pPr>
        <w:ind w:left="380" w:right="520" w:firstLine="534"/>
        <w:spacing w:after="0" w:line="258" w:lineRule="auto"/>
        <w:rPr>
          <w:sz w:val="20"/>
          <w:szCs w:val="20"/>
          <w:color w:val="auto"/>
        </w:rPr>
      </w:pPr>
      <w:r>
        <w:rPr>
          <w:rFonts w:ascii="Arial" w:cs="Arial" w:eastAsia="Arial" w:hAnsi="Arial"/>
          <w:sz w:val="17"/>
          <w:szCs w:val="17"/>
          <w:color w:val="auto"/>
        </w:rPr>
        <w:t>In November 2016, entities affiliated with The Column Group purchased a total of 200,000 shares of our Series D convertible preferred stock at a price of $12.00 per share from one stockholder.</w:t>
      </w:r>
    </w:p>
    <w:p>
      <w:pPr>
        <w:spacing w:after="0" w:line="182" w:lineRule="exact"/>
        <w:rPr>
          <w:sz w:val="20"/>
          <w:szCs w:val="20"/>
          <w:color w:val="auto"/>
        </w:rPr>
      </w:pPr>
    </w:p>
    <w:p>
      <w:pPr>
        <w:ind w:left="380" w:right="360" w:firstLine="534"/>
        <w:spacing w:after="0" w:line="258" w:lineRule="auto"/>
        <w:rPr>
          <w:sz w:val="20"/>
          <w:szCs w:val="20"/>
          <w:color w:val="auto"/>
        </w:rPr>
      </w:pPr>
      <w:r>
        <w:rPr>
          <w:rFonts w:ascii="Arial" w:cs="Arial" w:eastAsia="Arial" w:hAnsi="Arial"/>
          <w:sz w:val="17"/>
          <w:szCs w:val="17"/>
          <w:color w:val="auto"/>
        </w:rPr>
        <w:t>In December 2016, entities affiliated with The Column Group purchased a total of 110,000 shares of our Series B and Series C convertible preferred stock at a price of $12.00 per share from a total of eight stockholders.</w:t>
      </w:r>
    </w:p>
    <w:p>
      <w:pPr>
        <w:spacing w:after="0" w:line="265"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Indemnification Agreements</w:t>
      </w:r>
    </w:p>
    <w:p>
      <w:pPr>
        <w:spacing w:after="0" w:line="232" w:lineRule="exact"/>
        <w:rPr>
          <w:sz w:val="20"/>
          <w:szCs w:val="20"/>
          <w:color w:val="auto"/>
        </w:rPr>
      </w:pPr>
    </w:p>
    <w:p>
      <w:pPr>
        <w:ind w:left="380" w:right="260" w:firstLine="534"/>
        <w:spacing w:after="0" w:line="258" w:lineRule="auto"/>
        <w:rPr>
          <w:sz w:val="20"/>
          <w:szCs w:val="20"/>
          <w:color w:val="auto"/>
        </w:rPr>
      </w:pPr>
      <w:r>
        <w:rPr>
          <w:rFonts w:ascii="Arial" w:cs="Arial" w:eastAsia="Arial" w:hAnsi="Arial"/>
          <w:sz w:val="17"/>
          <w:szCs w:val="17"/>
          <w:color w:val="auto"/>
        </w:rPr>
        <w:t>We have entered into indemnification agreements with each of our current directors and officers. For more information regarding these agreement, see “Executive and Director Compensation—Limitation of Liability and Indemnification Agreements.”</w:t>
      </w:r>
    </w:p>
    <w:p>
      <w:pPr>
        <w:spacing w:after="0" w:line="265"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Policies and Procedures Regarding Transactions with Related Persons</w:t>
      </w:r>
    </w:p>
    <w:p>
      <w:pPr>
        <w:spacing w:after="0" w:line="232" w:lineRule="exact"/>
        <w:rPr>
          <w:sz w:val="20"/>
          <w:szCs w:val="20"/>
          <w:color w:val="auto"/>
        </w:rPr>
      </w:pPr>
    </w:p>
    <w:p>
      <w:pPr>
        <w:ind w:left="380" w:right="40" w:firstLine="534"/>
        <w:spacing w:after="0" w:line="243" w:lineRule="auto"/>
        <w:rPr>
          <w:sz w:val="20"/>
          <w:szCs w:val="20"/>
          <w:color w:val="auto"/>
        </w:rPr>
      </w:pPr>
      <w:r>
        <w:rPr>
          <w:rFonts w:ascii="Arial" w:cs="Arial" w:eastAsia="Arial" w:hAnsi="Arial"/>
          <w:sz w:val="17"/>
          <w:szCs w:val="17"/>
          <w:color w:val="auto"/>
        </w:rPr>
        <w:t>We intend to adopt a related person transaction policy that will be in effect upon completion of this offering. Pursuant to the related person transaction policy, all proposed related person transactions must be approved by either (i) our audit committee (or any other committee of our board of directors consisting of independent directors), or (ii) our full board of directors. This review will cover any transaction, arrangement or relationship, or any series of similar transactions, arrangements or relationships, in which we were or are to be a participant, the amount involved exceeds $120,000, and a related person had or will have a direct or indirect material interest, including purchases of goods or services by or from a related person or entities in which the related person has a material interest, and indebtedness, guarantees of indebtedness and employment by us of a related person. A “related person” is any person who is or was one of our executive officers, directors or director nominees or is a holder of more than 5% of our common stock, or their immediate family members or any entity owned or controlled by any of the foregoing persons.</w:t>
      </w:r>
    </w:p>
    <w:p>
      <w:pPr>
        <w:spacing w:after="0" w:line="196" w:lineRule="exact"/>
        <w:rPr>
          <w:sz w:val="20"/>
          <w:szCs w:val="20"/>
          <w:color w:val="auto"/>
        </w:rPr>
      </w:pPr>
    </w:p>
    <w:p>
      <w:pPr>
        <w:ind w:left="380" w:right="360" w:firstLine="534"/>
        <w:spacing w:after="0" w:line="258" w:lineRule="auto"/>
        <w:rPr>
          <w:sz w:val="20"/>
          <w:szCs w:val="20"/>
          <w:color w:val="auto"/>
        </w:rPr>
      </w:pPr>
      <w:r>
        <w:rPr>
          <w:rFonts w:ascii="Arial" w:cs="Arial" w:eastAsia="Arial" w:hAnsi="Arial"/>
          <w:sz w:val="17"/>
          <w:szCs w:val="17"/>
          <w:color w:val="auto"/>
        </w:rPr>
        <w:t>All of the transactions described above were entered into prior to the adoption of this policy and were approved by our board of directors.</w:t>
      </w:r>
    </w:p>
    <w:p>
      <w:pPr>
        <w:spacing w:after="0" w:line="1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186</w:t>
      </w:r>
    </w:p>
    <w:p>
      <w:pPr>
        <w:sectPr>
          <w:pgSz w:w="11900" w:h="16838" w:orient="portrait"/>
          <w:cols w:equalWidth="0" w:num="1">
            <w:col w:w="11040"/>
          </w:cols>
          <w:pgMar w:left="240" w:top="449" w:right="619" w:bottom="1440" w:gutter="0" w:footer="0" w:header="0"/>
        </w:sectPr>
      </w:pPr>
    </w:p>
    <w:bookmarkStart w:id="189" w:name="page190"/>
    <w:bookmarkEnd w:id="1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PRINCIPAL STOCKHOLDERS</w:t>
      </w:r>
    </w:p>
    <w:p>
      <w:pPr>
        <w:spacing w:after="0" w:line="23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following table sets forth information regarding the beneficial ownership of our capital stock as of March 20, 2019 by:</w:t>
      </w:r>
    </w:p>
    <w:p>
      <w:pPr>
        <w:spacing w:after="0" w:line="119" w:lineRule="exact"/>
        <w:rPr>
          <w:sz w:val="20"/>
          <w:szCs w:val="20"/>
          <w:color w:val="auto"/>
        </w:rPr>
      </w:pPr>
    </w:p>
    <w:p>
      <w:pPr>
        <w:ind w:left="1100" w:hanging="205"/>
        <w:spacing w:after="0"/>
        <w:tabs>
          <w:tab w:leader="none" w:pos="11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each of our named executive officers;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all of our current executive officers and directors as a group; and</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each person, or group of affiliated persons, known by us to beneficially own more than 5% of any class of our voting securities.</w:t>
      </w:r>
    </w:p>
    <w:p>
      <w:pPr>
        <w:spacing w:after="0" w:line="210" w:lineRule="exact"/>
        <w:rPr>
          <w:sz w:val="20"/>
          <w:szCs w:val="20"/>
          <w:color w:val="auto"/>
        </w:rPr>
      </w:pPr>
    </w:p>
    <w:p>
      <w:pPr>
        <w:ind w:left="380" w:right="20" w:firstLine="534"/>
        <w:spacing w:after="0" w:line="244" w:lineRule="auto"/>
        <w:rPr>
          <w:sz w:val="20"/>
          <w:szCs w:val="20"/>
          <w:color w:val="auto"/>
        </w:rPr>
      </w:pPr>
      <w:r>
        <w:rPr>
          <w:rFonts w:ascii="Arial" w:cs="Arial" w:eastAsia="Arial" w:hAnsi="Arial"/>
          <w:sz w:val="17"/>
          <w:szCs w:val="17"/>
          <w:color w:val="auto"/>
        </w:rPr>
        <w:t>We have based our calculation of beneficial ownership prior to this offering and concurrent private placement to Merck on 54,310,541 shares of common stock outstanding as of March 20, 2019, which includes 47,283,839 shares of our common stock resulting from the conversion of all outstanding shares of our convertible preferred stock into our common stock immediately prior to the completion of this offering and concurrent private placement to Merck, as if this conversion had occurred as of March 20, 2019. We have based our calculation of beneficial ownership after this offering and concurrent private placement to Merck on 65,098,891 shares of our common stock outstanding immediately following the completion of this offering and the concurrent private placement to Merck. Ownership information assumes no exercise of the underwriters’ option to purchase additional shares.</w:t>
      </w:r>
    </w:p>
    <w:p>
      <w:pPr>
        <w:spacing w:after="0" w:line="193"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Entities affiliated with The Column Group, an existing stockholder, have indicated an interest in purchasing up to approximately $30.0 million of shares of our common stock in this offering at the initial public offering price. The information set forth in the table below assumes the purchase of all of these shares in this offering by such entities, with such entities purchasing number of shares indicated in the footnotes to the table. However, because these indications of interest are not binding agreements or commitments to purchase, the underwriters may determine to sell more, less or no shares in this offering to any or all of these entities, or any or all of these entities may determine to purchase more, less or no shares in this offering. The underwriters will receive the same underwriting discount on any shares purchased by these entities as they will on any other shares sold to the public in this offering.</w:t>
      </w:r>
    </w:p>
    <w:p>
      <w:pPr>
        <w:spacing w:after="0" w:line="1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187</w:t>
      </w:r>
    </w:p>
    <w:p>
      <w:pPr>
        <w:sectPr>
          <w:pgSz w:w="11900" w:h="16838" w:orient="portrait"/>
          <w:cols w:equalWidth="0" w:num="1">
            <w:col w:w="11020"/>
          </w:cols>
          <w:pgMar w:left="240" w:top="449" w:right="639" w:bottom="1440" w:gutter="0" w:footer="0" w:header="0"/>
        </w:sectPr>
      </w:pPr>
    </w:p>
    <w:bookmarkStart w:id="190" w:name="page191"/>
    <w:bookmarkEnd w:id="1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80" w:firstLine="534"/>
        <w:spacing w:after="0" w:line="243" w:lineRule="auto"/>
        <w:rPr>
          <w:sz w:val="20"/>
          <w:szCs w:val="20"/>
          <w:color w:val="auto"/>
        </w:rPr>
      </w:pPr>
      <w:r>
        <w:rPr>
          <w:rFonts w:ascii="Arial" w:cs="Arial" w:eastAsia="Arial" w:hAnsi="Arial"/>
          <w:sz w:val="17"/>
          <w:szCs w:val="17"/>
          <w:color w:val="auto"/>
        </w:rPr>
        <w:t>Beneficial ownership is determined according to the rules of the SEC and generally means that a person has beneficial ownership of a security if he or she possesses sole or shared voting or investment power of that security, and includes options and warrants that are currently exercisable within 60 days of March 20, 2019. Options to purchase shares of our common stock that are exercisable within 60 days of March 20, 2019 are deemed to be beneficially owned by the persons holding these options for the purpose of computing percentage ownership of that person, but are not treated as outstanding for the purpose of computing any other person’s ownership percentage. Except as indicated in the footnotes below, each of the beneficial owners named in the table below has, and upon completion of this offering will have, to our knowledge, sole voting and investment power with respect to all shares of common stock listed as beneficially owned by him or her, subject to community property laws where applicable. Unless otherwise indicated, the address for each of the stockholders in the table below is c/o NGM Biopharmaceuticals, Inc., 333 Oyster Point Blvd., South San Francisco, California 94080.</w:t>
      </w:r>
    </w:p>
    <w:p>
      <w:pPr>
        <w:spacing w:after="0" w:line="200" w:lineRule="exact"/>
        <w:rPr>
          <w:sz w:val="20"/>
          <w:szCs w:val="20"/>
          <w:color w:val="auto"/>
        </w:rPr>
      </w:pPr>
    </w:p>
    <w:p>
      <w:pPr>
        <w:spacing w:after="0" w:line="20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Percentage of Shares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60" w:type="dxa"/>
            <w:vAlign w:val="bottom"/>
            <w:tcBorders>
              <w:top w:val="single" w:sz="8" w:color="auto"/>
            </w:tcBorders>
            <w:gridSpan w:val="2"/>
          </w:tcPr>
          <w:p>
            <w:pPr>
              <w:jc w:val="center"/>
              <w:ind w:right="680"/>
              <w:spacing w:after="0" w:line="139" w:lineRule="exact"/>
              <w:rPr>
                <w:sz w:val="20"/>
                <w:szCs w:val="20"/>
                <w:color w:val="auto"/>
              </w:rPr>
            </w:pPr>
            <w:r>
              <w:rPr>
                <w:rFonts w:ascii="Arial" w:cs="Arial" w:eastAsia="Arial" w:hAnsi="Arial"/>
                <w:sz w:val="14"/>
                <w:szCs w:val="14"/>
                <w:b w:val="1"/>
                <w:bCs w:val="1"/>
                <w:color w:val="auto"/>
                <w:w w:val="99"/>
              </w:rPr>
              <w:t>Before</w:t>
            </w:r>
          </w:p>
        </w:tc>
        <w:tc>
          <w:tcPr>
            <w:tcW w:w="6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7"/>
              </w:rPr>
              <w:t>After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460" w:type="dxa"/>
            <w:vAlign w:val="bottom"/>
            <w:gridSpan w:val="2"/>
          </w:tcPr>
          <w:p>
            <w:pPr>
              <w:jc w:val="center"/>
              <w:ind w:right="520"/>
              <w:spacing w:after="0" w:line="157" w:lineRule="exact"/>
              <w:rPr>
                <w:sz w:val="20"/>
                <w:szCs w:val="20"/>
                <w:color w:val="auto"/>
              </w:rPr>
            </w:pPr>
            <w:r>
              <w:rPr>
                <w:rFonts w:ascii="Arial" w:cs="Arial" w:eastAsia="Arial" w:hAnsi="Arial"/>
                <w:sz w:val="14"/>
                <w:szCs w:val="14"/>
                <w:b w:val="1"/>
                <w:bCs w:val="1"/>
                <w:color w:val="auto"/>
                <w:w w:val="99"/>
              </w:rPr>
              <w:t>Number of</w:t>
            </w:r>
          </w:p>
        </w:tc>
        <w:tc>
          <w:tcPr>
            <w:tcW w:w="1360" w:type="dxa"/>
            <w:vAlign w:val="bottom"/>
            <w:gridSpan w:val="2"/>
          </w:tcPr>
          <w:p>
            <w:pPr>
              <w:jc w:val="center"/>
              <w:ind w:right="680"/>
              <w:spacing w:after="0" w:line="157" w:lineRule="exact"/>
              <w:rPr>
                <w:sz w:val="20"/>
                <w:szCs w:val="20"/>
                <w:color w:val="auto"/>
              </w:rPr>
            </w:pPr>
            <w:r>
              <w:rPr>
                <w:rFonts w:ascii="Arial" w:cs="Arial" w:eastAsia="Arial" w:hAnsi="Arial"/>
                <w:sz w:val="14"/>
                <w:szCs w:val="14"/>
                <w:b w:val="1"/>
                <w:bCs w:val="1"/>
                <w:color w:val="auto"/>
                <w:w w:val="99"/>
              </w:rPr>
              <w:t>offering</w:t>
            </w:r>
          </w:p>
        </w:tc>
        <w:tc>
          <w:tcPr>
            <w:tcW w:w="90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460" w:type="dxa"/>
            <w:vAlign w:val="bottom"/>
            <w:gridSpan w:val="2"/>
          </w:tcPr>
          <w:p>
            <w:pPr>
              <w:jc w:val="center"/>
              <w:ind w:right="540"/>
              <w:spacing w:after="0" w:line="157" w:lineRule="exact"/>
              <w:rPr>
                <w:sz w:val="20"/>
                <w:szCs w:val="20"/>
                <w:color w:val="auto"/>
              </w:rPr>
            </w:pPr>
            <w:r>
              <w:rPr>
                <w:rFonts w:ascii="Arial" w:cs="Arial" w:eastAsia="Arial" w:hAnsi="Arial"/>
                <w:sz w:val="14"/>
                <w:szCs w:val="14"/>
                <w:b w:val="1"/>
                <w:bCs w:val="1"/>
                <w:color w:val="auto"/>
                <w:w w:val="97"/>
              </w:rPr>
              <w:t>shares</w:t>
            </w:r>
          </w:p>
        </w:tc>
        <w:tc>
          <w:tcPr>
            <w:tcW w:w="1360" w:type="dxa"/>
            <w:vAlign w:val="bottom"/>
            <w:gridSpan w:val="2"/>
          </w:tcPr>
          <w:p>
            <w:pPr>
              <w:jc w:val="center"/>
              <w:ind w:right="680"/>
              <w:spacing w:after="0" w:line="157" w:lineRule="exact"/>
              <w:rPr>
                <w:sz w:val="20"/>
                <w:szCs w:val="20"/>
                <w:color w:val="auto"/>
              </w:rPr>
            </w:pPr>
            <w:r>
              <w:rPr>
                <w:rFonts w:ascii="Arial" w:cs="Arial" w:eastAsia="Arial" w:hAnsi="Arial"/>
                <w:sz w:val="14"/>
                <w:szCs w:val="14"/>
                <w:b w:val="1"/>
                <w:bCs w:val="1"/>
                <w:color w:val="auto"/>
                <w:w w:val="96"/>
              </w:rPr>
              <w:t>and</w:t>
            </w:r>
          </w:p>
        </w:tc>
        <w:tc>
          <w:tcPr>
            <w:tcW w:w="90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57"/>
        </w:trPr>
        <w:tc>
          <w:tcPr>
            <w:tcW w:w="6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460" w:type="dxa"/>
            <w:vAlign w:val="bottom"/>
            <w:gridSpan w:val="2"/>
          </w:tcPr>
          <w:p>
            <w:pPr>
              <w:jc w:val="center"/>
              <w:ind w:right="540"/>
              <w:spacing w:after="0" w:line="157" w:lineRule="exact"/>
              <w:rPr>
                <w:sz w:val="20"/>
                <w:szCs w:val="20"/>
                <w:color w:val="auto"/>
              </w:rPr>
            </w:pPr>
            <w:r>
              <w:rPr>
                <w:rFonts w:ascii="Arial" w:cs="Arial" w:eastAsia="Arial" w:hAnsi="Arial"/>
                <w:sz w:val="14"/>
                <w:szCs w:val="14"/>
                <w:b w:val="1"/>
                <w:bCs w:val="1"/>
                <w:color w:val="auto"/>
                <w:w w:val="99"/>
              </w:rPr>
              <w:t>beneficially</w:t>
            </w:r>
          </w:p>
        </w:tc>
        <w:tc>
          <w:tcPr>
            <w:tcW w:w="1360" w:type="dxa"/>
            <w:vAlign w:val="bottom"/>
            <w:gridSpan w:val="2"/>
          </w:tcPr>
          <w:p>
            <w:pPr>
              <w:jc w:val="center"/>
              <w:ind w:right="700"/>
              <w:spacing w:after="0" w:line="157" w:lineRule="exact"/>
              <w:rPr>
                <w:sz w:val="20"/>
                <w:szCs w:val="20"/>
                <w:color w:val="auto"/>
              </w:rPr>
            </w:pPr>
            <w:r>
              <w:rPr>
                <w:rFonts w:ascii="Arial" w:cs="Arial" w:eastAsia="Arial" w:hAnsi="Arial"/>
                <w:sz w:val="14"/>
                <w:szCs w:val="14"/>
                <w:b w:val="1"/>
                <w:bCs w:val="1"/>
                <w:color w:val="auto"/>
              </w:rPr>
              <w:t>private</w:t>
            </w:r>
          </w:p>
        </w:tc>
        <w:tc>
          <w:tcPr>
            <w:tcW w:w="90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w w:val="95"/>
              </w:rPr>
              <w:t>private</w:t>
            </w:r>
          </w:p>
        </w:tc>
        <w:tc>
          <w:tcPr>
            <w:tcW w:w="0" w:type="dxa"/>
            <w:vAlign w:val="bottom"/>
          </w:tcPr>
          <w:p>
            <w:pPr>
              <w:spacing w:after="0"/>
              <w:rPr>
                <w:sz w:val="1"/>
                <w:szCs w:val="1"/>
                <w:color w:val="auto"/>
              </w:rPr>
            </w:pPr>
          </w:p>
        </w:tc>
      </w:tr>
      <w:tr>
        <w:trPr>
          <w:trHeight w:val="155"/>
        </w:trPr>
        <w:tc>
          <w:tcPr>
            <w:tcW w:w="6960" w:type="dxa"/>
            <w:vAlign w:val="bottom"/>
            <w:gridSpan w:val="3"/>
            <w:vMerge w:val="continue"/>
          </w:tcPr>
          <w:p>
            <w:pPr>
              <w:spacing w:after="0"/>
              <w:rPr>
                <w:sz w:val="13"/>
                <w:szCs w:val="13"/>
                <w:color w:val="auto"/>
              </w:rPr>
            </w:pPr>
          </w:p>
        </w:tc>
        <w:tc>
          <w:tcPr>
            <w:tcW w:w="1460" w:type="dxa"/>
            <w:vAlign w:val="bottom"/>
            <w:gridSpan w:val="2"/>
          </w:tcPr>
          <w:p>
            <w:pPr>
              <w:jc w:val="center"/>
              <w:ind w:right="540"/>
              <w:spacing w:after="0" w:line="155" w:lineRule="exact"/>
              <w:rPr>
                <w:sz w:val="20"/>
                <w:szCs w:val="20"/>
                <w:color w:val="auto"/>
              </w:rPr>
            </w:pPr>
            <w:r>
              <w:rPr>
                <w:rFonts w:ascii="Arial" w:cs="Arial" w:eastAsia="Arial" w:hAnsi="Arial"/>
                <w:sz w:val="14"/>
                <w:szCs w:val="14"/>
                <w:b w:val="1"/>
                <w:bCs w:val="1"/>
                <w:color w:val="auto"/>
                <w:w w:val="99"/>
              </w:rPr>
              <w:t>owned</w:t>
            </w:r>
          </w:p>
        </w:tc>
        <w:tc>
          <w:tcPr>
            <w:tcW w:w="1360" w:type="dxa"/>
            <w:vAlign w:val="bottom"/>
            <w:gridSpan w:val="2"/>
          </w:tcPr>
          <w:p>
            <w:pPr>
              <w:jc w:val="center"/>
              <w:ind w:right="680"/>
              <w:spacing w:after="0" w:line="155" w:lineRule="exact"/>
              <w:rPr>
                <w:sz w:val="20"/>
                <w:szCs w:val="20"/>
                <w:color w:val="auto"/>
              </w:rPr>
            </w:pPr>
            <w:r>
              <w:rPr>
                <w:rFonts w:ascii="Arial" w:cs="Arial" w:eastAsia="Arial" w:hAnsi="Arial"/>
                <w:sz w:val="14"/>
                <w:szCs w:val="14"/>
                <w:b w:val="1"/>
                <w:bCs w:val="1"/>
                <w:color w:val="auto"/>
                <w:w w:val="98"/>
              </w:rPr>
              <w:t>placement</w:t>
            </w:r>
          </w:p>
        </w:tc>
        <w:tc>
          <w:tcPr>
            <w:tcW w:w="90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8"/>
              </w:rPr>
              <w:t>placement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bottom w:val="single" w:sz="8" w:color="CCEEFF"/>
            </w:tcBorders>
            <w:shd w:val="clear" w:color="auto" w:fill="000000"/>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940" w:type="dxa"/>
            <w:vAlign w:val="bottom"/>
            <w:gridSpan w:val="2"/>
            <w:shd w:val="clear" w:color="auto" w:fill="CCEEFF"/>
          </w:tcPr>
          <w:p>
            <w:pPr>
              <w:spacing w:after="0" w:line="170" w:lineRule="exact"/>
              <w:rPr>
                <w:sz w:val="20"/>
                <w:szCs w:val="20"/>
                <w:color w:val="auto"/>
              </w:rPr>
            </w:pPr>
            <w:r>
              <w:rPr>
                <w:rFonts w:ascii="Arial" w:cs="Arial" w:eastAsia="Arial" w:hAnsi="Arial"/>
                <w:sz w:val="17"/>
                <w:szCs w:val="17"/>
                <w:b w:val="1"/>
                <w:bCs w:val="1"/>
                <w:i w:val="1"/>
                <w:iCs w:val="1"/>
                <w:color w:val="auto"/>
              </w:rPr>
              <w:t>5% and Greater Stockholders:</w:t>
            </w: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gridSpan w:val="2"/>
          </w:tcPr>
          <w:p>
            <w:pPr>
              <w:ind w:left="320"/>
              <w:spacing w:after="0"/>
              <w:rPr>
                <w:sz w:val="20"/>
                <w:szCs w:val="20"/>
                <w:color w:val="auto"/>
              </w:rPr>
            </w:pPr>
            <w:r>
              <w:rPr>
                <w:rFonts w:ascii="Arial" w:cs="Arial" w:eastAsia="Arial" w:hAnsi="Arial"/>
                <w:sz w:val="17"/>
                <w:szCs w:val="17"/>
                <w:color w:val="auto"/>
              </w:rPr>
              <w:t>Entities affiliated with The Column Group(1)</w:t>
            </w:r>
          </w:p>
        </w:tc>
        <w:tc>
          <w:tcPr>
            <w:tcW w:w="920" w:type="dxa"/>
            <w:vAlign w:val="bottom"/>
          </w:tcPr>
          <w:p>
            <w:pPr>
              <w:jc w:val="center"/>
              <w:spacing w:after="0"/>
              <w:rPr>
                <w:sz w:val="20"/>
                <w:szCs w:val="20"/>
                <w:color w:val="auto"/>
              </w:rPr>
            </w:pPr>
            <w:r>
              <w:rPr>
                <w:rFonts w:ascii="Arial" w:cs="Arial" w:eastAsia="Arial" w:hAnsi="Arial"/>
                <w:sz w:val="17"/>
                <w:szCs w:val="17"/>
                <w:color w:val="auto"/>
              </w:rPr>
              <w:t>13,569,091</w:t>
            </w:r>
          </w:p>
        </w:tc>
        <w:tc>
          <w:tcPr>
            <w:tcW w:w="540" w:type="dxa"/>
            <w:vAlign w:val="bottom"/>
          </w:tcPr>
          <w:p>
            <w:pPr>
              <w:spacing w:after="0"/>
              <w:rPr>
                <w:sz w:val="17"/>
                <w:szCs w:val="17"/>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7"/>
                <w:szCs w:val="17"/>
                <w:color w:val="auto"/>
              </w:rPr>
              <w:t>25.0%</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Merck Sharp &amp; Dohme Corp.(2)</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8,833,333</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16.3%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gridSpan w:val="2"/>
          </w:tcPr>
          <w:p>
            <w:pPr>
              <w:ind w:left="320"/>
              <w:spacing w:after="0"/>
              <w:rPr>
                <w:sz w:val="20"/>
                <w:szCs w:val="20"/>
                <w:color w:val="auto"/>
              </w:rPr>
            </w:pPr>
            <w:r>
              <w:rPr>
                <w:rFonts w:ascii="Arial" w:cs="Arial" w:eastAsia="Arial" w:hAnsi="Arial"/>
                <w:sz w:val="17"/>
                <w:szCs w:val="17"/>
                <w:color w:val="auto"/>
              </w:rPr>
              <w:t>Prospect Ventures Partners III, L.P.(3)</w:t>
            </w:r>
          </w:p>
        </w:tc>
        <w:tc>
          <w:tcPr>
            <w:tcW w:w="1460" w:type="dxa"/>
            <w:vAlign w:val="bottom"/>
            <w:gridSpan w:val="2"/>
          </w:tcPr>
          <w:p>
            <w:pPr>
              <w:jc w:val="right"/>
              <w:ind w:right="540"/>
              <w:spacing w:after="0"/>
              <w:rPr>
                <w:sz w:val="20"/>
                <w:szCs w:val="20"/>
                <w:color w:val="auto"/>
              </w:rPr>
            </w:pPr>
            <w:r>
              <w:rPr>
                <w:rFonts w:ascii="Arial" w:cs="Arial" w:eastAsia="Arial" w:hAnsi="Arial"/>
                <w:sz w:val="17"/>
                <w:szCs w:val="17"/>
                <w:color w:val="auto"/>
              </w:rPr>
              <w:t>4,925,000</w:t>
            </w:r>
          </w:p>
        </w:tc>
        <w:tc>
          <w:tcPr>
            <w:tcW w:w="1360" w:type="dxa"/>
            <w:vAlign w:val="bottom"/>
            <w:gridSpan w:val="2"/>
          </w:tcPr>
          <w:p>
            <w:pPr>
              <w:jc w:val="right"/>
              <w:ind w:right="520"/>
              <w:spacing w:after="0"/>
              <w:rPr>
                <w:sz w:val="20"/>
                <w:szCs w:val="20"/>
                <w:color w:val="auto"/>
              </w:rPr>
            </w:pPr>
            <w:r>
              <w:rPr>
                <w:rFonts w:ascii="Arial" w:cs="Arial" w:eastAsia="Arial" w:hAnsi="Arial"/>
                <w:sz w:val="17"/>
                <w:szCs w:val="17"/>
                <w:color w:val="auto"/>
              </w:rPr>
              <w:t>9.1%</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Topspin Fund L.P.(4)</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4,833,334</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8.9%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gridSpan w:val="2"/>
          </w:tcPr>
          <w:p>
            <w:pPr>
              <w:ind w:left="320"/>
              <w:spacing w:after="0"/>
              <w:rPr>
                <w:sz w:val="20"/>
                <w:szCs w:val="20"/>
                <w:color w:val="auto"/>
              </w:rPr>
            </w:pPr>
            <w:r>
              <w:rPr>
                <w:rFonts w:ascii="Arial" w:cs="Arial" w:eastAsia="Arial" w:hAnsi="Arial"/>
                <w:sz w:val="17"/>
                <w:szCs w:val="17"/>
                <w:color w:val="auto"/>
              </w:rPr>
              <w:t>Entities affiliated with Rho Ventures(5)</w:t>
            </w:r>
          </w:p>
        </w:tc>
        <w:tc>
          <w:tcPr>
            <w:tcW w:w="1460" w:type="dxa"/>
            <w:vAlign w:val="bottom"/>
            <w:gridSpan w:val="2"/>
          </w:tcPr>
          <w:p>
            <w:pPr>
              <w:jc w:val="right"/>
              <w:ind w:right="540"/>
              <w:spacing w:after="0"/>
              <w:rPr>
                <w:sz w:val="20"/>
                <w:szCs w:val="20"/>
                <w:color w:val="auto"/>
              </w:rPr>
            </w:pPr>
            <w:r>
              <w:rPr>
                <w:rFonts w:ascii="Arial" w:cs="Arial" w:eastAsia="Arial" w:hAnsi="Arial"/>
                <w:sz w:val="17"/>
                <w:szCs w:val="17"/>
                <w:color w:val="auto"/>
              </w:rPr>
              <w:t>3,766,667</w:t>
            </w:r>
          </w:p>
        </w:tc>
        <w:tc>
          <w:tcPr>
            <w:tcW w:w="1360" w:type="dxa"/>
            <w:vAlign w:val="bottom"/>
            <w:gridSpan w:val="2"/>
          </w:tcPr>
          <w:p>
            <w:pPr>
              <w:jc w:val="right"/>
              <w:ind w:right="520"/>
              <w:spacing w:after="0"/>
              <w:rPr>
                <w:sz w:val="20"/>
                <w:szCs w:val="20"/>
                <w:color w:val="auto"/>
              </w:rPr>
            </w:pPr>
            <w:r>
              <w:rPr>
                <w:rFonts w:ascii="Arial" w:cs="Arial" w:eastAsia="Arial" w:hAnsi="Arial"/>
                <w:sz w:val="17"/>
                <w:szCs w:val="17"/>
                <w:color w:val="auto"/>
              </w:rPr>
              <w:t>6.9%</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1660" w:type="dxa"/>
            <w:vAlign w:val="bottom"/>
          </w:tcPr>
          <w:p>
            <w:pPr>
              <w:spacing w:after="0"/>
              <w:rPr>
                <w:sz w:val="7"/>
                <w:szCs w:val="7"/>
                <w:color w:val="auto"/>
              </w:rPr>
            </w:pPr>
          </w:p>
        </w:tc>
        <w:tc>
          <w:tcPr>
            <w:tcW w:w="5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Executive Officers and Directors:</w:t>
            </w: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gridSpan w:val="2"/>
          </w:tcPr>
          <w:p>
            <w:pPr>
              <w:ind w:left="320"/>
              <w:spacing w:after="0"/>
              <w:rPr>
                <w:sz w:val="20"/>
                <w:szCs w:val="20"/>
                <w:color w:val="auto"/>
              </w:rPr>
            </w:pPr>
            <w:r>
              <w:rPr>
                <w:rFonts w:ascii="Arial" w:cs="Arial" w:eastAsia="Arial" w:hAnsi="Arial"/>
                <w:sz w:val="17"/>
                <w:szCs w:val="17"/>
                <w:color w:val="auto"/>
              </w:rPr>
              <w:t>William J. Rieflin(6)</w:t>
            </w:r>
          </w:p>
        </w:tc>
        <w:tc>
          <w:tcPr>
            <w:tcW w:w="1460" w:type="dxa"/>
            <w:vAlign w:val="bottom"/>
            <w:gridSpan w:val="2"/>
          </w:tcPr>
          <w:p>
            <w:pPr>
              <w:jc w:val="right"/>
              <w:ind w:right="540"/>
              <w:spacing w:after="0"/>
              <w:rPr>
                <w:sz w:val="20"/>
                <w:szCs w:val="20"/>
                <w:color w:val="auto"/>
              </w:rPr>
            </w:pPr>
            <w:r>
              <w:rPr>
                <w:rFonts w:ascii="Arial" w:cs="Arial" w:eastAsia="Arial" w:hAnsi="Arial"/>
                <w:sz w:val="17"/>
                <w:szCs w:val="17"/>
                <w:color w:val="auto"/>
              </w:rPr>
              <w:t>3,044,168</w:t>
            </w:r>
          </w:p>
        </w:tc>
        <w:tc>
          <w:tcPr>
            <w:tcW w:w="1360" w:type="dxa"/>
            <w:vAlign w:val="bottom"/>
            <w:gridSpan w:val="2"/>
          </w:tcPr>
          <w:p>
            <w:pPr>
              <w:jc w:val="right"/>
              <w:ind w:right="520"/>
              <w:spacing w:after="0"/>
              <w:rPr>
                <w:sz w:val="20"/>
                <w:szCs w:val="20"/>
                <w:color w:val="auto"/>
              </w:rPr>
            </w:pPr>
            <w:r>
              <w:rPr>
                <w:rFonts w:ascii="Arial" w:cs="Arial" w:eastAsia="Arial" w:hAnsi="Arial"/>
                <w:sz w:val="17"/>
                <w:szCs w:val="17"/>
                <w:color w:val="auto"/>
              </w:rPr>
              <w:t>5.6%</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Jin-Long Chen, Ph.D.(7)</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2,968,943</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5.5%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gridSpan w:val="2"/>
          </w:tcPr>
          <w:p>
            <w:pPr>
              <w:ind w:left="320"/>
              <w:spacing w:after="0"/>
              <w:rPr>
                <w:sz w:val="20"/>
                <w:szCs w:val="20"/>
                <w:color w:val="auto"/>
              </w:rPr>
            </w:pPr>
            <w:r>
              <w:rPr>
                <w:rFonts w:ascii="Arial" w:cs="Arial" w:eastAsia="Arial" w:hAnsi="Arial"/>
                <w:sz w:val="17"/>
                <w:szCs w:val="17"/>
                <w:color w:val="auto"/>
              </w:rPr>
              <w:t>Aetna Wun Trombley Ph.D.(8)</w:t>
            </w:r>
          </w:p>
        </w:tc>
        <w:tc>
          <w:tcPr>
            <w:tcW w:w="1460" w:type="dxa"/>
            <w:vAlign w:val="bottom"/>
            <w:gridSpan w:val="2"/>
          </w:tcPr>
          <w:p>
            <w:pPr>
              <w:jc w:val="right"/>
              <w:ind w:right="540"/>
              <w:spacing w:after="0"/>
              <w:rPr>
                <w:sz w:val="20"/>
                <w:szCs w:val="20"/>
                <w:color w:val="auto"/>
              </w:rPr>
            </w:pPr>
            <w:r>
              <w:rPr>
                <w:rFonts w:ascii="Arial" w:cs="Arial" w:eastAsia="Arial" w:hAnsi="Arial"/>
                <w:sz w:val="17"/>
                <w:szCs w:val="17"/>
                <w:color w:val="auto"/>
              </w:rPr>
              <w:t>1,007,500</w:t>
            </w:r>
          </w:p>
        </w:tc>
        <w:tc>
          <w:tcPr>
            <w:tcW w:w="1360" w:type="dxa"/>
            <w:vAlign w:val="bottom"/>
            <w:gridSpan w:val="2"/>
          </w:tcPr>
          <w:p>
            <w:pPr>
              <w:jc w:val="right"/>
              <w:ind w:right="520"/>
              <w:spacing w:after="0"/>
              <w:rPr>
                <w:sz w:val="20"/>
                <w:szCs w:val="20"/>
                <w:color w:val="auto"/>
              </w:rPr>
            </w:pPr>
            <w:r>
              <w:rPr>
                <w:rFonts w:ascii="Arial" w:cs="Arial" w:eastAsia="Arial" w:hAnsi="Arial"/>
                <w:sz w:val="17"/>
                <w:szCs w:val="17"/>
                <w:color w:val="auto"/>
              </w:rPr>
              <w:t>1.9%</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David J. Woodhouse, Ph.D.(9)</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1,212,500</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gridSpan w:val="2"/>
          </w:tcPr>
          <w:p>
            <w:pPr>
              <w:ind w:left="320"/>
              <w:spacing w:after="0"/>
              <w:rPr>
                <w:sz w:val="20"/>
                <w:szCs w:val="20"/>
                <w:color w:val="auto"/>
              </w:rPr>
            </w:pPr>
            <w:r>
              <w:rPr>
                <w:rFonts w:ascii="Arial" w:cs="Arial" w:eastAsia="Arial" w:hAnsi="Arial"/>
                <w:sz w:val="17"/>
                <w:szCs w:val="17"/>
                <w:color w:val="auto"/>
              </w:rPr>
              <w:t>David V. Goeddel, Ph.D.(10)</w:t>
            </w:r>
          </w:p>
        </w:tc>
        <w:tc>
          <w:tcPr>
            <w:tcW w:w="920" w:type="dxa"/>
            <w:vAlign w:val="bottom"/>
          </w:tcPr>
          <w:p>
            <w:pPr>
              <w:jc w:val="center"/>
              <w:spacing w:after="0"/>
              <w:rPr>
                <w:sz w:val="20"/>
                <w:szCs w:val="20"/>
                <w:color w:val="auto"/>
              </w:rPr>
            </w:pPr>
            <w:r>
              <w:rPr>
                <w:rFonts w:ascii="Arial" w:cs="Arial" w:eastAsia="Arial" w:hAnsi="Arial"/>
                <w:sz w:val="17"/>
                <w:szCs w:val="17"/>
                <w:color w:val="auto"/>
              </w:rPr>
              <w:t>13,759,091</w:t>
            </w:r>
          </w:p>
        </w:tc>
        <w:tc>
          <w:tcPr>
            <w:tcW w:w="540" w:type="dxa"/>
            <w:vAlign w:val="bottom"/>
          </w:tcPr>
          <w:p>
            <w:pPr>
              <w:spacing w:after="0"/>
              <w:rPr>
                <w:sz w:val="17"/>
                <w:szCs w:val="17"/>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7"/>
                <w:szCs w:val="17"/>
                <w:color w:val="auto"/>
              </w:rPr>
              <w:t>25.3%</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24.2%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Suzanne Sawochka Hooper(11)</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25,000</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gridSpan w:val="2"/>
          </w:tcPr>
          <w:p>
            <w:pPr>
              <w:ind w:left="320"/>
              <w:spacing w:after="0"/>
              <w:rPr>
                <w:sz w:val="20"/>
                <w:szCs w:val="20"/>
                <w:color w:val="auto"/>
              </w:rPr>
            </w:pPr>
            <w:r>
              <w:rPr>
                <w:rFonts w:ascii="Arial" w:cs="Arial" w:eastAsia="Arial" w:hAnsi="Arial"/>
                <w:sz w:val="17"/>
                <w:szCs w:val="17"/>
                <w:color w:val="auto"/>
              </w:rPr>
              <w:t>Mark Leschly(12)</w:t>
            </w:r>
          </w:p>
        </w:tc>
        <w:tc>
          <w:tcPr>
            <w:tcW w:w="1460" w:type="dxa"/>
            <w:vAlign w:val="bottom"/>
            <w:gridSpan w:val="2"/>
          </w:tcPr>
          <w:p>
            <w:pPr>
              <w:jc w:val="right"/>
              <w:ind w:right="540"/>
              <w:spacing w:after="0"/>
              <w:rPr>
                <w:sz w:val="20"/>
                <w:szCs w:val="20"/>
                <w:color w:val="auto"/>
              </w:rPr>
            </w:pPr>
            <w:r>
              <w:rPr>
                <w:rFonts w:ascii="Arial" w:cs="Arial" w:eastAsia="Arial" w:hAnsi="Arial"/>
                <w:sz w:val="17"/>
                <w:szCs w:val="17"/>
                <w:color w:val="auto"/>
              </w:rPr>
              <w:t>3,766,667</w:t>
            </w:r>
          </w:p>
        </w:tc>
        <w:tc>
          <w:tcPr>
            <w:tcW w:w="1360" w:type="dxa"/>
            <w:vAlign w:val="bottom"/>
            <w:gridSpan w:val="2"/>
          </w:tcPr>
          <w:p>
            <w:pPr>
              <w:jc w:val="right"/>
              <w:ind w:right="520"/>
              <w:spacing w:after="0"/>
              <w:rPr>
                <w:sz w:val="20"/>
                <w:szCs w:val="20"/>
                <w:color w:val="auto"/>
              </w:rPr>
            </w:pPr>
            <w:r>
              <w:rPr>
                <w:rFonts w:ascii="Arial" w:cs="Arial" w:eastAsia="Arial" w:hAnsi="Arial"/>
                <w:sz w:val="17"/>
                <w:szCs w:val="17"/>
                <w:color w:val="auto"/>
              </w:rPr>
              <w:t>6.9%</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David Schnell, M.D.(13)</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4,925,000</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9.1%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gridSpan w:val="2"/>
          </w:tcPr>
          <w:p>
            <w:pPr>
              <w:ind w:left="320"/>
              <w:spacing w:after="0"/>
              <w:rPr>
                <w:sz w:val="20"/>
                <w:szCs w:val="20"/>
                <w:color w:val="auto"/>
              </w:rPr>
            </w:pPr>
            <w:r>
              <w:rPr>
                <w:rFonts w:ascii="Arial" w:cs="Arial" w:eastAsia="Arial" w:hAnsi="Arial"/>
                <w:sz w:val="17"/>
                <w:szCs w:val="17"/>
                <w:color w:val="auto"/>
              </w:rPr>
              <w:t>Peter Svennilson(14)</w:t>
            </w:r>
          </w:p>
        </w:tc>
        <w:tc>
          <w:tcPr>
            <w:tcW w:w="920" w:type="dxa"/>
            <w:vAlign w:val="bottom"/>
          </w:tcPr>
          <w:p>
            <w:pPr>
              <w:jc w:val="center"/>
              <w:spacing w:after="0"/>
              <w:rPr>
                <w:sz w:val="20"/>
                <w:szCs w:val="20"/>
                <w:color w:val="auto"/>
              </w:rPr>
            </w:pPr>
            <w:r>
              <w:rPr>
                <w:rFonts w:ascii="Arial" w:cs="Arial" w:eastAsia="Arial" w:hAnsi="Arial"/>
                <w:sz w:val="17"/>
                <w:szCs w:val="17"/>
                <w:color w:val="auto"/>
              </w:rPr>
              <w:t>13,569,091</w:t>
            </w:r>
          </w:p>
        </w:tc>
        <w:tc>
          <w:tcPr>
            <w:tcW w:w="540" w:type="dxa"/>
            <w:vAlign w:val="bottom"/>
          </w:tcPr>
          <w:p>
            <w:pPr>
              <w:spacing w:after="0"/>
              <w:rPr>
                <w:sz w:val="17"/>
                <w:szCs w:val="17"/>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7"/>
                <w:szCs w:val="17"/>
                <w:color w:val="auto"/>
              </w:rPr>
              <w:t>25.0%</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McHenry T. Tichenor, Jr.(15)</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1,872,315</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3.4%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gridSpan w:val="2"/>
          </w:tcPr>
          <w:p>
            <w:pPr>
              <w:ind w:left="320"/>
              <w:spacing w:after="0"/>
              <w:rPr>
                <w:sz w:val="20"/>
                <w:szCs w:val="20"/>
                <w:color w:val="auto"/>
              </w:rPr>
            </w:pPr>
            <w:r>
              <w:rPr>
                <w:rFonts w:ascii="Arial" w:cs="Arial" w:eastAsia="Arial" w:hAnsi="Arial"/>
                <w:sz w:val="17"/>
                <w:szCs w:val="17"/>
                <w:color w:val="auto"/>
              </w:rPr>
              <w:t>All executive officers and directors as a group (10 persons)(16)</w:t>
            </w:r>
          </w:p>
        </w:tc>
        <w:tc>
          <w:tcPr>
            <w:tcW w:w="920" w:type="dxa"/>
            <w:vAlign w:val="bottom"/>
          </w:tcPr>
          <w:p>
            <w:pPr>
              <w:jc w:val="center"/>
              <w:spacing w:after="0"/>
              <w:rPr>
                <w:sz w:val="20"/>
                <w:szCs w:val="20"/>
                <w:color w:val="auto"/>
              </w:rPr>
            </w:pPr>
            <w:r>
              <w:rPr>
                <w:rFonts w:ascii="Arial" w:cs="Arial" w:eastAsia="Arial" w:hAnsi="Arial"/>
                <w:sz w:val="17"/>
                <w:szCs w:val="17"/>
                <w:color w:val="auto"/>
              </w:rPr>
              <w:t>32,581,184</w:t>
            </w:r>
          </w:p>
        </w:tc>
        <w:tc>
          <w:tcPr>
            <w:tcW w:w="54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7"/>
                <w:szCs w:val="17"/>
                <w:color w:val="auto"/>
              </w:rPr>
              <w:t>55.3%</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74295</wp:posOffset>
            </wp:positionV>
            <wp:extent cx="6819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1990" cy="8255"/>
                    </a:xfrm>
                    <a:prstGeom prst="rect">
                      <a:avLst/>
                    </a:prstGeom>
                    <a:noFill/>
                  </pic:spPr>
                </pic:pic>
              </a:graphicData>
            </a:graphic>
          </wp:anchor>
        </w:drawing>
      </w:r>
    </w:p>
    <w:p>
      <w:pPr>
        <w:spacing w:after="0" w:line="149" w:lineRule="exact"/>
        <w:rPr>
          <w:sz w:val="20"/>
          <w:szCs w:val="20"/>
          <w:color w:val="auto"/>
        </w:rPr>
      </w:pPr>
    </w:p>
    <w:p>
      <w:pPr>
        <w:ind w:left="900" w:right="60" w:hanging="529"/>
        <w:spacing w:after="0" w:line="241" w:lineRule="auto"/>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Consists of (i) 11,103,333 shares held of record by The Column Group, LP, (ii) 2,265,758 shares held of record by The Column Group II, LP, (iii) 100,000 shares held of record by The Column Group GP, LP and (iv) 100,000 shares held of record by The Column Group Management, LP. Mr. Svennilson and Dr. Goeddel are managing partners of The Column Group GP, LP, The Column Group II GP, LP and Ponoi Capital, GP, LP, which are the general partners of The Column Group, LP and The Column Group II, LP, respectively, and share voting and investment power with respect to such shares. Mr. Svennilson and Dr. Goeddel disclaim beneficial ownership over such shares except to the extent of any pecuniary interest therein. The principal address of The Column Group, LP is 1700 Owens Street, Suite 500, San Francisco, California 94158. In addition, the percentage of shares beneficially owned after the offering assumes that entities affiliated with The Column Group has purchased 2,000,000 shares of our common stock in this offering at the assumed initial public offering price.</w:t>
      </w:r>
    </w:p>
    <w:p>
      <w:pPr>
        <w:spacing w:after="0" w:line="1" w:lineRule="exact"/>
        <w:rPr>
          <w:rFonts w:ascii="Arial" w:cs="Arial" w:eastAsia="Arial" w:hAnsi="Arial"/>
          <w:sz w:val="17"/>
          <w:szCs w:val="17"/>
          <w:color w:val="auto"/>
        </w:rPr>
      </w:pPr>
    </w:p>
    <w:p>
      <w:pPr>
        <w:ind w:left="900" w:right="200" w:hanging="529"/>
        <w:spacing w:after="0" w:line="258" w:lineRule="auto"/>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Merck has agreed to vote its shares in favor of our nominees to the board of directors, increases in the authorized capital stock of the company and amendments to our equity plans approved by</w:t>
      </w:r>
    </w:p>
    <w:p>
      <w:pPr>
        <w:spacing w:after="0" w:line="11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188</w:t>
      </w:r>
    </w:p>
    <w:p>
      <w:pPr>
        <w:sectPr>
          <w:pgSz w:w="11900" w:h="16838" w:orient="portrait"/>
          <w:cols w:equalWidth="0" w:num="1">
            <w:col w:w="11060"/>
          </w:cols>
          <w:pgMar w:left="240" w:top="449" w:right="599" w:bottom="1440" w:gutter="0" w:footer="0" w:header="0"/>
        </w:sectPr>
      </w:pPr>
    </w:p>
    <w:bookmarkStart w:id="191" w:name="page192"/>
    <w:bookmarkEnd w:id="1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900" w:right="40"/>
        <w:spacing w:after="0" w:line="241" w:lineRule="auto"/>
        <w:rPr>
          <w:sz w:val="20"/>
          <w:szCs w:val="20"/>
          <w:color w:val="auto"/>
        </w:rPr>
      </w:pPr>
      <w:r>
        <w:rPr>
          <w:rFonts w:ascii="Arial" w:cs="Arial" w:eastAsia="Arial" w:hAnsi="Arial"/>
          <w:sz w:val="17"/>
          <w:szCs w:val="17"/>
          <w:color w:val="auto"/>
        </w:rPr>
        <w:t>our board of directors, in each case as recommended by the chairman our board of directors. Merck has also agreed, subject to specified exceptions, and during the period of our five-year initial research phase, not to sell any of its shares of our capital stock. The principal address of Merck is One Merck Drive, Whitehouse Station, New Jersey 08889. In addition, the percentage of shares beneficially owned after this offering assumes that Merck has purchased, in a separate private placement concurrent with the completion of this offering 4,121,683 shares of our common stock, based upon an offering size of 6,666,667 shares of our common stock.</w:t>
      </w:r>
    </w:p>
    <w:p>
      <w:pPr>
        <w:spacing w:after="0" w:line="1" w:lineRule="exact"/>
        <w:rPr>
          <w:sz w:val="20"/>
          <w:szCs w:val="20"/>
          <w:color w:val="auto"/>
        </w:rPr>
      </w:pPr>
    </w:p>
    <w:p>
      <w:pPr>
        <w:ind w:left="900" w:right="100" w:hanging="529"/>
        <w:spacing w:after="0" w:line="241" w:lineRule="auto"/>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voting and investment power with respect to such shares is shared by the following managing members of its general partner, Prospect Management Co. III, L.L.C.: Dr. Schnell and Dr. Russell Hirsch. Drs. Schnell and Hirsch disclaim beneficial ownership over such shares except to the extent of any pecuniary interest therein. The principal address of Prospect Venture Partners III L.P. is 525 University Avenue, Suite 1350, Palo Alto, California 94301.</w:t>
      </w:r>
    </w:p>
    <w:p>
      <w:pPr>
        <w:ind w:left="900" w:right="40" w:hanging="529"/>
        <w:spacing w:after="0" w:line="241" w:lineRule="auto"/>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voting and investment power with respect to such shares is shared by the following managing partners of Topspin Fund L.P.: Andrew Gyenes, Leo Guthart, James Simons and Steven Winick. Messrs. Gyenes, Guthart, Simons and Winick disclaim beneficial ownership over such shares except to the extent of any pecuniary interest therein. The principal address of Topspin Fund L.P. is Three Expressway Plaza, #200, Roslyn Heights, New York, New York 11577.</w:t>
      </w:r>
    </w:p>
    <w:p>
      <w:pPr>
        <w:ind w:left="900" w:right="40" w:hanging="529"/>
        <w:spacing w:after="0" w:line="241" w:lineRule="auto"/>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Consists of (a) 3,462,649 shares held of record by Rho Ventures V, L.P. and (b) 304,019 shares held of record by Rho Ventures V Affiliates L.L.C. The voting and investment power with respect to the shares held by Rho Ventures V, L.P. and Rho Ventures V Affiliates L.L.C. is shared by the following members of Rho Capital Partners LLC, which is the managing member of RMV V, L.L.C., which is the general partner of Rho Ventures V, L.P. and the managing member of Rho Ventures V Affiliates L.L.C.: Habib Kairouz, Mark Leschly and Joshua Ruch. Messrs. Kairouz, Leschly and Ruch disclaim beneficial ownership over such shares except to the extent of any pecuniary interest therein. The address for the funds affiliated with Rho Ventures is Carnegie Hall Tower, 152 West 57th Street, 23rd Floor, New York, New York 10019.</w:t>
      </w:r>
    </w:p>
    <w:p>
      <w:pPr>
        <w:ind w:left="900" w:hanging="529"/>
        <w:spacing w:after="0"/>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Consists of (i) 2,769,168 shares held in trust for which Mr. Rieflin serves as trustee and shares voting and investment control and</w:t>
      </w:r>
    </w:p>
    <w:p>
      <w:pPr>
        <w:ind w:left="900" w:right="300" w:hanging="5"/>
        <w:spacing w:after="0" w:line="241" w:lineRule="auto"/>
        <w:tabs>
          <w:tab w:leader="none" w:pos="1142" w:val="left"/>
        </w:tabs>
        <w:numPr>
          <w:ilvl w:val="1"/>
          <w:numId w:val="85"/>
        </w:numPr>
        <w:rPr>
          <w:rFonts w:ascii="Arial" w:cs="Arial" w:eastAsia="Arial" w:hAnsi="Arial"/>
          <w:sz w:val="17"/>
          <w:szCs w:val="17"/>
          <w:color w:val="auto"/>
        </w:rPr>
      </w:pPr>
      <w:r>
        <w:rPr>
          <w:rFonts w:ascii="Arial" w:cs="Arial" w:eastAsia="Arial" w:hAnsi="Arial"/>
          <w:sz w:val="17"/>
          <w:szCs w:val="17"/>
          <w:color w:val="auto"/>
        </w:rPr>
        <w:t>275,000 shares pursuant to options exercisable within 60 days of March 20, 2019, of which 67,708 shares have vested as of March 20, 2019.</w:t>
      </w:r>
    </w:p>
    <w:p>
      <w:pPr>
        <w:ind w:left="900" w:hanging="529"/>
        <w:spacing w:after="0"/>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Consists of (i) 906,443 shares, (ii) 225,000 shares held in trusts for which Dr. Chen shares voting and investment control and</w:t>
      </w:r>
    </w:p>
    <w:p>
      <w:pPr>
        <w:ind w:left="900" w:right="60" w:hanging="5"/>
        <w:spacing w:after="0" w:line="241" w:lineRule="auto"/>
        <w:tabs>
          <w:tab w:leader="none" w:pos="1181" w:val="left"/>
        </w:tabs>
        <w:numPr>
          <w:ilvl w:val="1"/>
          <w:numId w:val="86"/>
        </w:numPr>
        <w:rPr>
          <w:rFonts w:ascii="Arial" w:cs="Arial" w:eastAsia="Arial" w:hAnsi="Arial"/>
          <w:sz w:val="17"/>
          <w:szCs w:val="17"/>
          <w:color w:val="auto"/>
        </w:rPr>
      </w:pPr>
      <w:r>
        <w:rPr>
          <w:rFonts w:ascii="Arial" w:cs="Arial" w:eastAsia="Arial" w:hAnsi="Arial"/>
          <w:sz w:val="17"/>
          <w:szCs w:val="17"/>
          <w:color w:val="auto"/>
        </w:rPr>
        <w:t>1,837,500 shares pursuant to options exercisable within 60 days of March 20, 2019, of which 1,378,125 shares have vested as of March 20, 2019.</w:t>
      </w:r>
    </w:p>
    <w:p>
      <w:pPr>
        <w:ind w:left="900" w:right="380" w:hanging="529"/>
        <w:spacing w:after="0" w:line="241" w:lineRule="auto"/>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Consists of 1,007,500 shares pursuant to options exercisable within 60 days of March 20, 2019, of which 530,103 shares have vested as of March 20, 2019.</w:t>
      </w:r>
    </w:p>
    <w:p>
      <w:pPr>
        <w:ind w:left="900" w:hanging="529"/>
        <w:spacing w:after="0"/>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Consists of (i) 80,000 shares held in trust for which Dr. Woodhouse serves as trustee and shares voting and investment control and</w:t>
      </w:r>
    </w:p>
    <w:p>
      <w:pPr>
        <w:ind w:left="900" w:right="60" w:hanging="5"/>
        <w:spacing w:after="0" w:line="241" w:lineRule="auto"/>
        <w:tabs>
          <w:tab w:leader="none" w:pos="1142" w:val="left"/>
        </w:tabs>
        <w:numPr>
          <w:ilvl w:val="1"/>
          <w:numId w:val="87"/>
        </w:numPr>
        <w:rPr>
          <w:rFonts w:ascii="Arial" w:cs="Arial" w:eastAsia="Arial" w:hAnsi="Arial"/>
          <w:sz w:val="17"/>
          <w:szCs w:val="17"/>
          <w:color w:val="auto"/>
        </w:rPr>
      </w:pPr>
      <w:r>
        <w:rPr>
          <w:rFonts w:ascii="Arial" w:cs="Arial" w:eastAsia="Arial" w:hAnsi="Arial"/>
          <w:sz w:val="17"/>
          <w:szCs w:val="17"/>
          <w:color w:val="auto"/>
        </w:rPr>
        <w:t>1,132,500 shares pursuant to options exercisable within 60 days of March 20, 2019, of which 434,062 shares have vested as of March 20, 2019.</w:t>
      </w:r>
    </w:p>
    <w:p>
      <w:pPr>
        <w:ind w:left="900" w:right="420" w:hanging="529"/>
        <w:spacing w:after="0" w:line="241" w:lineRule="auto"/>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Consists of (i) 190,000 shares held in trust for which David V. Goeddel and Alena Z. Goeddel serve as co-trustees, and (ii) the shares described in footnote (1) above.</w:t>
      </w:r>
    </w:p>
    <w:p>
      <w:pPr>
        <w:ind w:left="900" w:right="60" w:hanging="529"/>
        <w:spacing w:after="0" w:line="241" w:lineRule="auto"/>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Consists of 25,000 shares pursuant to options exercisable within 60 days of March 20, 2019, of which no shares have vested as of March 20, 2019.</w:t>
      </w:r>
    </w:p>
    <w:p>
      <w:pPr>
        <w:ind w:left="900" w:hanging="529"/>
        <w:spacing w:after="0"/>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Consists of the shares described in footnote (5) above.</w:t>
      </w:r>
    </w:p>
    <w:p>
      <w:pPr>
        <w:ind w:left="900" w:hanging="529"/>
        <w:spacing w:after="0"/>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Consists of the shares described in footnote (3) above.</w:t>
      </w:r>
    </w:p>
    <w:p>
      <w:pPr>
        <w:ind w:left="900" w:hanging="529"/>
        <w:spacing w:after="0"/>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Consists of the shares described in footnote (1) above.</w:t>
      </w:r>
    </w:p>
    <w:p>
      <w:pPr>
        <w:ind w:left="900" w:right="140" w:hanging="529"/>
        <w:spacing w:after="0" w:line="241" w:lineRule="auto"/>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Consists of 1,872,315 shares held of record by Tichenor Ventures, LLC. Mr. Tichenor is the president and managing partner of Tichenor Ventures, LLC and has sole voting and investment power with respect to such shares. The principal address of Tichenor Ventures, LLC is 100 Crescent Court, Suite 700, Dallas, Texas 75201.</w:t>
      </w:r>
    </w:p>
    <w:p>
      <w:pPr>
        <w:jc w:val="both"/>
        <w:ind w:left="900" w:right="360" w:hanging="529"/>
        <w:spacing w:after="0" w:line="250" w:lineRule="auto"/>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Consists of (i) 28,303,684 shares held of record by our executive officers and directors, of which 158,334 shares are subject to repurchase by us at the original purchase price as of March 20, 2019 and (ii) 3,727,500 shares pursuant to options exercisable within 60 days of March 20, 2019, of which 2,228,018 shares have vested as of March 20, 2019.</w:t>
      </w:r>
    </w:p>
    <w:p>
      <w:pPr>
        <w:spacing w:after="0" w:line="12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189</w:t>
      </w:r>
    </w:p>
    <w:p>
      <w:pPr>
        <w:sectPr>
          <w:pgSz w:w="11900" w:h="16838" w:orient="portrait"/>
          <w:cols w:equalWidth="0" w:num="1">
            <w:col w:w="11020"/>
          </w:cols>
          <w:pgMar w:left="240" w:top="449" w:right="639" w:bottom="1440" w:gutter="0" w:footer="0" w:header="0"/>
        </w:sectPr>
      </w:pPr>
    </w:p>
    <w:bookmarkStart w:id="192" w:name="page193"/>
    <w:bookmarkEnd w:id="1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DESCRIPTION OF CAPITAL STOCK</w:t>
      </w:r>
    </w:p>
    <w:p>
      <w:pPr>
        <w:spacing w:after="0" w:line="2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General</w:t>
      </w:r>
    </w:p>
    <w:p>
      <w:pPr>
        <w:spacing w:after="0" w:line="232" w:lineRule="exact"/>
        <w:rPr>
          <w:sz w:val="20"/>
          <w:szCs w:val="20"/>
          <w:color w:val="auto"/>
        </w:rPr>
      </w:pPr>
    </w:p>
    <w:p>
      <w:pPr>
        <w:ind w:left="380" w:right="80" w:firstLine="534"/>
        <w:spacing w:after="0" w:line="245" w:lineRule="auto"/>
        <w:rPr>
          <w:sz w:val="20"/>
          <w:szCs w:val="20"/>
          <w:color w:val="auto"/>
        </w:rPr>
      </w:pPr>
      <w:r>
        <w:rPr>
          <w:rFonts w:ascii="Arial" w:cs="Arial" w:eastAsia="Arial" w:hAnsi="Arial"/>
          <w:sz w:val="17"/>
          <w:szCs w:val="17"/>
          <w:color w:val="auto"/>
        </w:rPr>
        <w:t>The following description of our capital stock summarizes the most important terms of our capital stock as they are expected to be in effect upon the completion of this offering. The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the completion of this offering. Copies of these documents will be filed with the SEC as exhibits to our registration statement, of which this prospectus forms a part.</w:t>
      </w:r>
    </w:p>
    <w:p>
      <w:pPr>
        <w:spacing w:after="0" w:line="194" w:lineRule="exact"/>
        <w:rPr>
          <w:sz w:val="20"/>
          <w:szCs w:val="20"/>
          <w:color w:val="auto"/>
        </w:rPr>
      </w:pPr>
    </w:p>
    <w:p>
      <w:pPr>
        <w:ind w:left="380" w:firstLine="534"/>
        <w:spacing w:after="0" w:line="258" w:lineRule="auto"/>
        <w:rPr>
          <w:sz w:val="20"/>
          <w:szCs w:val="20"/>
          <w:color w:val="auto"/>
        </w:rPr>
      </w:pPr>
      <w:r>
        <w:rPr>
          <w:rFonts w:ascii="Arial" w:cs="Arial" w:eastAsia="Arial" w:hAnsi="Arial"/>
          <w:sz w:val="17"/>
          <w:szCs w:val="17"/>
          <w:color w:val="auto"/>
        </w:rPr>
        <w:t>Our amended and restated certificate of incorporation provides for common stock and undesignated convertible preferred stock, the rights, preferences and privileges of which may be designated from time to time by our board of directors.</w:t>
      </w:r>
    </w:p>
    <w:p>
      <w:pPr>
        <w:spacing w:after="0" w:line="182" w:lineRule="exact"/>
        <w:rPr>
          <w:sz w:val="20"/>
          <w:szCs w:val="20"/>
          <w:color w:val="auto"/>
        </w:rPr>
      </w:pPr>
    </w:p>
    <w:p>
      <w:pPr>
        <w:ind w:left="380" w:right="80" w:firstLine="534"/>
        <w:spacing w:after="0" w:line="247" w:lineRule="auto"/>
        <w:rPr>
          <w:sz w:val="20"/>
          <w:szCs w:val="20"/>
          <w:color w:val="auto"/>
        </w:rPr>
      </w:pPr>
      <w:r>
        <w:rPr>
          <w:rFonts w:ascii="Arial" w:cs="Arial" w:eastAsia="Arial" w:hAnsi="Arial"/>
          <w:sz w:val="17"/>
          <w:szCs w:val="17"/>
          <w:color w:val="auto"/>
        </w:rPr>
        <w:t>Upon the completion of this offering, our amended and restated certificate of incorporation will authorize us to issue up to 400,000,000 shares of common stock, par value $0.001 per share, and 10,000,000 shares of preferred stock, par value $0.001 per share. As of December 31, 2018, assuming the conversion of all outstanding shares of our convertible preferred stock into an aggregate of 47,267,466 shares of our common stock, there were outstanding:</w:t>
      </w:r>
    </w:p>
    <w:p>
      <w:pPr>
        <w:spacing w:after="0" w:line="99" w:lineRule="exact"/>
        <w:rPr>
          <w:sz w:val="20"/>
          <w:szCs w:val="20"/>
          <w:color w:val="auto"/>
        </w:rPr>
      </w:pPr>
    </w:p>
    <w:p>
      <w:pPr>
        <w:ind w:left="1100" w:hanging="205"/>
        <w:spacing w:after="0"/>
        <w:tabs>
          <w:tab w:leader="none" w:pos="11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54,205,356 shares of our common stock held by approximately 178 stockholders of record;</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9,806,689 shares of our common stock issuable upon exercise of outstanding stock options; and</w:t>
      </w:r>
    </w:p>
    <w:p>
      <w:pPr>
        <w:spacing w:after="0" w:line="118" w:lineRule="exact"/>
        <w:rPr>
          <w:rFonts w:ascii="Arial" w:cs="Arial" w:eastAsia="Arial" w:hAnsi="Arial"/>
          <w:sz w:val="17"/>
          <w:szCs w:val="17"/>
          <w:color w:val="auto"/>
        </w:rPr>
      </w:pPr>
    </w:p>
    <w:p>
      <w:pPr>
        <w:ind w:left="1100" w:right="260" w:hanging="205"/>
        <w:spacing w:after="0" w:line="250" w:lineRule="auto"/>
        <w:tabs>
          <w:tab w:leader="none" w:pos="11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19,637 shares of our common stock (on an as-converted basis) issuable upon exercise of an outstanding Series A convertible preferred stock warrant, at an exercise price of $2.00 per share which automatically net exercised into shares of our Series A convertible preferred stock that are convertible into 16,380 shares of our common stock on February 3, 2019.</w:t>
      </w:r>
    </w:p>
    <w:p>
      <w:pPr>
        <w:spacing w:after="0" w:line="27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Common Stock</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Voting Rights</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Each holder of common stock is entitled to one vote for each share on all matters submitted to a vote of the stockholders. In</w:t>
      </w:r>
    </w:p>
    <w:p>
      <w:pPr>
        <w:spacing w:after="0" w:line="1" w:lineRule="exact"/>
        <w:rPr>
          <w:sz w:val="20"/>
          <w:szCs w:val="20"/>
          <w:color w:val="auto"/>
        </w:rPr>
      </w:pPr>
    </w:p>
    <w:p>
      <w:pPr>
        <w:ind w:left="380" w:right="60"/>
        <w:spacing w:after="0" w:line="245" w:lineRule="auto"/>
        <w:rPr>
          <w:sz w:val="20"/>
          <w:szCs w:val="20"/>
          <w:color w:val="auto"/>
        </w:rPr>
      </w:pPr>
      <w:r>
        <w:rPr>
          <w:rFonts w:ascii="Arial" w:cs="Arial" w:eastAsia="Arial" w:hAnsi="Arial"/>
          <w:sz w:val="17"/>
          <w:szCs w:val="17"/>
          <w:color w:val="auto"/>
        </w:rPr>
        <w:t xml:space="preserve">addition to any vote of holders of a specific class or series, or required by law or the amended and restated certificate of incorporation, the affirmative vote of holders of at least 66 </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voting power of all of the then outstanding shares of capital stock, voting as a single class, will be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jurisdiction.</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Dividends</w:t>
      </w:r>
    </w:p>
    <w:p>
      <w:pPr>
        <w:spacing w:after="0" w:line="126" w:lineRule="exact"/>
        <w:rPr>
          <w:sz w:val="20"/>
          <w:szCs w:val="20"/>
          <w:color w:val="auto"/>
        </w:rPr>
      </w:pPr>
    </w:p>
    <w:p>
      <w:pPr>
        <w:ind w:left="380" w:right="200" w:firstLine="534"/>
        <w:spacing w:after="0" w:line="258" w:lineRule="auto"/>
        <w:rPr>
          <w:sz w:val="20"/>
          <w:szCs w:val="20"/>
          <w:color w:val="auto"/>
        </w:rPr>
      </w:pPr>
      <w:r>
        <w:rPr>
          <w:rFonts w:ascii="Arial" w:cs="Arial" w:eastAsia="Arial" w:hAnsi="Arial"/>
          <w:sz w:val="17"/>
          <w:szCs w:val="17"/>
          <w:color w:val="auto"/>
        </w:rPr>
        <w:t>Subject to preferences that may apply to any outstanding convertible preferred stock, holders of our common stock are entitled to receive ratably any dividends that our board of directors may declare out of funds legally available for that purpose.</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Liquidation</w:t>
      </w:r>
    </w:p>
    <w:p>
      <w:pPr>
        <w:spacing w:after="0" w:line="126" w:lineRule="exact"/>
        <w:rPr>
          <w:sz w:val="20"/>
          <w:szCs w:val="20"/>
          <w:color w:val="auto"/>
        </w:rPr>
      </w:pPr>
    </w:p>
    <w:p>
      <w:pPr>
        <w:ind w:left="380" w:right="440" w:firstLine="534"/>
        <w:spacing w:after="0" w:line="258" w:lineRule="auto"/>
        <w:rPr>
          <w:sz w:val="20"/>
          <w:szCs w:val="20"/>
          <w:color w:val="auto"/>
        </w:rPr>
      </w:pPr>
      <w:r>
        <w:rPr>
          <w:rFonts w:ascii="Arial" w:cs="Arial" w:eastAsia="Arial" w:hAnsi="Arial"/>
          <w:sz w:val="17"/>
          <w:szCs w:val="17"/>
          <w:color w:val="auto"/>
        </w:rPr>
        <w:t>In the event of our liquidation, dissolution or winding up, holders of our common stock are entitled to share ratably in all assets remaining after payment of liabilities and the liquidation preference of any outstanding convertible preferred stock.</w:t>
      </w:r>
    </w:p>
    <w:p>
      <w:pPr>
        <w:spacing w:after="0" w:line="1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190</w:t>
      </w:r>
    </w:p>
    <w:p>
      <w:pPr>
        <w:sectPr>
          <w:pgSz w:w="11900" w:h="16838" w:orient="portrait"/>
          <w:cols w:equalWidth="0" w:num="1">
            <w:col w:w="11060"/>
          </w:cols>
          <w:pgMar w:left="240" w:top="449" w:right="599" w:bottom="1440" w:gutter="0" w:footer="0" w:header="0"/>
        </w:sectPr>
      </w:pPr>
    </w:p>
    <w:bookmarkStart w:id="193" w:name="page194"/>
    <w:bookmarkEnd w:id="1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Rights and Preferences</w:t>
      </w:r>
    </w:p>
    <w:p>
      <w:pPr>
        <w:spacing w:after="0" w:line="126" w:lineRule="exact"/>
        <w:rPr>
          <w:sz w:val="20"/>
          <w:szCs w:val="20"/>
          <w:color w:val="auto"/>
        </w:rPr>
      </w:pPr>
    </w:p>
    <w:p>
      <w:pPr>
        <w:ind w:left="380" w:firstLine="534"/>
        <w:spacing w:after="0" w:line="247"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convertible preferred stock that we may designate in the future.</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Fully Paid and Nonassessable</w:t>
      </w:r>
    </w:p>
    <w:p>
      <w:pPr>
        <w:spacing w:after="0" w:line="126" w:lineRule="exact"/>
        <w:rPr>
          <w:sz w:val="20"/>
          <w:szCs w:val="20"/>
          <w:color w:val="auto"/>
        </w:rPr>
      </w:pPr>
    </w:p>
    <w:p>
      <w:pPr>
        <w:ind w:left="380" w:right="120" w:firstLine="534"/>
        <w:spacing w:after="0" w:line="258" w:lineRule="auto"/>
        <w:rPr>
          <w:sz w:val="20"/>
          <w:szCs w:val="20"/>
          <w:color w:val="auto"/>
        </w:rPr>
      </w:pPr>
      <w:r>
        <w:rPr>
          <w:rFonts w:ascii="Arial" w:cs="Arial" w:eastAsia="Arial" w:hAnsi="Arial"/>
          <w:sz w:val="17"/>
          <w:szCs w:val="17"/>
          <w:color w:val="auto"/>
        </w:rPr>
        <w:t>All outstanding shares of our common stock are fully paid and nonassessable, and the shares of common stock to be issued upon completion of this offering will be fully paid and nonassessable.</w:t>
      </w:r>
    </w:p>
    <w:p>
      <w:pPr>
        <w:spacing w:after="0" w:line="265"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Preferred Stock</w:t>
      </w:r>
    </w:p>
    <w:p>
      <w:pPr>
        <w:spacing w:after="0" w:line="23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In connection with this offering, all outstanding shares of our convertible preferred stock will convert into shares of common stock.</w:t>
      </w:r>
    </w:p>
    <w:p>
      <w:pPr>
        <w:spacing w:after="0" w:line="106"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Upon completion of this offering, our board of directors will have the authority, without further action by our stockholders, to issue up to 10,000,000 shares of preferred stock in one or more series and to fix the number, rights, preferences, privileges and restrictions thereof. These rights, preferences and privileges could include dividend rights, conversion rights, voting rights, terms of redemption, liquidation preferences and sinking fund terms, and the number of shares constituting any series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control or other corporate action. We have no current plan to issue any shares of convertible preferred stock.</w:t>
      </w:r>
    </w:p>
    <w:p>
      <w:pPr>
        <w:spacing w:after="0" w:line="28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Registration Rights</w:t>
      </w:r>
    </w:p>
    <w:p>
      <w:pPr>
        <w:spacing w:after="0" w:line="232" w:lineRule="exact"/>
        <w:rPr>
          <w:sz w:val="20"/>
          <w:szCs w:val="20"/>
          <w:color w:val="auto"/>
        </w:rPr>
      </w:pPr>
    </w:p>
    <w:p>
      <w:pPr>
        <w:ind w:left="380" w:right="260" w:firstLine="534"/>
        <w:spacing w:after="0" w:line="244" w:lineRule="auto"/>
        <w:rPr>
          <w:sz w:val="20"/>
          <w:szCs w:val="20"/>
          <w:color w:val="auto"/>
        </w:rPr>
      </w:pPr>
      <w:r>
        <w:rPr>
          <w:rFonts w:ascii="Arial" w:cs="Arial" w:eastAsia="Arial" w:hAnsi="Arial"/>
          <w:sz w:val="17"/>
          <w:szCs w:val="17"/>
          <w:color w:val="auto"/>
        </w:rPr>
        <w:t>We are party to an amended and restated investor rights agreement that provides that holders of our convertible preferred stock and certain holders of our common stock, including certain holders of 5% of our capital stock and entities affiliated with certain of our directors, have certain registration rights, as set forth below. The registration of shares of our common stock pursuant to the exercise of registration rights described below would enable the holders to sell these shares without restriction under the Securities Act when the applicable registration statement is declared effective. We will pay the registration expenses, other than the underwriting discounts and commissions, of the shares registered pursuant to the demand, piggyback and Form S-3 registrations described below.</w:t>
      </w:r>
    </w:p>
    <w:p>
      <w:pPr>
        <w:spacing w:after="0" w:line="196" w:lineRule="exact"/>
        <w:rPr>
          <w:sz w:val="20"/>
          <w:szCs w:val="20"/>
          <w:color w:val="auto"/>
        </w:rPr>
      </w:pPr>
    </w:p>
    <w:p>
      <w:pPr>
        <w:ind w:left="380" w:firstLine="534"/>
        <w:spacing w:after="0" w:line="245" w:lineRule="auto"/>
        <w:rPr>
          <w:sz w:val="20"/>
          <w:szCs w:val="20"/>
          <w:color w:val="auto"/>
        </w:rPr>
      </w:pPr>
      <w:r>
        <w:rPr>
          <w:rFonts w:ascii="Arial" w:cs="Arial" w:eastAsia="Arial" w:hAnsi="Arial"/>
          <w:sz w:val="17"/>
          <w:szCs w:val="17"/>
          <w:color w:val="auto"/>
        </w:rPr>
        <w:t>Generally, in an underwritten offering, the managing underwriter, if any, has the right, subject to specified conditions, to limit the number of shares such holders may include. The demand, piggyback and Form S-3 registration rights described below will expire (i) five years after the effective date of the registration statement, of which this prospectus forms a part, (ii) with respect to any particular holder, at such time that such holder can sell its shares under Rule 144 of the Securities Act during any three-month period or (iii) upon termination of the investors’ rights agreement.</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126" w:lineRule="exact"/>
        <w:rPr>
          <w:sz w:val="20"/>
          <w:szCs w:val="20"/>
          <w:color w:val="auto"/>
        </w:rPr>
      </w:pPr>
    </w:p>
    <w:p>
      <w:pPr>
        <w:ind w:left="380" w:right="560" w:firstLine="534"/>
        <w:spacing w:after="0" w:line="258" w:lineRule="auto"/>
        <w:rPr>
          <w:sz w:val="20"/>
          <w:szCs w:val="20"/>
          <w:color w:val="auto"/>
        </w:rPr>
      </w:pPr>
      <w:r>
        <w:rPr>
          <w:rFonts w:ascii="Arial" w:cs="Arial" w:eastAsia="Arial" w:hAnsi="Arial"/>
          <w:sz w:val="17"/>
          <w:szCs w:val="17"/>
          <w:color w:val="auto"/>
        </w:rPr>
        <w:t>The holders of an aggregate of 54,205,356 shares of common stock outstanding as of December 31, 2018, including shares issuable upon conversion of outstanding convertible preferred</w:t>
      </w:r>
    </w:p>
    <w:p>
      <w:pPr>
        <w:spacing w:after="0" w:line="1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191</w:t>
      </w:r>
    </w:p>
    <w:p>
      <w:pPr>
        <w:sectPr>
          <w:pgSz w:w="11900" w:h="16838" w:orient="portrait"/>
          <w:cols w:equalWidth="0" w:num="1">
            <w:col w:w="11040"/>
          </w:cols>
          <w:pgMar w:left="240" w:top="449" w:right="619" w:bottom="1440" w:gutter="0" w:footer="0" w:header="0"/>
        </w:sectPr>
      </w:pPr>
    </w:p>
    <w:bookmarkStart w:id="194" w:name="page195"/>
    <w:bookmarkEnd w:id="1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40"/>
        <w:spacing w:after="0" w:line="243" w:lineRule="auto"/>
        <w:rPr>
          <w:sz w:val="20"/>
          <w:szCs w:val="20"/>
          <w:color w:val="auto"/>
        </w:rPr>
      </w:pPr>
      <w:r>
        <w:rPr>
          <w:rFonts w:ascii="Arial" w:cs="Arial" w:eastAsia="Arial" w:hAnsi="Arial"/>
          <w:sz w:val="17"/>
          <w:szCs w:val="17"/>
          <w:color w:val="auto"/>
        </w:rPr>
        <w:t>stock, giving effect to the company conversion as if it occurred on such date, will be entitled to certain demand registration rights. At any time following 180 days after the completion of this offering, the holders of 40% of the shares having demand registration rights may request that we register at least a majority of their shares of common stock for sale under the Securities Act. We will affect the registration as requested, unless, in the good faith judgment of our board of directors, such registration would be materially detrimental to the company and its stockholders and should be delayed. In addition, when we are eligible for the use of Form S-3, or any successor form, holders of the shares having demand registration rights may make unlimited requests that we register all or a portion of their common stock for sale under the Securities Act on Form S-3, or any successor form, so long as the aggregate price to the public in connection with any such offering is at least $2.0 million.</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126" w:lineRule="exact"/>
        <w:rPr>
          <w:sz w:val="20"/>
          <w:szCs w:val="20"/>
          <w:color w:val="auto"/>
        </w:rPr>
      </w:pPr>
    </w:p>
    <w:p>
      <w:pPr>
        <w:ind w:left="380" w:firstLine="534"/>
        <w:spacing w:after="0" w:line="242" w:lineRule="auto"/>
        <w:rPr>
          <w:sz w:val="20"/>
          <w:szCs w:val="20"/>
          <w:color w:val="auto"/>
        </w:rPr>
      </w:pPr>
      <w:r>
        <w:rPr>
          <w:rFonts w:ascii="Arial" w:cs="Arial" w:eastAsia="Arial" w:hAnsi="Arial"/>
          <w:sz w:val="17"/>
          <w:szCs w:val="17"/>
          <w:color w:val="auto"/>
        </w:rPr>
        <w:t>In connection with this offering, the holders of an aggregate of 54,205,356 shares of common stock outstanding at December 31, 2018, including shares issuable upon conversion of outstanding convertible preferred stock, giving effect to the company conversion as if it occurred on such date, were entitled to, and the necessary percentage of holders waived, their rights to notice of this offering and to include their shares of registrable securities in this offering. In the event that we propose to register any of our securities under the Securities Act in another offering, either for our own account or for the account of other security holders, the holders of these shares will be entitled to certain “piggyback” registration rights allowing them to include their shares in such registration, subject to certain marketing and other limitations. As a result, whenever we propose to file a registration statement under the Securities Act, including a registration statement on Form S-3 as discussed below, other than with respect to a demand registration or a registration statement on Forms S-4 or S-8 or related to stock issued upon conversion of debt securities, the holders of these shares are entitled to notice of the registration and have the right, subject to limitations that the underwriters may impose on the number of shares included in the registration, to include their shares in the registration.</w:t>
      </w:r>
    </w:p>
    <w:p>
      <w:pPr>
        <w:spacing w:after="0" w:line="200" w:lineRule="exact"/>
        <w:rPr>
          <w:sz w:val="20"/>
          <w:szCs w:val="20"/>
          <w:color w:val="auto"/>
        </w:rPr>
      </w:pPr>
    </w:p>
    <w:p>
      <w:pPr>
        <w:spacing w:after="0" w:line="28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Form S-3 Registration Rights</w:t>
      </w:r>
    </w:p>
    <w:p>
      <w:pPr>
        <w:spacing w:after="0" w:line="126" w:lineRule="exact"/>
        <w:rPr>
          <w:sz w:val="20"/>
          <w:szCs w:val="20"/>
          <w:color w:val="auto"/>
        </w:rPr>
      </w:pPr>
    </w:p>
    <w:p>
      <w:pPr>
        <w:ind w:left="380" w:right="120" w:firstLine="534"/>
        <w:spacing w:after="0" w:line="244" w:lineRule="auto"/>
        <w:rPr>
          <w:sz w:val="20"/>
          <w:szCs w:val="20"/>
          <w:color w:val="auto"/>
        </w:rPr>
      </w:pPr>
      <w:r>
        <w:rPr>
          <w:rFonts w:ascii="Arial" w:cs="Arial" w:eastAsia="Arial" w:hAnsi="Arial"/>
          <w:sz w:val="17"/>
          <w:szCs w:val="17"/>
          <w:color w:val="auto"/>
        </w:rPr>
        <w:t>The holders of an aggregate of 54,205,356 shares of common stock outstanding at December 31, 2018, including shares issuable upon conversion of outstanding convertible preferred stock, giving effect to the company conversion as if it occurred on such date, will be entitled to certain Form S-3 registration rights. Any holder or holders of these shares can make a request that we register their shares on Form S-3 if we are qualified to file a registration statement on Form S-3, subject to certain specified exceptions. Such request for registration on Form S-3 must cover securities the aggregate offering price of which, before payment of the underwriting discount, equals or exceeds $2.0 million. We will not be required to effect more than two registrations on Form S-3 within any 12-month period.</w:t>
      </w:r>
    </w:p>
    <w:p>
      <w:pPr>
        <w:spacing w:after="0" w:line="278"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Anti-Takeover Provisions</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Certificate of Incorporation and Bylaws to Be in Effect Upon the Completion of this Offering</w:t>
      </w:r>
    </w:p>
    <w:p>
      <w:pPr>
        <w:spacing w:after="0" w:line="126" w:lineRule="exact"/>
        <w:rPr>
          <w:sz w:val="20"/>
          <w:szCs w:val="20"/>
          <w:color w:val="auto"/>
        </w:rPr>
      </w:pPr>
    </w:p>
    <w:p>
      <w:pPr>
        <w:ind w:left="380" w:right="520" w:firstLine="534"/>
        <w:spacing w:after="0" w:line="250" w:lineRule="auto"/>
        <w:rPr>
          <w:sz w:val="20"/>
          <w:szCs w:val="20"/>
          <w:color w:val="auto"/>
        </w:rPr>
      </w:pPr>
      <w:r>
        <w:rPr>
          <w:rFonts w:ascii="Arial" w:cs="Arial" w:eastAsia="Arial" w:hAnsi="Arial"/>
          <w:sz w:val="17"/>
          <w:szCs w:val="17"/>
          <w:color w:val="auto"/>
        </w:rPr>
        <w:t>Our amended and restated certificate of incorporation and amended and restated bylaws, each to become effective upon the completion of this offering, will include a number of provisions that may deter or impede hostile takeovers or changes of control or management. These provisions include:</w:t>
      </w:r>
    </w:p>
    <w:p>
      <w:pPr>
        <w:spacing w:after="0" w:line="76" w:lineRule="exact"/>
        <w:rPr>
          <w:sz w:val="20"/>
          <w:szCs w:val="20"/>
          <w:color w:val="auto"/>
        </w:rPr>
      </w:pPr>
    </w:p>
    <w:p>
      <w:pPr>
        <w:ind w:left="1100" w:right="240" w:hanging="205"/>
        <w:spacing w:after="0" w:line="251" w:lineRule="auto"/>
        <w:tabs>
          <w:tab w:leader="none" w:pos="1100" w:val="left"/>
        </w:tabs>
        <w:numPr>
          <w:ilvl w:val="0"/>
          <w:numId w:val="8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Issuance of Undesignated Preferred Stock: </w:t>
      </w:r>
      <w:r>
        <w:rPr>
          <w:rFonts w:ascii="Arial" w:cs="Arial" w:eastAsia="Arial" w:hAnsi="Arial"/>
          <w:sz w:val="17"/>
          <w:szCs w:val="17"/>
          <w:color w:val="auto"/>
        </w:rPr>
        <w:t>After the filing of our amended and restated certificate of incorporation,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will have the authority, without further action by the stockholders, to issue up to 10,000,000 shares of undesignated preferred stock with rights and preferences, including voting rights, designated from time to time by our board of directors. The existence of authorized but unissued shares of preferred stock enables our board of directors to make it more difficult to attempt to obtain control of us by means of a merger, tender offer, proxy contest or otherwise.</w:t>
      </w:r>
    </w:p>
    <w:p>
      <w:pPr>
        <w:spacing w:after="0" w:line="12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192</w:t>
      </w:r>
    </w:p>
    <w:p>
      <w:pPr>
        <w:sectPr>
          <w:pgSz w:w="11900" w:h="16838" w:orient="portrait"/>
          <w:cols w:equalWidth="0" w:num="1">
            <w:col w:w="11040"/>
          </w:cols>
          <w:pgMar w:left="240" w:top="449" w:right="619" w:bottom="1440" w:gutter="0" w:footer="0" w:header="0"/>
        </w:sectPr>
      </w:pPr>
    </w:p>
    <w:bookmarkStart w:id="195" w:name="page196"/>
    <w:bookmarkEnd w:id="1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1100" w:right="40" w:hanging="205"/>
        <w:spacing w:after="0" w:line="255" w:lineRule="auto"/>
        <w:tabs>
          <w:tab w:leader="none" w:pos="1100" w:val="left"/>
        </w:tabs>
        <w:numPr>
          <w:ilvl w:val="0"/>
          <w:numId w:val="9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Classified Board: </w:t>
      </w:r>
      <w:r>
        <w:rPr>
          <w:rFonts w:ascii="Arial" w:cs="Arial" w:eastAsia="Arial" w:hAnsi="Arial"/>
          <w:sz w:val="17"/>
          <w:szCs w:val="17"/>
          <w:color w:val="auto"/>
        </w:rPr>
        <w:t>Our amended and restated certificate of incorporation provides for a classified board of directors consisting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three classes of directors, with staggered three-year terms. Only one class of directors will be elected at each annual meeting of our stockholders, with the other classes continuing for the remainder of their respective three-year terms. This provision may have the effect of delaying a change in control of our board.</w:t>
      </w:r>
    </w:p>
    <w:p>
      <w:pPr>
        <w:spacing w:after="0" w:line="72" w:lineRule="exact"/>
        <w:rPr>
          <w:rFonts w:ascii="Arial" w:cs="Arial" w:eastAsia="Arial" w:hAnsi="Arial"/>
          <w:sz w:val="17"/>
          <w:szCs w:val="17"/>
          <w:color w:val="auto"/>
        </w:rPr>
      </w:pPr>
    </w:p>
    <w:p>
      <w:pPr>
        <w:ind w:left="1100" w:right="120" w:hanging="205"/>
        <w:spacing w:after="0" w:line="251" w:lineRule="auto"/>
        <w:tabs>
          <w:tab w:leader="none" w:pos="1100" w:val="left"/>
        </w:tabs>
        <w:numPr>
          <w:ilvl w:val="0"/>
          <w:numId w:val="9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Board of Directors Vacancies: </w:t>
      </w:r>
      <w:r>
        <w:rPr>
          <w:rFonts w:ascii="Arial" w:cs="Arial" w:eastAsia="Arial" w:hAnsi="Arial"/>
          <w:sz w:val="17"/>
          <w:szCs w:val="17"/>
          <w:color w:val="auto"/>
        </w:rPr>
        <w:t>Our amended and restated certificate of incorporation and amended and restated bylaws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authorize only our board of directors to fill vacant directorships.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77" w:lineRule="exact"/>
        <w:rPr>
          <w:rFonts w:ascii="Arial" w:cs="Arial" w:eastAsia="Arial" w:hAnsi="Arial"/>
          <w:sz w:val="17"/>
          <w:szCs w:val="17"/>
          <w:color w:val="auto"/>
        </w:rPr>
      </w:pPr>
    </w:p>
    <w:p>
      <w:pPr>
        <w:ind w:left="1100" w:hanging="205"/>
        <w:spacing w:after="0" w:line="251" w:lineRule="auto"/>
        <w:tabs>
          <w:tab w:leader="none" w:pos="1100" w:val="left"/>
        </w:tabs>
        <w:numPr>
          <w:ilvl w:val="0"/>
          <w:numId w:val="9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Stockholder Action; Special Meetings of Stockholders: </w:t>
      </w:r>
      <w:r>
        <w:rPr>
          <w:rFonts w:ascii="Arial" w:cs="Arial" w:eastAsia="Arial" w:hAnsi="Arial"/>
          <w:sz w:val="17"/>
          <w:szCs w:val="17"/>
          <w:color w:val="auto"/>
        </w:rPr>
        <w:t>Our amended and restated certificate of incorporation provides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stockholders may not take action by written consent, but may only take action at annual or special meetings of our stockholders. Stockholders will not be permitted to cumulate their votes for the election of directors. Our amended and restated bylaws provide that only the chairman of our board of directors, our chief executive officer, or a majority of our board of directors may call special meetings of our stockholders.</w:t>
      </w:r>
    </w:p>
    <w:p>
      <w:pPr>
        <w:spacing w:after="0" w:line="77" w:lineRule="exact"/>
        <w:rPr>
          <w:rFonts w:ascii="Arial" w:cs="Arial" w:eastAsia="Arial" w:hAnsi="Arial"/>
          <w:sz w:val="17"/>
          <w:szCs w:val="17"/>
          <w:color w:val="auto"/>
        </w:rPr>
      </w:pPr>
    </w:p>
    <w:p>
      <w:pPr>
        <w:ind w:left="1100" w:right="40" w:hanging="205"/>
        <w:spacing w:after="0" w:line="249" w:lineRule="auto"/>
        <w:tabs>
          <w:tab w:leader="none" w:pos="1100" w:val="left"/>
        </w:tabs>
        <w:numPr>
          <w:ilvl w:val="0"/>
          <w:numId w:val="9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Advance Notice Requirements for Stockholder Proposals and Director Nominations: </w:t>
      </w:r>
      <w:r>
        <w:rPr>
          <w:rFonts w:ascii="Arial" w:cs="Arial" w:eastAsia="Arial" w:hAnsi="Arial"/>
          <w:sz w:val="17"/>
          <w:szCs w:val="17"/>
          <w:color w:val="auto"/>
        </w:rPr>
        <w:t>Our amended and restated bylaws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advance notice procedures for stockholders seeking to bring business before our annual meeting of stockholders, or to nominate candidates for election as directors at our annual meeting of stockholders. Our amended and restated bylaws also specify certain requirements as to the form and content of a stockholder’s notice. These provisions may make it more difficult for our stockholders to bring matters before our annual meeting of stockholders or to nominate directors at annual meetings of stockholders.</w:t>
      </w:r>
    </w:p>
    <w:p>
      <w:pPr>
        <w:spacing w:after="0" w:line="191" w:lineRule="exact"/>
        <w:rPr>
          <w:sz w:val="20"/>
          <w:szCs w:val="20"/>
          <w:color w:val="auto"/>
        </w:rPr>
      </w:pPr>
    </w:p>
    <w:p>
      <w:pPr>
        <w:ind w:left="380" w:right="260" w:firstLine="534"/>
        <w:spacing w:after="0" w:line="244" w:lineRule="auto"/>
        <w:rPr>
          <w:sz w:val="20"/>
          <w:szCs w:val="20"/>
          <w:color w:val="auto"/>
        </w:rPr>
      </w:pPr>
      <w:r>
        <w:rPr>
          <w:rFonts w:ascii="Arial" w:cs="Arial" w:eastAsia="Arial" w:hAnsi="Arial"/>
          <w:sz w:val="17"/>
          <w:szCs w:val="17"/>
          <w:color w:val="auto"/>
        </w:rPr>
        <w:t>We designed these provisions to enhance the likelihood of continued stability in the composition of our board of directors and its policies, to discourage certain types of transactions that may involve an actual or threatened acquisition of us and to reduce our vulnerability to an unsolicited acquisition proposal. We also designed these provisions to discourage certain tactics that may be used in proxy fights. However, these provisions could have the effect of discouraging others from making tender offers for our shares and, as a consequence, they may also reduce fluctuations in the market price of our shares that could result from actual or rumored takeover attempts.</w:t>
      </w:r>
    </w:p>
    <w:p>
      <w:pPr>
        <w:spacing w:after="0" w:line="196" w:lineRule="exact"/>
        <w:rPr>
          <w:sz w:val="20"/>
          <w:szCs w:val="20"/>
          <w:color w:val="auto"/>
        </w:rPr>
      </w:pPr>
    </w:p>
    <w:p>
      <w:pPr>
        <w:ind w:left="380" w:right="200" w:firstLine="534"/>
        <w:spacing w:after="0" w:line="247" w:lineRule="auto"/>
        <w:rPr>
          <w:sz w:val="20"/>
          <w:szCs w:val="20"/>
          <w:color w:val="auto"/>
        </w:rPr>
      </w:pPr>
      <w:r>
        <w:rPr>
          <w:rFonts w:ascii="Arial" w:cs="Arial" w:eastAsia="Arial" w:hAnsi="Arial"/>
          <w:sz w:val="17"/>
          <w:szCs w:val="17"/>
          <w:color w:val="auto"/>
        </w:rPr>
        <w:t>Certain provisions in our collaboration agreement with Merck may also deter a change of control. See “Risk Factors—Some provisions of our charter documents, Delaware law and our collaboration agreement with Merck may have anti-takeover effects or could otherwise discourage an acquisition of us by others, even if an acquisition would benefit our stockholders and may prevent attempts by our stockholders to replace or remove our current management.”</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Section 203 of the Delaware General Corporation Law</w:t>
      </w:r>
    </w:p>
    <w:p>
      <w:pPr>
        <w:spacing w:after="0" w:line="126" w:lineRule="exact"/>
        <w:rPr>
          <w:sz w:val="20"/>
          <w:szCs w:val="20"/>
          <w:color w:val="auto"/>
        </w:rPr>
      </w:pPr>
    </w:p>
    <w:p>
      <w:pPr>
        <w:ind w:left="380" w:right="80" w:firstLine="534"/>
        <w:spacing w:after="0" w:line="250" w:lineRule="auto"/>
        <w:rPr>
          <w:sz w:val="20"/>
          <w:szCs w:val="20"/>
          <w:color w:val="auto"/>
        </w:rPr>
      </w:pPr>
      <w:r>
        <w:rPr>
          <w:rFonts w:ascii="Arial" w:cs="Arial" w:eastAsia="Arial" w:hAnsi="Arial"/>
          <w:sz w:val="17"/>
          <w:szCs w:val="17"/>
          <w:color w:val="auto"/>
        </w:rPr>
        <w:t>We are subject to Section 203 of the DGCL, which prohibits a Delaware corporation from engaging in a business combination with any interested stockholder for a period of three years following the date the person became an interested stockholder, with the following exceptions:</w:t>
      </w:r>
    </w:p>
    <w:p>
      <w:pPr>
        <w:spacing w:after="0" w:line="96" w:lineRule="exact"/>
        <w:rPr>
          <w:sz w:val="20"/>
          <w:szCs w:val="20"/>
          <w:color w:val="auto"/>
        </w:rPr>
      </w:pPr>
    </w:p>
    <w:p>
      <w:pPr>
        <w:ind w:left="1100" w:right="440" w:hanging="205"/>
        <w:spacing w:after="0" w:line="258" w:lineRule="auto"/>
        <w:tabs>
          <w:tab w:leader="none" w:pos="11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before such date, the board of directors of the corporation approved either the business combination or the transaction that resulted in the stockholder becoming an interested holder;</w:t>
      </w:r>
    </w:p>
    <w:p>
      <w:pPr>
        <w:spacing w:after="0" w:line="90" w:lineRule="exact"/>
        <w:rPr>
          <w:rFonts w:ascii="Arial" w:cs="Arial" w:eastAsia="Arial" w:hAnsi="Arial"/>
          <w:sz w:val="17"/>
          <w:szCs w:val="17"/>
          <w:color w:val="auto"/>
        </w:rPr>
      </w:pPr>
    </w:p>
    <w:p>
      <w:pPr>
        <w:ind w:left="1100" w:right="880" w:hanging="205"/>
        <w:spacing w:after="0" w:line="258" w:lineRule="auto"/>
        <w:tabs>
          <w:tab w:leader="none" w:pos="11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w:t>
      </w:r>
    </w:p>
    <w:p>
      <w:pPr>
        <w:spacing w:after="0" w:line="11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193</w:t>
      </w:r>
    </w:p>
    <w:p>
      <w:pPr>
        <w:sectPr>
          <w:pgSz w:w="11900" w:h="16838" w:orient="portrait"/>
          <w:cols w:equalWidth="0" w:num="1">
            <w:col w:w="11020"/>
          </w:cols>
          <w:pgMar w:left="240" w:top="449" w:right="639" w:bottom="1440" w:gutter="0" w:footer="0" w:header="0"/>
        </w:sectPr>
      </w:pPr>
    </w:p>
    <w:bookmarkStart w:id="196" w:name="page197"/>
    <w:bookmarkEnd w:id="1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1120" w:right="60"/>
        <w:spacing w:after="0" w:line="247" w:lineRule="auto"/>
        <w:rPr>
          <w:sz w:val="20"/>
          <w:szCs w:val="20"/>
          <w:color w:val="auto"/>
        </w:rPr>
      </w:pPr>
      <w:r>
        <w:rPr>
          <w:rFonts w:ascii="Arial" w:cs="Arial" w:eastAsia="Arial" w:hAnsi="Arial"/>
          <w:sz w:val="17"/>
          <w:szCs w:val="17"/>
          <w:color w:val="auto"/>
        </w:rPr>
        <w:t>corporation outstanding at the time the transaction began, excluding for purposes of determining the voting stock outstanding (but not the outstanding voting stock owned by the interested stockholder) those shares owned (a) by persons who are directors and also officers and (b) pursuant to employee stock plans in which employee participants do not have the right to determine confidentially whether shares held subject to the plan will be tendered in a tender or exchange offer; and</w:t>
      </w:r>
    </w:p>
    <w:p>
      <w:pPr>
        <w:spacing w:after="0" w:line="99" w:lineRule="exact"/>
        <w:rPr>
          <w:sz w:val="20"/>
          <w:szCs w:val="20"/>
          <w:color w:val="auto"/>
        </w:rPr>
      </w:pPr>
    </w:p>
    <w:p>
      <w:pPr>
        <w:ind w:left="1100" w:hanging="205"/>
        <w:spacing w:after="0" w:line="250" w:lineRule="auto"/>
        <w:tabs>
          <w:tab w:leader="none" w:pos="11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on or after such date, the business combination is approved by the board of directors and authorized at an annual or special meeting of the stockholders, and not by written consent, by the affirmative vote of at least 66 </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outstanding voting stock that is not owned by the interested stockholder.</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7"/>
          <w:szCs w:val="17"/>
          <w:color w:val="auto"/>
        </w:rPr>
        <w:t>In general, Section 203 of the DGCL defines business combination to include the following:</w:t>
      </w:r>
    </w:p>
    <w:p>
      <w:pPr>
        <w:spacing w:after="0" w:line="119" w:lineRule="exact"/>
        <w:rPr>
          <w:sz w:val="20"/>
          <w:szCs w:val="20"/>
          <w:color w:val="auto"/>
        </w:rPr>
      </w:pPr>
    </w:p>
    <w:p>
      <w:pPr>
        <w:ind w:left="1100" w:hanging="205"/>
        <w:spacing w:after="0"/>
        <w:tabs>
          <w:tab w:leader="none" w:pos="11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any merger or consolidation involving the corporation and the interested stockholder;</w:t>
      </w:r>
    </w:p>
    <w:p>
      <w:pPr>
        <w:spacing w:after="0" w:line="118" w:lineRule="exact"/>
        <w:rPr>
          <w:rFonts w:ascii="Arial" w:cs="Arial" w:eastAsia="Arial" w:hAnsi="Arial"/>
          <w:sz w:val="17"/>
          <w:szCs w:val="17"/>
          <w:color w:val="auto"/>
        </w:rPr>
      </w:pPr>
    </w:p>
    <w:p>
      <w:pPr>
        <w:ind w:left="1100" w:right="940" w:hanging="205"/>
        <w:spacing w:after="0" w:line="258" w:lineRule="auto"/>
        <w:tabs>
          <w:tab w:leader="none" w:pos="11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90" w:lineRule="exact"/>
        <w:rPr>
          <w:rFonts w:ascii="Arial" w:cs="Arial" w:eastAsia="Arial" w:hAnsi="Arial"/>
          <w:sz w:val="17"/>
          <w:szCs w:val="17"/>
          <w:color w:val="auto"/>
        </w:rPr>
      </w:pPr>
    </w:p>
    <w:p>
      <w:pPr>
        <w:ind w:left="1100" w:right="580" w:hanging="205"/>
        <w:spacing w:after="0" w:line="258" w:lineRule="auto"/>
        <w:tabs>
          <w:tab w:leader="none" w:pos="11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subject to certain exceptions, any transaction that results in the issuance or transfer by the corporation of any stock of the corporation to the interested stockholder;</w:t>
      </w:r>
    </w:p>
    <w:p>
      <w:pPr>
        <w:spacing w:after="0" w:line="90" w:lineRule="exact"/>
        <w:rPr>
          <w:rFonts w:ascii="Arial" w:cs="Arial" w:eastAsia="Arial" w:hAnsi="Arial"/>
          <w:sz w:val="17"/>
          <w:szCs w:val="17"/>
          <w:color w:val="auto"/>
        </w:rPr>
      </w:pPr>
    </w:p>
    <w:p>
      <w:pPr>
        <w:ind w:left="1100" w:right="360" w:hanging="205"/>
        <w:spacing w:after="0" w:line="258" w:lineRule="auto"/>
        <w:tabs>
          <w:tab w:leader="none" w:pos="11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any transaction involving the corporation that has the effect of increasing the proportionate share of the stock or any class or series of the corporation beneficially owned by the interested stockholder; and</w:t>
      </w:r>
    </w:p>
    <w:p>
      <w:pPr>
        <w:spacing w:after="0" w:line="90" w:lineRule="exact"/>
        <w:rPr>
          <w:rFonts w:ascii="Arial" w:cs="Arial" w:eastAsia="Arial" w:hAnsi="Arial"/>
          <w:sz w:val="17"/>
          <w:szCs w:val="17"/>
          <w:color w:val="auto"/>
        </w:rPr>
      </w:pPr>
    </w:p>
    <w:p>
      <w:pPr>
        <w:ind w:left="1100" w:right="40" w:hanging="205"/>
        <w:spacing w:after="0" w:line="258" w:lineRule="auto"/>
        <w:tabs>
          <w:tab w:leader="none" w:pos="11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receipt by the interested stockholder of the benefit of any loans, advances, guarantees, pledges or other financial benefits by or through the corporation.</w:t>
      </w:r>
    </w:p>
    <w:p>
      <w:pPr>
        <w:spacing w:after="0" w:line="182" w:lineRule="exact"/>
        <w:rPr>
          <w:sz w:val="20"/>
          <w:szCs w:val="20"/>
          <w:color w:val="auto"/>
        </w:rPr>
      </w:pPr>
    </w:p>
    <w:p>
      <w:pPr>
        <w:ind w:left="380" w:right="320" w:firstLine="534"/>
        <w:spacing w:after="0" w:line="250" w:lineRule="auto"/>
        <w:rPr>
          <w:sz w:val="20"/>
          <w:szCs w:val="20"/>
          <w:color w:val="auto"/>
        </w:rPr>
      </w:pPr>
      <w:r>
        <w:rPr>
          <w:rFonts w:ascii="Arial" w:cs="Arial" w:eastAsia="Arial" w:hAnsi="Arial"/>
          <w:sz w:val="17"/>
          <w:szCs w:val="17"/>
          <w:color w:val="auto"/>
        </w:rPr>
        <w:t>In general, Section 203 of the DGCL defines an “interested stockholder” as an entity or person who, together with the entity’s or person’s affiliates and associates, beneficially owns, or is an affiliate of the corporation and within three years prior to the time of determination of interested stockholder status did own, 15% or more of the outstanding voting stock of the corporation.</w:t>
      </w:r>
    </w:p>
    <w:p>
      <w:pPr>
        <w:spacing w:after="0" w:line="188" w:lineRule="exact"/>
        <w:rPr>
          <w:sz w:val="20"/>
          <w:szCs w:val="20"/>
          <w:color w:val="auto"/>
        </w:rPr>
      </w:pPr>
    </w:p>
    <w:p>
      <w:pPr>
        <w:ind w:left="380" w:right="40" w:firstLine="534"/>
        <w:spacing w:after="0" w:line="258" w:lineRule="auto"/>
        <w:rPr>
          <w:sz w:val="20"/>
          <w:szCs w:val="20"/>
          <w:color w:val="auto"/>
        </w:rPr>
      </w:pPr>
      <w:r>
        <w:rPr>
          <w:rFonts w:ascii="Arial" w:cs="Arial" w:eastAsia="Arial" w:hAnsi="Arial"/>
          <w:sz w:val="17"/>
          <w:szCs w:val="17"/>
          <w:color w:val="auto"/>
        </w:rPr>
        <w:t>A Delaware corporation may opt out of these provisions with an express provision in its certificate of incorporation. We have not opted out of these provisions, which may as a result, discourage or prevent mergers or other takeover or change in control attempts of us.</w:t>
      </w:r>
    </w:p>
    <w:p>
      <w:pPr>
        <w:spacing w:after="0" w:line="265"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Choice of Forum</w:t>
      </w:r>
    </w:p>
    <w:p>
      <w:pPr>
        <w:spacing w:after="0" w:line="232" w:lineRule="exact"/>
        <w:rPr>
          <w:sz w:val="20"/>
          <w:szCs w:val="20"/>
          <w:color w:val="auto"/>
        </w:rPr>
      </w:pPr>
    </w:p>
    <w:p>
      <w:pPr>
        <w:ind w:left="380" w:right="40" w:firstLine="534"/>
        <w:spacing w:after="0" w:line="242" w:lineRule="auto"/>
        <w:rPr>
          <w:sz w:val="20"/>
          <w:szCs w:val="20"/>
          <w:color w:val="auto"/>
        </w:rPr>
      </w:pPr>
      <w:r>
        <w:rPr>
          <w:rFonts w:ascii="Arial" w:cs="Arial" w:eastAsia="Arial" w:hAnsi="Arial"/>
          <w:sz w:val="17"/>
          <w:szCs w:val="17"/>
          <w:color w:val="auto"/>
        </w:rPr>
        <w:t>Our amended and restated certificate of incorporation will provide that the Court of Chancery of the State of Delaware will be the exclusive forum for the following types of actions or proceedings under Delaware statutory or common law: (i) any derivative action or proceeding brought on our behalf; (ii) any action asserting a breach of fiduciary duty owed by any director, officer or other employee to us or our stockholders; (iii) any action asserting a claim against us or any director or officer or other employee arising pursuant to the Delaware General Corporation Law, our amended and restated certificate of incorporation or amended and restated bylaws; or (iv) any action asserting a claim against us or any director or officer or other employee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33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194</w:t>
      </w:r>
    </w:p>
    <w:p>
      <w:pPr>
        <w:sectPr>
          <w:pgSz w:w="11900" w:h="16838" w:orient="portrait"/>
          <w:cols w:equalWidth="0" w:num="1">
            <w:col w:w="11040"/>
          </w:cols>
          <w:pgMar w:left="240" w:top="449" w:right="619" w:bottom="1440" w:gutter="0" w:footer="0" w:header="0"/>
        </w:sectPr>
      </w:pPr>
    </w:p>
    <w:bookmarkStart w:id="197" w:name="page198"/>
    <w:bookmarkEnd w:id="1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Transfer Agent and Registrar</w:t>
      </w:r>
    </w:p>
    <w:p>
      <w:pPr>
        <w:spacing w:after="0" w:line="232" w:lineRule="exact"/>
        <w:rPr>
          <w:sz w:val="20"/>
          <w:szCs w:val="20"/>
          <w:color w:val="auto"/>
        </w:rPr>
      </w:pPr>
    </w:p>
    <w:p>
      <w:pPr>
        <w:ind w:left="380" w:firstLine="534"/>
        <w:spacing w:after="0" w:line="258" w:lineRule="auto"/>
        <w:rPr>
          <w:sz w:val="20"/>
          <w:szCs w:val="20"/>
          <w:color w:val="auto"/>
        </w:rPr>
      </w:pPr>
      <w:r>
        <w:rPr>
          <w:rFonts w:ascii="Arial" w:cs="Arial" w:eastAsia="Arial" w:hAnsi="Arial"/>
          <w:sz w:val="17"/>
          <w:szCs w:val="17"/>
          <w:color w:val="auto"/>
        </w:rPr>
        <w:t>Our transfer agent and registrar for our common stock upon the completion of this offering will be American Stock Transfer &amp; Trust Company, LLC. The transfer agent’s address is 6201 15th Avenue, Brooklyn, New York 11219.</w:t>
      </w:r>
    </w:p>
    <w:p>
      <w:pPr>
        <w:spacing w:after="0" w:line="26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The Nasdaq Global Select Market</w:t>
      </w:r>
    </w:p>
    <w:p>
      <w:pPr>
        <w:spacing w:after="0" w:line="232" w:lineRule="exact"/>
        <w:rPr>
          <w:sz w:val="20"/>
          <w:szCs w:val="20"/>
          <w:color w:val="auto"/>
        </w:rPr>
      </w:pPr>
    </w:p>
    <w:p>
      <w:pPr>
        <w:jc w:val="center"/>
        <w:ind w:left="400" w:right="740"/>
        <w:spacing w:after="0" w:line="435" w:lineRule="auto"/>
        <w:rPr>
          <w:sz w:val="20"/>
          <w:szCs w:val="20"/>
          <w:color w:val="auto"/>
        </w:rPr>
      </w:pPr>
      <w:r>
        <w:rPr>
          <w:rFonts w:ascii="Arial" w:cs="Arial" w:eastAsia="Arial" w:hAnsi="Arial"/>
          <w:sz w:val="17"/>
          <w:szCs w:val="17"/>
          <w:color w:val="auto"/>
        </w:rPr>
        <w:t>We have applied to have our common stock listed on the Nasdaq Global Select Market under the trading symbol “NGM.” 195</w:t>
      </w:r>
    </w:p>
    <w:p>
      <w:pPr>
        <w:sectPr>
          <w:pgSz w:w="11900" w:h="16838" w:orient="portrait"/>
          <w:cols w:equalWidth="0" w:num="1">
            <w:col w:w="10940"/>
          </w:cols>
          <w:pgMar w:left="240" w:top="449" w:right="719" w:bottom="1440" w:gutter="0" w:footer="0" w:header="0"/>
        </w:sectPr>
      </w:pPr>
    </w:p>
    <w:bookmarkStart w:id="198" w:name="page199"/>
    <w:bookmarkEnd w:id="1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SHARES ELIGIBLE FOR FUTURE SALE</w:t>
      </w:r>
    </w:p>
    <w:p>
      <w:pPr>
        <w:spacing w:after="0" w:line="232" w:lineRule="exact"/>
        <w:rPr>
          <w:sz w:val="20"/>
          <w:szCs w:val="20"/>
          <w:color w:val="auto"/>
        </w:rPr>
      </w:pPr>
    </w:p>
    <w:p>
      <w:pPr>
        <w:ind w:left="380" w:right="20" w:firstLine="534"/>
        <w:spacing w:after="0" w:line="243" w:lineRule="auto"/>
        <w:rPr>
          <w:sz w:val="20"/>
          <w:szCs w:val="20"/>
          <w:color w:val="auto"/>
        </w:rPr>
      </w:pPr>
      <w:r>
        <w:rPr>
          <w:rFonts w:ascii="Arial" w:cs="Arial" w:eastAsia="Arial" w:hAnsi="Arial"/>
          <w:sz w:val="17"/>
          <w:szCs w:val="17"/>
          <w:color w:val="auto"/>
        </w:rPr>
        <w:t>Prior to this offering, no public market for our common stock existed, and a liquid trading market for our common stock may not develop or be sustained after this offering. Future sales of substantial amounts of our common stock in the public market, including shares issued upon exercise of outstanding options, or the anticipation of such sales, could adversely affect prevailing market prices of our common stock from time to time and could impair our ability to raise equity capital in the future. Furthermore, because only a limited number of shares of our common stock will be available for sale shortly after this offering due to certain contractual and legal restrictions on resale described below, sales of substantial amounts of our common stock in the public market after such restrictions lapse, or the anticipation of such sales, could adversely affect the prevailing market price of our common stock and our ability to raise equity capital in the future.</w:t>
      </w:r>
    </w:p>
    <w:p>
      <w:pPr>
        <w:spacing w:after="0" w:line="395" w:lineRule="exact"/>
        <w:rPr>
          <w:sz w:val="20"/>
          <w:szCs w:val="20"/>
          <w:color w:val="auto"/>
        </w:rPr>
      </w:pPr>
    </w:p>
    <w:p>
      <w:pPr>
        <w:ind w:left="380" w:right="220" w:firstLine="534"/>
        <w:spacing w:after="0" w:line="258" w:lineRule="auto"/>
        <w:rPr>
          <w:sz w:val="20"/>
          <w:szCs w:val="20"/>
          <w:color w:val="auto"/>
        </w:rPr>
      </w:pPr>
      <w:r>
        <w:rPr>
          <w:rFonts w:ascii="Arial" w:cs="Arial" w:eastAsia="Arial" w:hAnsi="Arial"/>
          <w:sz w:val="17"/>
          <w:szCs w:val="17"/>
          <w:color w:val="auto"/>
        </w:rPr>
        <w:t>Based on the number of shares of common stock outstanding as of December 31, 2018, upon completion of this offering and the concurrent private placement with Merck, 64,993,706 shares of our common stock will be outstanding.</w:t>
      </w:r>
    </w:p>
    <w:p>
      <w:pPr>
        <w:spacing w:after="0" w:line="182" w:lineRule="exact"/>
        <w:rPr>
          <w:sz w:val="20"/>
          <w:szCs w:val="20"/>
          <w:color w:val="auto"/>
        </w:rPr>
      </w:pPr>
    </w:p>
    <w:p>
      <w:pPr>
        <w:ind w:left="380" w:right="140" w:firstLine="534"/>
        <w:spacing w:after="0" w:line="247" w:lineRule="auto"/>
        <w:rPr>
          <w:sz w:val="20"/>
          <w:szCs w:val="20"/>
          <w:color w:val="auto"/>
        </w:rPr>
      </w:pPr>
      <w:r>
        <w:rPr>
          <w:rFonts w:ascii="Arial" w:cs="Arial" w:eastAsia="Arial" w:hAnsi="Arial"/>
          <w:sz w:val="17"/>
          <w:szCs w:val="17"/>
          <w:color w:val="auto"/>
        </w:rPr>
        <w:t>All of the shares sold in this offering will be freely tradable unless purchased by our affiliates. The remaining 60,872,023 shares of common stock outstanding after this offering will be restricted as a result of securities laws or lock-up agreements as described below. Following the expiration of the lock-up period, all shares will be eligible for resale, subject to compliance with Rule 144 or Rule 701 of the Securities Act, to the extent these shares have been released from any repurchase option that we may hold.</w:t>
      </w:r>
    </w:p>
    <w:p>
      <w:pPr>
        <w:spacing w:after="0" w:line="190" w:lineRule="exact"/>
        <w:rPr>
          <w:sz w:val="20"/>
          <w:szCs w:val="20"/>
          <w:color w:val="auto"/>
        </w:rPr>
      </w:pPr>
    </w:p>
    <w:p>
      <w:pPr>
        <w:ind w:left="380" w:right="40" w:firstLine="534"/>
        <w:spacing w:after="0" w:line="247" w:lineRule="auto"/>
        <w:rPr>
          <w:sz w:val="20"/>
          <w:szCs w:val="20"/>
          <w:color w:val="auto"/>
        </w:rPr>
      </w:pPr>
      <w:r>
        <w:rPr>
          <w:rFonts w:ascii="Arial" w:cs="Arial" w:eastAsia="Arial" w:hAnsi="Arial"/>
          <w:sz w:val="17"/>
          <w:szCs w:val="17"/>
          <w:color w:val="auto"/>
        </w:rPr>
        <w:t>We may issue shares of common stock from time to time as consideration for future acquisitions, investments or other corporate purposes. 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190" w:lineRule="exact"/>
        <w:rPr>
          <w:sz w:val="20"/>
          <w:szCs w:val="20"/>
          <w:color w:val="auto"/>
        </w:rPr>
      </w:pPr>
    </w:p>
    <w:p>
      <w:pPr>
        <w:jc w:val="both"/>
        <w:ind w:left="380" w:right="60" w:firstLine="534"/>
        <w:spacing w:after="0" w:line="250" w:lineRule="auto"/>
        <w:rPr>
          <w:sz w:val="20"/>
          <w:szCs w:val="20"/>
          <w:color w:val="auto"/>
        </w:rPr>
      </w:pPr>
      <w:r>
        <w:rPr>
          <w:rFonts w:ascii="Arial" w:cs="Arial" w:eastAsia="Arial" w:hAnsi="Arial"/>
          <w:sz w:val="17"/>
          <w:szCs w:val="17"/>
          <w:color w:val="auto"/>
        </w:rPr>
        <w:t>In addition, shares of common stock that are either subject to outstanding options or reserved for future issuance under our equity incentive plans will become eligible for sale in the public market to the extent permitted by the provisions of various vesting schedules, the lock-up agreements and Rule 144 and Rule 701 of the Securities Act.</w:t>
      </w:r>
    </w:p>
    <w:p>
      <w:pPr>
        <w:spacing w:after="0" w:line="27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Rule 144</w:t>
      </w:r>
    </w:p>
    <w:p>
      <w:pPr>
        <w:spacing w:after="0" w:line="232"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In general, under Rule 144 of the Securities Act as in effect on the date of this prospectus, beginning 90 days after the date of this prospectus, any person who is not our affiliate at any time during the preceding three months, and who has beneficially owned their shares for at least six months, including the holding period of any prior owner other than one of our affiliates, would be entitled to sell an unlimited number of shares of our common stock provided current public information about us is available and, after owning such shares for at least one year, including the holding period of any prior owner other than one of our affiliates, would be entitled to sell an unlimited number of shares of our common stock without restriction.</w:t>
      </w:r>
    </w:p>
    <w:p>
      <w:pPr>
        <w:spacing w:after="0" w:line="196" w:lineRule="exact"/>
        <w:rPr>
          <w:sz w:val="20"/>
          <w:szCs w:val="20"/>
          <w:color w:val="auto"/>
        </w:rPr>
      </w:pPr>
    </w:p>
    <w:p>
      <w:pPr>
        <w:ind w:left="380" w:right="220" w:firstLine="534"/>
        <w:spacing w:after="0" w:line="247" w:lineRule="auto"/>
        <w:rPr>
          <w:sz w:val="20"/>
          <w:szCs w:val="20"/>
          <w:color w:val="auto"/>
        </w:rPr>
      </w:pPr>
      <w:r>
        <w:rPr>
          <w:rFonts w:ascii="Arial" w:cs="Arial" w:eastAsia="Arial" w:hAnsi="Arial"/>
          <w:sz w:val="17"/>
          <w:szCs w:val="17"/>
          <w:color w:val="auto"/>
        </w:rPr>
        <w:t>Beginning 90 days after the date of this prospectus, a person who is our affiliate or who was our affiliate at any time during the preceding three months, and who has beneficially owned restricted securities for at least six months, including the holding period of any prior owner other than one of our affiliates, is entitled to sell within any three-month period a number of shares that does not exceed the greater of:</w:t>
      </w:r>
    </w:p>
    <w:p>
      <w:pPr>
        <w:spacing w:after="0" w:line="99" w:lineRule="exact"/>
        <w:rPr>
          <w:sz w:val="20"/>
          <w:szCs w:val="20"/>
          <w:color w:val="auto"/>
        </w:rPr>
      </w:pPr>
    </w:p>
    <w:p>
      <w:pPr>
        <w:ind w:left="1100" w:right="160" w:hanging="205"/>
        <w:spacing w:after="0" w:line="258" w:lineRule="auto"/>
        <w:tabs>
          <w:tab w:leader="none" w:pos="11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1% of the number of shares of our common stock then outstanding, which will equal approximately 649,937 shares, or 659,937 shares if the underwriters exercise their option to</w:t>
      </w:r>
    </w:p>
    <w:p>
      <w:pPr>
        <w:spacing w:after="0" w:line="1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196</w:t>
      </w:r>
    </w:p>
    <w:p>
      <w:pPr>
        <w:sectPr>
          <w:pgSz w:w="11900" w:h="16838" w:orient="portrait"/>
          <w:cols w:equalWidth="0" w:num="1">
            <w:col w:w="11040"/>
          </w:cols>
          <w:pgMar w:left="240" w:top="449" w:right="619" w:bottom="1440" w:gutter="0" w:footer="0" w:header="0"/>
        </w:sectPr>
      </w:pPr>
    </w:p>
    <w:bookmarkStart w:id="199" w:name="page200"/>
    <w:bookmarkEnd w:id="1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1120" w:right="500"/>
        <w:spacing w:after="0" w:line="258" w:lineRule="auto"/>
        <w:rPr>
          <w:sz w:val="20"/>
          <w:szCs w:val="20"/>
          <w:color w:val="auto"/>
        </w:rPr>
      </w:pPr>
      <w:r>
        <w:rPr>
          <w:rFonts w:ascii="Arial" w:cs="Arial" w:eastAsia="Arial" w:hAnsi="Arial"/>
          <w:sz w:val="17"/>
          <w:szCs w:val="17"/>
          <w:color w:val="auto"/>
        </w:rPr>
        <w:t>purchase additional shares in full, immediately following this offering, based on the number of shares of our common stock outstanding upon completion of this offering; or</w:t>
      </w:r>
    </w:p>
    <w:p>
      <w:pPr>
        <w:spacing w:after="0" w:line="90" w:lineRule="exact"/>
        <w:rPr>
          <w:sz w:val="20"/>
          <w:szCs w:val="20"/>
          <w:color w:val="auto"/>
        </w:rPr>
      </w:pPr>
    </w:p>
    <w:p>
      <w:pPr>
        <w:ind w:left="1100" w:right="380" w:hanging="205"/>
        <w:spacing w:after="0" w:line="258" w:lineRule="auto"/>
        <w:tabs>
          <w:tab w:leader="none" w:pos="11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average weekly trading volume of our common stock on Nasdaq during the four calendar weeks preceding the filing of a Notice of Proposed Sale of Securities pursuant to Rule 144 with respect to the sale;</w:t>
      </w:r>
    </w:p>
    <w:p>
      <w:pPr>
        <w:spacing w:after="0" w:line="77" w:lineRule="exact"/>
        <w:rPr>
          <w:sz w:val="20"/>
          <w:szCs w:val="20"/>
          <w:color w:val="auto"/>
        </w:rPr>
      </w:pPr>
    </w:p>
    <w:p>
      <w:pPr>
        <w:ind w:left="900" w:right="400"/>
        <w:spacing w:after="0" w:line="250" w:lineRule="auto"/>
        <w:rPr>
          <w:sz w:val="20"/>
          <w:szCs w:val="20"/>
          <w:color w:val="auto"/>
        </w:rPr>
      </w:pPr>
      <w:r>
        <w:rPr>
          <w:rFonts w:ascii="Arial" w:cs="Arial" w:eastAsia="Arial" w:hAnsi="Arial"/>
          <w:sz w:val="17"/>
          <w:szCs w:val="17"/>
          <w:color w:val="auto"/>
        </w:rPr>
        <w:t>provided, in each case, that we are subject to the Exchange Act periodic reporting requirements for at least 90 days before the sale. Sales under Rule 144 by our affiliates are also subject to manner of sale provisions and notice requirements and to the availability of current public information about us.</w:t>
      </w:r>
    </w:p>
    <w:p>
      <w:pPr>
        <w:spacing w:after="0" w:line="188" w:lineRule="exact"/>
        <w:rPr>
          <w:sz w:val="20"/>
          <w:szCs w:val="20"/>
          <w:color w:val="auto"/>
        </w:rPr>
      </w:pPr>
    </w:p>
    <w:p>
      <w:pPr>
        <w:ind w:left="380" w:right="40" w:firstLine="534"/>
        <w:spacing w:after="0" w:line="253" w:lineRule="auto"/>
        <w:rPr>
          <w:sz w:val="20"/>
          <w:szCs w:val="20"/>
          <w:color w:val="auto"/>
        </w:rPr>
      </w:pPr>
      <w:r>
        <w:rPr>
          <w:rFonts w:ascii="Arial" w:cs="Arial" w:eastAsia="Arial" w:hAnsi="Arial"/>
          <w:sz w:val="17"/>
          <w:szCs w:val="17"/>
          <w:color w:val="auto"/>
        </w:rPr>
        <w:t>Upon expiration of the 180-day lock-up period described below, 58,432,247 shares of our common stock will be eligible for sale under Rule 144. We cannot estimate the number of shares of our common stock that our existing stockholders will elect to sell under Rule 144.</w:t>
      </w:r>
    </w:p>
    <w:p>
      <w:pPr>
        <w:spacing w:after="0" w:line="200" w:lineRule="exact"/>
        <w:rPr>
          <w:sz w:val="20"/>
          <w:szCs w:val="20"/>
          <w:color w:val="auto"/>
        </w:rPr>
      </w:pPr>
    </w:p>
    <w:p>
      <w:pPr>
        <w:spacing w:after="0" w:line="269"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Rule 701</w:t>
      </w:r>
    </w:p>
    <w:p>
      <w:pPr>
        <w:spacing w:after="0" w:line="232" w:lineRule="exact"/>
        <w:rPr>
          <w:sz w:val="20"/>
          <w:szCs w:val="20"/>
          <w:color w:val="auto"/>
        </w:rPr>
      </w:pPr>
    </w:p>
    <w:p>
      <w:pPr>
        <w:ind w:left="380" w:right="80" w:firstLine="534"/>
        <w:spacing w:after="0" w:line="244" w:lineRule="auto"/>
        <w:rPr>
          <w:sz w:val="20"/>
          <w:szCs w:val="20"/>
          <w:color w:val="auto"/>
        </w:rPr>
      </w:pPr>
      <w:r>
        <w:rPr>
          <w:rFonts w:ascii="Arial" w:cs="Arial" w:eastAsia="Arial" w:hAnsi="Arial"/>
          <w:sz w:val="17"/>
          <w:szCs w:val="17"/>
          <w:color w:val="auto"/>
        </w:rPr>
        <w:t>In general, under Rule 701 of the Securities Act, any of an issuer’s employees, directors, officers, consultants or advisors who purchases shares from the issuer in connection with a compensatory stock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278"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Lock-up Agreements</w:t>
      </w:r>
    </w:p>
    <w:p>
      <w:pPr>
        <w:spacing w:after="0" w:line="232"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We, along with our directors and executive officers and the holders of substantially all of our common stock (including shares issuable upon exercise or conversion of existing securities and shares issuable to Merck in the concurrent private placement), have agreed with the underwriters that, for a period of 180 days following the date of this prospectus, we or they will not offer, sell, contract to sell, pledge, grant any option to purchase, make any short sale or otherwise dispose of any shares of our common stock (including, for our directors and officers, any shares issued in this offering or other issuer-directed shares), or any options or warrants to purchase any shares of our common stock, or any securities convertible into, exchangeable for or that represent the right to receive shares of our common stock, whether now owned or later acquired, owned directly or with respect to which we or they have beneficial ownership within the rules and regulations of the SEC, subject to specified exceptions. The underwriters may, in their sole discretion, at any time without prior notice, release all or any portion of the shares from the restrictions in any such agreement.</w:t>
      </w:r>
    </w:p>
    <w:p>
      <w:pPr>
        <w:spacing w:after="0" w:line="196" w:lineRule="exact"/>
        <w:rPr>
          <w:sz w:val="20"/>
          <w:szCs w:val="20"/>
          <w:color w:val="auto"/>
        </w:rPr>
      </w:pPr>
    </w:p>
    <w:p>
      <w:pPr>
        <w:ind w:left="380" w:right="140" w:firstLine="534"/>
        <w:spacing w:after="0" w:line="250" w:lineRule="auto"/>
        <w:rPr>
          <w:sz w:val="20"/>
          <w:szCs w:val="20"/>
          <w:color w:val="auto"/>
        </w:rPr>
      </w:pPr>
      <w:r>
        <w:rPr>
          <w:rFonts w:ascii="Arial" w:cs="Arial" w:eastAsia="Arial" w:hAnsi="Arial"/>
          <w:sz w:val="17"/>
          <w:szCs w:val="17"/>
          <w:color w:val="auto"/>
        </w:rPr>
        <w:t>Merck has also agreed, subject to specified exceptions, during the period of the initial five-year research phase under our collaboration agreement, not to sell any of its shares of our capital stock. See “Our Collaboration with Merck—Detailed Description of the Merck Collaboration—Standstill, Lock-Up and Voting Agreements.”</w:t>
      </w:r>
    </w:p>
    <w:p>
      <w:pPr>
        <w:spacing w:after="0" w:line="27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Equity Incentive Plans</w:t>
      </w:r>
    </w:p>
    <w:p>
      <w:pPr>
        <w:spacing w:after="0" w:line="232" w:lineRule="exact"/>
        <w:rPr>
          <w:sz w:val="20"/>
          <w:szCs w:val="20"/>
          <w:color w:val="auto"/>
        </w:rPr>
      </w:pPr>
    </w:p>
    <w:p>
      <w:pPr>
        <w:ind w:left="380" w:right="180" w:firstLine="534"/>
        <w:spacing w:after="0" w:line="250" w:lineRule="auto"/>
        <w:rPr>
          <w:sz w:val="20"/>
          <w:szCs w:val="20"/>
          <w:color w:val="auto"/>
        </w:rPr>
      </w:pPr>
      <w:r>
        <w:rPr>
          <w:rFonts w:ascii="Arial" w:cs="Arial" w:eastAsia="Arial" w:hAnsi="Arial"/>
          <w:sz w:val="17"/>
          <w:szCs w:val="17"/>
          <w:color w:val="auto"/>
        </w:rPr>
        <w:t>We intend to file one or more registration statements on Form S-8 under the Securities Act to register all shares of common stock subject to outstanding stock options and common stock issuable under our equity incentive plans. We expect to file the registration statement covering such shares</w:t>
      </w:r>
    </w:p>
    <w:p>
      <w:pPr>
        <w:spacing w:after="0" w:line="12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197</w:t>
      </w:r>
    </w:p>
    <w:p>
      <w:pPr>
        <w:sectPr>
          <w:pgSz w:w="11900" w:h="16838" w:orient="portrait"/>
          <w:cols w:equalWidth="0" w:num="1">
            <w:col w:w="11040"/>
          </w:cols>
          <w:pgMar w:left="240" w:top="449" w:right="619" w:bottom="1440" w:gutter="0" w:footer="0" w:header="0"/>
        </w:sectPr>
      </w:pPr>
    </w:p>
    <w:bookmarkStart w:id="200" w:name="page201"/>
    <w:bookmarkEnd w:id="2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spacing w:after="0" w:line="250" w:lineRule="auto"/>
        <w:rPr>
          <w:sz w:val="20"/>
          <w:szCs w:val="20"/>
          <w:color w:val="auto"/>
        </w:rPr>
      </w:pPr>
      <w:r>
        <w:rPr>
          <w:rFonts w:ascii="Arial" w:cs="Arial" w:eastAsia="Arial" w:hAnsi="Arial"/>
          <w:sz w:val="17"/>
          <w:szCs w:val="17"/>
          <w:color w:val="auto"/>
        </w:rPr>
        <w:t>shortly after the date of this prospectus, permitting the resale of such shares by non-affiliates in the public market without restriction under the Securities Act and the sale by affiliates in the public market, subject to compliance with the resale provisions of Rule 144. For more information on our equity incentive plans, see “Executive and Director Compensation—Equity Incentive Plans.”</w:t>
      </w:r>
    </w:p>
    <w:p>
      <w:pPr>
        <w:spacing w:after="0" w:line="271"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Registration Rights</w:t>
      </w:r>
    </w:p>
    <w:p>
      <w:pPr>
        <w:spacing w:after="0" w:line="232" w:lineRule="exact"/>
        <w:rPr>
          <w:sz w:val="20"/>
          <w:szCs w:val="20"/>
          <w:color w:val="auto"/>
        </w:rPr>
      </w:pPr>
    </w:p>
    <w:p>
      <w:pPr>
        <w:ind w:left="380" w:right="180" w:firstLine="534"/>
        <w:spacing w:after="0" w:line="244" w:lineRule="auto"/>
        <w:rPr>
          <w:sz w:val="20"/>
          <w:szCs w:val="20"/>
          <w:color w:val="auto"/>
        </w:rPr>
      </w:pPr>
      <w:r>
        <w:rPr>
          <w:rFonts w:ascii="Arial" w:cs="Arial" w:eastAsia="Arial" w:hAnsi="Arial"/>
          <w:sz w:val="17"/>
          <w:szCs w:val="17"/>
          <w:color w:val="auto"/>
        </w:rPr>
        <w:t>Holders of 54,205,356 shares of our convertible preferred stock and common stock have the right to demand that we file a registration statement or request that we cover their shares by a registration statement that we otherwise file. For more information, see “Description of Capital Stock—Registration Rights.” Except for shares purchased by affiliates, registration of their shares under the Securities Act would result in these shares becoming freely tradable without restriction under the Securities Act immediately upon the effectiveness of the registration statement, subject to the expiration of the lock-up period and to the extent these shares have been released from any repurchase option that we may hold.</w:t>
      </w:r>
    </w:p>
    <w:p>
      <w:pPr>
        <w:spacing w:after="0" w:line="13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198</w:t>
      </w:r>
    </w:p>
    <w:p>
      <w:pPr>
        <w:sectPr>
          <w:pgSz w:w="11900" w:h="16838" w:orient="portrait"/>
          <w:cols w:equalWidth="0" w:num="1">
            <w:col w:w="10980"/>
          </w:cols>
          <w:pgMar w:left="240" w:top="449" w:right="679" w:bottom="1440" w:gutter="0" w:footer="0" w:header="0"/>
        </w:sectPr>
      </w:pPr>
    </w:p>
    <w:bookmarkStart w:id="201" w:name="page202"/>
    <w:bookmarkEnd w:id="2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MATERIAL UNITED STATES FEDERAL INCOME TAX CONSEQUENCES</w:t>
      </w:r>
    </w:p>
    <w:p>
      <w:pPr>
        <w:spacing w:after="0" w:line="23"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TO NON-U.S. HOLDERS OF OUR COMMON STOCK</w:t>
      </w:r>
    </w:p>
    <w:p>
      <w:pPr>
        <w:spacing w:after="0" w:line="210"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The following is a summary of the material U.S. federal income tax consequences to non-U.S. holders (as defined below) of the acquisition, ownership and disposition of our common stock issued pursuant to this offering. This discussion is not a complete analysis of all potential U.S. federal income tax consequences relating thereto, does not address the potential application of the Medicare contribution tax on net investment income, and does not address any estate or gift tax consequences or any tax consequences arising under any state, local or foreign tax laws, or any other U.S. federal tax laws. This discussion is based on the Internal Revenue Code of 1986, as amended, or the Code, and applicable Treasury Regulations promulgated thereunder, judicial decisions and published rulings and administrative pronouncements of the Internal Revenue Service, or IRS,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95" w:lineRule="exact"/>
        <w:rPr>
          <w:sz w:val="20"/>
          <w:szCs w:val="20"/>
          <w:color w:val="auto"/>
        </w:rPr>
      </w:pPr>
    </w:p>
    <w:p>
      <w:pPr>
        <w:ind w:left="380" w:right="80" w:firstLine="534"/>
        <w:spacing w:after="0" w:line="245" w:lineRule="auto"/>
        <w:rPr>
          <w:sz w:val="20"/>
          <w:szCs w:val="20"/>
          <w:color w:val="auto"/>
        </w:rPr>
      </w:pPr>
      <w:r>
        <w:rPr>
          <w:rFonts w:ascii="Arial" w:cs="Arial" w:eastAsia="Arial" w:hAnsi="Arial"/>
          <w:sz w:val="17"/>
          <w:szCs w:val="17"/>
          <w:color w:val="auto"/>
        </w:rPr>
        <w:t>This discussion is limited to non-U.S. holders who purchase our common stock pursuant to this offering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102" w:lineRule="exact"/>
        <w:rPr>
          <w:sz w:val="20"/>
          <w:szCs w:val="20"/>
          <w:color w:val="auto"/>
        </w:rPr>
      </w:pPr>
    </w:p>
    <w:p>
      <w:pPr>
        <w:ind w:left="1100" w:hanging="205"/>
        <w:spacing w:after="0"/>
        <w:tabs>
          <w:tab w:leader="none" w:pos="11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certain former citizens or long-term residents of the United States;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partnerships or other pass-through entities (and investors therein);</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“controlled foreign corporations”;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“passive foreign investment companies”;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corporations that accumulate earnings to avoid U.S. federal income tax;</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banks, financial institutions, investment funds, insurance companies, brokers, dealers or traders in securities;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tax-exempt organizations and governmental organizations;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tax-qualified retirement plans;</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persons subject to the alternative minimum tax;</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persons that own, or have owned, actually or constructively, more than 5% of our common stock;</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accrual-method taxpayers subject to special tax accounting rules under Section 451(b) of the Code;</w:t>
      </w:r>
    </w:p>
    <w:p>
      <w:pPr>
        <w:spacing w:after="0" w:line="118" w:lineRule="exact"/>
        <w:rPr>
          <w:rFonts w:ascii="Arial" w:cs="Arial" w:eastAsia="Arial" w:hAnsi="Arial"/>
          <w:sz w:val="17"/>
          <w:szCs w:val="17"/>
          <w:color w:val="auto"/>
        </w:rPr>
      </w:pPr>
    </w:p>
    <w:p>
      <w:pPr>
        <w:ind w:left="1100" w:hanging="205"/>
        <w:spacing w:after="0"/>
        <w:tabs>
          <w:tab w:leader="none" w:pos="11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persons who have elected to mark securities to market; and</w:t>
      </w:r>
    </w:p>
    <w:p>
      <w:pPr>
        <w:spacing w:after="0" w:line="118" w:lineRule="exact"/>
        <w:rPr>
          <w:rFonts w:ascii="Arial" w:cs="Arial" w:eastAsia="Arial" w:hAnsi="Arial"/>
          <w:sz w:val="17"/>
          <w:szCs w:val="17"/>
          <w:color w:val="auto"/>
        </w:rPr>
      </w:pPr>
    </w:p>
    <w:p>
      <w:pPr>
        <w:ind w:left="1100" w:hanging="205"/>
        <w:spacing w:after="0" w:line="258" w:lineRule="auto"/>
        <w:tabs>
          <w:tab w:leader="none" w:pos="11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persons holding our common stock as part of a hedging or conversion transaction or straddle, or a constructive sale, or other risk reduction strategy or integrated investment.</w:t>
      </w:r>
    </w:p>
    <w:p>
      <w:pPr>
        <w:spacing w:after="0" w:line="182" w:lineRule="exact"/>
        <w:rPr>
          <w:sz w:val="20"/>
          <w:szCs w:val="20"/>
          <w:color w:val="auto"/>
        </w:rPr>
      </w:pPr>
    </w:p>
    <w:p>
      <w:pPr>
        <w:ind w:left="380" w:right="80" w:firstLine="534"/>
        <w:spacing w:after="0" w:line="247" w:lineRule="auto"/>
        <w:rPr>
          <w:sz w:val="20"/>
          <w:szCs w:val="20"/>
          <w:color w:val="auto"/>
        </w:rPr>
      </w:pPr>
      <w:r>
        <w:rPr>
          <w:rFonts w:ascii="Arial" w:cs="Arial" w:eastAsia="Arial" w:hAnsi="Arial"/>
          <w:sz w:val="17"/>
          <w:szCs w:val="17"/>
          <w:color w:val="auto"/>
        </w:rPr>
        <w:t>If an entity or arrangement that is classified as a partnership for U.S. federal income tax purposes holds our common stock, the U.S. federal income tax treatment of a partner in the partnership will generally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spacing w:after="0" w:line="12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199</w:t>
      </w:r>
    </w:p>
    <w:p>
      <w:pPr>
        <w:sectPr>
          <w:pgSz w:w="11900" w:h="16838" w:orient="portrait"/>
          <w:cols w:equalWidth="0" w:num="1">
            <w:col w:w="11040"/>
          </w:cols>
          <w:pgMar w:left="240" w:top="449" w:right="619" w:bottom="1440" w:gutter="0" w:footer="0" w:header="0"/>
        </w:sectPr>
      </w:pPr>
    </w:p>
    <w:bookmarkStart w:id="202" w:name="page203"/>
    <w:bookmarkEnd w:id="2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firstLine="534"/>
        <w:spacing w:after="0" w:line="248" w:lineRule="auto"/>
        <w:rPr>
          <w:sz w:val="20"/>
          <w:szCs w:val="20"/>
          <w:color w:val="auto"/>
        </w:rPr>
      </w:pPr>
      <w:r>
        <w:rPr>
          <w:rFonts w:ascii="Arial" w:cs="Arial" w:eastAsia="Arial" w:hAnsi="Arial"/>
          <w:sz w:val="17"/>
          <w:szCs w:val="17"/>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FOREIGN TAX LAWS AND ANY OTHER U.S. FEDERAL TAX LAWS. IN ADDITION, SIGNIFICANT CHANGES IN U.S. FEDERAL INCOME TAX LAWS WERE RECENTLY ENACTED. YOU SHOULD ALSO CONSULT WITH YOUR TAX ADVISOR WITH RESPECT TO SUCH CHANGES IN U.S. TAX LAW AS WELL AS POTENTIAL CONFORMING CHANGES IN STATE TAX LAWS.</w:t>
      </w: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Definition of Non-U.S. Holder</w:t>
      </w:r>
    </w:p>
    <w:p>
      <w:pPr>
        <w:spacing w:after="0" w:line="232" w:lineRule="exact"/>
        <w:rPr>
          <w:sz w:val="20"/>
          <w:szCs w:val="20"/>
          <w:color w:val="auto"/>
        </w:rPr>
      </w:pPr>
    </w:p>
    <w:p>
      <w:pPr>
        <w:jc w:val="both"/>
        <w:ind w:left="380" w:right="380" w:firstLine="534"/>
        <w:spacing w:after="0" w:line="250" w:lineRule="auto"/>
        <w:rPr>
          <w:sz w:val="20"/>
          <w:szCs w:val="20"/>
          <w:color w:val="auto"/>
        </w:rPr>
      </w:pPr>
      <w:r>
        <w:rPr>
          <w:rFonts w:ascii="Arial" w:cs="Arial" w:eastAsia="Arial" w:hAnsi="Arial"/>
          <w:sz w:val="17"/>
          <w:szCs w:val="17"/>
          <w:color w:val="auto"/>
        </w:rPr>
        <w:t>For purposes of this discussion, a non-U.S. holder is any beneficial owner of our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96" w:lineRule="exact"/>
        <w:rPr>
          <w:sz w:val="20"/>
          <w:szCs w:val="20"/>
          <w:color w:val="auto"/>
        </w:rPr>
      </w:pPr>
    </w:p>
    <w:p>
      <w:pPr>
        <w:ind w:left="1100" w:hanging="205"/>
        <w:spacing w:after="0"/>
        <w:tabs>
          <w:tab w:leader="none" w:pos="11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118" w:lineRule="exact"/>
        <w:rPr>
          <w:rFonts w:ascii="Arial" w:cs="Arial" w:eastAsia="Arial" w:hAnsi="Arial"/>
          <w:sz w:val="17"/>
          <w:szCs w:val="17"/>
          <w:color w:val="auto"/>
        </w:rPr>
      </w:pPr>
    </w:p>
    <w:p>
      <w:pPr>
        <w:ind w:left="1100" w:right="20" w:hanging="205"/>
        <w:spacing w:after="0" w:line="258" w:lineRule="auto"/>
        <w:tabs>
          <w:tab w:leader="none" w:pos="11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 corporation (or entity treated as a corporation for U.S. federal income tax purposes) created or organized under the laws of the United States, any state thereof or the District of Columbia;</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 regardless of its source; or</w:t>
      </w:r>
    </w:p>
    <w:p>
      <w:pPr>
        <w:spacing w:after="0" w:line="118" w:lineRule="exact"/>
        <w:rPr>
          <w:rFonts w:ascii="Arial" w:cs="Arial" w:eastAsia="Arial" w:hAnsi="Arial"/>
          <w:sz w:val="17"/>
          <w:szCs w:val="17"/>
          <w:color w:val="auto"/>
        </w:rPr>
      </w:pPr>
    </w:p>
    <w:p>
      <w:pPr>
        <w:jc w:val="both"/>
        <w:ind w:left="1100" w:right="280" w:hanging="205"/>
        <w:spacing w:after="0" w:line="250" w:lineRule="auto"/>
        <w:tabs>
          <w:tab w:leader="none" w:pos="11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271"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Distributions on Our Common Stock</w:t>
      </w:r>
    </w:p>
    <w:p>
      <w:pPr>
        <w:spacing w:after="0" w:line="232" w:lineRule="exact"/>
        <w:rPr>
          <w:sz w:val="20"/>
          <w:szCs w:val="20"/>
          <w:color w:val="auto"/>
        </w:rPr>
      </w:pPr>
    </w:p>
    <w:p>
      <w:pPr>
        <w:ind w:left="380" w:right="40" w:firstLine="534"/>
        <w:spacing w:after="0" w:line="244" w:lineRule="auto"/>
        <w:rPr>
          <w:sz w:val="20"/>
          <w:szCs w:val="20"/>
          <w:color w:val="auto"/>
        </w:rPr>
      </w:pPr>
      <w:r>
        <w:rPr>
          <w:rFonts w:ascii="Arial" w:cs="Arial" w:eastAsia="Arial" w:hAnsi="Arial"/>
          <w:sz w:val="17"/>
          <w:szCs w:val="17"/>
          <w:color w:val="auto"/>
        </w:rPr>
        <w:t>As described under the section titled “Dividend Policy,” we have not paid and do not anticipate paying dividends. However,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the section titled “—Gain on Disposition of Our Common Stock” below.</w:t>
      </w:r>
    </w:p>
    <w:p>
      <w:pPr>
        <w:spacing w:after="0" w:line="392" w:lineRule="exact"/>
        <w:rPr>
          <w:sz w:val="20"/>
          <w:szCs w:val="20"/>
          <w:color w:val="auto"/>
        </w:rPr>
      </w:pPr>
    </w:p>
    <w:p>
      <w:pPr>
        <w:ind w:left="380" w:right="180" w:firstLine="534"/>
        <w:spacing w:after="0" w:line="243" w:lineRule="auto"/>
        <w:rPr>
          <w:sz w:val="20"/>
          <w:szCs w:val="20"/>
          <w:color w:val="auto"/>
        </w:rPr>
      </w:pPr>
      <w:r>
        <w:rPr>
          <w:rFonts w:ascii="Arial" w:cs="Arial" w:eastAsia="Arial" w:hAnsi="Arial"/>
          <w:sz w:val="17"/>
          <w:szCs w:val="17"/>
          <w:color w:val="auto"/>
        </w:rPr>
        <w:t>Subject to the discussions below regarding effectively connected income, backup withholding and Sections 1471 through 1474 of the Code (commonly referred to as FATCA),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us or our paying agent with a valid IRS Form W-8BEN or IRS Form W-8BEN-E (or applicable successor form) including a U.S. taxpayer identification number and certifying such holder’s qualification for the reduced rate.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3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200</w:t>
      </w:r>
    </w:p>
    <w:p>
      <w:pPr>
        <w:sectPr>
          <w:pgSz w:w="11900" w:h="16838" w:orient="portrait"/>
          <w:cols w:equalWidth="0" w:num="1">
            <w:col w:w="11020"/>
          </w:cols>
          <w:pgMar w:left="240" w:top="449" w:right="639" w:bottom="1440" w:gutter="0" w:footer="0" w:header="0"/>
        </w:sectPr>
      </w:pPr>
    </w:p>
    <w:bookmarkStart w:id="203" w:name="page204"/>
    <w:bookmarkEnd w:id="2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460" w:firstLine="534"/>
        <w:spacing w:after="0" w:line="258" w:lineRule="auto"/>
        <w:rPr>
          <w:sz w:val="20"/>
          <w:szCs w:val="20"/>
          <w:color w:val="auto"/>
        </w:rPr>
      </w:pPr>
      <w:r>
        <w:rPr>
          <w:rFonts w:ascii="Arial" w:cs="Arial" w:eastAsia="Arial" w:hAnsi="Arial"/>
          <w:sz w:val="17"/>
          <w:szCs w:val="17"/>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82" w:lineRule="exact"/>
        <w:rPr>
          <w:sz w:val="20"/>
          <w:szCs w:val="20"/>
          <w:color w:val="auto"/>
        </w:rPr>
      </w:pPr>
    </w:p>
    <w:p>
      <w:pPr>
        <w:ind w:left="380" w:right="180" w:firstLine="534"/>
        <w:spacing w:after="0" w:line="245" w:lineRule="auto"/>
        <w:rPr>
          <w:sz w:val="20"/>
          <w:szCs w:val="20"/>
          <w:color w:val="auto"/>
        </w:rPr>
      </w:pPr>
      <w:r>
        <w:rPr>
          <w:rFonts w:ascii="Arial" w:cs="Arial" w:eastAsia="Arial" w:hAnsi="Arial"/>
          <w:sz w:val="17"/>
          <w:szCs w:val="17"/>
          <w:color w:val="auto"/>
        </w:rPr>
        <w:t>If a non-U.S. holder holds our common stock in connection with the conduct of a trade or business in the United States, and dividends paid on our common stock are effectively connected with such holder’s U.S. trade or business (and are attributable to such holder’s permanent establishment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194"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Any dividends paid on our common stock that are effectively connected with a non-U.S. holder’s U.S. trade or business (and if required by an applicable income tax treaty, are attributable to a permanent establishment maintained by the non-U.S. holder in the United States) generally will be subject to U.S. federal income tax on a net income basis at the regular graduated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w:t>
      </w:r>
    </w:p>
    <w:p>
      <w:pPr>
        <w:spacing w:after="0" w:line="276" w:lineRule="exact"/>
        <w:rPr>
          <w:sz w:val="20"/>
          <w:szCs w:val="20"/>
          <w:color w:val="auto"/>
        </w:rPr>
      </w:pPr>
    </w:p>
    <w:p>
      <w:pPr>
        <w:ind w:left="3940"/>
        <w:spacing w:after="0"/>
        <w:rPr>
          <w:sz w:val="20"/>
          <w:szCs w:val="20"/>
          <w:color w:val="auto"/>
        </w:rPr>
      </w:pPr>
      <w:r>
        <w:rPr>
          <w:rFonts w:ascii="Arial" w:cs="Arial" w:eastAsia="Arial" w:hAnsi="Arial"/>
          <w:sz w:val="17"/>
          <w:szCs w:val="17"/>
          <w:b w:val="1"/>
          <w:bCs w:val="1"/>
          <w:color w:val="auto"/>
        </w:rPr>
        <w:t>Gain on Disposition of Our Common Stock</w:t>
      </w:r>
    </w:p>
    <w:p>
      <w:pPr>
        <w:spacing w:after="0" w:line="23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Subject to the discussions below regarding backup withholding and FATCA, a non-U.S. holder generally will not be subject to U.S.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federal income tax on any gain realized on the sale or other disposition of our common stock, unless:</w:t>
      </w:r>
    </w:p>
    <w:p>
      <w:pPr>
        <w:spacing w:after="0" w:line="119" w:lineRule="exact"/>
        <w:rPr>
          <w:sz w:val="20"/>
          <w:szCs w:val="20"/>
          <w:color w:val="auto"/>
        </w:rPr>
      </w:pPr>
    </w:p>
    <w:p>
      <w:pPr>
        <w:ind w:left="1100" w:hanging="205"/>
        <w:spacing w:after="0" w:line="253" w:lineRule="auto"/>
        <w:tabs>
          <w:tab w:leader="none" w:pos="11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in the United States, and if required by an applicable income tax treaty, is attributable to a permanent establishment maintained by the non-U.S. holder in the United States;</w:t>
      </w:r>
    </w:p>
    <w:p>
      <w:pPr>
        <w:spacing w:after="0" w:line="294" w:lineRule="exact"/>
        <w:rPr>
          <w:rFonts w:ascii="Arial" w:cs="Arial" w:eastAsia="Arial" w:hAnsi="Arial"/>
          <w:sz w:val="17"/>
          <w:szCs w:val="17"/>
          <w:color w:val="auto"/>
        </w:rPr>
      </w:pPr>
    </w:p>
    <w:p>
      <w:pPr>
        <w:ind w:left="1100" w:right="40" w:hanging="205"/>
        <w:spacing w:after="0" w:line="258" w:lineRule="auto"/>
        <w:tabs>
          <w:tab w:leader="none" w:pos="11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non-U.S. holder is a nonresident alien individual present in the United States for 183 days or more during the taxable year of the disposition, and certain other requirements are met; or</w:t>
      </w:r>
    </w:p>
    <w:p>
      <w:pPr>
        <w:spacing w:after="0" w:line="90" w:lineRule="exact"/>
        <w:rPr>
          <w:rFonts w:ascii="Arial" w:cs="Arial" w:eastAsia="Arial" w:hAnsi="Arial"/>
          <w:sz w:val="17"/>
          <w:szCs w:val="17"/>
          <w:color w:val="auto"/>
        </w:rPr>
      </w:pPr>
    </w:p>
    <w:p>
      <w:pPr>
        <w:ind w:left="1100" w:right="180" w:hanging="205"/>
        <w:spacing w:after="0" w:line="247" w:lineRule="auto"/>
        <w:tabs>
          <w:tab w:leader="none" w:pos="11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our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 and our common stock is not regularly traded on an established securities market during the calendar year in which the sale or other disposition occurs.</w:t>
      </w:r>
    </w:p>
    <w:p>
      <w:pPr>
        <w:spacing w:after="0" w:line="190" w:lineRule="exact"/>
        <w:rPr>
          <w:sz w:val="20"/>
          <w:szCs w:val="20"/>
          <w:color w:val="auto"/>
        </w:rPr>
      </w:pPr>
    </w:p>
    <w:p>
      <w:pPr>
        <w:ind w:left="380" w:right="60" w:firstLine="534"/>
        <w:spacing w:after="0" w:line="247" w:lineRule="auto"/>
        <w:rPr>
          <w:sz w:val="20"/>
          <w:szCs w:val="20"/>
          <w:color w:val="auto"/>
        </w:rPr>
      </w:pPr>
      <w:r>
        <w:rPr>
          <w:rFonts w:ascii="Arial" w:cs="Arial" w:eastAsia="Arial" w:hAnsi="Arial"/>
          <w:sz w:val="17"/>
          <w:szCs w:val="17"/>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 U.S. federal income tax purposes, although there can be no assurance we will not in the future become a USRPHC.</w:t>
      </w:r>
    </w:p>
    <w:p>
      <w:pPr>
        <w:spacing w:after="0" w:line="190" w:lineRule="exact"/>
        <w:rPr>
          <w:sz w:val="20"/>
          <w:szCs w:val="20"/>
          <w:color w:val="auto"/>
        </w:rPr>
      </w:pPr>
    </w:p>
    <w:p>
      <w:pPr>
        <w:ind w:left="380" w:right="20" w:firstLine="534"/>
        <w:spacing w:after="0" w:line="245" w:lineRule="auto"/>
        <w:rPr>
          <w:sz w:val="20"/>
          <w:szCs w:val="20"/>
          <w:color w:val="auto"/>
        </w:rPr>
      </w:pPr>
      <w:r>
        <w:rPr>
          <w:rFonts w:ascii="Arial" w:cs="Arial" w:eastAsia="Arial" w:hAnsi="Arial"/>
          <w:sz w:val="17"/>
          <w:szCs w:val="17"/>
          <w:color w:val="auto"/>
        </w:rPr>
        <w:t>Gain described in the first bullet point above generally will be subject to U.S. federal income tax on a net income basis at the regular graduated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w:t>
      </w:r>
    </w:p>
    <w:p>
      <w:pPr>
        <w:spacing w:after="0" w:line="1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201</w:t>
      </w:r>
    </w:p>
    <w:p>
      <w:pPr>
        <w:sectPr>
          <w:pgSz w:w="11900" w:h="16838" w:orient="portrait"/>
          <w:cols w:equalWidth="0" w:num="1">
            <w:col w:w="11020"/>
          </w:cols>
          <w:pgMar w:left="240" w:top="449" w:right="639" w:bottom="1440" w:gutter="0" w:footer="0" w:header="0"/>
        </w:sectPr>
      </w:pPr>
    </w:p>
    <w:bookmarkStart w:id="204" w:name="page205"/>
    <w:bookmarkEnd w:id="2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100"/>
        <w:spacing w:after="0" w:line="247" w:lineRule="auto"/>
        <w:rPr>
          <w:sz w:val="20"/>
          <w:szCs w:val="20"/>
          <w:color w:val="auto"/>
        </w:rPr>
      </w:pPr>
      <w:r>
        <w:rPr>
          <w:rFonts w:ascii="Arial" w:cs="Arial" w:eastAsia="Arial" w:hAnsi="Arial"/>
          <w:sz w:val="17"/>
          <w:szCs w:val="17"/>
          <w:color w:val="auto"/>
        </w:rPr>
        <w:t>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273"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Information Reporting and Backup Withholding</w:t>
      </w:r>
    </w:p>
    <w:p>
      <w:pPr>
        <w:spacing w:after="0" w:line="232"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Annual reports are required to be filed with the IRS and provided to each non-U.S. holder indicating the amount of dividends on our common stock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common stock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w:t>
      </w:r>
    </w:p>
    <w:p>
      <w:pPr>
        <w:spacing w:after="0" w:line="392" w:lineRule="exact"/>
        <w:rPr>
          <w:sz w:val="20"/>
          <w:szCs w:val="20"/>
          <w:color w:val="auto"/>
        </w:rPr>
      </w:pPr>
    </w:p>
    <w:p>
      <w:pPr>
        <w:ind w:left="380" w:right="360" w:firstLine="534"/>
        <w:spacing w:after="0" w:line="250" w:lineRule="auto"/>
        <w:rPr>
          <w:sz w:val="20"/>
          <w:szCs w:val="20"/>
          <w:color w:val="auto"/>
        </w:rPr>
      </w:pPr>
      <w:r>
        <w:rPr>
          <w:rFonts w:ascii="Arial" w:cs="Arial" w:eastAsia="Arial" w:hAnsi="Arial"/>
          <w:sz w:val="17"/>
          <w:szCs w:val="17"/>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7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FATCA Withholding Taxes</w:t>
      </w:r>
    </w:p>
    <w:p>
      <w:pPr>
        <w:spacing w:after="0" w:line="232" w:lineRule="exact"/>
        <w:rPr>
          <w:sz w:val="20"/>
          <w:szCs w:val="20"/>
          <w:color w:val="auto"/>
        </w:rPr>
      </w:pPr>
    </w:p>
    <w:p>
      <w:pPr>
        <w:ind w:left="380" w:right="40" w:firstLine="534"/>
        <w:spacing w:after="0" w:line="242" w:lineRule="auto"/>
        <w:rPr>
          <w:sz w:val="20"/>
          <w:szCs w:val="20"/>
          <w:color w:val="auto"/>
        </w:rPr>
      </w:pPr>
      <w:r>
        <w:rPr>
          <w:rFonts w:ascii="Arial" w:cs="Arial" w:eastAsia="Arial" w:hAnsi="Arial"/>
          <w:sz w:val="17"/>
          <w:szCs w:val="17"/>
          <w:color w:val="auto"/>
        </w:rPr>
        <w:t>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common stock. While FATCA would also apply to gross proceeds from the sale or other dispositions of our common stock, recently proposed regulations promulgated by the Treasury Department, which state that taxpayers may rely on the proposed regulations until final regulations are issued, eliminate this requirement.</w:t>
      </w:r>
    </w:p>
    <w:p>
      <w:pPr>
        <w:spacing w:after="0" w:line="202" w:lineRule="exact"/>
        <w:rPr>
          <w:sz w:val="20"/>
          <w:szCs w:val="20"/>
          <w:color w:val="auto"/>
        </w:rPr>
      </w:pPr>
    </w:p>
    <w:p>
      <w:pPr>
        <w:ind w:left="380" w:firstLine="534"/>
        <w:spacing w:after="0" w:line="258" w:lineRule="auto"/>
        <w:rPr>
          <w:sz w:val="20"/>
          <w:szCs w:val="20"/>
          <w:color w:val="auto"/>
        </w:rPr>
      </w:pPr>
      <w:r>
        <w:rPr>
          <w:rFonts w:ascii="Arial" w:cs="Arial" w:eastAsia="Arial" w:hAnsi="Arial"/>
          <w:sz w:val="17"/>
          <w:szCs w:val="17"/>
          <w:color w:val="auto"/>
        </w:rPr>
        <w:t>Prospective investors are encouraged to consult with their own tax advisors regarding the possible implications of this legislation on their investment in our common stock.</w:t>
      </w:r>
    </w:p>
    <w:p>
      <w:pPr>
        <w:spacing w:after="0" w:line="11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202</w:t>
      </w:r>
    </w:p>
    <w:p>
      <w:pPr>
        <w:sectPr>
          <w:pgSz w:w="11900" w:h="16838" w:orient="portrait"/>
          <w:cols w:equalWidth="0" w:num="1">
            <w:col w:w="11040"/>
          </w:cols>
          <w:pgMar w:left="240" w:top="449" w:right="619" w:bottom="1440" w:gutter="0" w:footer="0" w:header="0"/>
        </w:sectPr>
      </w:pPr>
    </w:p>
    <w:bookmarkStart w:id="205" w:name="page206"/>
    <w:bookmarkEnd w:id="2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UNDERWRITING</w:t>
      </w:r>
    </w:p>
    <w:p>
      <w:pPr>
        <w:spacing w:after="0" w:line="23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We and the underwriters named below have entered into an underwriting agreement with respect to the shares being offered.</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Subject to certain conditions, each underwriter has severally agreed to purchase the number of shares indicated in the following table.</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Goldman Sachs &amp; Co. LLC, Citigroup Global Markets Inc. and Cowen and Company, LLC are the representatives of the underwriters.</w:t>
      </w:r>
    </w:p>
    <w:p>
      <w:pPr>
        <w:spacing w:after="0" w:line="222"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w w:val="97"/>
              </w:rPr>
              <w:t>Underwriters</w:t>
            </w:r>
          </w:p>
        </w:tc>
        <w:tc>
          <w:tcPr>
            <w:tcW w:w="8840" w:type="dxa"/>
            <w:vAlign w:val="bottom"/>
            <w:vMerge w:val="restart"/>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5"/>
        </w:trPr>
        <w:tc>
          <w:tcPr>
            <w:tcW w:w="860" w:type="dxa"/>
            <w:vAlign w:val="bottom"/>
            <w:tcBorders>
              <w:bottom w:val="single" w:sz="8" w:color="auto"/>
            </w:tcBorders>
            <w:vMerge w:val="continue"/>
          </w:tcPr>
          <w:p>
            <w:pPr>
              <w:spacing w:after="0"/>
              <w:rPr>
                <w:sz w:val="15"/>
                <w:szCs w:val="15"/>
                <w:color w:val="auto"/>
              </w:rPr>
            </w:pPr>
          </w:p>
        </w:tc>
        <w:tc>
          <w:tcPr>
            <w:tcW w:w="8840" w:type="dxa"/>
            <w:vAlign w:val="bottom"/>
            <w:vMerge w:val="continue"/>
          </w:tcPr>
          <w:p>
            <w:pPr>
              <w:spacing w:after="0"/>
              <w:rPr>
                <w:sz w:val="15"/>
                <w:szCs w:val="15"/>
                <w:color w:val="auto"/>
              </w:rPr>
            </w:pPr>
          </w:p>
        </w:tc>
        <w:tc>
          <w:tcPr>
            <w:tcW w:w="98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83"/>
        </w:trPr>
        <w:tc>
          <w:tcPr>
            <w:tcW w:w="9700" w:type="dxa"/>
            <w:vAlign w:val="bottom"/>
            <w:tcBorders>
              <w:top w:val="single" w:sz="8" w:color="CCEEFF"/>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Goldman Sachs &amp; Co. LLC</w:t>
            </w:r>
          </w:p>
        </w:tc>
        <w:tc>
          <w:tcPr>
            <w:tcW w:w="9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700" w:type="dxa"/>
            <w:vAlign w:val="bottom"/>
            <w:gridSpan w:val="2"/>
          </w:tcPr>
          <w:p>
            <w:pPr>
              <w:spacing w:after="0"/>
              <w:rPr>
                <w:sz w:val="20"/>
                <w:szCs w:val="20"/>
                <w:color w:val="auto"/>
              </w:rPr>
            </w:pPr>
            <w:r>
              <w:rPr>
                <w:rFonts w:ascii="Arial" w:cs="Arial" w:eastAsia="Arial" w:hAnsi="Arial"/>
                <w:sz w:val="17"/>
                <w:szCs w:val="17"/>
                <w:color w:val="auto"/>
              </w:rPr>
              <w:t>Citigroup Global Markets Inc.</w:t>
            </w: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Cowen and Company, LLC</w:t>
            </w:r>
          </w:p>
        </w:tc>
        <w:tc>
          <w:tcPr>
            <w:tcW w:w="9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700" w:type="dxa"/>
            <w:vAlign w:val="bottom"/>
            <w:gridSpan w:val="2"/>
          </w:tcPr>
          <w:p>
            <w:pPr>
              <w:ind w:left="340"/>
              <w:spacing w:after="0"/>
              <w:rPr>
                <w:sz w:val="20"/>
                <w:szCs w:val="20"/>
                <w:color w:val="auto"/>
              </w:rPr>
            </w:pPr>
            <w:r>
              <w:rPr>
                <w:rFonts w:ascii="Arial" w:cs="Arial" w:eastAsia="Arial" w:hAnsi="Arial"/>
                <w:sz w:val="17"/>
                <w:szCs w:val="17"/>
                <w:color w:val="auto"/>
              </w:rPr>
              <w:t>Total</w:t>
            </w: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6,666,667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380" w:right="140" w:firstLine="534"/>
        <w:spacing w:after="0" w:line="258" w:lineRule="auto"/>
        <w:rPr>
          <w:sz w:val="20"/>
          <w:szCs w:val="20"/>
          <w:color w:val="auto"/>
        </w:rPr>
      </w:pPr>
      <w:r>
        <w:rPr>
          <w:rFonts w:ascii="Arial" w:cs="Arial" w:eastAsia="Arial" w:hAnsi="Arial"/>
          <w:sz w:val="17"/>
          <w:szCs w:val="17"/>
          <w:color w:val="auto"/>
        </w:rPr>
        <w:t>The underwriters are committed to take and pay for all of the shares being offered, if any are taken, other than the shares covered by the option described below unless and until this option is exercised.</w:t>
      </w:r>
    </w:p>
    <w:p>
      <w:pPr>
        <w:spacing w:after="0" w:line="182" w:lineRule="exact"/>
        <w:rPr>
          <w:sz w:val="20"/>
          <w:szCs w:val="20"/>
          <w:color w:val="auto"/>
        </w:rPr>
      </w:pPr>
    </w:p>
    <w:p>
      <w:pPr>
        <w:ind w:left="380" w:right="140" w:firstLine="534"/>
        <w:spacing w:after="0" w:line="247" w:lineRule="auto"/>
        <w:rPr>
          <w:sz w:val="20"/>
          <w:szCs w:val="20"/>
          <w:color w:val="auto"/>
        </w:rPr>
      </w:pPr>
      <w:r>
        <w:rPr>
          <w:rFonts w:ascii="Arial" w:cs="Arial" w:eastAsia="Arial" w:hAnsi="Arial"/>
          <w:sz w:val="17"/>
          <w:szCs w:val="17"/>
          <w:color w:val="auto"/>
        </w:rPr>
        <w:t>The underwriters have an option to buy up to an additional 1,000,000 shares of common stock from us. Any shares sold to underwriters pursuant to the option will be sold at the initial public offering price, less underwriting discounts and commissions. They may exercise that option for 30 days. If any shares are purchased pursuant to this option, the underwriters will severally purchase shares in approximately the same proportion as set forth in the table above.</w:t>
      </w:r>
    </w:p>
    <w:p>
      <w:pPr>
        <w:spacing w:after="0" w:line="190" w:lineRule="exact"/>
        <w:rPr>
          <w:sz w:val="20"/>
          <w:szCs w:val="20"/>
          <w:color w:val="auto"/>
        </w:rPr>
      </w:pPr>
    </w:p>
    <w:p>
      <w:pPr>
        <w:jc w:val="both"/>
        <w:ind w:left="380" w:right="320" w:firstLine="534"/>
        <w:spacing w:after="0" w:line="250" w:lineRule="auto"/>
        <w:rPr>
          <w:sz w:val="20"/>
          <w:szCs w:val="20"/>
          <w:color w:val="auto"/>
        </w:rPr>
      </w:pPr>
      <w:r>
        <w:rPr>
          <w:rFonts w:ascii="Arial" w:cs="Arial" w:eastAsia="Arial" w:hAnsi="Arial"/>
          <w:sz w:val="17"/>
          <w:szCs w:val="17"/>
          <w:color w:val="auto"/>
        </w:rPr>
        <w:t>The following table shows the per share and total underwriting discounts and commissions to be paid to the underwriters. Such amounts are shown assuming both no exercise and full exercise of the underwriters’ option to purchase 1,000,000 additional shares of common stock from us.</w:t>
      </w:r>
    </w:p>
    <w:p>
      <w:pPr>
        <w:spacing w:after="0" w:line="204" w:lineRule="exact"/>
        <w:rPr>
          <w:sz w:val="20"/>
          <w:szCs w:val="20"/>
          <w:color w:val="auto"/>
        </w:rPr>
      </w:pPr>
    </w:p>
    <w:tbl>
      <w:tblPr>
        <w:tblLayout w:type="fixed"/>
        <w:tblInd w:w="380" w:type="dxa"/>
        <w:tblCellMar>
          <w:top w:w="0" w:type="dxa"/>
          <w:left w:w="0" w:type="dxa"/>
          <w:bottom w:w="0" w:type="dxa"/>
          <w:right w:w="0" w:type="dxa"/>
        </w:tblCellMar>
      </w:tblPr>
      <w:tr>
        <w:trPr>
          <w:trHeight w:val="189"/>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Paid by Us</w:t>
            </w:r>
          </w:p>
        </w:tc>
        <w:tc>
          <w:tcPr>
            <w:tcW w:w="38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No Exercise</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Full Exercise</w:t>
            </w:r>
          </w:p>
        </w:tc>
      </w:tr>
      <w:tr>
        <w:trPr>
          <w:trHeight w:val="183"/>
        </w:trPr>
        <w:tc>
          <w:tcPr>
            <w:tcW w:w="4540" w:type="dxa"/>
            <w:vAlign w:val="bottom"/>
            <w:tcBorders>
              <w:top w:val="single" w:sz="8" w:color="CCEEFF"/>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Per Share</w:t>
            </w:r>
          </w:p>
        </w:tc>
        <w:tc>
          <w:tcPr>
            <w:tcW w:w="37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210"/>
        </w:trPr>
        <w:tc>
          <w:tcPr>
            <w:tcW w:w="4540" w:type="dxa"/>
            <w:vAlign w:val="bottom"/>
            <w:gridSpan w:val="2"/>
          </w:tcPr>
          <w:p>
            <w:pPr>
              <w:spacing w:after="0"/>
              <w:rPr>
                <w:sz w:val="20"/>
                <w:szCs w:val="20"/>
                <w:color w:val="auto"/>
              </w:rPr>
            </w:pPr>
            <w:r>
              <w:rPr>
                <w:rFonts w:ascii="Arial" w:cs="Arial" w:eastAsia="Arial" w:hAnsi="Arial"/>
                <w:sz w:val="17"/>
                <w:szCs w:val="17"/>
                <w:color w:val="auto"/>
              </w:rPr>
              <w:t>Total</w:t>
            </w:r>
          </w:p>
        </w:tc>
        <w:tc>
          <w:tcPr>
            <w:tcW w:w="4580" w:type="dxa"/>
            <w:vAlign w:val="bottom"/>
            <w:gridSpan w:val="2"/>
          </w:tcPr>
          <w:p>
            <w:pPr>
              <w:ind w:left="376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r>
    </w:tbl>
    <w:p>
      <w:pPr>
        <w:spacing w:after="0" w:line="19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Shares sold by the underwriters to the public will initially be offered at the initial public offering price set forth on the cover of this</w:t>
      </w:r>
    </w:p>
    <w:p>
      <w:pPr>
        <w:spacing w:after="0" w:line="1" w:lineRule="exact"/>
        <w:rPr>
          <w:sz w:val="20"/>
          <w:szCs w:val="20"/>
          <w:color w:val="auto"/>
        </w:rPr>
      </w:pPr>
    </w:p>
    <w:p>
      <w:pPr>
        <w:jc w:val="both"/>
        <w:ind w:left="380" w:right="280"/>
        <w:spacing w:after="0" w:line="247" w:lineRule="auto"/>
        <w:rPr>
          <w:sz w:val="20"/>
          <w:szCs w:val="20"/>
          <w:color w:val="auto"/>
        </w:rPr>
      </w:pPr>
      <w:r>
        <w:rPr>
          <w:rFonts w:ascii="Arial" w:cs="Arial" w:eastAsia="Arial" w:hAnsi="Arial"/>
          <w:sz w:val="17"/>
          <w:szCs w:val="17"/>
          <w:color w:val="auto"/>
        </w:rPr>
        <w:t>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90" w:lineRule="exact"/>
        <w:rPr>
          <w:sz w:val="20"/>
          <w:szCs w:val="20"/>
          <w:color w:val="auto"/>
        </w:rPr>
      </w:pPr>
    </w:p>
    <w:p>
      <w:pPr>
        <w:ind w:left="380" w:right="20" w:firstLine="534"/>
        <w:spacing w:after="0" w:line="244" w:lineRule="auto"/>
        <w:rPr>
          <w:sz w:val="20"/>
          <w:szCs w:val="20"/>
          <w:color w:val="auto"/>
        </w:rPr>
      </w:pPr>
      <w:r>
        <w:rPr>
          <w:rFonts w:ascii="Arial" w:cs="Arial" w:eastAsia="Arial" w:hAnsi="Arial"/>
          <w:sz w:val="17"/>
          <w:szCs w:val="17"/>
          <w:color w:val="auto"/>
        </w:rPr>
        <w:t>At our request, the underwriters have reserved up to shares being offered by this prospectus for sale at the initial public offering price to our directors, officers, employees, business associates and related persons through a directed share program. The number of shares available for sale to the general public will be reduced by the number of directed shares purchased by participants in the program. Any directed shares not purchased will be offered by the underwriters to the general public on the same basis as all other shares offered. We have agreed to indemnify the underwriters against certain liabilities and expenses, including liabilities under the Securities Act, in connection with the sales of the directed shares.</w:t>
      </w:r>
    </w:p>
    <w:p>
      <w:pPr>
        <w:spacing w:after="0" w:line="196" w:lineRule="exact"/>
        <w:rPr>
          <w:sz w:val="20"/>
          <w:szCs w:val="20"/>
          <w:color w:val="auto"/>
        </w:rPr>
      </w:pPr>
    </w:p>
    <w:p>
      <w:pPr>
        <w:ind w:left="380" w:firstLine="534"/>
        <w:spacing w:after="0" w:line="250" w:lineRule="auto"/>
        <w:rPr>
          <w:sz w:val="20"/>
          <w:szCs w:val="20"/>
          <w:color w:val="auto"/>
        </w:rPr>
      </w:pPr>
      <w:r>
        <w:rPr>
          <w:rFonts w:ascii="Arial" w:cs="Arial" w:eastAsia="Arial" w:hAnsi="Arial"/>
          <w:sz w:val="17"/>
          <w:szCs w:val="17"/>
          <w:color w:val="auto"/>
        </w:rPr>
        <w:t>In connection with this offering, we have agreed with the underwriters, subject to certain exceptions, including for the issuance of up to 5% of our outstanding shares of common stock immediately following the closing of this offering and the concurrent private placement to Merck in</w:t>
      </w:r>
    </w:p>
    <w:p>
      <w:pPr>
        <w:spacing w:after="0" w:line="12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203</w:t>
      </w:r>
    </w:p>
    <w:p>
      <w:pPr>
        <w:sectPr>
          <w:pgSz w:w="11900" w:h="16838" w:orient="portrait"/>
          <w:cols w:equalWidth="0" w:num="1">
            <w:col w:w="11060"/>
          </w:cols>
          <w:pgMar w:left="240" w:top="449" w:right="599" w:bottom="1440" w:gutter="0" w:footer="0" w:header="0"/>
        </w:sectPr>
      </w:pPr>
    </w:p>
    <w:bookmarkStart w:id="206" w:name="page207"/>
    <w:bookmarkEnd w:id="2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220"/>
        <w:spacing w:after="0" w:line="247" w:lineRule="auto"/>
        <w:rPr>
          <w:sz w:val="20"/>
          <w:szCs w:val="20"/>
          <w:color w:val="auto"/>
        </w:rPr>
      </w:pPr>
      <w:r>
        <w:rPr>
          <w:rFonts w:ascii="Arial" w:cs="Arial" w:eastAsia="Arial" w:hAnsi="Arial"/>
          <w:sz w:val="17"/>
          <w:szCs w:val="17"/>
          <w:color w:val="auto"/>
        </w:rPr>
        <w:t>connection with acquisitions or strategic transactions provided that any recipient of such shares enter into a lock-up agreement substantially similar to what is described below, not to dispose of or hedge any of our common stock or securities convertible into or exchangeable for shares of common stock for 180 days following the date of this prospectus, except with the prior written consent of the representatives. This agreement also does not apply to any existing employee benefit plans.</w:t>
      </w:r>
    </w:p>
    <w:p>
      <w:pPr>
        <w:spacing w:after="0" w:line="190"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In addition, our executive officers and directors and holders of substantially all of our common stock (including shares issuable upon exercise or conversion of existing securities and shares issuable to Merck in the concurrent private placement) have agreed with the underwriters, subject to certain exceptions, not to offer, sell, contract to sell, pledge, grant any option to purchase, make any short sale or otherwise dispose of any shares of our common stock, or any options or warrants to purchase any shares of our common stock, or any securities convertible into, exchangeable for or that represent the right to receive shares of our common stock (including any preferred shares), whether now owned or acquired after entry in the lock-up agreement, owned directly by the party to the lock-up agreement (including holding as a custodian) or with respect to which the party to the lock-up agreement has beneficial ownership within the rules and regulations of the Securities and Exchange Commission (collectively, “lock-up securities”), or to engage in any hedging or other transaction which is designed to or which reasonably could be expected to lead to or result in a sale or disposition of the lock-up securities, for 180 days following the date of this prospectus, except with the prior written consent of the representatives.</w:t>
      </w:r>
    </w:p>
    <w:p>
      <w:pPr>
        <w:spacing w:after="0" w:line="195" w:lineRule="exact"/>
        <w:rPr>
          <w:sz w:val="20"/>
          <w:szCs w:val="20"/>
          <w:color w:val="auto"/>
        </w:rPr>
      </w:pPr>
    </w:p>
    <w:p>
      <w:pPr>
        <w:ind w:left="380" w:right="20" w:firstLine="534"/>
        <w:spacing w:after="0" w:line="242" w:lineRule="auto"/>
        <w:rPr>
          <w:sz w:val="20"/>
          <w:szCs w:val="20"/>
          <w:color w:val="auto"/>
        </w:rPr>
      </w:pPr>
      <w:r>
        <w:rPr>
          <w:rFonts w:ascii="Arial" w:cs="Arial" w:eastAsia="Arial" w:hAnsi="Arial"/>
          <w:sz w:val="17"/>
          <w:szCs w:val="17"/>
          <w:color w:val="auto"/>
        </w:rPr>
        <w:t>The restrictions in the immediately preceding paragraph do not apply to our directors, officers or holders of our outstanding common stock or other securities in certain circumstances, including (i) the transfers not for value of our common stock as bona fide gifts, by will, to an immediate family member or to certain trusts; (ii) to the extent the party to the lock-up agreement is an entity, the transfer of our common stock to affiliates, limited partners, general partners, limited liability company members or stockholders; (iii) transfers of our common stock pursuant to a bona fide third-party tender offer, merger, consolidation or other similar transaction made to all of our stockholders and involving a change of control of us; (iv) transfer of our common stock to us for the net exercise of options granted pursuant to our equity incentive plans described elsewhere in this prospectus or to cover tax withholding for grants pursuant to our equity incentive plans; (v) shares of our common stock acquired after the date of this offering and, unless the party to the lock-up agreement is one of our directors or officers, sale of shares of our common stock acquired in this offering; (vi) the establishment of a 10b5-1 trading plan under the Exchange Act; and (vii) the conversion of shares of our outstanding convertible preferred stock into shares of our common stock. The exceptions described in (i) through (iii) above are subject to a requirement that the transferee enter into a lockup agreement with the underwriters containing similar restrictions and the exceptions described in (i), (ii) and (iv) through (vi) above are subject to a requirement that no public announcement or filing under Section 16 of the Exchange Act shall be required or voluntarily made during the restricted period.</w:t>
      </w:r>
    </w:p>
    <w:p>
      <w:pPr>
        <w:spacing w:after="0" w:line="397" w:lineRule="exact"/>
        <w:rPr>
          <w:sz w:val="20"/>
          <w:szCs w:val="20"/>
          <w:color w:val="auto"/>
        </w:rPr>
      </w:pPr>
    </w:p>
    <w:p>
      <w:pPr>
        <w:ind w:left="380" w:right="80" w:firstLine="534"/>
        <w:spacing w:after="0" w:line="258" w:lineRule="auto"/>
        <w:rPr>
          <w:sz w:val="20"/>
          <w:szCs w:val="20"/>
          <w:color w:val="auto"/>
        </w:rPr>
      </w:pPr>
      <w:r>
        <w:rPr>
          <w:rFonts w:ascii="Arial" w:cs="Arial" w:eastAsia="Arial" w:hAnsi="Arial"/>
          <w:sz w:val="17"/>
          <w:szCs w:val="17"/>
          <w:color w:val="auto"/>
        </w:rPr>
        <w:t>The representatives, in their sole discretion, may release the common stock and other securities subject to the lock-up agreements described above in whole or in part at any time.</w:t>
      </w:r>
    </w:p>
    <w:p>
      <w:pPr>
        <w:spacing w:after="0" w:line="182" w:lineRule="exact"/>
        <w:rPr>
          <w:sz w:val="20"/>
          <w:szCs w:val="20"/>
          <w:color w:val="auto"/>
        </w:rPr>
      </w:pPr>
    </w:p>
    <w:p>
      <w:pPr>
        <w:ind w:left="380" w:right="120" w:firstLine="534"/>
        <w:spacing w:after="0" w:line="245" w:lineRule="auto"/>
        <w:rPr>
          <w:sz w:val="20"/>
          <w:szCs w:val="20"/>
          <w:color w:val="auto"/>
        </w:rPr>
      </w:pPr>
      <w:r>
        <w:rPr>
          <w:rFonts w:ascii="Arial" w:cs="Arial" w:eastAsia="Arial" w:hAnsi="Arial"/>
          <w:sz w:val="17"/>
          <w:szCs w:val="17"/>
          <w:color w:val="auto"/>
        </w:rPr>
        <w:t>Prior to the offering, there has been no public market for the shares. The initial public offering price has been negotiated among us and the representatives. Among the factors to be considered in determining the initial public offering price of the shares, in addition to prevailing market conditions, will be our historical performance, estimates of the business potential and our earnings prospects, an assessment of our management and the consideration of the above factors in relation to market valuation of companies in related businesses.</w:t>
      </w:r>
    </w:p>
    <w:p>
      <w:pPr>
        <w:spacing w:after="0" w:line="19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We have applied to list our common stock on the Nasdaq Global Select Market under the symbol “NGM”.</w:t>
      </w:r>
    </w:p>
    <w:p>
      <w:pPr>
        <w:spacing w:after="0" w:line="145"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204</w:t>
      </w:r>
    </w:p>
    <w:p>
      <w:pPr>
        <w:sectPr>
          <w:pgSz w:w="11900" w:h="16838" w:orient="portrait"/>
          <w:cols w:equalWidth="0" w:num="1">
            <w:col w:w="11060"/>
          </w:cols>
          <w:pgMar w:left="240" w:top="449" w:right="599" w:bottom="1440" w:gutter="0" w:footer="0" w:header="0"/>
        </w:sectPr>
      </w:pPr>
    </w:p>
    <w:bookmarkStart w:id="207" w:name="page208"/>
    <w:bookmarkEnd w:id="2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20" w:firstLine="534"/>
        <w:spacing w:after="0" w:line="242" w:lineRule="auto"/>
        <w:rPr>
          <w:sz w:val="20"/>
          <w:szCs w:val="20"/>
          <w:color w:val="auto"/>
        </w:rPr>
      </w:pPr>
      <w:r>
        <w:rPr>
          <w:rFonts w:ascii="Arial" w:cs="Arial" w:eastAsia="Arial" w:hAnsi="Arial"/>
          <w:sz w:val="17"/>
          <w:szCs w:val="17"/>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our common stock made by the underwriters in the open market prior to the completion of the offering.</w:t>
      </w:r>
    </w:p>
    <w:p>
      <w:pPr>
        <w:spacing w:after="0" w:line="200" w:lineRule="exact"/>
        <w:rPr>
          <w:sz w:val="20"/>
          <w:szCs w:val="20"/>
          <w:color w:val="auto"/>
        </w:rPr>
      </w:pPr>
    </w:p>
    <w:p>
      <w:pPr>
        <w:ind w:left="380" w:right="100" w:firstLine="534"/>
        <w:spacing w:after="0" w:line="250" w:lineRule="auto"/>
        <w:rPr>
          <w:sz w:val="20"/>
          <w:szCs w:val="20"/>
          <w:color w:val="auto"/>
        </w:rPr>
      </w:pPr>
      <w:r>
        <w:rPr>
          <w:rFonts w:ascii="Arial" w:cs="Arial" w:eastAsia="Arial" w:hAnsi="Arial"/>
          <w:sz w:val="17"/>
          <w:szCs w:val="17"/>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8"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our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9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underwriters do not expect sales to discretionary accounts to exceed 5% of the total number of shares offered.</w:t>
      </w:r>
    </w:p>
    <w:p>
      <w:pPr>
        <w:spacing w:after="0" w:line="210" w:lineRule="exact"/>
        <w:rPr>
          <w:sz w:val="20"/>
          <w:szCs w:val="20"/>
          <w:color w:val="auto"/>
        </w:rPr>
      </w:pPr>
    </w:p>
    <w:p>
      <w:pPr>
        <w:ind w:left="380" w:right="60" w:firstLine="534"/>
        <w:spacing w:after="0" w:line="258" w:lineRule="auto"/>
        <w:rPr>
          <w:sz w:val="20"/>
          <w:szCs w:val="20"/>
          <w:color w:val="auto"/>
        </w:rPr>
      </w:pPr>
      <w:r>
        <w:rPr>
          <w:rFonts w:ascii="Arial" w:cs="Arial" w:eastAsia="Arial" w:hAnsi="Arial"/>
          <w:sz w:val="17"/>
          <w:szCs w:val="17"/>
          <w:color w:val="auto"/>
        </w:rPr>
        <w:t>We estimate that our total expenses of the offering, excluding underwriting discounts and commissions, will be approximately $3.5 million.</w:t>
      </w:r>
    </w:p>
    <w:p>
      <w:pPr>
        <w:spacing w:after="0" w:line="18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We have agreed to indemnify the several underwriters against certain liabilities, including liabilities under the Securities Act.</w:t>
      </w:r>
    </w:p>
    <w:p>
      <w:pPr>
        <w:spacing w:after="0" w:line="210" w:lineRule="exact"/>
        <w:rPr>
          <w:sz w:val="20"/>
          <w:szCs w:val="20"/>
          <w:color w:val="auto"/>
        </w:rPr>
      </w:pPr>
    </w:p>
    <w:p>
      <w:pPr>
        <w:ind w:left="380" w:firstLine="534"/>
        <w:spacing w:after="0" w:line="245"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94" w:lineRule="exact"/>
        <w:rPr>
          <w:sz w:val="20"/>
          <w:szCs w:val="20"/>
          <w:color w:val="auto"/>
        </w:rPr>
      </w:pPr>
    </w:p>
    <w:p>
      <w:pPr>
        <w:ind w:left="380" w:right="380" w:firstLine="534"/>
        <w:spacing w:after="0" w:line="258"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w:t>
      </w:r>
    </w:p>
    <w:p>
      <w:pPr>
        <w:spacing w:after="0" w:line="11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205</w:t>
      </w:r>
    </w:p>
    <w:p>
      <w:pPr>
        <w:sectPr>
          <w:pgSz w:w="11900" w:h="16838" w:orient="portrait"/>
          <w:cols w:equalWidth="0" w:num="1">
            <w:col w:w="10980"/>
          </w:cols>
          <w:pgMar w:left="240" w:top="449" w:right="679" w:bottom="1440" w:gutter="0" w:footer="0" w:header="0"/>
        </w:sectPr>
      </w:pPr>
    </w:p>
    <w:bookmarkStart w:id="208" w:name="page209"/>
    <w:bookmarkEnd w:id="2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20"/>
        <w:spacing w:after="0" w:line="244" w:lineRule="auto"/>
        <w:rPr>
          <w:sz w:val="20"/>
          <w:szCs w:val="20"/>
          <w:color w:val="auto"/>
        </w:rPr>
      </w:pPr>
      <w:r>
        <w:rPr>
          <w:rFonts w:ascii="Arial" w:cs="Arial" w:eastAsia="Arial" w:hAnsi="Arial"/>
          <w:sz w:val="17"/>
          <w:szCs w:val="17"/>
          <w:color w:val="auto"/>
        </w:rPr>
        <w:t>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78"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European Economic Area</w:t>
      </w:r>
    </w:p>
    <w:p>
      <w:pPr>
        <w:spacing w:after="0" w:line="232" w:lineRule="exact"/>
        <w:rPr>
          <w:sz w:val="20"/>
          <w:szCs w:val="20"/>
          <w:color w:val="auto"/>
        </w:rPr>
      </w:pPr>
    </w:p>
    <w:p>
      <w:pPr>
        <w:ind w:left="380" w:right="180" w:firstLine="534"/>
        <w:spacing w:after="0" w:line="247"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“Relative Member State”) an offer to the public of our common shares may not be made in that Relevant Member State, except that an offer to the public in that Relevant Member State of our common shares may be made at any time under the following exemptions under the Prospectus Directive:</w:t>
      </w:r>
    </w:p>
    <w:p>
      <w:pPr>
        <w:spacing w:after="0" w:line="99" w:lineRule="exact"/>
        <w:rPr>
          <w:sz w:val="20"/>
          <w:szCs w:val="20"/>
          <w:color w:val="auto"/>
        </w:rPr>
      </w:pPr>
    </w:p>
    <w:p>
      <w:pPr>
        <w:ind w:left="1100" w:hanging="205"/>
        <w:spacing w:after="0"/>
        <w:tabs>
          <w:tab w:leader="none" w:pos="11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118" w:lineRule="exact"/>
        <w:rPr>
          <w:rFonts w:ascii="Arial" w:cs="Arial" w:eastAsia="Arial" w:hAnsi="Arial"/>
          <w:sz w:val="17"/>
          <w:szCs w:val="17"/>
          <w:color w:val="auto"/>
        </w:rPr>
      </w:pPr>
    </w:p>
    <w:p>
      <w:pPr>
        <w:ind w:left="1100" w:right="460" w:hanging="205"/>
        <w:spacing w:after="0" w:line="258" w:lineRule="auto"/>
        <w:tabs>
          <w:tab w:leader="none" w:pos="11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in the Prospectus Directive), subject to obtaining the prior consent of the Representatives for any such offer; or</w:t>
      </w:r>
    </w:p>
    <w:p>
      <w:pPr>
        <w:spacing w:after="0" w:line="90" w:lineRule="exact"/>
        <w:rPr>
          <w:rFonts w:ascii="Arial" w:cs="Arial" w:eastAsia="Arial" w:hAnsi="Arial"/>
          <w:sz w:val="17"/>
          <w:szCs w:val="17"/>
          <w:color w:val="auto"/>
        </w:rPr>
      </w:pPr>
    </w:p>
    <w:p>
      <w:pPr>
        <w:ind w:left="1100" w:hanging="205"/>
        <w:spacing w:after="0"/>
        <w:tabs>
          <w:tab w:leader="none" w:pos="11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w:t>
      </w:r>
    </w:p>
    <w:p>
      <w:pPr>
        <w:spacing w:after="0" w:line="210" w:lineRule="exact"/>
        <w:rPr>
          <w:sz w:val="20"/>
          <w:szCs w:val="20"/>
          <w:color w:val="auto"/>
        </w:rPr>
      </w:pPr>
    </w:p>
    <w:p>
      <w:pPr>
        <w:ind w:left="380" w:right="820"/>
        <w:spacing w:after="0" w:line="258" w:lineRule="auto"/>
        <w:rPr>
          <w:sz w:val="20"/>
          <w:szCs w:val="20"/>
          <w:color w:val="auto"/>
        </w:rPr>
      </w:pPr>
      <w:r>
        <w:rPr>
          <w:rFonts w:ascii="Arial" w:cs="Arial" w:eastAsia="Arial" w:hAnsi="Arial"/>
          <w:sz w:val="17"/>
          <w:szCs w:val="17"/>
          <w:color w:val="auto"/>
        </w:rPr>
        <w:t>provided that no such offer or shares of our common stock shall result in a requirement for the publication by us or any Brazilian placement agent of a prospectus pursuant to Article 3 of the Prospectus Directive.</w:t>
      </w:r>
    </w:p>
    <w:p>
      <w:pPr>
        <w:spacing w:after="0" w:line="182" w:lineRule="exact"/>
        <w:rPr>
          <w:sz w:val="20"/>
          <w:szCs w:val="20"/>
          <w:color w:val="auto"/>
        </w:rPr>
      </w:pPr>
    </w:p>
    <w:p>
      <w:pPr>
        <w:ind w:left="380" w:right="120" w:firstLine="534"/>
        <w:spacing w:after="0" w:line="244" w:lineRule="auto"/>
        <w:rPr>
          <w:sz w:val="20"/>
          <w:szCs w:val="20"/>
          <w:color w:val="auto"/>
        </w:rPr>
      </w:pPr>
      <w:r>
        <w:rPr>
          <w:rFonts w:ascii="Arial" w:cs="Arial" w:eastAsia="Arial" w:hAnsi="Arial"/>
          <w:sz w:val="17"/>
          <w:szCs w:val="17"/>
          <w:color w:val="auto"/>
        </w:rPr>
        <w:t>For the purposes of this provision, the expression an “offer to public” in relation to our common shares in any Relevant Member State means the communication in any form and by any means of sufficient information on the terms of the offer and our common shares to be offered so as to enable an investor to decide to purchase our common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39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This European Economic Area selling restriction is in addition to any other selling restrictions set out below.</w:t>
      </w:r>
    </w:p>
    <w:p>
      <w:pPr>
        <w:spacing w:after="0" w:line="293"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United Kingdom</w:t>
      </w:r>
    </w:p>
    <w:p>
      <w:pPr>
        <w:spacing w:after="0" w:line="232"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In the United Kingdom, this prospectus is only addressed to and directed as qualified investors who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relay on this prospectus or any of its contents.</w:t>
      </w:r>
    </w:p>
    <w:p>
      <w:pPr>
        <w:spacing w:after="0" w:line="13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206</w:t>
      </w:r>
    </w:p>
    <w:p>
      <w:pPr>
        <w:sectPr>
          <w:pgSz w:w="11900" w:h="16838" w:orient="portrait"/>
          <w:cols w:equalWidth="0" w:num="1">
            <w:col w:w="11040"/>
          </w:cols>
          <w:pgMar w:left="240" w:top="449" w:right="619" w:bottom="1440" w:gutter="0" w:footer="0" w:header="0"/>
        </w:sectPr>
      </w:pPr>
    </w:p>
    <w:bookmarkStart w:id="209" w:name="page210"/>
    <w:bookmarkEnd w:id="2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Canada</w:t>
      </w:r>
    </w:p>
    <w:p>
      <w:pPr>
        <w:spacing w:after="0" w:line="232" w:lineRule="exact"/>
        <w:rPr>
          <w:sz w:val="20"/>
          <w:szCs w:val="20"/>
          <w:color w:val="auto"/>
        </w:rPr>
      </w:pPr>
    </w:p>
    <w:p>
      <w:pPr>
        <w:ind w:left="380" w:right="80" w:firstLine="534"/>
        <w:spacing w:after="0" w:line="245" w:lineRule="auto"/>
        <w:rPr>
          <w:sz w:val="20"/>
          <w:szCs w:val="20"/>
          <w:color w:val="auto"/>
        </w:rPr>
      </w:pPr>
      <w:r>
        <w:rPr>
          <w:rFonts w:ascii="Arial" w:cs="Arial" w:eastAsia="Arial" w:hAnsi="Arial"/>
          <w:sz w:val="17"/>
          <w:szCs w:val="17"/>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94" w:lineRule="exact"/>
        <w:rPr>
          <w:sz w:val="20"/>
          <w:szCs w:val="20"/>
          <w:color w:val="auto"/>
        </w:rPr>
      </w:pPr>
    </w:p>
    <w:p>
      <w:pPr>
        <w:ind w:left="380" w:firstLine="534"/>
        <w:spacing w:after="0" w:line="245"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94" w:lineRule="exact"/>
        <w:rPr>
          <w:sz w:val="20"/>
          <w:szCs w:val="20"/>
          <w:color w:val="auto"/>
        </w:rPr>
      </w:pPr>
    </w:p>
    <w:p>
      <w:pPr>
        <w:ind w:left="380" w:right="360" w:firstLine="534"/>
        <w:spacing w:after="0" w:line="258" w:lineRule="auto"/>
        <w:rPr>
          <w:sz w:val="20"/>
          <w:szCs w:val="20"/>
          <w:color w:val="auto"/>
        </w:rPr>
      </w:pPr>
      <w:r>
        <w:rPr>
          <w:rFonts w:ascii="Arial" w:cs="Arial" w:eastAsia="Arial" w:hAnsi="Arial"/>
          <w:sz w:val="17"/>
          <w:szCs w:val="17"/>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5"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Hong Kong</w:t>
      </w:r>
    </w:p>
    <w:p>
      <w:pPr>
        <w:spacing w:after="0" w:line="232" w:lineRule="exact"/>
        <w:rPr>
          <w:sz w:val="20"/>
          <w:szCs w:val="20"/>
          <w:color w:val="auto"/>
        </w:rPr>
      </w:pPr>
    </w:p>
    <w:p>
      <w:pPr>
        <w:ind w:left="380" w:firstLine="534"/>
        <w:spacing w:after="0" w:line="242" w:lineRule="auto"/>
        <w:rPr>
          <w:sz w:val="20"/>
          <w:szCs w:val="20"/>
          <w:color w:val="auto"/>
        </w:rPr>
      </w:pPr>
      <w:r>
        <w:rPr>
          <w:rFonts w:ascii="Arial" w:cs="Arial" w:eastAsia="Arial" w:hAnsi="Arial"/>
          <w:sz w:val="17"/>
          <w:szCs w:val="17"/>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85"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Singapore</w:t>
      </w:r>
    </w:p>
    <w:p>
      <w:pPr>
        <w:spacing w:after="0" w:line="232"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3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207</w:t>
      </w:r>
    </w:p>
    <w:p>
      <w:pPr>
        <w:sectPr>
          <w:pgSz w:w="11900" w:h="16838" w:orient="portrait"/>
          <w:cols w:equalWidth="0" w:num="1">
            <w:col w:w="11020"/>
          </w:cols>
          <w:pgMar w:left="240" w:top="449" w:right="639" w:bottom="1440" w:gutter="0" w:footer="0" w:header="0"/>
        </w:sectPr>
      </w:pPr>
    </w:p>
    <w:bookmarkStart w:id="210" w:name="page211"/>
    <w:bookmarkEnd w:id="2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right="60" w:firstLine="534"/>
        <w:spacing w:after="0" w:line="243"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96"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00" w:lineRule="exact"/>
        <w:rPr>
          <w:sz w:val="20"/>
          <w:szCs w:val="20"/>
          <w:color w:val="auto"/>
        </w:rPr>
      </w:pPr>
    </w:p>
    <w:p>
      <w:pPr>
        <w:spacing w:after="0" w:line="27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Japan</w:t>
      </w:r>
    </w:p>
    <w:p>
      <w:pPr>
        <w:spacing w:after="0" w:line="232" w:lineRule="exact"/>
        <w:rPr>
          <w:sz w:val="20"/>
          <w:szCs w:val="20"/>
          <w:color w:val="auto"/>
        </w:rPr>
      </w:pPr>
    </w:p>
    <w:p>
      <w:pPr>
        <w:ind w:left="380" w:right="100" w:firstLine="534"/>
        <w:spacing w:after="0" w:line="245" w:lineRule="auto"/>
        <w:rPr>
          <w:sz w:val="20"/>
          <w:szCs w:val="20"/>
          <w:color w:val="auto"/>
        </w:rPr>
      </w:pPr>
      <w:r>
        <w:rPr>
          <w:rFonts w:ascii="Arial" w:cs="Arial" w:eastAsia="Arial" w:hAnsi="Arial"/>
          <w:sz w:val="17"/>
          <w:szCs w:val="17"/>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2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208</w:t>
      </w:r>
    </w:p>
    <w:p>
      <w:pPr>
        <w:sectPr>
          <w:pgSz w:w="11900" w:h="16838" w:orient="portrait"/>
          <w:cols w:equalWidth="0" w:num="1">
            <w:col w:w="11020"/>
          </w:cols>
          <w:pgMar w:left="240" w:top="449" w:right="639" w:bottom="1440" w:gutter="0" w:footer="0" w:header="0"/>
        </w:sectPr>
      </w:pPr>
    </w:p>
    <w:bookmarkStart w:id="211" w:name="page212"/>
    <w:bookmarkEnd w:id="2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LEGAL MATTERS</w:t>
      </w:r>
    </w:p>
    <w:p>
      <w:pPr>
        <w:spacing w:after="0" w:line="232" w:lineRule="exact"/>
        <w:rPr>
          <w:sz w:val="20"/>
          <w:szCs w:val="20"/>
          <w:color w:val="auto"/>
        </w:rPr>
      </w:pPr>
    </w:p>
    <w:p>
      <w:pPr>
        <w:ind w:left="380" w:right="120" w:firstLine="534"/>
        <w:spacing w:after="0" w:line="250" w:lineRule="auto"/>
        <w:rPr>
          <w:sz w:val="20"/>
          <w:szCs w:val="20"/>
          <w:color w:val="auto"/>
        </w:rPr>
      </w:pPr>
      <w:r>
        <w:rPr>
          <w:rFonts w:ascii="Arial" w:cs="Arial" w:eastAsia="Arial" w:hAnsi="Arial"/>
          <w:sz w:val="17"/>
          <w:szCs w:val="17"/>
          <w:color w:val="auto"/>
        </w:rPr>
        <w:t>Cooley LLP is serving as our counsel in this offering. Davis Polk &amp; Wardwell LLP of Menlo Park, California is representing the underwriters in this offering. As of the date of this prospectus, entities comprised of partners and associates of Cooley LLP beneficially own 10,000 shares of our preferred stock, which will be converted into 10,000 shares of common stock in connection with of this offering.</w:t>
      </w:r>
    </w:p>
    <w:p>
      <w:pPr>
        <w:spacing w:after="0" w:line="27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EXPERTS</w:t>
      </w:r>
    </w:p>
    <w:p>
      <w:pPr>
        <w:spacing w:after="0" w:line="232" w:lineRule="exact"/>
        <w:rPr>
          <w:sz w:val="20"/>
          <w:szCs w:val="20"/>
          <w:color w:val="auto"/>
        </w:rPr>
      </w:pPr>
    </w:p>
    <w:p>
      <w:pPr>
        <w:ind w:left="380" w:right="200" w:firstLine="534"/>
        <w:spacing w:after="0" w:line="247" w:lineRule="auto"/>
        <w:rPr>
          <w:sz w:val="20"/>
          <w:szCs w:val="20"/>
          <w:color w:val="auto"/>
        </w:rPr>
      </w:pPr>
      <w:r>
        <w:rPr>
          <w:rFonts w:ascii="Arial" w:cs="Arial" w:eastAsia="Arial" w:hAnsi="Arial"/>
          <w:sz w:val="17"/>
          <w:szCs w:val="17"/>
          <w:color w:val="auto"/>
        </w:rPr>
        <w:t>The consolidated financial statements of NGM Biopharmaceuticals, Inc. at December 31, 2017 and 2018, and for each of the two years in the period ended December 31, 2018,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273"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WHERE YOU CAN FIND MORE INFORMATION</w:t>
      </w:r>
    </w:p>
    <w:p>
      <w:pPr>
        <w:spacing w:after="0" w:line="232" w:lineRule="exact"/>
        <w:rPr>
          <w:sz w:val="20"/>
          <w:szCs w:val="20"/>
          <w:color w:val="auto"/>
        </w:rPr>
      </w:pPr>
    </w:p>
    <w:p>
      <w:pPr>
        <w:ind w:left="380" w:right="20" w:firstLine="534"/>
        <w:spacing w:after="0" w:line="243"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our common stock offered by this prospectus. This prospectus, which constitutes part of that registration statement, does not contain all of the information set forth in the registration statement or the accompanying exhibits and schedules. Some items included in the registration statement are omitted from this prospectus in accordance with the rules and regulations of the SEC. For further information with respect to us and the common stock offered in this prospectus, we refer you to the registration statement and the accompanying exhibits and schedules. Statements contained in this prospectus regarding the contents of any contract, agreement or any other document are summaries of the material terms of these contracts, agreements or other documents. With respect to each of these contracts, agreements or other documents filed as an exhibit to the registration statement, reference is made to such exhibit for a more complete description of the matter involved.</w:t>
      </w:r>
    </w:p>
    <w:p>
      <w:pPr>
        <w:spacing w:after="0" w:line="394" w:lineRule="exact"/>
        <w:rPr>
          <w:sz w:val="20"/>
          <w:szCs w:val="20"/>
          <w:color w:val="auto"/>
        </w:rPr>
      </w:pPr>
    </w:p>
    <w:p>
      <w:pPr>
        <w:ind w:left="380" w:firstLine="534"/>
        <w:spacing w:after="0" w:line="245" w:lineRule="auto"/>
        <w:rPr>
          <w:sz w:val="20"/>
          <w:szCs w:val="20"/>
          <w:color w:val="auto"/>
        </w:rPr>
      </w:pPr>
      <w:r>
        <w:rPr>
          <w:rFonts w:ascii="Arial" w:cs="Arial" w:eastAsia="Arial" w:hAnsi="Arial"/>
          <w:sz w:val="17"/>
          <w:szCs w:val="17"/>
          <w:color w:val="auto"/>
        </w:rPr>
        <w:t>A copy of the registration statement and the accompanying exhibits and schedules and any other document we file may be inspected without charge and copied at the SEC’s public reference room at 100 F Street, N.E., Washington, D.C. 20549. The public may obtain information on the operation of the public reference room by calling the SEC at 1-800-SEC-0330. The SEC maintains a website that contains reports, proxy and information statements and other information regarding registrants that file electronically with the SEC. The address of the SEC’s website is http://www.sec.gov.</w:t>
      </w:r>
    </w:p>
    <w:p>
      <w:pPr>
        <w:spacing w:after="0" w:line="194" w:lineRule="exact"/>
        <w:rPr>
          <w:sz w:val="20"/>
          <w:szCs w:val="20"/>
          <w:color w:val="auto"/>
        </w:rPr>
      </w:pPr>
    </w:p>
    <w:p>
      <w:pPr>
        <w:ind w:left="380" w:right="100" w:firstLine="534"/>
        <w:spacing w:after="0" w:line="241" w:lineRule="auto"/>
        <w:rPr>
          <w:sz w:val="20"/>
          <w:szCs w:val="20"/>
          <w:color w:val="auto"/>
        </w:rPr>
      </w:pPr>
      <w:r>
        <w:rPr>
          <w:rFonts w:ascii="Arial" w:cs="Arial" w:eastAsia="Arial" w:hAnsi="Arial"/>
          <w:sz w:val="17"/>
          <w:szCs w:val="17"/>
          <w:color w:val="auto"/>
        </w:rPr>
        <w:t>Upon completion of this offering, we will become subject to the information and periodic reporting requirements of the Exchange Act, and we will file periodic reports, proxy statements and other information with the SEC. These periodic reports, proxy statements and other information will be available for inspection and copying at the public reference room and website of the SEC referred to above. We maintain a website at http://www.ngmbio.com. You may access our annual reports on Form 10-K, quarterly reports on Form 10-Q, current reports on Form 8-K and amendments to those reports, proxy statements and other information filed or furnished pursuant to</w:t>
      </w:r>
    </w:p>
    <w:p>
      <w:pPr>
        <w:spacing w:after="0" w:line="1" w:lineRule="exact"/>
        <w:rPr>
          <w:sz w:val="20"/>
          <w:szCs w:val="20"/>
          <w:color w:val="auto"/>
        </w:rPr>
      </w:pPr>
    </w:p>
    <w:p>
      <w:pPr>
        <w:ind w:left="380" w:right="80"/>
        <w:spacing w:after="0" w:line="250" w:lineRule="auto"/>
        <w:rPr>
          <w:sz w:val="20"/>
          <w:szCs w:val="20"/>
          <w:color w:val="auto"/>
        </w:rPr>
      </w:pPr>
      <w:r>
        <w:rPr>
          <w:rFonts w:ascii="Arial" w:cs="Arial" w:eastAsia="Arial" w:hAnsi="Arial"/>
          <w:sz w:val="17"/>
          <w:szCs w:val="17"/>
          <w:color w:val="auto"/>
        </w:rPr>
        <w:t>Section 13(a) or 15(d) of the Exchange Act with the SEC free of charge at our website as soon as reasonably practicable after such material is electronically filed with, or furnished to, the SEC. The information contained in, or that can be accessed through, our website is not part of this prospectus.</w:t>
      </w:r>
    </w:p>
    <w:p>
      <w:pPr>
        <w:spacing w:after="0" w:line="12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209</w:t>
      </w:r>
    </w:p>
    <w:p>
      <w:pPr>
        <w:sectPr>
          <w:pgSz w:w="11900" w:h="16838" w:orient="portrait"/>
          <w:cols w:equalWidth="0" w:num="1">
            <w:col w:w="11040"/>
          </w:cols>
          <w:pgMar w:left="240" w:top="449" w:right="619" w:bottom="1440" w:gutter="0" w:footer="0" w:header="0"/>
        </w:sectPr>
      </w:pPr>
    </w:p>
    <w:bookmarkStart w:id="212" w:name="page213"/>
    <w:bookmarkEnd w:id="2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26" w:lineRule="exact"/>
        <w:rPr>
          <w:sz w:val="20"/>
          <w:szCs w:val="20"/>
          <w:color w:val="auto"/>
        </w:rPr>
      </w:pPr>
    </w:p>
    <w:tbl>
      <w:tblPr>
        <w:tblLayout w:type="fixed"/>
        <w:tblInd w:w="380" w:type="dxa"/>
        <w:tblCellMar>
          <w:top w:w="0" w:type="dxa"/>
          <w:left w:w="0" w:type="dxa"/>
          <w:bottom w:w="0" w:type="dxa"/>
          <w:right w:w="0" w:type="dxa"/>
        </w:tblCellMar>
      </w:tblPr>
      <w:tr>
        <w:trPr>
          <w:trHeight w:val="169"/>
        </w:trPr>
        <w:tc>
          <w:tcPr>
            <w:tcW w:w="4460" w:type="dxa"/>
            <w:vAlign w:val="bottom"/>
            <w:gridSpan w:val="7"/>
            <w:vMerge w:val="restart"/>
          </w:tcPr>
          <w:p>
            <w:pPr>
              <w:spacing w:after="0"/>
              <w:rPr>
                <w:rFonts w:ascii="Arial" w:cs="Arial" w:eastAsia="Arial" w:hAnsi="Arial"/>
                <w:sz w:val="17"/>
                <w:szCs w:val="17"/>
                <w:color w:val="0000EE"/>
              </w:rPr>
            </w:pPr>
            <w:hyperlink w:anchor="page214">
              <w:r>
                <w:rPr>
                  <w:rFonts w:ascii="Arial" w:cs="Arial" w:eastAsia="Arial" w:hAnsi="Arial"/>
                  <w:sz w:val="17"/>
                  <w:szCs w:val="17"/>
                  <w:color w:val="0000EE"/>
                </w:rPr>
                <w:t>Report of Independent Registered Public Accounting Firm</w:t>
              </w:r>
            </w:hyperlink>
          </w:p>
        </w:tc>
        <w:tc>
          <w:tcPr>
            <w:tcW w:w="5820" w:type="dxa"/>
            <w:vAlign w:val="bottom"/>
            <w:gridSpan w:val="2"/>
            <w:vMerge w:val="restart"/>
          </w:tcPr>
          <w:p>
            <w:pPr>
              <w:spacing w:after="0"/>
              <w:rPr>
                <w:sz w:val="14"/>
                <w:szCs w:val="1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5"/>
        </w:trPr>
        <w:tc>
          <w:tcPr>
            <w:tcW w:w="4460" w:type="dxa"/>
            <w:vAlign w:val="bottom"/>
            <w:tcBorders>
              <w:bottom w:val="single" w:sz="8" w:color="0000EE"/>
            </w:tcBorders>
            <w:gridSpan w:val="7"/>
            <w:vMerge w:val="continue"/>
          </w:tcPr>
          <w:p>
            <w:pPr>
              <w:spacing w:after="0"/>
              <w:rPr>
                <w:sz w:val="13"/>
                <w:szCs w:val="13"/>
                <w:color w:val="auto"/>
              </w:rPr>
            </w:pPr>
          </w:p>
        </w:tc>
        <w:tc>
          <w:tcPr>
            <w:tcW w:w="5820" w:type="dxa"/>
            <w:vAlign w:val="bottom"/>
            <w:gridSpan w:val="2"/>
            <w:vMerge w:val="continue"/>
          </w:tcPr>
          <w:p>
            <w:pPr>
              <w:spacing w:after="0"/>
              <w:rPr>
                <w:sz w:val="13"/>
                <w:szCs w:val="13"/>
                <w:color w:val="auto"/>
              </w:rPr>
            </w:pPr>
          </w:p>
        </w:tc>
        <w:tc>
          <w:tcPr>
            <w:tcW w:w="3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5"/>
                <w:szCs w:val="15"/>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0280" w:type="dxa"/>
            <w:vAlign w:val="bottom"/>
            <w:gridSpan w:val="9"/>
          </w:tcPr>
          <w:p>
            <w:pPr>
              <w:spacing w:after="0"/>
              <w:rPr>
                <w:sz w:val="20"/>
                <w:szCs w:val="20"/>
                <w:color w:val="auto"/>
              </w:rPr>
            </w:pPr>
            <w:r>
              <w:rPr>
                <w:rFonts w:ascii="Arial" w:cs="Arial" w:eastAsia="Arial" w:hAnsi="Arial"/>
                <w:sz w:val="17"/>
                <w:szCs w:val="17"/>
                <w:color w:val="auto"/>
              </w:rPr>
              <w:t>Audited Consolidated Financial Statements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300" w:type="dxa"/>
            <w:vAlign w:val="bottom"/>
            <w:tcBorders>
              <w:bottom w:val="single" w:sz="8" w:color="0000EE"/>
            </w:tcBorders>
          </w:tcPr>
          <w:p>
            <w:pPr>
              <w:spacing w:after="0" w:line="172" w:lineRule="exact"/>
              <w:rPr>
                <w:rFonts w:ascii="Arial" w:cs="Arial" w:eastAsia="Arial" w:hAnsi="Arial"/>
                <w:sz w:val="17"/>
                <w:szCs w:val="17"/>
                <w:color w:val="0000EE"/>
              </w:rPr>
            </w:pPr>
            <w:hyperlink w:anchor="page215">
              <w:r>
                <w:rPr>
                  <w:rFonts w:ascii="Arial" w:cs="Arial" w:eastAsia="Arial" w:hAnsi="Arial"/>
                  <w:sz w:val="17"/>
                  <w:szCs w:val="17"/>
                  <w:color w:val="0000EE"/>
                </w:rPr>
                <w:t>Consolidated Balance Sheets</w:t>
              </w:r>
            </w:hyperlink>
          </w:p>
        </w:tc>
        <w:tc>
          <w:tcPr>
            <w:tcW w:w="7640" w:type="dxa"/>
            <w:vAlign w:val="bottom"/>
            <w:gridSpan w:val="7"/>
          </w:tcPr>
          <w:p>
            <w:pPr>
              <w:spacing w:after="0"/>
              <w:rPr>
                <w:sz w:val="14"/>
                <w:szCs w:val="14"/>
                <w:color w:val="auto"/>
              </w:rPr>
            </w:pPr>
          </w:p>
        </w:tc>
        <w:tc>
          <w:tcPr>
            <w:tcW w:w="360" w:type="dxa"/>
            <w:vAlign w:val="bottom"/>
            <w:gridSpan w:val="2"/>
          </w:tcPr>
          <w:p>
            <w:pPr>
              <w:jc w:val="right"/>
              <w:ind w:right="20"/>
              <w:spacing w:after="0" w:line="172" w:lineRule="exact"/>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9940" w:type="dxa"/>
            <w:vAlign w:val="bottom"/>
            <w:gridSpan w:val="8"/>
          </w:tcPr>
          <w:p>
            <w:pPr>
              <w:spacing w:after="0" w:line="176" w:lineRule="exact"/>
              <w:rPr>
                <w:rFonts w:ascii="Arial" w:cs="Arial" w:eastAsia="Arial" w:hAnsi="Arial"/>
                <w:sz w:val="17"/>
                <w:szCs w:val="17"/>
                <w:color w:val="0000EE"/>
              </w:rPr>
            </w:pPr>
            <w:hyperlink w:anchor="page216">
              <w:r>
                <w:rPr>
                  <w:rFonts w:ascii="Arial" w:cs="Arial" w:eastAsia="Arial" w:hAnsi="Arial"/>
                  <w:sz w:val="17"/>
                  <w:szCs w:val="17"/>
                  <w:color w:val="0000EE"/>
                </w:rPr>
                <w:t>Consolidated Statements of Operations</w:t>
              </w:r>
            </w:hyperlink>
          </w:p>
        </w:tc>
        <w:tc>
          <w:tcPr>
            <w:tcW w:w="360" w:type="dxa"/>
            <w:vAlign w:val="bottom"/>
            <w:gridSpan w:val="2"/>
          </w:tcPr>
          <w:p>
            <w:pPr>
              <w:jc w:val="right"/>
              <w:ind w:right="20"/>
              <w:spacing w:after="0" w:line="176"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3840" w:type="dxa"/>
            <w:vAlign w:val="bottom"/>
            <w:tcBorders>
              <w:bottom w:val="single" w:sz="8" w:color="0000EE"/>
            </w:tcBorders>
            <w:gridSpan w:val="5"/>
          </w:tcPr>
          <w:p>
            <w:pPr>
              <w:spacing w:after="0" w:line="176" w:lineRule="exact"/>
              <w:rPr>
                <w:rFonts w:ascii="Arial" w:cs="Arial" w:eastAsia="Arial" w:hAnsi="Arial"/>
                <w:sz w:val="17"/>
                <w:szCs w:val="17"/>
                <w:color w:val="0000EE"/>
              </w:rPr>
            </w:pPr>
            <w:hyperlink w:anchor="page217">
              <w:r>
                <w:rPr>
                  <w:rFonts w:ascii="Arial" w:cs="Arial" w:eastAsia="Arial" w:hAnsi="Arial"/>
                  <w:sz w:val="17"/>
                  <w:szCs w:val="17"/>
                  <w:color w:val="0000EE"/>
                </w:rPr>
                <w:t>Consolidated Statements of Comprehensive Loss</w:t>
              </w:r>
            </w:hyperlink>
          </w:p>
        </w:tc>
        <w:tc>
          <w:tcPr>
            <w:tcW w:w="6100" w:type="dxa"/>
            <w:vAlign w:val="bottom"/>
            <w:gridSpan w:val="3"/>
          </w:tcPr>
          <w:p>
            <w:pPr>
              <w:spacing w:after="0"/>
              <w:rPr>
                <w:sz w:val="15"/>
                <w:szCs w:val="15"/>
                <w:color w:val="auto"/>
              </w:rPr>
            </w:pPr>
          </w:p>
        </w:tc>
        <w:tc>
          <w:tcPr>
            <w:tcW w:w="360" w:type="dxa"/>
            <w:vAlign w:val="bottom"/>
            <w:gridSpan w:val="2"/>
          </w:tcPr>
          <w:p>
            <w:pPr>
              <w:jc w:val="right"/>
              <w:ind w:right="20"/>
              <w:spacing w:after="0" w:line="176" w:lineRule="exact"/>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6300" w:type="dxa"/>
            <w:vAlign w:val="bottom"/>
            <w:tcBorders>
              <w:bottom w:val="single" w:sz="8" w:color="0000EE"/>
            </w:tcBorders>
            <w:gridSpan w:val="7"/>
          </w:tcPr>
          <w:p>
            <w:pPr>
              <w:spacing w:after="0" w:line="176" w:lineRule="exact"/>
              <w:rPr>
                <w:rFonts w:ascii="Arial" w:cs="Arial" w:eastAsia="Arial" w:hAnsi="Arial"/>
                <w:sz w:val="17"/>
                <w:szCs w:val="17"/>
                <w:color w:val="0000EE"/>
              </w:rPr>
            </w:pPr>
            <w:hyperlink w:anchor="page218">
              <w:r>
                <w:rPr>
                  <w:rFonts w:ascii="Arial" w:cs="Arial" w:eastAsia="Arial" w:hAnsi="Arial"/>
                  <w:sz w:val="17"/>
                  <w:szCs w:val="17"/>
                  <w:color w:val="0000EE"/>
                </w:rPr>
                <w:t>Consolidated Statements of Convertible Preferred Stock and Stockholders’ Deficit</w:t>
              </w:r>
            </w:hyperlink>
          </w:p>
        </w:tc>
        <w:tc>
          <w:tcPr>
            <w:tcW w:w="3640" w:type="dxa"/>
            <w:vAlign w:val="bottom"/>
          </w:tcPr>
          <w:p>
            <w:pPr>
              <w:spacing w:after="0"/>
              <w:rPr>
                <w:sz w:val="15"/>
                <w:szCs w:val="15"/>
                <w:color w:val="auto"/>
              </w:rPr>
            </w:pPr>
          </w:p>
        </w:tc>
        <w:tc>
          <w:tcPr>
            <w:tcW w:w="360" w:type="dxa"/>
            <w:vAlign w:val="bottom"/>
            <w:gridSpan w:val="2"/>
          </w:tcPr>
          <w:p>
            <w:pPr>
              <w:jc w:val="right"/>
              <w:ind w:right="20"/>
              <w:spacing w:after="0" w:line="176" w:lineRule="exact"/>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9940" w:type="dxa"/>
            <w:vAlign w:val="bottom"/>
            <w:gridSpan w:val="8"/>
          </w:tcPr>
          <w:p>
            <w:pPr>
              <w:spacing w:after="0" w:line="176" w:lineRule="exact"/>
              <w:rPr>
                <w:rFonts w:ascii="Arial" w:cs="Arial" w:eastAsia="Arial" w:hAnsi="Arial"/>
                <w:sz w:val="17"/>
                <w:szCs w:val="17"/>
                <w:color w:val="0000EE"/>
              </w:rPr>
            </w:pPr>
            <w:hyperlink w:anchor="page219">
              <w:r>
                <w:rPr>
                  <w:rFonts w:ascii="Arial" w:cs="Arial" w:eastAsia="Arial" w:hAnsi="Arial"/>
                  <w:sz w:val="17"/>
                  <w:szCs w:val="17"/>
                  <w:color w:val="0000EE"/>
                </w:rPr>
                <w:t>Consolidated Statements of Cash Flows</w:t>
              </w:r>
            </w:hyperlink>
          </w:p>
        </w:tc>
        <w:tc>
          <w:tcPr>
            <w:tcW w:w="360" w:type="dxa"/>
            <w:vAlign w:val="bottom"/>
            <w:gridSpan w:val="2"/>
          </w:tcPr>
          <w:p>
            <w:pPr>
              <w:jc w:val="right"/>
              <w:ind w:right="20"/>
              <w:spacing w:after="0" w:line="176" w:lineRule="exact"/>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1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5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9940" w:type="dxa"/>
            <w:vAlign w:val="bottom"/>
            <w:gridSpan w:val="8"/>
          </w:tcPr>
          <w:p>
            <w:pPr>
              <w:spacing w:after="0" w:line="176" w:lineRule="exact"/>
              <w:rPr>
                <w:rFonts w:ascii="Arial" w:cs="Arial" w:eastAsia="Arial" w:hAnsi="Arial"/>
                <w:sz w:val="17"/>
                <w:szCs w:val="17"/>
                <w:color w:val="0000EE"/>
              </w:rPr>
            </w:pPr>
            <w:hyperlink w:anchor="page220">
              <w:r>
                <w:rPr>
                  <w:rFonts w:ascii="Arial" w:cs="Arial" w:eastAsia="Arial" w:hAnsi="Arial"/>
                  <w:sz w:val="17"/>
                  <w:szCs w:val="17"/>
                  <w:color w:val="0000EE"/>
                </w:rPr>
                <w:t>Notes to Consolidated Financial Statements</w:t>
              </w:r>
            </w:hyperlink>
          </w:p>
        </w:tc>
        <w:tc>
          <w:tcPr>
            <w:tcW w:w="360" w:type="dxa"/>
            <w:vAlign w:val="bottom"/>
            <w:gridSpan w:val="2"/>
          </w:tcPr>
          <w:p>
            <w:pPr>
              <w:jc w:val="right"/>
              <w:ind w:right="20"/>
              <w:spacing w:after="0" w:line="176" w:lineRule="exact"/>
              <w:rPr>
                <w:sz w:val="20"/>
                <w:szCs w:val="20"/>
                <w:color w:val="auto"/>
              </w:rPr>
            </w:pPr>
            <w:r>
              <w:rPr>
                <w:rFonts w:ascii="Arial" w:cs="Arial" w:eastAsia="Arial" w:hAnsi="Arial"/>
                <w:sz w:val="17"/>
                <w:szCs w:val="17"/>
                <w:color w:val="auto"/>
              </w:rPr>
              <w:t>F-8</w:t>
            </w:r>
          </w:p>
        </w:tc>
        <w:tc>
          <w:tcPr>
            <w:tcW w:w="0" w:type="dxa"/>
            <w:vAlign w:val="bottom"/>
          </w:tcPr>
          <w:p>
            <w:pPr>
              <w:spacing w:after="0"/>
              <w:rPr>
                <w:sz w:val="1"/>
                <w:szCs w:val="1"/>
                <w:color w:val="auto"/>
              </w:rPr>
            </w:pPr>
          </w:p>
        </w:tc>
      </w:tr>
      <w:tr>
        <w:trPr>
          <w:trHeight w:val="359"/>
        </w:trPr>
        <w:tc>
          <w:tcPr>
            <w:tcW w:w="340" w:type="dxa"/>
            <w:vAlign w:val="bottom"/>
          </w:tcPr>
          <w:p>
            <w:pPr>
              <w:spacing w:after="0"/>
              <w:rPr>
                <w:sz w:val="24"/>
                <w:szCs w:val="24"/>
                <w:color w:val="auto"/>
              </w:rPr>
            </w:pPr>
          </w:p>
        </w:tc>
        <w:tc>
          <w:tcPr>
            <w:tcW w:w="230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20" w:type="dxa"/>
            <w:vAlign w:val="bottom"/>
            <w:gridSpan w:val="2"/>
          </w:tcPr>
          <w:p>
            <w:pPr>
              <w:ind w:left="740"/>
              <w:spacing w:after="0"/>
              <w:rPr>
                <w:sz w:val="20"/>
                <w:szCs w:val="20"/>
                <w:color w:val="auto"/>
              </w:rPr>
            </w:pPr>
            <w:r>
              <w:rPr>
                <w:rFonts w:ascii="Arial" w:cs="Arial" w:eastAsia="Arial" w:hAnsi="Arial"/>
                <w:sz w:val="17"/>
                <w:szCs w:val="17"/>
                <w:color w:val="auto"/>
              </w:rPr>
              <w:t>F-1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240" w:top="449" w:right="659" w:bottom="1440" w:gutter="0" w:footer="0" w:header="0"/>
        </w:sectPr>
      </w:pPr>
    </w:p>
    <w:bookmarkStart w:id="213" w:name="page214"/>
    <w:bookmarkEnd w:id="2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27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To the Stockholders and the Board of Directors of</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NGM Biopharmaceuticals, Inc.</w:t>
      </w:r>
    </w:p>
    <w:p>
      <w:pPr>
        <w:spacing w:after="0" w:line="29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Opinion on the Financial Statements</w:t>
      </w:r>
    </w:p>
    <w:p>
      <w:pPr>
        <w:spacing w:after="0" w:line="126" w:lineRule="exact"/>
        <w:rPr>
          <w:sz w:val="20"/>
          <w:szCs w:val="20"/>
          <w:color w:val="auto"/>
        </w:rPr>
      </w:pPr>
    </w:p>
    <w:p>
      <w:pPr>
        <w:ind w:left="380" w:right="60"/>
        <w:spacing w:after="0" w:line="244" w:lineRule="auto"/>
        <w:rPr>
          <w:sz w:val="20"/>
          <w:szCs w:val="20"/>
          <w:color w:val="auto"/>
        </w:rPr>
      </w:pPr>
      <w:r>
        <w:rPr>
          <w:rFonts w:ascii="Arial" w:cs="Arial" w:eastAsia="Arial" w:hAnsi="Arial"/>
          <w:sz w:val="17"/>
          <w:szCs w:val="17"/>
          <w:color w:val="auto"/>
        </w:rPr>
        <w:t>We have audited the accompanying consolidated balance sheets of NGM Biopharmaceuticals, Inc. (the Company) as of December 31, 2017 and 2018, and the related consolidated statements of operations, comprehensive loss, convertible preferred stock and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2017 and 2018, and the results of its operations and its cash flows for the years then ended in conformity with U.S. generally accepted accounting principles.</w:t>
      </w:r>
    </w:p>
    <w:p>
      <w:pPr>
        <w:spacing w:after="0" w:line="280"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126" w:lineRule="exact"/>
        <w:rPr>
          <w:sz w:val="20"/>
          <w:szCs w:val="20"/>
          <w:color w:val="auto"/>
        </w:rPr>
      </w:pPr>
    </w:p>
    <w:p>
      <w:pPr>
        <w:ind w:left="380" w:right="220"/>
        <w:spacing w:after="0" w:line="247"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ind w:left="380" w:right="80"/>
        <w:spacing w:after="0" w:line="24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4" w:lineRule="exact"/>
        <w:rPr>
          <w:sz w:val="20"/>
          <w:szCs w:val="20"/>
          <w:color w:val="auto"/>
        </w:rPr>
      </w:pPr>
    </w:p>
    <w:p>
      <w:pPr>
        <w:ind w:left="380"/>
        <w:spacing w:after="0" w:line="245" w:lineRule="auto"/>
        <w:rPr>
          <w:sz w:val="20"/>
          <w:szCs w:val="20"/>
          <w:color w:val="auto"/>
        </w:rPr>
      </w:pPr>
      <w:r>
        <w:rPr>
          <w:rFonts w:ascii="Arial" w:cs="Arial" w:eastAsia="Arial" w:hAnsi="Arial"/>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 Ernst &amp; Young LLP</w:t>
      </w:r>
    </w:p>
    <w:p>
      <w:pPr>
        <w:spacing w:after="0" w:line="21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have served as the Company’s auditor since 2008.</w:t>
      </w:r>
    </w:p>
    <w:p>
      <w:pPr>
        <w:spacing w:after="0" w:line="21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San Francisco, California</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March 25, 2019</w:t>
      </w:r>
    </w:p>
    <w:p>
      <w:pPr>
        <w:spacing w:after="0" w:line="145"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040"/>
          </w:cols>
          <w:pgMar w:left="240" w:top="449" w:right="619" w:bottom="1440" w:gutter="0" w:footer="0" w:header="0"/>
        </w:sectPr>
      </w:pPr>
    </w:p>
    <w:bookmarkStart w:id="214" w:name="page215"/>
    <w:bookmarkEnd w:id="2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4220"/>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7"/>
          <w:szCs w:val="17"/>
          <w:b w:val="1"/>
          <w:bCs w:val="1"/>
          <w:color w:val="auto"/>
        </w:rPr>
        <w:t>CONSOLIDATED BALANCE SHEETS</w:t>
      </w:r>
    </w:p>
    <w:p>
      <w:pPr>
        <w:spacing w:after="0" w:line="188"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4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gridSpan w:val="3"/>
          </w:tcPr>
          <w:p>
            <w:pPr>
              <w:jc w:val="center"/>
              <w:ind w:right="120"/>
              <w:spacing w:after="0" w:line="157" w:lineRule="exact"/>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gridSpan w:val="3"/>
          </w:tcPr>
          <w:p>
            <w:pPr>
              <w:jc w:val="center"/>
              <w:ind w:right="120"/>
              <w:spacing w:after="0" w:line="157" w:lineRule="exact"/>
              <w:rPr>
                <w:sz w:val="20"/>
                <w:szCs w:val="20"/>
                <w:color w:val="auto"/>
              </w:rPr>
            </w:pPr>
            <w:r>
              <w:rPr>
                <w:rFonts w:ascii="Arial" w:cs="Arial" w:eastAsia="Arial" w:hAnsi="Arial"/>
                <w:sz w:val="14"/>
                <w:szCs w:val="14"/>
                <w:b w:val="1"/>
                <w:bCs w:val="1"/>
                <w:color w:val="auto"/>
                <w:w w:val="99"/>
              </w:rPr>
              <w:t>(Deficit) as of</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gridSpan w:val="3"/>
          </w:tcPr>
          <w:p>
            <w:pPr>
              <w:jc w:val="center"/>
              <w:ind w:right="100"/>
              <w:spacing w:after="0" w:line="157"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24"/>
              <w:spacing w:after="0" w:line="157"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40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December 31,</w:t>
            </w:r>
          </w:p>
        </w:tc>
        <w:tc>
          <w:tcPr>
            <w:tcW w:w="140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December 31,</w:t>
            </w:r>
          </w:p>
        </w:tc>
        <w:tc>
          <w:tcPr>
            <w:tcW w:w="1040" w:type="dxa"/>
            <w:vAlign w:val="bottom"/>
            <w:gridSpan w:val="3"/>
          </w:tcPr>
          <w:p>
            <w:pPr>
              <w:jc w:val="center"/>
              <w:ind w:right="120"/>
              <w:spacing w:after="0" w:line="157" w:lineRule="exact"/>
              <w:rPr>
                <w:sz w:val="20"/>
                <w:szCs w:val="20"/>
                <w:color w:val="auto"/>
              </w:rPr>
            </w:pPr>
            <w:r>
              <w:rPr>
                <w:rFonts w:ascii="Arial" w:cs="Arial" w:eastAsia="Arial" w:hAnsi="Arial"/>
                <w:sz w:val="14"/>
                <w:szCs w:val="14"/>
                <w:b w:val="1"/>
                <w:bCs w:val="1"/>
                <w:color w:val="auto"/>
                <w:w w:val="99"/>
              </w:rPr>
              <w:t>(unaudited)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22"/>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22"/>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(Note 2)</w:t>
            </w: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68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4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25,593</w:t>
            </w: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56,923</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20" w:type="dxa"/>
            <w:vAlign w:val="bottom"/>
          </w:tcPr>
          <w:p>
            <w:pPr>
              <w:ind w:left="280"/>
              <w:spacing w:after="0"/>
              <w:rPr>
                <w:sz w:val="20"/>
                <w:szCs w:val="20"/>
                <w:color w:val="auto"/>
              </w:rPr>
            </w:pPr>
            <w:r>
              <w:rPr>
                <w:rFonts w:ascii="Arial" w:cs="Arial" w:eastAsia="Arial" w:hAnsi="Arial"/>
                <w:sz w:val="16"/>
                <w:szCs w:val="16"/>
                <w:color w:val="auto"/>
              </w:rPr>
              <w:t>Short-term marketable securities</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148,092</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149,710</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Related party receivable from collaboration</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3,669</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20" w:type="dxa"/>
            <w:vAlign w:val="bottom"/>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16"/>
                <w:szCs w:val="16"/>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1,848</w:t>
            </w:r>
          </w:p>
        </w:tc>
        <w:tc>
          <w:tcPr>
            <w:tcW w:w="200" w:type="dxa"/>
            <w:vAlign w:val="bottom"/>
          </w:tcPr>
          <w:p>
            <w:pPr>
              <w:spacing w:after="0"/>
              <w:rPr>
                <w:sz w:val="16"/>
                <w:szCs w:val="16"/>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4,255</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current assets</w:t>
            </w: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175,533</w:t>
            </w:r>
          </w:p>
        </w:tc>
        <w:tc>
          <w:tcPr>
            <w:tcW w:w="48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214,557</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40" w:type="dxa"/>
            <w:vAlign w:val="bottom"/>
            <w:gridSpan w:val="2"/>
          </w:tcPr>
          <w:p>
            <w:pPr>
              <w:spacing w:after="0"/>
              <w:rPr>
                <w:sz w:val="20"/>
                <w:szCs w:val="20"/>
                <w:color w:val="auto"/>
              </w:rPr>
            </w:pPr>
            <w:r>
              <w:rPr>
                <w:rFonts w:ascii="Arial" w:cs="Arial" w:eastAsia="Arial" w:hAnsi="Arial"/>
                <w:sz w:val="16"/>
                <w:szCs w:val="16"/>
                <w:color w:val="auto"/>
              </w:rPr>
              <w:t>Long-term marketable securities</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45,150</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24,873</w:t>
            </w: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23,893</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40" w:type="dxa"/>
            <w:vAlign w:val="bottom"/>
            <w:gridSpan w:val="2"/>
          </w:tcPr>
          <w:p>
            <w:pPr>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2,249</w:t>
            </w:r>
          </w:p>
        </w:tc>
        <w:tc>
          <w:tcPr>
            <w:tcW w:w="20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2,249</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Deferred IPO costs</w:t>
            </w:r>
          </w:p>
        </w:tc>
        <w:tc>
          <w:tcPr>
            <w:tcW w:w="2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2,292</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40" w:type="dxa"/>
            <w:vAlign w:val="bottom"/>
            <w:gridSpan w:val="2"/>
          </w:tcPr>
          <w:p>
            <w:pPr>
              <w:spacing w:after="0"/>
              <w:rPr>
                <w:sz w:val="20"/>
                <w:szCs w:val="20"/>
                <w:color w:val="auto"/>
              </w:rPr>
            </w:pPr>
            <w:r>
              <w:rPr>
                <w:rFonts w:ascii="Arial" w:cs="Arial" w:eastAsia="Arial" w:hAnsi="Arial"/>
                <w:sz w:val="16"/>
                <w:szCs w:val="16"/>
                <w:color w:val="auto"/>
              </w:rPr>
              <w:t>Other non-current assets</w:t>
            </w:r>
          </w:p>
        </w:tc>
        <w:tc>
          <w:tcPr>
            <w:tcW w:w="200" w:type="dxa"/>
            <w:vAlign w:val="bottom"/>
          </w:tcPr>
          <w:p>
            <w:pPr>
              <w:spacing w:after="0"/>
              <w:rPr>
                <w:sz w:val="16"/>
                <w:szCs w:val="16"/>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1,136</w:t>
            </w:r>
          </w:p>
        </w:tc>
        <w:tc>
          <w:tcPr>
            <w:tcW w:w="200" w:type="dxa"/>
            <w:vAlign w:val="bottom"/>
          </w:tcPr>
          <w:p>
            <w:pPr>
              <w:spacing w:after="0"/>
              <w:rPr>
                <w:sz w:val="16"/>
                <w:szCs w:val="16"/>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3,094</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assets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248,941</w:t>
            </w:r>
          </w:p>
        </w:tc>
        <w:tc>
          <w:tcPr>
            <w:tcW w:w="480" w:type="dxa"/>
            <w:vAlign w:val="bottom"/>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246,085</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Liabilities, convertible preferred stock and stockholders’ equity (deficit)</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8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2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1,892</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5,775</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Accrued liabilities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11,686</w:t>
            </w: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14,003</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20" w:type="dxa"/>
            <w:vAlign w:val="bottom"/>
          </w:tcPr>
          <w:p>
            <w:pPr>
              <w:ind w:left="280"/>
              <w:spacing w:after="0"/>
              <w:rPr>
                <w:sz w:val="20"/>
                <w:szCs w:val="20"/>
                <w:color w:val="auto"/>
              </w:rPr>
            </w:pPr>
            <w:r>
              <w:rPr>
                <w:rFonts w:ascii="Arial" w:cs="Arial" w:eastAsia="Arial" w:hAnsi="Arial"/>
                <w:sz w:val="16"/>
                <w:szCs w:val="16"/>
                <w:color w:val="auto"/>
              </w:rPr>
              <w:t>Deferred rent, current</w:t>
            </w:r>
          </w:p>
        </w:tc>
        <w:tc>
          <w:tcPr>
            <w:tcW w:w="20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1,957</w:t>
            </w:r>
          </w:p>
        </w:tc>
        <w:tc>
          <w:tcPr>
            <w:tcW w:w="20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2,683</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revenue, current</w:t>
            </w: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21,358</w:t>
            </w:r>
          </w:p>
        </w:tc>
        <w:tc>
          <w:tcPr>
            <w:tcW w:w="4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19,025</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20" w:type="dxa"/>
            <w:vAlign w:val="bottom"/>
          </w:tcPr>
          <w:p>
            <w:pPr>
              <w:ind w:left="60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36,893</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41,486</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Deferred rent, non-current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14,904</w:t>
            </w: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12,221</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40" w:type="dxa"/>
            <w:vAlign w:val="bottom"/>
            <w:gridSpan w:val="2"/>
          </w:tcPr>
          <w:p>
            <w:pPr>
              <w:spacing w:after="0"/>
              <w:rPr>
                <w:sz w:val="20"/>
                <w:szCs w:val="20"/>
                <w:color w:val="auto"/>
              </w:rPr>
            </w:pPr>
            <w:r>
              <w:rPr>
                <w:rFonts w:ascii="Arial" w:cs="Arial" w:eastAsia="Arial" w:hAnsi="Arial"/>
                <w:sz w:val="16"/>
                <w:szCs w:val="16"/>
                <w:color w:val="auto"/>
              </w:rPr>
              <w:t>Deferred revenue, non-current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22,742</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3,942</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Early exercise stock option liability</w:t>
            </w:r>
          </w:p>
        </w:tc>
        <w:tc>
          <w:tcPr>
            <w:tcW w:w="2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385</w:t>
            </w:r>
          </w:p>
        </w:tc>
        <w:tc>
          <w:tcPr>
            <w:tcW w:w="2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1,559</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40" w:type="dxa"/>
            <w:vAlign w:val="bottom"/>
            <w:gridSpan w:val="2"/>
          </w:tcPr>
          <w:p>
            <w:pPr>
              <w:spacing w:after="0"/>
              <w:rPr>
                <w:sz w:val="20"/>
                <w:szCs w:val="20"/>
                <w:color w:val="auto"/>
              </w:rPr>
            </w:pPr>
            <w:r>
              <w:rPr>
                <w:rFonts w:ascii="Arial" w:cs="Arial" w:eastAsia="Arial" w:hAnsi="Arial"/>
                <w:sz w:val="16"/>
                <w:szCs w:val="16"/>
                <w:color w:val="auto"/>
              </w:rPr>
              <w:t>Convertible preferred stock warrant liability</w:t>
            </w:r>
          </w:p>
        </w:tc>
        <w:tc>
          <w:tcPr>
            <w:tcW w:w="200" w:type="dxa"/>
            <w:vAlign w:val="bottom"/>
          </w:tcPr>
          <w:p>
            <w:pPr>
              <w:spacing w:after="0"/>
              <w:rPr>
                <w:sz w:val="16"/>
                <w:szCs w:val="16"/>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121</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198</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75,045</w:t>
            </w:r>
          </w:p>
        </w:tc>
        <w:tc>
          <w:tcPr>
            <w:tcW w:w="480" w:type="dxa"/>
            <w:vAlign w:val="bottom"/>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59,406</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840" w:type="dxa"/>
            <w:vAlign w:val="bottom"/>
            <w:gridSpan w:val="2"/>
          </w:tcPr>
          <w:p>
            <w:pPr>
              <w:spacing w:after="0"/>
              <w:rPr>
                <w:sz w:val="20"/>
                <w:szCs w:val="20"/>
                <w:color w:val="auto"/>
              </w:rPr>
            </w:pPr>
            <w:r>
              <w:rPr>
                <w:rFonts w:ascii="Arial" w:cs="Arial" w:eastAsia="Arial" w:hAnsi="Arial"/>
                <w:sz w:val="16"/>
                <w:szCs w:val="16"/>
                <w:color w:val="auto"/>
              </w:rPr>
              <w:t>Commitments and Contingencies (Note 7)</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Convertible preferred stock, $0.001 par value;</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96,268,206 shares authorized at December 31, 2017 and 2018; 47,267,466 shares issued</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and outstanding at December 31, 2017 and 2018; aggregate liquidation preference of</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$277,774 at December 31, 2017 and 2018; no shares issued and outstanding at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20" w:type="dxa"/>
            <w:vAlign w:val="bottom"/>
            <w:shd w:val="clear" w:color="auto" w:fill="CCEEFF"/>
          </w:tcPr>
          <w:p>
            <w:pPr>
              <w:ind w:left="120"/>
              <w:spacing w:after="0" w:line="181" w:lineRule="exact"/>
              <w:rPr>
                <w:sz w:val="20"/>
                <w:szCs w:val="20"/>
                <w:color w:val="auto"/>
              </w:rPr>
            </w:pPr>
            <w:r>
              <w:rPr>
                <w:rFonts w:ascii="Arial" w:cs="Arial" w:eastAsia="Arial" w:hAnsi="Arial"/>
                <w:sz w:val="16"/>
                <w:szCs w:val="16"/>
                <w:color w:val="auto"/>
              </w:rPr>
              <w:t>December 31, 2018, pro forma (unaudited)</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294,874</w:t>
            </w: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294,874</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840" w:type="dxa"/>
            <w:vAlign w:val="bottom"/>
            <w:gridSpan w:val="2"/>
          </w:tcPr>
          <w:p>
            <w:pPr>
              <w:spacing w:after="0"/>
              <w:rPr>
                <w:sz w:val="20"/>
                <w:szCs w:val="20"/>
                <w:color w:val="auto"/>
              </w:rPr>
            </w:pPr>
            <w:r>
              <w:rPr>
                <w:rFonts w:ascii="Arial" w:cs="Arial" w:eastAsia="Arial" w:hAnsi="Arial"/>
                <w:sz w:val="16"/>
                <w:szCs w:val="16"/>
                <w:color w:val="auto"/>
              </w:rPr>
              <w:t>Stockholders’ deficit:</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Common stock, $0.001 par value;</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129,000,000 shares authorized at December 31, 2017 and 2018; 6,218,806 and</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6,937,890 shares issued and outstanding at December 31, 2017 and 2018,</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respectively; 54,224,993 shares issued and outstanding at December 31, 2018, pro</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20" w:type="dxa"/>
            <w:vAlign w:val="bottom"/>
            <w:shd w:val="clear" w:color="auto" w:fill="CCEEFF"/>
          </w:tcPr>
          <w:p>
            <w:pPr>
              <w:ind w:left="440"/>
              <w:spacing w:after="0" w:line="181" w:lineRule="exact"/>
              <w:rPr>
                <w:sz w:val="20"/>
                <w:szCs w:val="20"/>
                <w:color w:val="auto"/>
              </w:rPr>
            </w:pPr>
            <w:r>
              <w:rPr>
                <w:rFonts w:ascii="Arial" w:cs="Arial" w:eastAsia="Arial" w:hAnsi="Arial"/>
                <w:sz w:val="16"/>
                <w:szCs w:val="16"/>
                <w:color w:val="auto"/>
              </w:rPr>
              <w:t>forma (unaudited)</w:t>
            </w:r>
          </w:p>
        </w:tc>
        <w:tc>
          <w:tcPr>
            <w:tcW w:w="2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480"/>
              <w:spacing w:after="0" w:line="181" w:lineRule="exact"/>
              <w:rPr>
                <w:sz w:val="20"/>
                <w:szCs w:val="20"/>
                <w:color w:val="auto"/>
              </w:rPr>
            </w:pPr>
            <w:r>
              <w:rPr>
                <w:rFonts w:ascii="Arial" w:cs="Arial" w:eastAsia="Arial" w:hAnsi="Arial"/>
                <w:sz w:val="16"/>
                <w:szCs w:val="16"/>
                <w:color w:val="auto"/>
              </w:rPr>
              <w:t>6</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7</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2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26,147</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39,258</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334,283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(431)</w:t>
            </w:r>
          </w:p>
        </w:tc>
        <w:tc>
          <w:tcPr>
            <w:tcW w:w="2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20" w:type="dxa"/>
            <w:vAlign w:val="bottom"/>
          </w:tcPr>
          <w:p>
            <w:pPr>
              <w:ind w:left="280"/>
              <w:spacing w:after="0"/>
              <w:rPr>
                <w:sz w:val="20"/>
                <w:szCs w:val="20"/>
                <w:color w:val="auto"/>
              </w:rPr>
            </w:pPr>
            <w:r>
              <w:rPr>
                <w:rFonts w:ascii="Arial" w:cs="Arial" w:eastAsia="Arial" w:hAnsi="Arial"/>
                <w:sz w:val="16"/>
                <w:szCs w:val="16"/>
                <w:color w:val="auto"/>
              </w:rPr>
              <w:t>Accumulated deficit</w:t>
            </w:r>
          </w:p>
        </w:tc>
        <w:tc>
          <w:tcPr>
            <w:tcW w:w="200" w:type="dxa"/>
            <w:vAlign w:val="bottom"/>
          </w:tcPr>
          <w:p>
            <w:pPr>
              <w:spacing w:after="0"/>
              <w:rPr>
                <w:sz w:val="15"/>
                <w:szCs w:val="15"/>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6"/>
                <w:szCs w:val="16"/>
                <w:color w:val="auto"/>
              </w:rPr>
              <w:t>(146,700)</w:t>
            </w:r>
          </w:p>
        </w:tc>
        <w:tc>
          <w:tcPr>
            <w:tcW w:w="200" w:type="dxa"/>
            <w:vAlign w:val="bottom"/>
          </w:tcPr>
          <w:p>
            <w:pPr>
              <w:spacing w:after="0"/>
              <w:rPr>
                <w:sz w:val="15"/>
                <w:szCs w:val="15"/>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color w:val="auto"/>
              </w:rPr>
              <w:t>(147,193)</w:t>
            </w:r>
          </w:p>
        </w:tc>
        <w:tc>
          <w:tcPr>
            <w:tcW w:w="1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(147,193)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8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equity (deficit)</w:t>
            </w:r>
          </w:p>
        </w:tc>
        <w:tc>
          <w:tcPr>
            <w:tcW w:w="2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(120,978)</w:t>
            </w:r>
          </w:p>
        </w:tc>
        <w:tc>
          <w:tcPr>
            <w:tcW w:w="2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(108,195)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186,877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40" w:type="dxa"/>
            <w:vAlign w:val="bottom"/>
            <w:gridSpan w:val="2"/>
          </w:tcPr>
          <w:p>
            <w:pPr>
              <w:spacing w:after="0"/>
              <w:rPr>
                <w:sz w:val="20"/>
                <w:szCs w:val="20"/>
                <w:color w:val="auto"/>
              </w:rPr>
            </w:pPr>
            <w:r>
              <w:rPr>
                <w:rFonts w:ascii="Arial" w:cs="Arial" w:eastAsia="Arial" w:hAnsi="Arial"/>
                <w:sz w:val="16"/>
                <w:szCs w:val="16"/>
                <w:color w:val="auto"/>
              </w:rPr>
              <w:t>Total liabilities, convertible preferred stock and stockholders’ equity (deficit)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248,941</w:t>
            </w:r>
          </w:p>
        </w:tc>
        <w:tc>
          <w:tcPr>
            <w:tcW w:w="48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246,085</w:t>
            </w:r>
          </w:p>
        </w:tc>
        <w:tc>
          <w:tcPr>
            <w:tcW w:w="4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186,877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See accompanying notes to the consolidated financial statements.</w:t>
      </w:r>
    </w:p>
    <w:p>
      <w:pPr>
        <w:spacing w:after="0" w:line="16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060"/>
          </w:cols>
          <w:pgMar w:left="240" w:top="449" w:right="599" w:bottom="1440" w:gutter="0" w:footer="0" w:header="0"/>
        </w:sectPr>
      </w:pPr>
    </w:p>
    <w:bookmarkStart w:id="215" w:name="page216"/>
    <w:bookmarkEnd w:id="2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88"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4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Year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9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5"/>
              <w:spacing w:after="0" w:line="150"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54"/>
              <w:spacing w:after="0" w:line="150"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Related party revenue</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77,141</w:t>
            </w: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108,665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7"/>
                <w:szCs w:val="17"/>
                <w:color w:val="auto"/>
              </w:rPr>
              <w:t>Operating expenses: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30"/>
              <w:spacing w:after="0"/>
              <w:rPr>
                <w:sz w:val="20"/>
                <w:szCs w:val="20"/>
                <w:color w:val="auto"/>
              </w:rPr>
            </w:pPr>
            <w:r>
              <w:rPr>
                <w:rFonts w:ascii="Arial" w:cs="Arial" w:eastAsia="Arial" w:hAnsi="Arial"/>
                <w:sz w:val="17"/>
                <w:szCs w:val="17"/>
                <w:color w:val="auto"/>
              </w:rPr>
              <w:t>79,736</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95,714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Pr>
          <w:p>
            <w:pPr>
              <w:ind w:left="320"/>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7"/>
                <w:szCs w:val="17"/>
                <w:color w:val="auto"/>
              </w:rPr>
            </w:pPr>
          </w:p>
        </w:tc>
        <w:tc>
          <w:tcPr>
            <w:tcW w:w="1180" w:type="dxa"/>
            <w:vAlign w:val="bottom"/>
            <w:gridSpan w:val="2"/>
          </w:tcPr>
          <w:p>
            <w:pPr>
              <w:jc w:val="right"/>
              <w:ind w:right="330"/>
              <w:spacing w:after="0"/>
              <w:rPr>
                <w:sz w:val="20"/>
                <w:szCs w:val="20"/>
                <w:color w:val="auto"/>
              </w:rPr>
            </w:pPr>
            <w:r>
              <w:rPr>
                <w:rFonts w:ascii="Arial" w:cs="Arial" w:eastAsia="Arial" w:hAnsi="Arial"/>
                <w:sz w:val="17"/>
                <w:szCs w:val="17"/>
                <w:color w:val="auto"/>
              </w:rPr>
              <w:t>14,830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17,265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30"/>
              <w:spacing w:after="0"/>
              <w:rPr>
                <w:sz w:val="20"/>
                <w:szCs w:val="20"/>
                <w:color w:val="auto"/>
              </w:rPr>
            </w:pPr>
            <w:r>
              <w:rPr>
                <w:rFonts w:ascii="Arial" w:cs="Arial" w:eastAsia="Arial" w:hAnsi="Arial"/>
                <w:sz w:val="17"/>
                <w:szCs w:val="17"/>
                <w:color w:val="auto"/>
              </w:rPr>
              <w:t>94,566</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112,979</w:t>
            </w:r>
          </w:p>
        </w:tc>
        <w:tc>
          <w:tcPr>
            <w:tcW w:w="0" w:type="dxa"/>
            <w:vAlign w:val="bottom"/>
          </w:tcPr>
          <w:p>
            <w:pPr>
              <w:spacing w:after="0"/>
              <w:rPr>
                <w:sz w:val="1"/>
                <w:szCs w:val="1"/>
                <w:color w:val="auto"/>
              </w:rPr>
            </w:pPr>
          </w:p>
        </w:tc>
      </w:tr>
      <w:tr>
        <w:trPr>
          <w:trHeight w:val="20"/>
        </w:trPr>
        <w:tc>
          <w:tcPr>
            <w:tcW w:w="79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gridSpan w:val="2"/>
          </w:tcPr>
          <w:p>
            <w:pPr>
              <w:spacing w:after="0"/>
              <w:rPr>
                <w:sz w:val="20"/>
                <w:szCs w:val="20"/>
                <w:color w:val="auto"/>
              </w:rPr>
            </w:pPr>
            <w:r>
              <w:rPr>
                <w:rFonts w:ascii="Arial" w:cs="Arial" w:eastAsia="Arial" w:hAnsi="Arial"/>
                <w:sz w:val="17"/>
                <w:szCs w:val="17"/>
                <w:color w:val="auto"/>
              </w:rPr>
              <w:t>Loss from operations</w:t>
            </w:r>
          </w:p>
        </w:tc>
        <w:tc>
          <w:tcPr>
            <w:tcW w:w="100" w:type="dxa"/>
            <w:vAlign w:val="bottom"/>
          </w:tcPr>
          <w:p>
            <w:pPr>
              <w:spacing w:after="0"/>
              <w:rPr>
                <w:sz w:val="17"/>
                <w:szCs w:val="17"/>
                <w:color w:val="auto"/>
              </w:rPr>
            </w:pPr>
          </w:p>
        </w:tc>
        <w:tc>
          <w:tcPr>
            <w:tcW w:w="1180" w:type="dxa"/>
            <w:vAlign w:val="bottom"/>
            <w:gridSpan w:val="2"/>
          </w:tcPr>
          <w:p>
            <w:pPr>
              <w:jc w:val="right"/>
              <w:ind w:right="270"/>
              <w:spacing w:after="0"/>
              <w:rPr>
                <w:sz w:val="20"/>
                <w:szCs w:val="20"/>
                <w:color w:val="auto"/>
              </w:rPr>
            </w:pPr>
            <w:r>
              <w:rPr>
                <w:rFonts w:ascii="Arial" w:cs="Arial" w:eastAsia="Arial" w:hAnsi="Arial"/>
                <w:sz w:val="17"/>
                <w:szCs w:val="17"/>
                <w:color w:val="auto"/>
              </w:rPr>
              <w:t>(17,425)</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(4,314)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30"/>
              <w:spacing w:after="0"/>
              <w:rPr>
                <w:sz w:val="20"/>
                <w:szCs w:val="20"/>
                <w:color w:val="auto"/>
              </w:rPr>
            </w:pPr>
            <w:r>
              <w:rPr>
                <w:rFonts w:ascii="Arial" w:cs="Arial" w:eastAsia="Arial" w:hAnsi="Arial"/>
                <w:sz w:val="17"/>
                <w:szCs w:val="17"/>
                <w:color w:val="auto"/>
              </w:rPr>
              <w:t>2,358</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00" w:type="dxa"/>
            <w:vAlign w:val="bottom"/>
          </w:tcPr>
          <w:p>
            <w:pPr>
              <w:spacing w:after="0"/>
              <w:rPr>
                <w:sz w:val="17"/>
                <w:szCs w:val="17"/>
                <w:color w:val="auto"/>
              </w:rPr>
            </w:pPr>
          </w:p>
        </w:tc>
        <w:tc>
          <w:tcPr>
            <w:tcW w:w="1180" w:type="dxa"/>
            <w:vAlign w:val="bottom"/>
            <w:gridSpan w:val="2"/>
          </w:tcPr>
          <w:p>
            <w:pPr>
              <w:jc w:val="right"/>
              <w:ind w:right="270"/>
              <w:spacing w:after="0"/>
              <w:rPr>
                <w:sz w:val="20"/>
                <w:szCs w:val="20"/>
                <w:color w:val="auto"/>
              </w:rPr>
            </w:pPr>
            <w:r>
              <w:rPr>
                <w:rFonts w:ascii="Arial" w:cs="Arial" w:eastAsia="Arial" w:hAnsi="Arial"/>
                <w:sz w:val="17"/>
                <w:szCs w:val="17"/>
                <w:color w:val="auto"/>
              </w:rPr>
              <w:t>(152)</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Net loss before taxes</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70"/>
              <w:spacing w:after="0"/>
              <w:rPr>
                <w:sz w:val="20"/>
                <w:szCs w:val="20"/>
                <w:color w:val="auto"/>
              </w:rPr>
            </w:pPr>
            <w:r>
              <w:rPr>
                <w:rFonts w:ascii="Arial" w:cs="Arial" w:eastAsia="Arial" w:hAnsi="Arial"/>
                <w:sz w:val="17"/>
                <w:szCs w:val="17"/>
                <w:color w:val="auto"/>
              </w:rPr>
              <w:t>(15,219)</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7"/>
                <w:szCs w:val="17"/>
                <w:color w:val="auto"/>
              </w:rPr>
              <w:t>Benefit from income taxes</w:t>
            </w:r>
          </w:p>
        </w:tc>
        <w:tc>
          <w:tcPr>
            <w:tcW w:w="100" w:type="dxa"/>
            <w:vAlign w:val="bottom"/>
          </w:tcPr>
          <w:p>
            <w:pPr>
              <w:spacing w:after="0"/>
              <w:rPr>
                <w:sz w:val="17"/>
                <w:szCs w:val="17"/>
                <w:color w:val="auto"/>
              </w:rPr>
            </w:pPr>
          </w:p>
        </w:tc>
        <w:tc>
          <w:tcPr>
            <w:tcW w:w="1180" w:type="dxa"/>
            <w:vAlign w:val="bottom"/>
            <w:gridSpan w:val="2"/>
          </w:tcPr>
          <w:p>
            <w:pPr>
              <w:jc w:val="right"/>
              <w:ind w:right="270"/>
              <w:spacing w:after="0"/>
              <w:rPr>
                <w:sz w:val="20"/>
                <w:szCs w:val="20"/>
                <w:color w:val="auto"/>
              </w:rPr>
            </w:pPr>
            <w:r>
              <w:rPr>
                <w:rFonts w:ascii="Arial" w:cs="Arial" w:eastAsia="Arial" w:hAnsi="Arial"/>
                <w:sz w:val="17"/>
                <w:szCs w:val="17"/>
                <w:color w:val="auto"/>
              </w:rPr>
              <w:t>(1,060)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70"/>
              <w:spacing w:after="0"/>
              <w:rPr>
                <w:sz w:val="20"/>
                <w:szCs w:val="20"/>
                <w:color w:val="auto"/>
              </w:rPr>
            </w:pPr>
            <w:r>
              <w:rPr>
                <w:rFonts w:ascii="Arial" w:cs="Arial" w:eastAsia="Arial" w:hAnsi="Arial"/>
                <w:sz w:val="17"/>
                <w:szCs w:val="17"/>
                <w:color w:val="auto"/>
              </w:rPr>
              <w:t>(14,159)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(493)</w:t>
            </w:r>
          </w:p>
        </w:tc>
        <w:tc>
          <w:tcPr>
            <w:tcW w:w="0" w:type="dxa"/>
            <w:vAlign w:val="bottom"/>
          </w:tcPr>
          <w:p>
            <w:pPr>
              <w:spacing w:after="0"/>
              <w:rPr>
                <w:sz w:val="1"/>
                <w:szCs w:val="1"/>
                <w:color w:val="auto"/>
              </w:rPr>
            </w:pPr>
          </w:p>
        </w:tc>
      </w:tr>
      <w:tr>
        <w:trPr>
          <w:trHeight w:val="20"/>
        </w:trPr>
        <w:tc>
          <w:tcPr>
            <w:tcW w:w="79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980" w:type="dxa"/>
            <w:vAlign w:val="bottom"/>
            <w:gridSpan w:val="2"/>
          </w:tcPr>
          <w:p>
            <w:pPr>
              <w:spacing w:after="0" w:line="189" w:lineRule="exact"/>
              <w:rPr>
                <w:sz w:val="20"/>
                <w:szCs w:val="20"/>
                <w:color w:val="auto"/>
              </w:rPr>
            </w:pPr>
            <w:r>
              <w:rPr>
                <w:rFonts w:ascii="Arial" w:cs="Arial" w:eastAsia="Arial" w:hAnsi="Arial"/>
                <w:sz w:val="17"/>
                <w:szCs w:val="17"/>
                <w:color w:val="auto"/>
              </w:rPr>
              <w:t>Net loss per common share, basic and diluted</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70"/>
              <w:spacing w:after="0" w:line="189" w:lineRule="exact"/>
              <w:rPr>
                <w:sz w:val="20"/>
                <w:szCs w:val="20"/>
                <w:color w:val="auto"/>
              </w:rPr>
            </w:pPr>
            <w:r>
              <w:rPr>
                <w:rFonts w:ascii="Arial" w:cs="Arial" w:eastAsia="Arial" w:hAnsi="Arial"/>
                <w:sz w:val="17"/>
                <w:szCs w:val="17"/>
                <w:color w:val="auto"/>
              </w:rPr>
              <w:t>(2.37)</w:t>
            </w:r>
          </w:p>
        </w:tc>
        <w:tc>
          <w:tcPr>
            <w:tcW w:w="4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Weighted average shares used to compute net loss per common share, basic and diluted</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30"/>
              <w:spacing w:after="0" w:line="189" w:lineRule="exact"/>
              <w:rPr>
                <w:sz w:val="20"/>
                <w:szCs w:val="20"/>
                <w:color w:val="auto"/>
              </w:rPr>
            </w:pPr>
            <w:r>
              <w:rPr>
                <w:rFonts w:ascii="Arial" w:cs="Arial" w:eastAsia="Arial" w:hAnsi="Arial"/>
                <w:sz w:val="17"/>
                <w:szCs w:val="17"/>
                <w:color w:val="auto"/>
              </w:rPr>
              <w:t>5,961,767</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6,383,751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vMerge w:val="restart"/>
          </w:tcPr>
          <w:p>
            <w:pPr>
              <w:ind w:left="320"/>
              <w:spacing w:after="0"/>
              <w:rPr>
                <w:sz w:val="20"/>
                <w:szCs w:val="20"/>
                <w:color w:val="auto"/>
              </w:rPr>
            </w:pPr>
            <w:r>
              <w:rPr>
                <w:rFonts w:ascii="Arial" w:cs="Arial" w:eastAsia="Arial" w:hAnsi="Arial"/>
                <w:sz w:val="17"/>
                <w:szCs w:val="17"/>
                <w:color w:val="auto"/>
              </w:rPr>
              <w:t>Pro forma net loss per common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60" w:type="dxa"/>
            <w:vAlign w:val="bottom"/>
          </w:tcPr>
          <w:p>
            <w:pPr>
              <w:ind w:left="500"/>
              <w:spacing w:after="0"/>
              <w:rPr>
                <w:sz w:val="20"/>
                <w:szCs w:val="20"/>
                <w:color w:val="auto"/>
              </w:rPr>
            </w:pPr>
            <w:r>
              <w:rPr>
                <w:rFonts w:ascii="Arial" w:cs="Arial" w:eastAsia="Arial" w:hAnsi="Arial"/>
                <w:sz w:val="17"/>
                <w:szCs w:val="17"/>
                <w:color w:val="auto"/>
              </w:rPr>
              <w:t>(unaudited)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9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Weighted average shares used to compute pro forma net loss per common share, basic and</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diluted (unaudited)</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53,651,217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See accompanying notes to the consolidated financial statements.</w:t>
      </w:r>
    </w:p>
    <w:p>
      <w:pPr>
        <w:spacing w:after="0" w:line="16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060"/>
          </w:cols>
          <w:pgMar w:left="240" w:top="449" w:right="599" w:bottom="1440" w:gutter="0" w:footer="0" w:header="0"/>
        </w:sectPr>
      </w:pPr>
    </w:p>
    <w:bookmarkStart w:id="216" w:name="page217"/>
    <w:bookmarkEnd w:id="2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2975"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CONSOLIDATED STATEMENTS OF COMPREHENSIVE LOSS</w:t>
      </w:r>
    </w:p>
    <w:p>
      <w:pPr>
        <w:spacing w:after="0" w:line="188"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w:t>
      </w:r>
    </w:p>
    <w:p>
      <w:pPr>
        <w:spacing w:after="0" w:line="24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8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Year Ended</w:t>
            </w:r>
          </w:p>
        </w:tc>
      </w:tr>
      <w:tr>
        <w:trPr>
          <w:trHeight w:val="169"/>
        </w:trPr>
        <w:tc>
          <w:tcPr>
            <w:tcW w:w="8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50"/>
        </w:trPr>
        <w:tc>
          <w:tcPr>
            <w:tcW w:w="8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top w:val="single" w:sz="8" w:color="auto"/>
            </w:tcBorders>
          </w:tcPr>
          <w:p>
            <w:pPr>
              <w:jc w:val="right"/>
              <w:ind w:right="123"/>
              <w:spacing w:after="0" w:line="150"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spacing w:after="0" w:line="150"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r>
      <w:tr>
        <w:trPr>
          <w:trHeight w:val="190"/>
        </w:trPr>
        <w:tc>
          <w:tcPr>
            <w:tcW w:w="89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Net loss</w:t>
            </w:r>
          </w:p>
        </w:tc>
        <w:tc>
          <w:tcPr>
            <w:tcW w:w="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0"/>
              </w:rPr>
              <w:t>$(14,159)</w:t>
            </w:r>
          </w:p>
        </w:tc>
        <w:tc>
          <w:tcPr>
            <w:tcW w:w="2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9"/>
              </w:rPr>
              <w:t>$(493)</w:t>
            </w:r>
          </w:p>
        </w:tc>
        <w:tc>
          <w:tcPr>
            <w:tcW w:w="120" w:type="dxa"/>
            <w:vAlign w:val="bottom"/>
            <w:tcBorders>
              <w:top w:val="single" w:sz="8" w:color="CCEEFF"/>
            </w:tcBorders>
            <w:shd w:val="clear" w:color="auto" w:fill="CCEEFF"/>
          </w:tcPr>
          <w:p>
            <w:pPr>
              <w:spacing w:after="0"/>
              <w:rPr>
                <w:sz w:val="16"/>
                <w:szCs w:val="16"/>
                <w:color w:val="auto"/>
              </w:rPr>
            </w:pPr>
          </w:p>
        </w:tc>
      </w:tr>
      <w:tr>
        <w:trPr>
          <w:trHeight w:val="196"/>
        </w:trPr>
        <w:tc>
          <w:tcPr>
            <w:tcW w:w="8960" w:type="dxa"/>
            <w:vAlign w:val="bottom"/>
          </w:tcPr>
          <w:p>
            <w:pPr>
              <w:spacing w:after="0"/>
              <w:rPr>
                <w:sz w:val="20"/>
                <w:szCs w:val="20"/>
                <w:color w:val="auto"/>
              </w:rPr>
            </w:pPr>
            <w:r>
              <w:rPr>
                <w:rFonts w:ascii="Arial" w:cs="Arial" w:eastAsia="Arial" w:hAnsi="Arial"/>
                <w:sz w:val="17"/>
                <w:szCs w:val="17"/>
                <w:color w:val="auto"/>
              </w:rPr>
              <w:t>Other comprehensive gain (loss), net of tax:</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8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unrealized gain (loss) on available-for-sale marketable securities</w:t>
            </w:r>
          </w:p>
        </w:tc>
        <w:tc>
          <w:tcPr>
            <w:tcW w:w="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(329)</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164</w:t>
            </w:r>
          </w:p>
        </w:tc>
      </w:tr>
      <w:tr>
        <w:trPr>
          <w:trHeight w:val="20"/>
        </w:trPr>
        <w:tc>
          <w:tcPr>
            <w:tcW w:w="8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8960" w:type="dxa"/>
            <w:vAlign w:val="bottom"/>
          </w:tcPr>
          <w:p>
            <w:pPr>
              <w:ind w:left="680"/>
              <w:spacing w:after="0"/>
              <w:rPr>
                <w:sz w:val="20"/>
                <w:szCs w:val="20"/>
                <w:color w:val="auto"/>
              </w:rPr>
            </w:pPr>
            <w:r>
              <w:rPr>
                <w:rFonts w:ascii="Arial" w:cs="Arial" w:eastAsia="Arial" w:hAnsi="Arial"/>
                <w:sz w:val="17"/>
                <w:szCs w:val="17"/>
                <w:color w:val="auto"/>
              </w:rPr>
              <w:t>Total comprehensive loss</w:t>
            </w:r>
          </w:p>
        </w:tc>
        <w:tc>
          <w:tcPr>
            <w:tcW w:w="960" w:type="dxa"/>
            <w:vAlign w:val="bottom"/>
            <w:gridSpan w:val="3"/>
          </w:tcPr>
          <w:p>
            <w:pPr>
              <w:jc w:val="right"/>
              <w:ind w:right="2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(14,488)</w:t>
            </w:r>
          </w:p>
        </w:tc>
        <w:tc>
          <w:tcPr>
            <w:tcW w:w="760" w:type="dxa"/>
            <w:vAlign w:val="bottom"/>
            <w:gridSpan w:val="3"/>
          </w:tcPr>
          <w:p>
            <w:pPr>
              <w:jc w:val="right"/>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(329)</w:t>
            </w:r>
          </w:p>
        </w:tc>
      </w:tr>
      <w:tr>
        <w:trPr>
          <w:trHeight w:val="20"/>
        </w:trPr>
        <w:tc>
          <w:tcPr>
            <w:tcW w:w="8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See accompanying notes to the consolidated financial statements.</w:t>
      </w:r>
    </w:p>
    <w:p>
      <w:pPr>
        <w:spacing w:after="0" w:line="16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060"/>
          </w:cols>
          <w:pgMar w:left="240" w:top="449" w:right="599" w:bottom="1440" w:gutter="0" w:footer="0" w:header="0"/>
        </w:sectPr>
      </w:pPr>
    </w:p>
    <w:bookmarkStart w:id="217" w:name="page218"/>
    <w:bookmarkEnd w:id="2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CONSOLIDATED STATEMENTS OF CONVERTIBLE PREFERRED STOCK AND STOCKHOLDERS’ DEFICIT</w:t>
      </w:r>
    </w:p>
    <w:p>
      <w:pPr>
        <w:spacing w:after="0" w:line="188"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(In Thousands)</w:t>
      </w:r>
    </w:p>
    <w:p>
      <w:pPr>
        <w:sectPr>
          <w:pgSz w:w="11900" w:h="16838" w:orient="portrait"/>
          <w:cols w:equalWidth="0" w:num="1">
            <w:col w:w="11000"/>
          </w:cols>
          <w:pgMar w:left="240" w:top="449" w:right="659" w:bottom="1440" w:gutter="0" w:footer="0" w:header="0"/>
        </w:sectPr>
      </w:pPr>
    </w:p>
    <w:p>
      <w:pPr>
        <w:spacing w:after="0" w:line="248" w:lineRule="exact"/>
        <w:rPr>
          <w:sz w:val="20"/>
          <w:szCs w:val="20"/>
          <w:color w:val="auto"/>
        </w:rPr>
      </w:pPr>
    </w:p>
    <w:tbl>
      <w:tblPr>
        <w:tblLayout w:type="fixed"/>
        <w:tblInd w:w="380" w:type="dxa"/>
        <w:tblCellMar>
          <w:top w:w="0" w:type="dxa"/>
          <w:left w:w="0" w:type="dxa"/>
          <w:bottom w:w="0" w:type="dxa"/>
          <w:right w:w="0" w:type="dxa"/>
        </w:tblCellMar>
      </w:tblPr>
      <w:tr>
        <w:trPr>
          <w:trHeight w:val="131"/>
        </w:trPr>
        <w:tc>
          <w:tcPr>
            <w:tcW w:w="4200" w:type="dxa"/>
            <w:vAlign w:val="bottom"/>
          </w:tcPr>
          <w:p>
            <w:pPr>
              <w:spacing w:after="0"/>
              <w:rPr>
                <w:sz w:val="11"/>
                <w:szCs w:val="11"/>
                <w:color w:val="auto"/>
              </w:rPr>
            </w:pPr>
          </w:p>
        </w:tc>
        <w:tc>
          <w:tcPr>
            <w:tcW w:w="1140" w:type="dxa"/>
            <w:vAlign w:val="bottom"/>
            <w:gridSpan w:val="4"/>
          </w:tcPr>
          <w:p>
            <w:pPr>
              <w:jc w:val="right"/>
              <w:ind w:right="195"/>
              <w:spacing w:after="0"/>
              <w:rPr>
                <w:sz w:val="20"/>
                <w:szCs w:val="20"/>
                <w:color w:val="auto"/>
              </w:rPr>
            </w:pPr>
            <w:r>
              <w:rPr>
                <w:rFonts w:ascii="Arial" w:cs="Arial" w:eastAsia="Arial" w:hAnsi="Arial"/>
                <w:sz w:val="11"/>
                <w:szCs w:val="11"/>
                <w:b w:val="1"/>
                <w:bCs w:val="1"/>
                <w:color w:val="auto"/>
              </w:rPr>
              <w:t>Convertible</w:t>
            </w:r>
          </w:p>
        </w:tc>
        <w:tc>
          <w:tcPr>
            <w:tcW w:w="0" w:type="dxa"/>
            <w:vAlign w:val="bottom"/>
          </w:tcPr>
          <w:p>
            <w:pPr>
              <w:spacing w:after="0"/>
              <w:rPr>
                <w:sz w:val="1"/>
                <w:szCs w:val="1"/>
                <w:color w:val="auto"/>
              </w:rPr>
            </w:pPr>
          </w:p>
        </w:tc>
      </w:tr>
      <w:tr>
        <w:trPr>
          <w:trHeight w:val="143"/>
        </w:trPr>
        <w:tc>
          <w:tcPr>
            <w:tcW w:w="4200" w:type="dxa"/>
            <w:vAlign w:val="bottom"/>
          </w:tcPr>
          <w:p>
            <w:pPr>
              <w:spacing w:after="0"/>
              <w:rPr>
                <w:sz w:val="12"/>
                <w:szCs w:val="12"/>
                <w:color w:val="auto"/>
              </w:rPr>
            </w:pPr>
          </w:p>
        </w:tc>
        <w:tc>
          <w:tcPr>
            <w:tcW w:w="114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1"/>
                <w:szCs w:val="11"/>
                <w:b w:val="1"/>
                <w:bCs w:val="1"/>
                <w:color w:val="auto"/>
              </w:rPr>
              <w:t>Preferred Stock</w:t>
            </w:r>
          </w:p>
        </w:tc>
        <w:tc>
          <w:tcPr>
            <w:tcW w:w="0" w:type="dxa"/>
            <w:vAlign w:val="bottom"/>
          </w:tcPr>
          <w:p>
            <w:pPr>
              <w:spacing w:after="0"/>
              <w:rPr>
                <w:sz w:val="1"/>
                <w:szCs w:val="1"/>
                <w:color w:val="auto"/>
              </w:rPr>
            </w:pPr>
          </w:p>
        </w:tc>
      </w:tr>
      <w:tr>
        <w:trPr>
          <w:trHeight w:val="124"/>
        </w:trPr>
        <w:tc>
          <w:tcPr>
            <w:tcW w:w="4200" w:type="dxa"/>
            <w:vAlign w:val="bottom"/>
            <w:vMerge w:val="restart"/>
          </w:tcPr>
          <w:p>
            <w:pPr>
              <w:spacing w:after="0"/>
              <w:rPr>
                <w:sz w:val="20"/>
                <w:szCs w:val="20"/>
                <w:color w:val="auto"/>
              </w:rPr>
            </w:pPr>
            <w:r>
              <w:rPr>
                <w:rFonts w:ascii="Arial" w:cs="Arial" w:eastAsia="Arial" w:hAnsi="Arial"/>
                <w:sz w:val="13"/>
                <w:szCs w:val="13"/>
                <w:color w:val="auto"/>
              </w:rPr>
              <w:t>Balance at December 31, 2016</w:t>
            </w:r>
          </w:p>
        </w:tc>
        <w:tc>
          <w:tcPr>
            <w:tcW w:w="4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136"/>
        </w:trPr>
        <w:tc>
          <w:tcPr>
            <w:tcW w:w="4200" w:type="dxa"/>
            <w:vAlign w:val="bottom"/>
            <w:vMerge w:val="continue"/>
          </w:tcPr>
          <w:p>
            <w:pPr>
              <w:spacing w:after="0"/>
              <w:rPr>
                <w:sz w:val="11"/>
                <w:szCs w:val="11"/>
                <w:color w:val="auto"/>
              </w:rPr>
            </w:pPr>
          </w:p>
        </w:tc>
        <w:tc>
          <w:tcPr>
            <w:tcW w:w="4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3"/>
                <w:szCs w:val="13"/>
                <w:color w:val="auto"/>
              </w:rPr>
              <w:t>47,267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3"/>
                <w:szCs w:val="13"/>
                <w:color w:val="auto"/>
                <w:w w:val="93"/>
              </w:rPr>
              <w:t>$ 294,874</w:t>
            </w:r>
          </w:p>
        </w:tc>
        <w:tc>
          <w:tcPr>
            <w:tcW w:w="0" w:type="dxa"/>
            <w:vAlign w:val="bottom"/>
          </w:tcPr>
          <w:p>
            <w:pPr>
              <w:spacing w:after="0"/>
              <w:rPr>
                <w:sz w:val="1"/>
                <w:szCs w:val="1"/>
                <w:color w:val="auto"/>
              </w:rPr>
            </w:pPr>
          </w:p>
        </w:tc>
      </w:tr>
      <w:tr>
        <w:trPr>
          <w:trHeight w:val="144"/>
        </w:trPr>
        <w:tc>
          <w:tcPr>
            <w:tcW w:w="4200" w:type="dxa"/>
            <w:vAlign w:val="bottom"/>
          </w:tcPr>
          <w:p>
            <w:pPr>
              <w:ind w:left="260"/>
              <w:spacing w:after="0" w:line="144" w:lineRule="exact"/>
              <w:rPr>
                <w:sz w:val="20"/>
                <w:szCs w:val="20"/>
                <w:color w:val="auto"/>
              </w:rPr>
            </w:pPr>
            <w:r>
              <w:rPr>
                <w:rFonts w:ascii="Arial" w:cs="Arial" w:eastAsia="Arial" w:hAnsi="Arial"/>
                <w:sz w:val="13"/>
                <w:szCs w:val="13"/>
                <w:color w:val="auto"/>
              </w:rPr>
              <w:t>Issuance of common stock to participants in 401(k) Matching</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0" w:type="dxa"/>
            <w:vAlign w:val="bottom"/>
          </w:tcPr>
          <w:p>
            <w:pPr>
              <w:ind w:left="380"/>
              <w:spacing w:after="0" w:line="144" w:lineRule="exact"/>
              <w:rPr>
                <w:sz w:val="20"/>
                <w:szCs w:val="20"/>
                <w:color w:val="auto"/>
              </w:rPr>
            </w:pPr>
            <w:r>
              <w:rPr>
                <w:rFonts w:ascii="Arial" w:cs="Arial" w:eastAsia="Arial" w:hAnsi="Arial"/>
                <w:sz w:val="13"/>
                <w:szCs w:val="13"/>
                <w:color w:val="auto"/>
              </w:rPr>
              <w:t>Plan</w:t>
            </w:r>
          </w:p>
        </w:tc>
        <w:tc>
          <w:tcPr>
            <w:tcW w:w="48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4200" w:type="dxa"/>
            <w:vAlign w:val="bottom"/>
          </w:tcPr>
          <w:p>
            <w:pPr>
              <w:ind w:left="260"/>
              <w:spacing w:after="0" w:line="144" w:lineRule="exact"/>
              <w:rPr>
                <w:sz w:val="20"/>
                <w:szCs w:val="20"/>
                <w:color w:val="auto"/>
              </w:rPr>
            </w:pPr>
            <w:r>
              <w:rPr>
                <w:rFonts w:ascii="Arial" w:cs="Arial" w:eastAsia="Arial" w:hAnsi="Arial"/>
                <w:sz w:val="13"/>
                <w:szCs w:val="13"/>
                <w:color w:val="auto"/>
              </w:rPr>
              <w:t>Vesting of common stock from early exercises</w:t>
            </w:r>
          </w:p>
        </w:tc>
        <w:tc>
          <w:tcPr>
            <w:tcW w:w="48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4200" w:type="dxa"/>
            <w:vAlign w:val="bottom"/>
          </w:tcPr>
          <w:p>
            <w:pPr>
              <w:ind w:left="260"/>
              <w:spacing w:after="0" w:line="144" w:lineRule="exact"/>
              <w:rPr>
                <w:sz w:val="20"/>
                <w:szCs w:val="20"/>
                <w:color w:val="auto"/>
              </w:rPr>
            </w:pPr>
            <w:r>
              <w:rPr>
                <w:rFonts w:ascii="Arial" w:cs="Arial" w:eastAsia="Arial" w:hAnsi="Arial"/>
                <w:sz w:val="13"/>
                <w:szCs w:val="13"/>
                <w:color w:val="auto"/>
              </w:rPr>
              <w:t>Exercise of stock options</w:t>
            </w:r>
          </w:p>
        </w:tc>
        <w:tc>
          <w:tcPr>
            <w:tcW w:w="48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4200" w:type="dxa"/>
            <w:vAlign w:val="bottom"/>
          </w:tcPr>
          <w:p>
            <w:pPr>
              <w:ind w:left="260"/>
              <w:spacing w:after="0" w:line="144" w:lineRule="exact"/>
              <w:rPr>
                <w:sz w:val="20"/>
                <w:szCs w:val="20"/>
                <w:color w:val="auto"/>
              </w:rPr>
            </w:pPr>
            <w:r>
              <w:rPr>
                <w:rFonts w:ascii="Arial" w:cs="Arial" w:eastAsia="Arial" w:hAnsi="Arial"/>
                <w:sz w:val="13"/>
                <w:szCs w:val="13"/>
                <w:color w:val="auto"/>
              </w:rPr>
              <w:t>Stock-based compensation expense</w:t>
            </w:r>
          </w:p>
        </w:tc>
        <w:tc>
          <w:tcPr>
            <w:tcW w:w="48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4200" w:type="dxa"/>
            <w:vAlign w:val="bottom"/>
          </w:tcPr>
          <w:p>
            <w:pPr>
              <w:ind w:left="260"/>
              <w:spacing w:after="0" w:line="144" w:lineRule="exact"/>
              <w:rPr>
                <w:sz w:val="20"/>
                <w:szCs w:val="20"/>
                <w:color w:val="auto"/>
              </w:rPr>
            </w:pPr>
            <w:r>
              <w:rPr>
                <w:rFonts w:ascii="Arial" w:cs="Arial" w:eastAsia="Arial" w:hAnsi="Arial"/>
                <w:sz w:val="13"/>
                <w:szCs w:val="13"/>
                <w:color w:val="auto"/>
              </w:rPr>
              <w:t>Changes in unrealized gain on available-for-sale securities</w:t>
            </w:r>
          </w:p>
        </w:tc>
        <w:tc>
          <w:tcPr>
            <w:tcW w:w="48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4200" w:type="dxa"/>
            <w:vAlign w:val="bottom"/>
          </w:tcPr>
          <w:p>
            <w:pPr>
              <w:ind w:left="260"/>
              <w:spacing w:after="0" w:line="145" w:lineRule="exact"/>
              <w:rPr>
                <w:sz w:val="20"/>
                <w:szCs w:val="20"/>
                <w:color w:val="auto"/>
              </w:rPr>
            </w:pPr>
            <w:r>
              <w:rPr>
                <w:rFonts w:ascii="Arial" w:cs="Arial" w:eastAsia="Arial" w:hAnsi="Arial"/>
                <w:sz w:val="13"/>
                <w:szCs w:val="13"/>
                <w:color w:val="auto"/>
              </w:rPr>
              <w:t>Net loss</w:t>
            </w:r>
          </w:p>
        </w:tc>
        <w:tc>
          <w:tcPr>
            <w:tcW w:w="4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4200" w:type="dxa"/>
            <w:vAlign w:val="bottom"/>
          </w:tcPr>
          <w:p>
            <w:pPr>
              <w:spacing w:after="0"/>
              <w:rPr>
                <w:sz w:val="20"/>
                <w:szCs w:val="20"/>
                <w:color w:val="auto"/>
              </w:rPr>
            </w:pPr>
            <w:r>
              <w:rPr>
                <w:rFonts w:ascii="Arial" w:cs="Arial" w:eastAsia="Arial" w:hAnsi="Arial"/>
                <w:sz w:val="13"/>
                <w:szCs w:val="13"/>
                <w:color w:val="auto"/>
              </w:rPr>
              <w:t>Balance at December 31, 2017</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47,267</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294,874</w:t>
            </w:r>
          </w:p>
        </w:tc>
        <w:tc>
          <w:tcPr>
            <w:tcW w:w="0" w:type="dxa"/>
            <w:vAlign w:val="bottom"/>
          </w:tcPr>
          <w:p>
            <w:pPr>
              <w:spacing w:after="0"/>
              <w:rPr>
                <w:sz w:val="1"/>
                <w:szCs w:val="1"/>
                <w:color w:val="auto"/>
              </w:rPr>
            </w:pPr>
          </w:p>
        </w:tc>
      </w:tr>
      <w:tr>
        <w:trPr>
          <w:trHeight w:val="144"/>
        </w:trPr>
        <w:tc>
          <w:tcPr>
            <w:tcW w:w="4200" w:type="dxa"/>
            <w:vAlign w:val="bottom"/>
          </w:tcPr>
          <w:p>
            <w:pPr>
              <w:ind w:left="260"/>
              <w:spacing w:after="0" w:line="144" w:lineRule="exact"/>
              <w:rPr>
                <w:sz w:val="20"/>
                <w:szCs w:val="20"/>
                <w:color w:val="auto"/>
              </w:rPr>
            </w:pPr>
            <w:r>
              <w:rPr>
                <w:rFonts w:ascii="Arial" w:cs="Arial" w:eastAsia="Arial" w:hAnsi="Arial"/>
                <w:sz w:val="13"/>
                <w:szCs w:val="13"/>
                <w:color w:val="auto"/>
              </w:rPr>
              <w:t>Issuance of common stock to participants in 401(k) Matching</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0" w:type="dxa"/>
            <w:vAlign w:val="bottom"/>
          </w:tcPr>
          <w:p>
            <w:pPr>
              <w:ind w:left="380"/>
              <w:spacing w:after="0" w:line="144" w:lineRule="exact"/>
              <w:rPr>
                <w:sz w:val="20"/>
                <w:szCs w:val="20"/>
                <w:color w:val="auto"/>
              </w:rPr>
            </w:pPr>
            <w:r>
              <w:rPr>
                <w:rFonts w:ascii="Arial" w:cs="Arial" w:eastAsia="Arial" w:hAnsi="Arial"/>
                <w:sz w:val="13"/>
                <w:szCs w:val="13"/>
                <w:color w:val="auto"/>
              </w:rPr>
              <w:t>Plan</w:t>
            </w:r>
          </w:p>
        </w:tc>
        <w:tc>
          <w:tcPr>
            <w:tcW w:w="48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4200" w:type="dxa"/>
            <w:vAlign w:val="bottom"/>
          </w:tcPr>
          <w:p>
            <w:pPr>
              <w:ind w:left="260"/>
              <w:spacing w:after="0" w:line="144" w:lineRule="exact"/>
              <w:rPr>
                <w:sz w:val="20"/>
                <w:szCs w:val="20"/>
                <w:color w:val="auto"/>
              </w:rPr>
            </w:pPr>
            <w:r>
              <w:rPr>
                <w:rFonts w:ascii="Arial" w:cs="Arial" w:eastAsia="Arial" w:hAnsi="Arial"/>
                <w:sz w:val="13"/>
                <w:szCs w:val="13"/>
                <w:color w:val="auto"/>
              </w:rPr>
              <w:t>Vesting of common stock from early exercises</w:t>
            </w:r>
          </w:p>
        </w:tc>
        <w:tc>
          <w:tcPr>
            <w:tcW w:w="48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4200" w:type="dxa"/>
            <w:vAlign w:val="bottom"/>
          </w:tcPr>
          <w:p>
            <w:pPr>
              <w:ind w:left="260"/>
              <w:spacing w:after="0" w:line="144" w:lineRule="exact"/>
              <w:rPr>
                <w:sz w:val="20"/>
                <w:szCs w:val="20"/>
                <w:color w:val="auto"/>
              </w:rPr>
            </w:pPr>
            <w:r>
              <w:rPr>
                <w:rFonts w:ascii="Arial" w:cs="Arial" w:eastAsia="Arial" w:hAnsi="Arial"/>
                <w:sz w:val="13"/>
                <w:szCs w:val="13"/>
                <w:color w:val="auto"/>
              </w:rPr>
              <w:t>Exercise of stock options</w:t>
            </w:r>
          </w:p>
        </w:tc>
        <w:tc>
          <w:tcPr>
            <w:tcW w:w="48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4200" w:type="dxa"/>
            <w:vAlign w:val="bottom"/>
          </w:tcPr>
          <w:p>
            <w:pPr>
              <w:ind w:left="260"/>
              <w:spacing w:after="0" w:line="144" w:lineRule="exact"/>
              <w:rPr>
                <w:sz w:val="20"/>
                <w:szCs w:val="20"/>
                <w:color w:val="auto"/>
              </w:rPr>
            </w:pPr>
            <w:r>
              <w:rPr>
                <w:rFonts w:ascii="Arial" w:cs="Arial" w:eastAsia="Arial" w:hAnsi="Arial"/>
                <w:sz w:val="13"/>
                <w:szCs w:val="13"/>
                <w:color w:val="auto"/>
              </w:rPr>
              <w:t>Repurchase of common stock</w:t>
            </w:r>
          </w:p>
        </w:tc>
        <w:tc>
          <w:tcPr>
            <w:tcW w:w="48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4200" w:type="dxa"/>
            <w:vAlign w:val="bottom"/>
          </w:tcPr>
          <w:p>
            <w:pPr>
              <w:ind w:left="260"/>
              <w:spacing w:after="0" w:line="144" w:lineRule="exact"/>
              <w:rPr>
                <w:sz w:val="20"/>
                <w:szCs w:val="20"/>
                <w:color w:val="auto"/>
              </w:rPr>
            </w:pPr>
            <w:r>
              <w:rPr>
                <w:rFonts w:ascii="Arial" w:cs="Arial" w:eastAsia="Arial" w:hAnsi="Arial"/>
                <w:sz w:val="13"/>
                <w:szCs w:val="13"/>
                <w:color w:val="auto"/>
              </w:rPr>
              <w:t>Stock-based compensation expense</w:t>
            </w:r>
          </w:p>
        </w:tc>
        <w:tc>
          <w:tcPr>
            <w:tcW w:w="48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4200" w:type="dxa"/>
            <w:vAlign w:val="bottom"/>
          </w:tcPr>
          <w:p>
            <w:pPr>
              <w:ind w:left="260"/>
              <w:spacing w:after="0" w:line="144" w:lineRule="exact"/>
              <w:rPr>
                <w:sz w:val="20"/>
                <w:szCs w:val="20"/>
                <w:color w:val="auto"/>
              </w:rPr>
            </w:pPr>
            <w:r>
              <w:rPr>
                <w:rFonts w:ascii="Arial" w:cs="Arial" w:eastAsia="Arial" w:hAnsi="Arial"/>
                <w:sz w:val="13"/>
                <w:szCs w:val="13"/>
                <w:color w:val="auto"/>
              </w:rPr>
              <w:t>Changes in unrealized gain on available-for-sale securities</w:t>
            </w:r>
          </w:p>
        </w:tc>
        <w:tc>
          <w:tcPr>
            <w:tcW w:w="48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4200" w:type="dxa"/>
            <w:vAlign w:val="bottom"/>
          </w:tcPr>
          <w:p>
            <w:pPr>
              <w:ind w:left="260"/>
              <w:spacing w:after="0" w:line="145" w:lineRule="exact"/>
              <w:rPr>
                <w:sz w:val="20"/>
                <w:szCs w:val="20"/>
                <w:color w:val="auto"/>
              </w:rPr>
            </w:pPr>
            <w:r>
              <w:rPr>
                <w:rFonts w:ascii="Arial" w:cs="Arial" w:eastAsia="Arial" w:hAnsi="Arial"/>
                <w:sz w:val="13"/>
                <w:szCs w:val="13"/>
                <w:color w:val="auto"/>
              </w:rPr>
              <w:t>Net loss</w:t>
            </w:r>
          </w:p>
        </w:tc>
        <w:tc>
          <w:tcPr>
            <w:tcW w:w="4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4200" w:type="dxa"/>
            <w:vAlign w:val="bottom"/>
          </w:tcPr>
          <w:p>
            <w:pPr>
              <w:spacing w:after="0"/>
              <w:rPr>
                <w:sz w:val="20"/>
                <w:szCs w:val="20"/>
                <w:color w:val="auto"/>
              </w:rPr>
            </w:pPr>
            <w:r>
              <w:rPr>
                <w:rFonts w:ascii="Arial" w:cs="Arial" w:eastAsia="Arial" w:hAnsi="Arial"/>
                <w:sz w:val="13"/>
                <w:szCs w:val="13"/>
                <w:color w:val="auto"/>
              </w:rPr>
              <w:t>Balance at December 31, 2018</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47,267</w:t>
            </w:r>
          </w:p>
        </w:tc>
        <w:tc>
          <w:tcPr>
            <w:tcW w:w="660" w:type="dxa"/>
            <w:vAlign w:val="bottom"/>
            <w:gridSpan w:val="2"/>
          </w:tcPr>
          <w:p>
            <w:pPr>
              <w:jc w:val="right"/>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xml:space="preserve"> 294,874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-1969770</wp:posOffset>
            </wp:positionV>
            <wp:extent cx="6784975" cy="19792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784975" cy="1979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1"/>
        </w:trPr>
        <w:tc>
          <w:tcPr>
            <w:tcW w:w="1280" w:type="dxa"/>
            <w:vAlign w:val="bottom"/>
            <w:gridSpan w:val="5"/>
            <w:vMerge w:val="restart"/>
          </w:tcPr>
          <w:p>
            <w:pPr>
              <w:ind w:left="120"/>
              <w:spacing w:after="0"/>
              <w:rPr>
                <w:sz w:val="20"/>
                <w:szCs w:val="20"/>
                <w:color w:val="auto"/>
              </w:rPr>
            </w:pPr>
            <w:r>
              <w:rPr>
                <w:rFonts w:ascii="Arial" w:cs="Arial" w:eastAsia="Arial" w:hAnsi="Arial"/>
                <w:sz w:val="11"/>
                <w:szCs w:val="11"/>
                <w:b w:val="1"/>
                <w:bCs w:val="1"/>
                <w:color w:val="auto"/>
              </w:rPr>
              <w:t>Common Stock</w:t>
            </w: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Additional</w:t>
            </w:r>
          </w:p>
        </w:tc>
        <w:tc>
          <w:tcPr>
            <w:tcW w:w="160" w:type="dxa"/>
            <w:vAlign w:val="bottom"/>
          </w:tcPr>
          <w:p>
            <w:pPr>
              <w:spacing w:after="0"/>
              <w:rPr>
                <w:sz w:val="11"/>
                <w:szCs w:val="11"/>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Other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0"/>
        </w:trPr>
        <w:tc>
          <w:tcPr>
            <w:tcW w:w="128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Paid-In</w:t>
            </w:r>
          </w:p>
        </w:tc>
        <w:tc>
          <w:tcPr>
            <w:tcW w:w="1100" w:type="dxa"/>
            <w:vAlign w:val="bottom"/>
            <w:gridSpan w:val="3"/>
          </w:tcPr>
          <w:p>
            <w:pPr>
              <w:spacing w:after="0"/>
              <w:rPr>
                <w:sz w:val="20"/>
                <w:szCs w:val="20"/>
                <w:color w:val="auto"/>
              </w:rPr>
            </w:pPr>
            <w:r>
              <w:rPr>
                <w:rFonts w:ascii="Arial" w:cs="Arial" w:eastAsia="Arial" w:hAnsi="Arial"/>
                <w:sz w:val="11"/>
                <w:szCs w:val="11"/>
                <w:b w:val="1"/>
                <w:bCs w:val="1"/>
                <w:color w:val="auto"/>
              </w:rPr>
              <w:t>Comprehensive</w:t>
            </w:r>
          </w:p>
        </w:tc>
        <w:tc>
          <w:tcPr>
            <w:tcW w:w="880" w:type="dxa"/>
            <w:vAlign w:val="bottom"/>
            <w:gridSpan w:val="3"/>
          </w:tcPr>
          <w:p>
            <w:pPr>
              <w:spacing w:after="0"/>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11"/>
                <w:szCs w:val="11"/>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24"/>
        </w:trPr>
        <w:tc>
          <w:tcPr>
            <w:tcW w:w="640" w:type="dxa"/>
            <w:vAlign w:val="bottom"/>
            <w:tcBorders>
              <w:top w:val="single" w:sz="8" w:color="auto"/>
            </w:tcBorders>
            <w:gridSpan w:val="2"/>
          </w:tcPr>
          <w:p>
            <w:pPr>
              <w:jc w:val="right"/>
              <w:ind w:right="260"/>
              <w:spacing w:after="0" w:line="124" w:lineRule="exact"/>
              <w:rPr>
                <w:sz w:val="20"/>
                <w:szCs w:val="20"/>
                <w:color w:val="auto"/>
              </w:rPr>
            </w:pPr>
            <w:r>
              <w:rPr>
                <w:rFonts w:ascii="Arial" w:cs="Arial" w:eastAsia="Arial" w:hAnsi="Arial"/>
                <w:sz w:val="11"/>
                <w:szCs w:val="11"/>
                <w:b w:val="1"/>
                <w:bCs w:val="1"/>
                <w:color w:val="auto"/>
                <w:w w:val="97"/>
              </w:rPr>
              <w:t>Shares</w:t>
            </w:r>
          </w:p>
        </w:tc>
        <w:tc>
          <w:tcPr>
            <w:tcW w:w="440" w:type="dxa"/>
            <w:vAlign w:val="bottom"/>
            <w:tcBorders>
              <w:top w:val="single" w:sz="8" w:color="auto"/>
            </w:tcBorders>
            <w:gridSpan w:val="2"/>
          </w:tcPr>
          <w:p>
            <w:pPr>
              <w:spacing w:after="0" w:line="124" w:lineRule="exact"/>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360"/>
              <w:spacing w:after="0" w:line="124" w:lineRule="exact"/>
              <w:rPr>
                <w:sz w:val="20"/>
                <w:szCs w:val="20"/>
                <w:color w:val="auto"/>
              </w:rPr>
            </w:pPr>
            <w:r>
              <w:rPr>
                <w:rFonts w:ascii="Arial" w:cs="Arial" w:eastAsia="Arial" w:hAnsi="Arial"/>
                <w:sz w:val="11"/>
                <w:szCs w:val="11"/>
                <w:b w:val="1"/>
                <w:bCs w:val="1"/>
                <w:color w:val="auto"/>
              </w:rPr>
              <w:t>Capital</w:t>
            </w:r>
          </w:p>
        </w:tc>
        <w:tc>
          <w:tcPr>
            <w:tcW w:w="160" w:type="dxa"/>
            <w:vAlign w:val="bottom"/>
          </w:tcPr>
          <w:p>
            <w:pPr>
              <w:spacing w:after="0"/>
              <w:rPr>
                <w:sz w:val="10"/>
                <w:szCs w:val="10"/>
                <w:color w:val="auto"/>
              </w:rPr>
            </w:pPr>
          </w:p>
        </w:tc>
        <w:tc>
          <w:tcPr>
            <w:tcW w:w="940" w:type="dxa"/>
            <w:vAlign w:val="bottom"/>
            <w:gridSpan w:val="2"/>
          </w:tcPr>
          <w:p>
            <w:pPr>
              <w:jc w:val="right"/>
              <w:ind w:right="560"/>
              <w:spacing w:after="0" w:line="124" w:lineRule="exact"/>
              <w:rPr>
                <w:sz w:val="20"/>
                <w:szCs w:val="20"/>
                <w:color w:val="auto"/>
              </w:rPr>
            </w:pPr>
            <w:r>
              <w:rPr>
                <w:rFonts w:ascii="Arial" w:cs="Arial" w:eastAsia="Arial" w:hAnsi="Arial"/>
                <w:sz w:val="11"/>
                <w:szCs w:val="11"/>
                <w:b w:val="1"/>
                <w:bCs w:val="1"/>
                <w:color w:val="auto"/>
              </w:rPr>
              <w:t>Loss</w:t>
            </w:r>
          </w:p>
        </w:tc>
        <w:tc>
          <w:tcPr>
            <w:tcW w:w="140" w:type="dxa"/>
            <w:vAlign w:val="bottom"/>
          </w:tcPr>
          <w:p>
            <w:pPr>
              <w:spacing w:after="0"/>
              <w:rPr>
                <w:sz w:val="10"/>
                <w:szCs w:val="10"/>
                <w:color w:val="auto"/>
              </w:rPr>
            </w:pPr>
          </w:p>
        </w:tc>
        <w:tc>
          <w:tcPr>
            <w:tcW w:w="740" w:type="dxa"/>
            <w:vAlign w:val="bottom"/>
            <w:gridSpan w:val="2"/>
          </w:tcPr>
          <w:p>
            <w:pPr>
              <w:jc w:val="right"/>
              <w:ind w:right="340"/>
              <w:spacing w:after="0" w:line="124" w:lineRule="exact"/>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right"/>
              <w:ind w:right="240"/>
              <w:spacing w:after="0" w:line="124" w:lineRule="exact"/>
              <w:rPr>
                <w:sz w:val="20"/>
                <w:szCs w:val="20"/>
                <w:color w:val="auto"/>
              </w:rPr>
            </w:pPr>
            <w:r>
              <w:rPr>
                <w:rFonts w:ascii="Arial" w:cs="Arial" w:eastAsia="Arial" w:hAnsi="Arial"/>
                <w:sz w:val="11"/>
                <w:szCs w:val="11"/>
                <w:b w:val="1"/>
                <w:bCs w:val="1"/>
                <w:color w:val="auto"/>
              </w:rPr>
              <w:t>Deficit</w:t>
            </w:r>
          </w:p>
        </w:tc>
        <w:tc>
          <w:tcPr>
            <w:tcW w:w="0" w:type="dxa"/>
            <w:vAlign w:val="bottom"/>
          </w:tcPr>
          <w:p>
            <w:pPr>
              <w:spacing w:after="0"/>
              <w:rPr>
                <w:sz w:val="1"/>
                <w:szCs w:val="1"/>
                <w:color w:val="auto"/>
              </w:rPr>
            </w:pPr>
          </w:p>
        </w:tc>
      </w:tr>
      <w:tr>
        <w:trPr>
          <w:trHeight w:val="150"/>
        </w:trPr>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5,802</w:t>
            </w: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17,575</w:t>
            </w: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260" w:type="dxa"/>
            <w:vAlign w:val="bottom"/>
          </w:tcPr>
          <w:p>
            <w:pPr>
              <w:spacing w:after="0"/>
              <w:rPr>
                <w:sz w:val="13"/>
                <w:szCs w:val="13"/>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(132,541)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(115,062)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640" w:type="dxa"/>
            <w:vAlign w:val="bottom"/>
            <w:gridSpan w:val="2"/>
          </w:tcPr>
          <w:p>
            <w:pPr>
              <w:jc w:val="right"/>
              <w:ind w:right="260"/>
              <w:spacing w:after="0"/>
              <w:rPr>
                <w:sz w:val="20"/>
                <w:szCs w:val="20"/>
                <w:color w:val="auto"/>
              </w:rPr>
            </w:pPr>
            <w:r>
              <w:rPr>
                <w:rFonts w:ascii="Arial" w:cs="Arial" w:eastAsia="Arial" w:hAnsi="Arial"/>
                <w:sz w:val="13"/>
                <w:szCs w:val="13"/>
                <w:color w:val="auto"/>
              </w:rPr>
              <w:t>10</w:t>
            </w:r>
          </w:p>
        </w:tc>
        <w:tc>
          <w:tcPr>
            <w:tcW w:w="200" w:type="dxa"/>
            <w:vAlign w:val="bottom"/>
          </w:tcPr>
          <w:p>
            <w:pPr>
              <w:spacing w:after="0"/>
              <w:rPr>
                <w:sz w:val="23"/>
                <w:szCs w:val="23"/>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82</w:t>
            </w:r>
          </w:p>
        </w:tc>
        <w:tc>
          <w:tcPr>
            <w:tcW w:w="16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44"/>
        </w:trPr>
        <w:tc>
          <w:tcPr>
            <w:tcW w:w="640" w:type="dxa"/>
            <w:vAlign w:val="bottom"/>
            <w:gridSpan w:val="2"/>
          </w:tcPr>
          <w:p>
            <w:pPr>
              <w:jc w:val="right"/>
              <w:ind w:right="260"/>
              <w:spacing w:after="0" w:line="144" w:lineRule="exact"/>
              <w:rPr>
                <w:sz w:val="20"/>
                <w:szCs w:val="20"/>
                <w:color w:val="auto"/>
              </w:rPr>
            </w:pPr>
            <w:r>
              <w:rPr>
                <w:rFonts w:ascii="Arial" w:cs="Arial" w:eastAsia="Arial" w:hAnsi="Arial"/>
                <w:sz w:val="13"/>
                <w:szCs w:val="13"/>
                <w:color w:val="auto"/>
              </w:rPr>
              <w:t>184</w:t>
            </w:r>
          </w:p>
        </w:tc>
        <w:tc>
          <w:tcPr>
            <w:tcW w:w="200" w:type="dxa"/>
            <w:vAlign w:val="bottom"/>
          </w:tcPr>
          <w:p>
            <w:pPr>
              <w:spacing w:after="0"/>
              <w:rPr>
                <w:sz w:val="12"/>
                <w:szCs w:val="12"/>
                <w:color w:val="auto"/>
              </w:rPr>
            </w:pPr>
          </w:p>
        </w:tc>
        <w:tc>
          <w:tcPr>
            <w:tcW w:w="440" w:type="dxa"/>
            <w:vAlign w:val="bottom"/>
            <w:gridSpan w:val="2"/>
          </w:tcPr>
          <w:p>
            <w:pPr>
              <w:jc w:val="right"/>
              <w:ind w:right="20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4" w:lineRule="exact"/>
              <w:rPr>
                <w:sz w:val="20"/>
                <w:szCs w:val="20"/>
                <w:color w:val="auto"/>
              </w:rPr>
            </w:pPr>
            <w:r>
              <w:rPr>
                <w:rFonts w:ascii="Arial" w:cs="Arial" w:eastAsia="Arial" w:hAnsi="Arial"/>
                <w:sz w:val="13"/>
                <w:szCs w:val="13"/>
                <w:color w:val="auto"/>
              </w:rPr>
              <w:t>527</w:t>
            </w:r>
          </w:p>
        </w:tc>
        <w:tc>
          <w:tcPr>
            <w:tcW w:w="160" w:type="dxa"/>
            <w:vAlign w:val="bottom"/>
          </w:tcPr>
          <w:p>
            <w:pPr>
              <w:spacing w:after="0"/>
              <w:rPr>
                <w:sz w:val="12"/>
                <w:szCs w:val="12"/>
                <w:color w:val="auto"/>
              </w:rPr>
            </w:pPr>
          </w:p>
        </w:tc>
        <w:tc>
          <w:tcPr>
            <w:tcW w:w="940" w:type="dxa"/>
            <w:vAlign w:val="bottom"/>
            <w:gridSpan w:val="2"/>
          </w:tcPr>
          <w:p>
            <w:pPr>
              <w:jc w:val="right"/>
              <w:ind w:right="2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527</w:t>
            </w:r>
          </w:p>
        </w:tc>
        <w:tc>
          <w:tcPr>
            <w:tcW w:w="0" w:type="dxa"/>
            <w:vAlign w:val="bottom"/>
          </w:tcPr>
          <w:p>
            <w:pPr>
              <w:spacing w:after="0"/>
              <w:rPr>
                <w:sz w:val="1"/>
                <w:szCs w:val="1"/>
                <w:color w:val="auto"/>
              </w:rPr>
            </w:pPr>
          </w:p>
        </w:tc>
      </w:tr>
      <w:tr>
        <w:trPr>
          <w:trHeight w:val="144"/>
        </w:trPr>
        <w:tc>
          <w:tcPr>
            <w:tcW w:w="640" w:type="dxa"/>
            <w:vAlign w:val="bottom"/>
            <w:gridSpan w:val="2"/>
          </w:tcPr>
          <w:p>
            <w:pPr>
              <w:jc w:val="right"/>
              <w:ind w:right="260"/>
              <w:spacing w:after="0" w:line="144" w:lineRule="exact"/>
              <w:rPr>
                <w:sz w:val="20"/>
                <w:szCs w:val="20"/>
                <w:color w:val="auto"/>
              </w:rPr>
            </w:pPr>
            <w:r>
              <w:rPr>
                <w:rFonts w:ascii="Arial" w:cs="Arial" w:eastAsia="Arial" w:hAnsi="Arial"/>
                <w:sz w:val="13"/>
                <w:szCs w:val="13"/>
                <w:color w:val="auto"/>
              </w:rPr>
              <w:t>109</w:t>
            </w:r>
          </w:p>
        </w:tc>
        <w:tc>
          <w:tcPr>
            <w:tcW w:w="200" w:type="dxa"/>
            <w:vAlign w:val="bottom"/>
          </w:tcPr>
          <w:p>
            <w:pPr>
              <w:spacing w:after="0"/>
              <w:rPr>
                <w:sz w:val="12"/>
                <w:szCs w:val="12"/>
                <w:color w:val="auto"/>
              </w:rPr>
            </w:pPr>
          </w:p>
        </w:tc>
        <w:tc>
          <w:tcPr>
            <w:tcW w:w="440" w:type="dxa"/>
            <w:vAlign w:val="bottom"/>
            <w:gridSpan w:val="2"/>
          </w:tcPr>
          <w:p>
            <w:pPr>
              <w:jc w:val="right"/>
              <w:ind w:right="20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4" w:lineRule="exact"/>
              <w:rPr>
                <w:sz w:val="20"/>
                <w:szCs w:val="20"/>
                <w:color w:val="auto"/>
              </w:rPr>
            </w:pPr>
            <w:r>
              <w:rPr>
                <w:rFonts w:ascii="Arial" w:cs="Arial" w:eastAsia="Arial" w:hAnsi="Arial"/>
                <w:sz w:val="13"/>
                <w:szCs w:val="13"/>
                <w:color w:val="auto"/>
              </w:rPr>
              <w:t>339</w:t>
            </w:r>
          </w:p>
        </w:tc>
        <w:tc>
          <w:tcPr>
            <w:tcW w:w="160" w:type="dxa"/>
            <w:vAlign w:val="bottom"/>
          </w:tcPr>
          <w:p>
            <w:pPr>
              <w:spacing w:after="0"/>
              <w:rPr>
                <w:sz w:val="12"/>
                <w:szCs w:val="12"/>
                <w:color w:val="auto"/>
              </w:rPr>
            </w:pPr>
          </w:p>
        </w:tc>
        <w:tc>
          <w:tcPr>
            <w:tcW w:w="940" w:type="dxa"/>
            <w:vAlign w:val="bottom"/>
            <w:gridSpan w:val="2"/>
          </w:tcPr>
          <w:p>
            <w:pPr>
              <w:jc w:val="right"/>
              <w:ind w:right="2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339</w:t>
            </w:r>
          </w:p>
        </w:tc>
        <w:tc>
          <w:tcPr>
            <w:tcW w:w="0" w:type="dxa"/>
            <w:vAlign w:val="bottom"/>
          </w:tcPr>
          <w:p>
            <w:pPr>
              <w:spacing w:after="0"/>
              <w:rPr>
                <w:sz w:val="1"/>
                <w:szCs w:val="1"/>
                <w:color w:val="auto"/>
              </w:rPr>
            </w:pPr>
          </w:p>
        </w:tc>
      </w:tr>
      <w:tr>
        <w:trPr>
          <w:trHeight w:val="144"/>
        </w:trPr>
        <w:tc>
          <w:tcPr>
            <w:tcW w:w="640" w:type="dxa"/>
            <w:vAlign w:val="bottom"/>
            <w:gridSpan w:val="2"/>
          </w:tcPr>
          <w:p>
            <w:pPr>
              <w:jc w:val="right"/>
              <w:ind w:right="260"/>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0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7,624</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7,624</w:t>
            </w:r>
          </w:p>
        </w:tc>
        <w:tc>
          <w:tcPr>
            <w:tcW w:w="0" w:type="dxa"/>
            <w:vAlign w:val="bottom"/>
          </w:tcPr>
          <w:p>
            <w:pPr>
              <w:spacing w:after="0"/>
              <w:rPr>
                <w:sz w:val="1"/>
                <w:szCs w:val="1"/>
                <w:color w:val="auto"/>
              </w:rPr>
            </w:pPr>
          </w:p>
        </w:tc>
      </w:tr>
      <w:tr>
        <w:trPr>
          <w:trHeight w:val="144"/>
        </w:trPr>
        <w:tc>
          <w:tcPr>
            <w:tcW w:w="640" w:type="dxa"/>
            <w:vAlign w:val="bottom"/>
            <w:gridSpan w:val="2"/>
          </w:tcPr>
          <w:p>
            <w:pPr>
              <w:jc w:val="right"/>
              <w:ind w:right="260"/>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0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4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(329)</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(329)</w:t>
            </w:r>
          </w:p>
        </w:tc>
        <w:tc>
          <w:tcPr>
            <w:tcW w:w="0" w:type="dxa"/>
            <w:vAlign w:val="bottom"/>
          </w:tcPr>
          <w:p>
            <w:pPr>
              <w:spacing w:after="0"/>
              <w:rPr>
                <w:sz w:val="1"/>
                <w:szCs w:val="1"/>
                <w:color w:val="auto"/>
              </w:rPr>
            </w:pPr>
          </w:p>
        </w:tc>
      </w:tr>
      <w:tr>
        <w:trPr>
          <w:trHeight w:val="145"/>
        </w:trPr>
        <w:tc>
          <w:tcPr>
            <w:tcW w:w="640" w:type="dxa"/>
            <w:vAlign w:val="bottom"/>
            <w:gridSpan w:val="2"/>
          </w:tcPr>
          <w:p>
            <w:pPr>
              <w:jc w:val="right"/>
              <w:ind w:right="260"/>
              <w:spacing w:after="0" w:line="14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40" w:type="dxa"/>
            <w:vAlign w:val="bottom"/>
            <w:gridSpan w:val="2"/>
          </w:tcPr>
          <w:p>
            <w:pPr>
              <w:jc w:val="right"/>
              <w:ind w:right="260"/>
              <w:spacing w:after="0" w:line="14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(14,159)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(14,159)</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80" w:type="dxa"/>
            <w:vAlign w:val="bottom"/>
          </w:tcPr>
          <w:p>
            <w:pPr>
              <w:jc w:val="right"/>
              <w:spacing w:after="0"/>
              <w:rPr>
                <w:sz w:val="20"/>
                <w:szCs w:val="20"/>
                <w:color w:val="auto"/>
              </w:rPr>
            </w:pPr>
            <w:r>
              <w:rPr>
                <w:rFonts w:ascii="Arial" w:cs="Arial" w:eastAsia="Arial" w:hAnsi="Arial"/>
                <w:sz w:val="13"/>
                <w:szCs w:val="13"/>
                <w:color w:val="auto"/>
              </w:rPr>
              <w:t>6,105</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26,147</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(431)</w:t>
            </w:r>
          </w:p>
        </w:tc>
        <w:tc>
          <w:tcPr>
            <w:tcW w:w="1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(146,700)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(120,978)</w:t>
            </w:r>
          </w:p>
        </w:tc>
        <w:tc>
          <w:tcPr>
            <w:tcW w:w="0" w:type="dxa"/>
            <w:vAlign w:val="bottom"/>
          </w:tcPr>
          <w:p>
            <w:pPr>
              <w:spacing w:after="0"/>
              <w:rPr>
                <w:sz w:val="1"/>
                <w:szCs w:val="1"/>
                <w:color w:val="auto"/>
              </w:rPr>
            </w:pPr>
          </w:p>
        </w:tc>
      </w:tr>
      <w:tr>
        <w:trPr>
          <w:trHeight w:val="276"/>
        </w:trPr>
        <w:tc>
          <w:tcPr>
            <w:tcW w:w="640" w:type="dxa"/>
            <w:vAlign w:val="bottom"/>
            <w:gridSpan w:val="2"/>
          </w:tcPr>
          <w:p>
            <w:pPr>
              <w:jc w:val="right"/>
              <w:ind w:right="260"/>
              <w:spacing w:after="0"/>
              <w:rPr>
                <w:sz w:val="20"/>
                <w:szCs w:val="20"/>
                <w:color w:val="auto"/>
              </w:rPr>
            </w:pPr>
            <w:r>
              <w:rPr>
                <w:rFonts w:ascii="Arial" w:cs="Arial" w:eastAsia="Arial" w:hAnsi="Arial"/>
                <w:sz w:val="13"/>
                <w:szCs w:val="13"/>
                <w:color w:val="auto"/>
              </w:rPr>
              <w:t>11</w:t>
            </w:r>
          </w:p>
        </w:tc>
        <w:tc>
          <w:tcPr>
            <w:tcW w:w="200" w:type="dxa"/>
            <w:vAlign w:val="bottom"/>
          </w:tcPr>
          <w:p>
            <w:pPr>
              <w:spacing w:after="0"/>
              <w:rPr>
                <w:sz w:val="23"/>
                <w:szCs w:val="23"/>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91</w:t>
            </w:r>
          </w:p>
        </w:tc>
        <w:tc>
          <w:tcPr>
            <w:tcW w:w="16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44"/>
        </w:trPr>
        <w:tc>
          <w:tcPr>
            <w:tcW w:w="640" w:type="dxa"/>
            <w:vAlign w:val="bottom"/>
            <w:gridSpan w:val="2"/>
          </w:tcPr>
          <w:p>
            <w:pPr>
              <w:jc w:val="right"/>
              <w:ind w:right="260"/>
              <w:spacing w:after="0" w:line="144" w:lineRule="exact"/>
              <w:rPr>
                <w:sz w:val="20"/>
                <w:szCs w:val="20"/>
                <w:color w:val="auto"/>
              </w:rPr>
            </w:pPr>
            <w:r>
              <w:rPr>
                <w:rFonts w:ascii="Arial" w:cs="Arial" w:eastAsia="Arial" w:hAnsi="Arial"/>
                <w:sz w:val="13"/>
                <w:szCs w:val="13"/>
                <w:color w:val="auto"/>
              </w:rPr>
              <w:t>161</w:t>
            </w:r>
          </w:p>
        </w:tc>
        <w:tc>
          <w:tcPr>
            <w:tcW w:w="200" w:type="dxa"/>
            <w:vAlign w:val="bottom"/>
          </w:tcPr>
          <w:p>
            <w:pPr>
              <w:spacing w:after="0"/>
              <w:rPr>
                <w:sz w:val="12"/>
                <w:szCs w:val="12"/>
                <w:color w:val="auto"/>
              </w:rPr>
            </w:pPr>
          </w:p>
        </w:tc>
        <w:tc>
          <w:tcPr>
            <w:tcW w:w="440" w:type="dxa"/>
            <w:vAlign w:val="bottom"/>
            <w:gridSpan w:val="2"/>
          </w:tcPr>
          <w:p>
            <w:pPr>
              <w:jc w:val="right"/>
              <w:ind w:right="20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4" w:lineRule="exact"/>
              <w:rPr>
                <w:sz w:val="20"/>
                <w:szCs w:val="20"/>
                <w:color w:val="auto"/>
              </w:rPr>
            </w:pPr>
            <w:r>
              <w:rPr>
                <w:rFonts w:ascii="Arial" w:cs="Arial" w:eastAsia="Arial" w:hAnsi="Arial"/>
                <w:sz w:val="13"/>
                <w:szCs w:val="13"/>
                <w:color w:val="auto"/>
              </w:rPr>
              <w:t>764</w:t>
            </w:r>
          </w:p>
        </w:tc>
        <w:tc>
          <w:tcPr>
            <w:tcW w:w="160" w:type="dxa"/>
            <w:vAlign w:val="bottom"/>
          </w:tcPr>
          <w:p>
            <w:pPr>
              <w:spacing w:after="0"/>
              <w:rPr>
                <w:sz w:val="12"/>
                <w:szCs w:val="12"/>
                <w:color w:val="auto"/>
              </w:rPr>
            </w:pPr>
          </w:p>
        </w:tc>
        <w:tc>
          <w:tcPr>
            <w:tcW w:w="940" w:type="dxa"/>
            <w:vAlign w:val="bottom"/>
            <w:gridSpan w:val="2"/>
          </w:tcPr>
          <w:p>
            <w:pPr>
              <w:jc w:val="right"/>
              <w:ind w:right="2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764</w:t>
            </w:r>
          </w:p>
        </w:tc>
        <w:tc>
          <w:tcPr>
            <w:tcW w:w="0" w:type="dxa"/>
            <w:vAlign w:val="bottom"/>
          </w:tcPr>
          <w:p>
            <w:pPr>
              <w:spacing w:after="0"/>
              <w:rPr>
                <w:sz w:val="1"/>
                <w:szCs w:val="1"/>
                <w:color w:val="auto"/>
              </w:rPr>
            </w:pPr>
          </w:p>
        </w:tc>
      </w:tr>
      <w:tr>
        <w:trPr>
          <w:trHeight w:val="144"/>
        </w:trPr>
        <w:tc>
          <w:tcPr>
            <w:tcW w:w="640" w:type="dxa"/>
            <w:vAlign w:val="bottom"/>
            <w:gridSpan w:val="2"/>
          </w:tcPr>
          <w:p>
            <w:pPr>
              <w:jc w:val="right"/>
              <w:ind w:right="260"/>
              <w:spacing w:after="0" w:line="144" w:lineRule="exact"/>
              <w:rPr>
                <w:sz w:val="20"/>
                <w:szCs w:val="20"/>
                <w:color w:val="auto"/>
              </w:rPr>
            </w:pPr>
            <w:r>
              <w:rPr>
                <w:rFonts w:ascii="Arial" w:cs="Arial" w:eastAsia="Arial" w:hAnsi="Arial"/>
                <w:sz w:val="13"/>
                <w:szCs w:val="13"/>
                <w:color w:val="auto"/>
              </w:rPr>
              <w:t>479</w:t>
            </w:r>
          </w:p>
        </w:tc>
        <w:tc>
          <w:tcPr>
            <w:tcW w:w="200" w:type="dxa"/>
            <w:vAlign w:val="bottom"/>
          </w:tcPr>
          <w:p>
            <w:pPr>
              <w:spacing w:after="0"/>
              <w:rPr>
                <w:sz w:val="12"/>
                <w:szCs w:val="12"/>
                <w:color w:val="auto"/>
              </w:rPr>
            </w:pPr>
          </w:p>
        </w:tc>
        <w:tc>
          <w:tcPr>
            <w:tcW w:w="440" w:type="dxa"/>
            <w:vAlign w:val="bottom"/>
            <w:gridSpan w:val="2"/>
          </w:tcPr>
          <w:p>
            <w:pPr>
              <w:jc w:val="right"/>
              <w:ind w:right="200"/>
              <w:spacing w:after="0" w:line="144"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2,582</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2,583</w:t>
            </w:r>
          </w:p>
        </w:tc>
        <w:tc>
          <w:tcPr>
            <w:tcW w:w="0" w:type="dxa"/>
            <w:vAlign w:val="bottom"/>
          </w:tcPr>
          <w:p>
            <w:pPr>
              <w:spacing w:after="0"/>
              <w:rPr>
                <w:sz w:val="1"/>
                <w:szCs w:val="1"/>
                <w:color w:val="auto"/>
              </w:rPr>
            </w:pPr>
          </w:p>
        </w:tc>
      </w:tr>
      <w:tr>
        <w:trPr>
          <w:trHeight w:val="144"/>
        </w:trPr>
        <w:tc>
          <w:tcPr>
            <w:tcW w:w="64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(23)</w:t>
            </w:r>
          </w:p>
        </w:tc>
        <w:tc>
          <w:tcPr>
            <w:tcW w:w="200" w:type="dxa"/>
            <w:vAlign w:val="bottom"/>
          </w:tcPr>
          <w:p>
            <w:pPr>
              <w:spacing w:after="0"/>
              <w:rPr>
                <w:sz w:val="12"/>
                <w:szCs w:val="12"/>
                <w:color w:val="auto"/>
              </w:rPr>
            </w:pPr>
          </w:p>
        </w:tc>
        <w:tc>
          <w:tcPr>
            <w:tcW w:w="440" w:type="dxa"/>
            <w:vAlign w:val="bottom"/>
            <w:gridSpan w:val="2"/>
          </w:tcPr>
          <w:p>
            <w:pPr>
              <w:jc w:val="right"/>
              <w:ind w:right="20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(185)</w:t>
            </w:r>
          </w:p>
        </w:tc>
        <w:tc>
          <w:tcPr>
            <w:tcW w:w="160" w:type="dxa"/>
            <w:vAlign w:val="bottom"/>
          </w:tcPr>
          <w:p>
            <w:pPr>
              <w:spacing w:after="0"/>
              <w:rPr>
                <w:sz w:val="12"/>
                <w:szCs w:val="12"/>
                <w:color w:val="auto"/>
              </w:rPr>
            </w:pPr>
          </w:p>
        </w:tc>
        <w:tc>
          <w:tcPr>
            <w:tcW w:w="940" w:type="dxa"/>
            <w:vAlign w:val="bottom"/>
            <w:gridSpan w:val="2"/>
          </w:tcPr>
          <w:p>
            <w:pPr>
              <w:jc w:val="right"/>
              <w:ind w:right="2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144"/>
        </w:trPr>
        <w:tc>
          <w:tcPr>
            <w:tcW w:w="640" w:type="dxa"/>
            <w:vAlign w:val="bottom"/>
            <w:gridSpan w:val="2"/>
          </w:tcPr>
          <w:p>
            <w:pPr>
              <w:jc w:val="right"/>
              <w:ind w:right="260"/>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0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9,859</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9,859</w:t>
            </w:r>
          </w:p>
        </w:tc>
        <w:tc>
          <w:tcPr>
            <w:tcW w:w="0" w:type="dxa"/>
            <w:vAlign w:val="bottom"/>
          </w:tcPr>
          <w:p>
            <w:pPr>
              <w:spacing w:after="0"/>
              <w:rPr>
                <w:sz w:val="1"/>
                <w:szCs w:val="1"/>
                <w:color w:val="auto"/>
              </w:rPr>
            </w:pPr>
          </w:p>
        </w:tc>
      </w:tr>
      <w:tr>
        <w:trPr>
          <w:trHeight w:val="144"/>
        </w:trPr>
        <w:tc>
          <w:tcPr>
            <w:tcW w:w="640" w:type="dxa"/>
            <w:vAlign w:val="bottom"/>
            <w:gridSpan w:val="2"/>
          </w:tcPr>
          <w:p>
            <w:pPr>
              <w:jc w:val="right"/>
              <w:ind w:right="260"/>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0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40" w:type="dxa"/>
            <w:vAlign w:val="bottom"/>
            <w:gridSpan w:val="2"/>
          </w:tcPr>
          <w:p>
            <w:pPr>
              <w:jc w:val="right"/>
              <w:ind w:right="260"/>
              <w:spacing w:after="0" w:line="144" w:lineRule="exact"/>
              <w:rPr>
                <w:sz w:val="20"/>
                <w:szCs w:val="20"/>
                <w:color w:val="auto"/>
              </w:rPr>
            </w:pPr>
            <w:r>
              <w:rPr>
                <w:rFonts w:ascii="Arial" w:cs="Arial" w:eastAsia="Arial" w:hAnsi="Arial"/>
                <w:sz w:val="13"/>
                <w:szCs w:val="13"/>
                <w:color w:val="auto"/>
              </w:rPr>
              <w:t>164</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145"/>
        </w:trPr>
        <w:tc>
          <w:tcPr>
            <w:tcW w:w="640" w:type="dxa"/>
            <w:vAlign w:val="bottom"/>
            <w:gridSpan w:val="2"/>
          </w:tcPr>
          <w:p>
            <w:pPr>
              <w:jc w:val="right"/>
              <w:ind w:right="260"/>
              <w:spacing w:after="0" w:line="14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40" w:type="dxa"/>
            <w:vAlign w:val="bottom"/>
            <w:gridSpan w:val="2"/>
          </w:tcPr>
          <w:p>
            <w:pPr>
              <w:jc w:val="right"/>
              <w:ind w:right="260"/>
              <w:spacing w:after="0" w:line="14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(493)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(493)</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0" w:type="dxa"/>
            <w:vAlign w:val="bottom"/>
          </w:tcPr>
          <w:p>
            <w:pPr>
              <w:jc w:val="right"/>
              <w:spacing w:after="0"/>
              <w:rPr>
                <w:sz w:val="20"/>
                <w:szCs w:val="20"/>
                <w:color w:val="auto"/>
              </w:rPr>
            </w:pPr>
            <w:r>
              <w:rPr>
                <w:rFonts w:ascii="Arial" w:cs="Arial" w:eastAsia="Arial" w:hAnsi="Arial"/>
                <w:sz w:val="13"/>
                <w:szCs w:val="13"/>
                <w:color w:val="auto"/>
              </w:rPr>
              <w:t>6,733</w:t>
            </w:r>
          </w:p>
        </w:tc>
        <w:tc>
          <w:tcPr>
            <w:tcW w:w="26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7</w:t>
            </w:r>
          </w:p>
        </w:tc>
        <w:tc>
          <w:tcPr>
            <w:tcW w:w="20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39,258</w:t>
            </w:r>
          </w:p>
        </w:tc>
        <w:tc>
          <w:tcPr>
            <w:tcW w:w="28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(267)</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(147,193)</w:t>
            </w:r>
          </w:p>
        </w:tc>
        <w:tc>
          <w:tcPr>
            <w:tcW w:w="2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(108,195)</w:t>
            </w:r>
          </w:p>
        </w:tc>
        <w:tc>
          <w:tcPr>
            <w:tcW w:w="0" w:type="dxa"/>
            <w:vAlign w:val="bottom"/>
          </w:tcPr>
          <w:p>
            <w:pPr>
              <w:spacing w:after="0"/>
              <w:rPr>
                <w:sz w:val="1"/>
                <w:szCs w:val="1"/>
                <w:color w:val="auto"/>
              </w:rPr>
            </w:pP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20" w:space="280"/>
            <w:col w:w="5000"/>
          </w:cols>
          <w:pgMar w:left="240" w:top="449" w:right="659" w:bottom="1440" w:gutter="0" w:footer="0" w:header="0"/>
          <w:type w:val="continuous"/>
        </w:sectPr>
      </w:pPr>
    </w:p>
    <w:p>
      <w:pPr>
        <w:spacing w:after="0" w:line="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See accompanying notes to the consolidated financial statements.</w:t>
      </w:r>
    </w:p>
    <w:p>
      <w:pPr>
        <w:spacing w:after="0" w:line="163"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000"/>
          </w:cols>
          <w:pgMar w:left="240" w:top="449" w:right="659" w:bottom="1440" w:gutter="0" w:footer="0" w:header="0"/>
          <w:type w:val="continuous"/>
        </w:sectPr>
      </w:pPr>
    </w:p>
    <w:bookmarkStart w:id="218" w:name="page219"/>
    <w:bookmarkEnd w:id="2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88"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w:t>
      </w:r>
    </w:p>
    <w:p>
      <w:pPr>
        <w:spacing w:after="0" w:line="24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3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54"/>
              <w:spacing w:after="0" w:line="150"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53"/>
              <w:spacing w:after="0" w:line="150"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320" w:type="dxa"/>
            <w:vAlign w:val="bottom"/>
            <w:shd w:val="clear" w:color="auto" w:fill="CCEEFF"/>
          </w:tcPr>
          <w:p>
            <w:pPr>
              <w:spacing w:after="0" w:line="176" w:lineRule="exact"/>
              <w:rPr>
                <w:sz w:val="20"/>
                <w:szCs w:val="20"/>
                <w:color w:val="auto"/>
              </w:rPr>
            </w:pPr>
            <w:r>
              <w:rPr>
                <w:rFonts w:ascii="Arial" w:cs="Arial" w:eastAsia="Arial" w:hAnsi="Arial"/>
                <w:sz w:val="17"/>
                <w:szCs w:val="17"/>
                <w:b w:val="1"/>
                <w:bCs w:val="1"/>
                <w:color w:val="auto"/>
              </w:rPr>
              <w:t>Cash flows from operating activities</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tcPr>
          <w:p>
            <w:pPr>
              <w:spacing w:after="0"/>
              <w:rPr>
                <w:sz w:val="20"/>
                <w:szCs w:val="20"/>
                <w:color w:val="auto"/>
              </w:rPr>
            </w:pPr>
            <w:r>
              <w:rPr>
                <w:rFonts w:ascii="Arial" w:cs="Arial" w:eastAsia="Arial" w:hAnsi="Arial"/>
                <w:sz w:val="17"/>
                <w:szCs w:val="17"/>
                <w:color w:val="auto"/>
              </w:rPr>
              <w:t>Net loss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560"/>
              <w:spacing w:after="0"/>
              <w:rPr>
                <w:sz w:val="20"/>
                <w:szCs w:val="20"/>
                <w:color w:val="auto"/>
              </w:rPr>
            </w:pPr>
            <w:r>
              <w:rPr>
                <w:rFonts w:ascii="Arial" w:cs="Arial" w:eastAsia="Arial" w:hAnsi="Arial"/>
                <w:sz w:val="17"/>
                <w:szCs w:val="17"/>
                <w:color w:val="auto"/>
              </w:rPr>
              <w:t>(14,159)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(493)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tcPr>
          <w:p>
            <w:pPr>
              <w:ind w:left="320"/>
              <w:spacing w:after="0"/>
              <w:rPr>
                <w:sz w:val="20"/>
                <w:szCs w:val="20"/>
                <w:color w:val="auto"/>
              </w:rPr>
            </w:pPr>
            <w:r>
              <w:rPr>
                <w:rFonts w:ascii="Arial" w:cs="Arial" w:eastAsia="Arial" w:hAnsi="Arial"/>
                <w:sz w:val="17"/>
                <w:szCs w:val="17"/>
                <w:color w:val="auto"/>
              </w:rPr>
              <w:t>Depreciation</w:t>
            </w:r>
          </w:p>
        </w:tc>
        <w:tc>
          <w:tcPr>
            <w:tcW w:w="100" w:type="dxa"/>
            <w:vAlign w:val="bottom"/>
          </w:tcPr>
          <w:p>
            <w:pPr>
              <w:spacing w:after="0"/>
              <w:rPr>
                <w:sz w:val="17"/>
                <w:szCs w:val="17"/>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6,441</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7,223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Amortization of premium (discount) on marketable securities</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241</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tcPr>
          <w:p>
            <w:pPr>
              <w:ind w:left="320"/>
              <w:spacing w:after="0"/>
              <w:rPr>
                <w:sz w:val="20"/>
                <w:szCs w:val="20"/>
                <w:color w:val="auto"/>
              </w:rPr>
            </w:pPr>
            <w:r>
              <w:rPr>
                <w:rFonts w:ascii="Arial" w:cs="Arial" w:eastAsia="Arial" w:hAnsi="Arial"/>
                <w:sz w:val="17"/>
                <w:szCs w:val="17"/>
                <w:color w:val="auto"/>
              </w:rPr>
              <w:t>Stock-based compensation expenses</w:t>
            </w:r>
          </w:p>
        </w:tc>
        <w:tc>
          <w:tcPr>
            <w:tcW w:w="100" w:type="dxa"/>
            <w:vAlign w:val="bottom"/>
          </w:tcPr>
          <w:p>
            <w:pPr>
              <w:spacing w:after="0"/>
              <w:rPr>
                <w:sz w:val="17"/>
                <w:szCs w:val="17"/>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7,717</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9,962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 in fair value of convertible preferred stock warrant liability</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tcPr>
          <w:p>
            <w:pPr>
              <w:ind w:left="320"/>
              <w:spacing w:after="0"/>
              <w:rPr>
                <w:sz w:val="20"/>
                <w:szCs w:val="20"/>
                <w:color w:val="auto"/>
              </w:rPr>
            </w:pPr>
            <w:r>
              <w:rPr>
                <w:rFonts w:ascii="Arial" w:cs="Arial" w:eastAsia="Arial" w:hAnsi="Arial"/>
                <w:sz w:val="17"/>
                <w:szCs w:val="17"/>
                <w:color w:val="auto"/>
              </w:rPr>
              <w:t>Other non-cash expenses</w:t>
            </w:r>
          </w:p>
        </w:tc>
        <w:tc>
          <w:tcPr>
            <w:tcW w:w="100" w:type="dxa"/>
            <w:vAlign w:val="bottom"/>
          </w:tcPr>
          <w:p>
            <w:pPr>
              <w:spacing w:after="0"/>
              <w:rPr>
                <w:sz w:val="17"/>
                <w:szCs w:val="17"/>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Changes in operating assets and liabilities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tcPr>
          <w:p>
            <w:pPr>
              <w:ind w:left="660"/>
              <w:spacing w:after="0"/>
              <w:rPr>
                <w:sz w:val="20"/>
                <w:szCs w:val="20"/>
                <w:color w:val="auto"/>
              </w:rPr>
            </w:pPr>
            <w:r>
              <w:rPr>
                <w:rFonts w:ascii="Arial" w:cs="Arial" w:eastAsia="Arial" w:hAnsi="Arial"/>
                <w:sz w:val="17"/>
                <w:szCs w:val="17"/>
                <w:color w:val="auto"/>
              </w:rPr>
              <w:t>Receivable from related party collaboration</w:t>
            </w:r>
          </w:p>
        </w:tc>
        <w:tc>
          <w:tcPr>
            <w:tcW w:w="100" w:type="dxa"/>
            <w:vAlign w:val="bottom"/>
          </w:tcPr>
          <w:p>
            <w:pPr>
              <w:spacing w:after="0"/>
              <w:rPr>
                <w:sz w:val="17"/>
                <w:szCs w:val="17"/>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2,769</w:t>
            </w:r>
          </w:p>
        </w:tc>
        <w:tc>
          <w:tcPr>
            <w:tcW w:w="1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(3,669)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Prepaid expenses and other assets</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(1,103)</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(4,365)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tcPr>
          <w:p>
            <w:pPr>
              <w:ind w:left="660"/>
              <w:spacing w:after="0"/>
              <w:rPr>
                <w:sz w:val="20"/>
                <w:szCs w:val="20"/>
                <w:color w:val="auto"/>
              </w:rPr>
            </w:pPr>
            <w:r>
              <w:rPr>
                <w:rFonts w:ascii="Arial" w:cs="Arial" w:eastAsia="Arial" w:hAnsi="Arial"/>
                <w:sz w:val="17"/>
                <w:szCs w:val="17"/>
                <w:color w:val="auto"/>
              </w:rPr>
              <w:t>Accounts payable</w:t>
            </w:r>
          </w:p>
        </w:tc>
        <w:tc>
          <w:tcPr>
            <w:tcW w:w="100" w:type="dxa"/>
            <w:vAlign w:val="bottom"/>
          </w:tcPr>
          <w:p>
            <w:pPr>
              <w:spacing w:after="0"/>
              <w:rPr>
                <w:sz w:val="17"/>
                <w:szCs w:val="17"/>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7"/>
                <w:szCs w:val="17"/>
                <w:color w:val="auto"/>
              </w:rPr>
              <w:t>(4,230)</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3,484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Accrued expenses and other liabilities</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2,603</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tcPr>
          <w:p>
            <w:pPr>
              <w:ind w:left="660"/>
              <w:spacing w:after="0"/>
              <w:rPr>
                <w:sz w:val="20"/>
                <w:szCs w:val="20"/>
                <w:color w:val="auto"/>
              </w:rPr>
            </w:pPr>
            <w:r>
              <w:rPr>
                <w:rFonts w:ascii="Arial" w:cs="Arial" w:eastAsia="Arial" w:hAnsi="Arial"/>
                <w:sz w:val="17"/>
                <w:szCs w:val="17"/>
                <w:color w:val="auto"/>
              </w:rPr>
              <w:t>Deferred rent</w:t>
            </w:r>
          </w:p>
        </w:tc>
        <w:tc>
          <w:tcPr>
            <w:tcW w:w="100" w:type="dxa"/>
            <w:vAlign w:val="bottom"/>
          </w:tcPr>
          <w:p>
            <w:pPr>
              <w:spacing w:after="0"/>
              <w:rPr>
                <w:sz w:val="17"/>
                <w:szCs w:val="17"/>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7"/>
                <w:szCs w:val="17"/>
                <w:color w:val="auto"/>
              </w:rPr>
              <w:t>(1,256)</w:t>
            </w:r>
          </w:p>
        </w:tc>
        <w:tc>
          <w:tcPr>
            <w:tcW w:w="1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(1,957)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Deferred revenue</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(16,521)</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320" w:type="dxa"/>
            <w:vAlign w:val="bottom"/>
          </w:tcPr>
          <w:p>
            <w:pPr>
              <w:ind w:left="1020"/>
              <w:spacing w:after="0"/>
              <w:rPr>
                <w:sz w:val="20"/>
                <w:szCs w:val="20"/>
                <w:color w:val="auto"/>
              </w:rPr>
            </w:pPr>
            <w:r>
              <w:rPr>
                <w:rFonts w:ascii="Arial" w:cs="Arial" w:eastAsia="Arial" w:hAnsi="Arial"/>
                <w:sz w:val="17"/>
                <w:szCs w:val="17"/>
                <w:color w:val="auto"/>
              </w:rPr>
              <w:t>Net cash (used in) operating activities</w:t>
            </w:r>
          </w:p>
        </w:tc>
        <w:tc>
          <w:tcPr>
            <w:tcW w:w="1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7"/>
                <w:szCs w:val="17"/>
                <w:color w:val="auto"/>
              </w:rPr>
              <w:t>(17,413)</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(7,597)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tcPr>
          <w:p>
            <w:pPr>
              <w:ind w:left="320"/>
              <w:spacing w:after="0"/>
              <w:rPr>
                <w:sz w:val="20"/>
                <w:szCs w:val="20"/>
                <w:color w:val="auto"/>
              </w:rPr>
            </w:pPr>
            <w:r>
              <w:rPr>
                <w:rFonts w:ascii="Arial" w:cs="Arial" w:eastAsia="Arial" w:hAnsi="Arial"/>
                <w:sz w:val="17"/>
                <w:szCs w:val="17"/>
                <w:color w:val="auto"/>
              </w:rPr>
              <w:t>Purchase of marketable securities</w:t>
            </w:r>
          </w:p>
        </w:tc>
        <w:tc>
          <w:tcPr>
            <w:tcW w:w="100" w:type="dxa"/>
            <w:vAlign w:val="bottom"/>
          </w:tcPr>
          <w:p>
            <w:pPr>
              <w:spacing w:after="0"/>
              <w:rPr>
                <w:sz w:val="17"/>
                <w:szCs w:val="17"/>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7"/>
                <w:szCs w:val="17"/>
                <w:color w:val="auto"/>
              </w:rPr>
              <w:t>(217,291)</w:t>
            </w:r>
          </w:p>
        </w:tc>
        <w:tc>
          <w:tcPr>
            <w:tcW w:w="1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(133,609)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Proceeds from maturities of marketable securities</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220,917</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178,182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tcPr>
          <w:p>
            <w:pPr>
              <w:ind w:left="320"/>
              <w:spacing w:after="0"/>
              <w:rPr>
                <w:sz w:val="20"/>
                <w:szCs w:val="20"/>
                <w:color w:val="auto"/>
              </w:rPr>
            </w:pPr>
            <w:r>
              <w:rPr>
                <w:rFonts w:ascii="Arial" w:cs="Arial" w:eastAsia="Arial" w:hAnsi="Arial"/>
                <w:sz w:val="17"/>
                <w:szCs w:val="17"/>
                <w:color w:val="auto"/>
              </w:rPr>
              <w:t>Purchase of property and equipment</w:t>
            </w:r>
          </w:p>
        </w:tc>
        <w:tc>
          <w:tcPr>
            <w:tcW w:w="100" w:type="dxa"/>
            <w:vAlign w:val="bottom"/>
          </w:tcPr>
          <w:p>
            <w:pPr>
              <w:spacing w:after="0"/>
              <w:rPr>
                <w:sz w:val="17"/>
                <w:szCs w:val="17"/>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7"/>
                <w:szCs w:val="17"/>
                <w:color w:val="auto"/>
              </w:rPr>
              <w:t>(6,422)</w:t>
            </w:r>
          </w:p>
        </w:tc>
        <w:tc>
          <w:tcPr>
            <w:tcW w:w="1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(5,844)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Net cash (used in) provided by investing activities</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(2,796)</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38,729</w:t>
            </w:r>
          </w:p>
        </w:tc>
        <w:tc>
          <w:tcPr>
            <w:tcW w:w="0" w:type="dxa"/>
            <w:vAlign w:val="bottom"/>
          </w:tcPr>
          <w:p>
            <w:pPr>
              <w:spacing w:after="0"/>
              <w:rPr>
                <w:sz w:val="1"/>
                <w:szCs w:val="1"/>
                <w:color w:val="auto"/>
              </w:rPr>
            </w:pPr>
          </w:p>
        </w:tc>
      </w:tr>
      <w:tr>
        <w:trPr>
          <w:trHeight w:val="203"/>
        </w:trPr>
        <w:tc>
          <w:tcPr>
            <w:tcW w:w="8340" w:type="dxa"/>
            <w:vAlign w:val="bottom"/>
            <w:gridSpan w:val="2"/>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Proceeds from issuance of common stock upon exercise of stock options</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339</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tcPr>
          <w:p>
            <w:pPr>
              <w:ind w:left="320"/>
              <w:spacing w:after="0"/>
              <w:rPr>
                <w:sz w:val="20"/>
                <w:szCs w:val="20"/>
                <w:color w:val="auto"/>
              </w:rPr>
            </w:pPr>
            <w:r>
              <w:rPr>
                <w:rFonts w:ascii="Arial" w:cs="Arial" w:eastAsia="Arial" w:hAnsi="Arial"/>
                <w:sz w:val="17"/>
                <w:szCs w:val="17"/>
                <w:color w:val="auto"/>
              </w:rPr>
              <w:t>Payments of deferred financing costs</w:t>
            </w:r>
          </w:p>
        </w:tc>
        <w:tc>
          <w:tcPr>
            <w:tcW w:w="100" w:type="dxa"/>
            <w:vAlign w:val="bottom"/>
          </w:tcPr>
          <w:p>
            <w:pPr>
              <w:spacing w:after="0"/>
              <w:rPr>
                <w:sz w:val="17"/>
                <w:szCs w:val="17"/>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(2,200)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Repurchase of common stock</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1020"/>
              <w:spacing w:after="0"/>
              <w:rPr>
                <w:sz w:val="20"/>
                <w:szCs w:val="20"/>
                <w:color w:val="auto"/>
              </w:rPr>
            </w:pPr>
            <w:r>
              <w:rPr>
                <w:rFonts w:ascii="Arial" w:cs="Arial" w:eastAsia="Arial" w:hAnsi="Arial"/>
                <w:sz w:val="17"/>
                <w:szCs w:val="17"/>
                <w:color w:val="auto"/>
              </w:rPr>
              <w:t>Net cash provided by financing activities</w:t>
            </w:r>
          </w:p>
        </w:tc>
        <w:tc>
          <w:tcPr>
            <w:tcW w:w="100" w:type="dxa"/>
            <w:vAlign w:val="bottom"/>
          </w:tcPr>
          <w:p>
            <w:pPr>
              <w:spacing w:after="0"/>
              <w:rPr>
                <w:sz w:val="17"/>
                <w:szCs w:val="17"/>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339</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7"/>
                <w:szCs w:val="17"/>
                <w:color w:val="auto"/>
              </w:rPr>
              <w:t>Net (decrease) increase in cash, cash equivalents, and restricted cash</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(19,870)</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31,330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tcPr>
          <w:p>
            <w:pPr>
              <w:spacing w:after="0"/>
              <w:rPr>
                <w:sz w:val="20"/>
                <w:szCs w:val="20"/>
                <w:color w:val="auto"/>
              </w:rPr>
            </w:pPr>
            <w:r>
              <w:rPr>
                <w:rFonts w:ascii="Arial" w:cs="Arial" w:eastAsia="Arial" w:hAnsi="Arial"/>
                <w:sz w:val="17"/>
                <w:szCs w:val="17"/>
                <w:color w:val="auto"/>
              </w:rPr>
              <w:t>Cash, cash equivalents, and restricted cash at beginning of period</w:t>
            </w:r>
          </w:p>
        </w:tc>
        <w:tc>
          <w:tcPr>
            <w:tcW w:w="100" w:type="dxa"/>
            <w:vAlign w:val="bottom"/>
          </w:tcPr>
          <w:p>
            <w:pPr>
              <w:spacing w:after="0"/>
              <w:rPr>
                <w:sz w:val="17"/>
                <w:szCs w:val="17"/>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47,712</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27,842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7"/>
                <w:szCs w:val="17"/>
                <w:color w:val="auto"/>
              </w:rPr>
              <w:t>Cash, cash equivalents, and restricted cash</w:t>
            </w:r>
            <w:r>
              <w:rPr>
                <w:rFonts w:ascii="Arial" w:cs="Arial" w:eastAsia="Arial" w:hAnsi="Arial"/>
                <w:sz w:val="14"/>
                <w:szCs w:val="14"/>
                <w:color w:val="auto"/>
              </w:rPr>
              <w:t>(1)</w:t>
            </w:r>
            <w:r>
              <w:rPr>
                <w:rFonts w:ascii="Arial" w:cs="Arial" w:eastAsia="Arial" w:hAnsi="Arial"/>
                <w:sz w:val="17"/>
                <w:szCs w:val="17"/>
                <w:color w:val="auto"/>
              </w:rPr>
              <w:t xml:space="preserve">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27,842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59,172</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Income taxes paid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536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tcPr>
          <w:p>
            <w:pPr>
              <w:spacing w:after="0"/>
              <w:rPr>
                <w:sz w:val="20"/>
                <w:szCs w:val="20"/>
                <w:color w:val="auto"/>
              </w:rPr>
            </w:pPr>
            <w:r>
              <w:rPr>
                <w:rFonts w:ascii="Arial" w:cs="Arial" w:eastAsia="Arial" w:hAnsi="Arial"/>
                <w:sz w:val="17"/>
                <w:szCs w:val="17"/>
                <w:b w:val="1"/>
                <w:bCs w:val="1"/>
                <w:color w:val="auto"/>
              </w:rPr>
              <w:t>Non-cash investing and financing activities:</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Vesting of common stock from early exercises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527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tcPr>
          <w:p>
            <w:pPr>
              <w:ind w:left="320"/>
              <w:spacing w:after="0"/>
              <w:rPr>
                <w:sz w:val="20"/>
                <w:szCs w:val="20"/>
                <w:color w:val="auto"/>
              </w:rPr>
            </w:pPr>
            <w:r>
              <w:rPr>
                <w:rFonts w:ascii="Arial" w:cs="Arial" w:eastAsia="Arial" w:hAnsi="Arial"/>
                <w:sz w:val="17"/>
                <w:szCs w:val="17"/>
                <w:color w:val="auto"/>
              </w:rPr>
              <w:t>Cost of property and equipment in accounts payable and accrued liabilities</w:t>
            </w:r>
          </w:p>
        </w:tc>
        <w:tc>
          <w:tcPr>
            <w:tcW w:w="100" w:type="dxa"/>
            <w:vAlign w:val="bottom"/>
          </w:tcPr>
          <w:p>
            <w:pPr>
              <w:spacing w:after="0"/>
              <w:rPr>
                <w:sz w:val="17"/>
                <w:szCs w:val="17"/>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607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IPO costs in accounts payable and accrued liabilities</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900" w:hanging="529"/>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Includes restricted cash of $2,249 included in the consolidated balance sheets at December 31, 2017 and 2018</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See accompanying notes to the consolidated financial statements.</w:t>
      </w:r>
    </w:p>
    <w:p>
      <w:pPr>
        <w:spacing w:after="0" w:line="16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060"/>
          </w:cols>
          <w:pgMar w:left="240" w:top="449" w:right="599" w:bottom="1440" w:gutter="0" w:footer="0" w:header="0"/>
        </w:sectPr>
      </w:pPr>
    </w:p>
    <w:bookmarkStart w:id="219" w:name="page220"/>
    <w:bookmarkEnd w:id="2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1. Organization and Description of Business</w:t>
      </w:r>
    </w:p>
    <w:p>
      <w:pPr>
        <w:spacing w:after="0" w:line="128" w:lineRule="exact"/>
        <w:rPr>
          <w:sz w:val="20"/>
          <w:szCs w:val="20"/>
          <w:color w:val="auto"/>
        </w:rPr>
      </w:pPr>
    </w:p>
    <w:p>
      <w:pPr>
        <w:ind w:left="380" w:right="100" w:firstLine="534"/>
        <w:spacing w:after="0" w:line="245" w:lineRule="auto"/>
        <w:rPr>
          <w:sz w:val="20"/>
          <w:szCs w:val="20"/>
          <w:color w:val="auto"/>
        </w:rPr>
      </w:pPr>
      <w:r>
        <w:rPr>
          <w:rFonts w:ascii="Arial" w:cs="Arial" w:eastAsia="Arial" w:hAnsi="Arial"/>
          <w:sz w:val="17"/>
          <w:szCs w:val="17"/>
          <w:color w:val="auto"/>
        </w:rPr>
        <w:t>NGM Biopharmaceuticals, Inc. and its wholly owned subsidiary (collectively referred to as the “Company”) is a research-driven, clinical-stage biopharmaceutical company committed to discovering and developing first-in-class therapeutics for major diseases with an initial focus on cardio-metabolic and liver diseases. The Company’s current portfolio is composed of seven product candidates (NGM282, NGM313, NGM386, NGM395, NGM217, NGM120 and NGM621) focused on non-alcoholic steatohepatitis, or NASH, type 2 diabetes, obesity, oncology and age-related macular degeneration, or AMD.</w:t>
      </w:r>
    </w:p>
    <w:p>
      <w:pPr>
        <w:spacing w:after="0" w:line="19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Company was incorporated in Delaware on December 20, 2007 and its headquarters are located at 333 Oyster Point Blvd.</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South San Francisco, California 94080. The Company operates in one business segment.</w:t>
      </w:r>
    </w:p>
    <w:p>
      <w:pPr>
        <w:spacing w:after="0" w:line="29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Basis of Presentation and Principles of Consolidation</w:t>
      </w:r>
    </w:p>
    <w:p>
      <w:pPr>
        <w:spacing w:after="0" w:line="126" w:lineRule="exact"/>
        <w:rPr>
          <w:sz w:val="20"/>
          <w:szCs w:val="20"/>
          <w:color w:val="auto"/>
        </w:rPr>
      </w:pPr>
    </w:p>
    <w:p>
      <w:pPr>
        <w:jc w:val="both"/>
        <w:ind w:left="380" w:right="100" w:firstLine="534"/>
        <w:spacing w:after="0" w:line="250" w:lineRule="auto"/>
        <w:rPr>
          <w:sz w:val="20"/>
          <w:szCs w:val="20"/>
          <w:color w:val="auto"/>
        </w:rPr>
      </w:pPr>
      <w:r>
        <w:rPr>
          <w:rFonts w:ascii="Arial" w:cs="Arial" w:eastAsia="Arial" w:hAnsi="Arial"/>
          <w:sz w:val="17"/>
          <w:szCs w:val="17"/>
          <w:color w:val="auto"/>
        </w:rPr>
        <w:t>The accompanying consolidated financial statements have been prepared in accordance with U.S. generally accepted accounting principles (U.S. GAAP) and include the consolidated accounts of the Company and its subsidiary. During 2012, the Company established a wholly owned foreign subsidiary in Australia. All intercompany balances and transactions have been eliminated in consolidation.</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Stock Split</w:t>
      </w:r>
    </w:p>
    <w:p>
      <w:pPr>
        <w:spacing w:after="0" w:line="126"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On March 22, 2019, the Company filed an amendment to the Company’s amended and restated certificate of incorporation to effect a reverse split of shares of the Company’s common stock on a one-for-two basis (the Reverse Stock Split). In connection with the Reverse Stock Split, the conversion ratio for the Company’s outstanding convertible preferred stock was proportionately adjusted such that the common stock issuable upon conversion of such preferred stock was decreased in proportion to the Reverse Stock Split. The par value of the common stock was not adjusted as a result of the Reverse Stock Split. All references to common stock, options to purchase common stock, early exercised options, share data, per share data, convertible preferred stock (to the extent presented on an as-converted to common stock basis) and related information contained in these consolidated financial statements have been retrospectively adjusted to reflect the effect of the Reverse Stock Split for all periods presented.</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Unaudited Pro Forma Stockholders’ Equity and Net Loss per Common Share</w:t>
      </w:r>
    </w:p>
    <w:p>
      <w:pPr>
        <w:spacing w:after="0" w:line="126"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The December 31, 2018 unaudited pro forma stockholders’ equity has been prepared assuming upon the closing of the Company’s initial public offering (IPO): (1) the automatic conversion of all outstanding shares of convertible preferred stock into shares of common stock and (2) the conversion of the warrant exercisable for convertible preferred stock outstanding as of December 31, 2018 into a warrant exercisable for shares of common stock, resulting in the reclassification of the related convertible preferred stock warrant liability to additional paid-in capital. All warrants for preferred stock will automatically net exercise into 16,380 shares of Series A Preferred stock on February 3, 2019. The</w:t>
      </w:r>
    </w:p>
    <w:p>
      <w:pPr>
        <w:spacing w:after="0" w:line="13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040"/>
          </w:cols>
          <w:pgMar w:left="240" w:top="449" w:right="619" w:bottom="1440" w:gutter="0" w:footer="0" w:header="0"/>
        </w:sectPr>
      </w:pPr>
    </w:p>
    <w:bookmarkStart w:id="220" w:name="page221"/>
    <w:bookmarkEnd w:id="2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7" w:lineRule="exact"/>
        <w:rPr>
          <w:sz w:val="20"/>
          <w:szCs w:val="20"/>
          <w:color w:val="auto"/>
        </w:rPr>
      </w:pPr>
    </w:p>
    <w:p>
      <w:pPr>
        <w:ind w:left="380" w:right="100"/>
        <w:spacing w:after="0" w:line="247" w:lineRule="auto"/>
        <w:rPr>
          <w:sz w:val="20"/>
          <w:szCs w:val="20"/>
          <w:color w:val="auto"/>
        </w:rPr>
      </w:pPr>
      <w:r>
        <w:rPr>
          <w:rFonts w:ascii="Arial" w:cs="Arial" w:eastAsia="Arial" w:hAnsi="Arial"/>
          <w:sz w:val="17"/>
          <w:szCs w:val="17"/>
          <w:color w:val="auto"/>
        </w:rPr>
        <w:t>unaudited pro forma stockholders’ equity does not include the shares expected to be sold and related proceeds to be received from the IPO or from the concurrent private placement of shares to Merck Sharp &amp; Dohme Corp. (Merck). For purposes of the pro forma basic and diluted net loss per common share, all shares of convertible preferred stock have been treated as though they had been converted to common stock in all periods in which such shares were outstanding.</w:t>
      </w:r>
    </w:p>
    <w:p>
      <w:pPr>
        <w:spacing w:after="0" w:line="202"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Year ended</w:t>
            </w:r>
          </w:p>
        </w:tc>
      </w:tr>
      <w:tr>
        <w:trPr>
          <w:trHeight w:val="157"/>
        </w:trPr>
        <w:tc>
          <w:tcPr>
            <w:tcW w:w="79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00" w:type="dxa"/>
            <w:vAlign w:val="bottom"/>
            <w:gridSpan w:val="3"/>
          </w:tcPr>
          <w:p>
            <w:pPr>
              <w:jc w:val="center"/>
              <w:ind w:right="120"/>
              <w:spacing w:after="0" w:line="157" w:lineRule="exact"/>
              <w:rPr>
                <w:sz w:val="20"/>
                <w:szCs w:val="20"/>
                <w:color w:val="auto"/>
              </w:rPr>
            </w:pPr>
            <w:r>
              <w:rPr>
                <w:rFonts w:ascii="Arial" w:cs="Arial" w:eastAsia="Arial" w:hAnsi="Arial"/>
                <w:sz w:val="14"/>
                <w:szCs w:val="14"/>
                <w:b w:val="1"/>
                <w:bCs w:val="1"/>
                <w:color w:val="auto"/>
                <w:w w:val="98"/>
              </w:rPr>
              <w:t>December 31,</w:t>
            </w:r>
          </w:p>
        </w:tc>
      </w:tr>
      <w:tr>
        <w:trPr>
          <w:trHeight w:val="169"/>
        </w:trPr>
        <w:tc>
          <w:tcPr>
            <w:tcW w:w="7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4"/>
                <w:szCs w:val="14"/>
                <w:color w:val="auto"/>
              </w:rPr>
            </w:pPr>
          </w:p>
        </w:tc>
      </w:tr>
      <w:tr>
        <w:trPr>
          <w:trHeight w:val="150"/>
        </w:trPr>
        <w:tc>
          <w:tcPr>
            <w:tcW w:w="79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39"/>
              <w:spacing w:after="0" w:line="150" w:lineRule="exact"/>
              <w:rPr>
                <w:sz w:val="20"/>
                <w:szCs w:val="20"/>
                <w:color w:val="auto"/>
              </w:rPr>
            </w:pPr>
            <w:r>
              <w:rPr>
                <w:rFonts w:ascii="Arial" w:cs="Arial" w:eastAsia="Arial" w:hAnsi="Arial"/>
                <w:sz w:val="14"/>
                <w:szCs w:val="14"/>
                <w:b w:val="1"/>
                <w:bCs w:val="1"/>
                <w:color w:val="auto"/>
                <w:w w:val="99"/>
              </w:rPr>
              <w:t>(unaudited)</w:t>
            </w:r>
          </w:p>
        </w:tc>
        <w:tc>
          <w:tcPr>
            <w:tcW w:w="120" w:type="dxa"/>
            <w:vAlign w:val="bottom"/>
          </w:tcPr>
          <w:p>
            <w:pPr>
              <w:spacing w:after="0"/>
              <w:rPr>
                <w:sz w:val="13"/>
                <w:szCs w:val="13"/>
                <w:color w:val="auto"/>
              </w:rPr>
            </w:pPr>
          </w:p>
        </w:tc>
      </w:tr>
      <w:tr>
        <w:trPr>
          <w:trHeight w:val="196"/>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(493)</w:t>
            </w:r>
          </w:p>
        </w:tc>
      </w:tr>
      <w:tr>
        <w:trPr>
          <w:trHeight w:val="20"/>
        </w:trPr>
        <w:tc>
          <w:tcPr>
            <w:tcW w:w="7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7960" w:type="dxa"/>
            <w:vAlign w:val="bottom"/>
          </w:tcPr>
          <w:p>
            <w:pPr>
              <w:spacing w:after="0" w:line="189" w:lineRule="exact"/>
              <w:rPr>
                <w:sz w:val="20"/>
                <w:szCs w:val="20"/>
                <w:color w:val="auto"/>
              </w:rPr>
            </w:pPr>
            <w:r>
              <w:rPr>
                <w:rFonts w:ascii="Arial" w:cs="Arial" w:eastAsia="Arial" w:hAnsi="Arial"/>
                <w:sz w:val="17"/>
                <w:szCs w:val="17"/>
                <w:color w:val="auto"/>
              </w:rPr>
              <w:t>Shares used in computing net loss per share—basic and diluted</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6,383,751</w:t>
            </w:r>
          </w:p>
        </w:tc>
      </w:tr>
      <w:tr>
        <w:trPr>
          <w:trHeight w:val="196"/>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Pro forma adjustment to reflect assumed conversion of convertible preferred stock</w:t>
            </w:r>
          </w:p>
        </w:tc>
        <w:tc>
          <w:tcPr>
            <w:tcW w:w="16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47,267,466</w:t>
            </w:r>
          </w:p>
        </w:tc>
        <w:tc>
          <w:tcPr>
            <w:tcW w:w="120" w:type="dxa"/>
            <w:vAlign w:val="bottom"/>
            <w:shd w:val="clear" w:color="auto" w:fill="CCEEFF"/>
          </w:tcPr>
          <w:p>
            <w:pPr>
              <w:spacing w:after="0"/>
              <w:rPr>
                <w:sz w:val="17"/>
                <w:szCs w:val="17"/>
                <w:color w:val="auto"/>
              </w:rPr>
            </w:pPr>
          </w:p>
        </w:tc>
      </w:tr>
      <w:tr>
        <w:trPr>
          <w:trHeight w:val="203"/>
        </w:trPr>
        <w:tc>
          <w:tcPr>
            <w:tcW w:w="7960" w:type="dxa"/>
            <w:vAlign w:val="bottom"/>
          </w:tcPr>
          <w:p>
            <w:pPr>
              <w:spacing w:after="0"/>
              <w:rPr>
                <w:sz w:val="20"/>
                <w:szCs w:val="20"/>
                <w:color w:val="auto"/>
              </w:rPr>
            </w:pPr>
            <w:r>
              <w:rPr>
                <w:rFonts w:ascii="Arial" w:cs="Arial" w:eastAsia="Arial" w:hAnsi="Arial"/>
                <w:sz w:val="17"/>
                <w:szCs w:val="17"/>
                <w:color w:val="auto"/>
              </w:rPr>
              <w:t>Shares used to compute pro forma net loss per share—basic and diluted</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53,651,217</w:t>
            </w:r>
          </w:p>
        </w:tc>
      </w:tr>
      <w:tr>
        <w:trPr>
          <w:trHeight w:val="20"/>
        </w:trPr>
        <w:tc>
          <w:tcPr>
            <w:tcW w:w="7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7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 forma net loss per share—basic and diluted</w:t>
            </w:r>
          </w:p>
        </w:tc>
        <w:tc>
          <w:tcPr>
            <w:tcW w:w="17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(0.01)</w:t>
            </w:r>
          </w:p>
        </w:tc>
      </w:tr>
      <w:tr>
        <w:trPr>
          <w:trHeight w:val="20"/>
        </w:trPr>
        <w:tc>
          <w:tcPr>
            <w:tcW w:w="7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26" w:lineRule="exact"/>
        <w:rPr>
          <w:sz w:val="20"/>
          <w:szCs w:val="20"/>
          <w:color w:val="auto"/>
        </w:rPr>
      </w:pPr>
    </w:p>
    <w:p>
      <w:pPr>
        <w:ind w:left="380" w:right="80" w:firstLine="534"/>
        <w:spacing w:after="0" w:line="243"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judgments, assumptions and estimates that affect the reported amounts of assets, liabilities, revenues and expenses. Specific accounts that require management estimates include, but are not limited to, stock-based compensation, research and development periods under multiple element agreements, the valuation of convertible preferred stock warrants, the fair value of convertible preferred and common stock, contract manufacturing accruals and clinical trial accruals.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materially from those estimates.</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Need for Additional Capital</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Since inception, the Company has incurred net losses and negative cash flow from operations. During the years ended</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December 31, 2017 and 2018, the Company incurred a net loss of $14.2 million and $0.5 million, respectively. At December 31, 2018, the</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Company had an accumulated deficit of $147.2 million and does not expect to experience positive cash flows from operations in the near</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future. The Company had $206.6 million of cash, cash equivalents and marketable securities at December 31, 2018. Based on the</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Company’s business plan, management believes this is sufficient to meet its obligations for at least the next twelve months from the</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issuance date of these consolidated financial statements.</w:t>
      </w:r>
    </w:p>
    <w:p>
      <w:pPr>
        <w:spacing w:after="0" w:line="29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Deferred Initial Public Offering Costs</w:t>
      </w:r>
    </w:p>
    <w:p>
      <w:pPr>
        <w:spacing w:after="0" w:line="126" w:lineRule="exact"/>
        <w:rPr>
          <w:sz w:val="20"/>
          <w:szCs w:val="20"/>
          <w:color w:val="auto"/>
        </w:rPr>
      </w:pPr>
    </w:p>
    <w:p>
      <w:pPr>
        <w:ind w:left="380" w:right="60" w:firstLine="534"/>
        <w:spacing w:after="0" w:line="245" w:lineRule="auto"/>
        <w:rPr>
          <w:sz w:val="20"/>
          <w:szCs w:val="20"/>
          <w:color w:val="auto"/>
        </w:rPr>
      </w:pPr>
      <w:r>
        <w:rPr>
          <w:rFonts w:ascii="Arial" w:cs="Arial" w:eastAsia="Arial" w:hAnsi="Arial"/>
          <w:sz w:val="17"/>
          <w:szCs w:val="17"/>
          <w:color w:val="auto"/>
        </w:rPr>
        <w:t>Costs incurred in connection with the initial public offering primarily consist of direct incremental legal, printing and accounting fees. Initial public offering costs are capitalized as incurred and will be offset against proceeds upon consummation of this offering. In the event the offering is terminated or abandoned, deferred initial public offering costs will be expensed in the period such determination has been made. As of December 31, 2018 there was $ 2.3 million of deferred initial public offering costs included in other long-term assets on the accompanying consolidated balance sheets. The Company did not incur any initial public offering costs in 2017.</w:t>
      </w:r>
    </w:p>
    <w:p>
      <w:pPr>
        <w:spacing w:after="0" w:line="12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060"/>
          </w:cols>
          <w:pgMar w:left="240" w:top="449" w:right="599" w:bottom="1440" w:gutter="0" w:footer="0" w:header="0"/>
        </w:sectPr>
      </w:pPr>
    </w:p>
    <w:bookmarkStart w:id="221" w:name="page222"/>
    <w:bookmarkEnd w:id="2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26" w:lineRule="exact"/>
        <w:rPr>
          <w:sz w:val="20"/>
          <w:szCs w:val="20"/>
          <w:color w:val="auto"/>
        </w:rPr>
      </w:pPr>
    </w:p>
    <w:p>
      <w:pPr>
        <w:ind w:left="380" w:right="220" w:firstLine="534"/>
        <w:spacing w:after="0" w:line="247" w:lineRule="auto"/>
        <w:rPr>
          <w:sz w:val="20"/>
          <w:szCs w:val="20"/>
          <w:color w:val="auto"/>
        </w:rPr>
      </w:pPr>
      <w:r>
        <w:rPr>
          <w:rFonts w:ascii="Arial" w:cs="Arial" w:eastAsia="Arial" w:hAnsi="Arial"/>
          <w:sz w:val="17"/>
          <w:szCs w:val="17"/>
          <w:color w:val="auto"/>
        </w:rPr>
        <w:t>The carrying amounts of cash and cash equivalents, receivables from collaborations, the related party receivable from collaboration, and other current assets and liabilities approximate their respective fair values because of the short-term nature of those instruments. Fair value accounting is applied to the convertible preferred stock warrant liabilities that are recorded at their estimated fair value in the consolidated financial statements.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26" w:lineRule="exact"/>
        <w:rPr>
          <w:sz w:val="20"/>
          <w:szCs w:val="20"/>
          <w:color w:val="auto"/>
        </w:rPr>
      </w:pPr>
    </w:p>
    <w:p>
      <w:pPr>
        <w:ind w:left="380" w:firstLine="534"/>
        <w:spacing w:after="0" w:line="247" w:lineRule="auto"/>
        <w:rPr>
          <w:sz w:val="20"/>
          <w:szCs w:val="20"/>
          <w:color w:val="auto"/>
        </w:rPr>
      </w:pPr>
      <w:r>
        <w:rPr>
          <w:rFonts w:ascii="Arial" w:cs="Arial" w:eastAsia="Arial" w:hAnsi="Arial"/>
          <w:sz w:val="17"/>
          <w:szCs w:val="17"/>
          <w:color w:val="auto"/>
        </w:rPr>
        <w:t>Cash and cash equivalents are stated at fair value. Cash equivalents relate to securities having an original maturity of three months or less at the time of purchase. The Company limits its credit risk associated with cash and cash equivalents by placing its investments with a bank it believes is highly creditworthy and with highly rated money market funds. As of December 31, 2017 and 2018, cash and cash equivalents consisted of bank deposits and investments in money market funds.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Marketable Securities</w:t>
      </w:r>
    </w:p>
    <w:p>
      <w:pPr>
        <w:spacing w:after="0" w:line="126" w:lineRule="exact"/>
        <w:rPr>
          <w:sz w:val="20"/>
          <w:szCs w:val="20"/>
          <w:color w:val="auto"/>
        </w:rPr>
      </w:pPr>
    </w:p>
    <w:p>
      <w:pPr>
        <w:ind w:left="380" w:right="20" w:firstLine="534"/>
        <w:spacing w:after="0" w:line="244" w:lineRule="auto"/>
        <w:rPr>
          <w:sz w:val="20"/>
          <w:szCs w:val="20"/>
          <w:color w:val="auto"/>
        </w:rPr>
      </w:pPr>
      <w:r>
        <w:rPr>
          <w:rFonts w:ascii="Arial" w:cs="Arial" w:eastAsia="Arial" w:hAnsi="Arial"/>
          <w:sz w:val="17"/>
          <w:szCs w:val="17"/>
          <w:color w:val="auto"/>
        </w:rPr>
        <w:t>The Company determines the appropriate classification of its marketable securities at the time of purchase and re-evaluates such designation at each balance sheet date. All of the Company’s securities are considered as available-for-sale and carried at estimated fair values and reported in cash equivalents, short-term marketable securities or long-term marketable securities. Unrealized gains and losses on available-for-sale securities are excluded from net loss and reported in accumulated other comprehensive loss as a separate component of stockholders’ deficit. Other income (expense), net, includes interest, amortization of purchase premiums and accretion of purchase discounts, realized gains and losses on sales of securities and other-than-temporary declines in the fair value of securities, if any. The cost of securities sold is based on the specific identification method.</w:t>
      </w:r>
    </w:p>
    <w:p>
      <w:pPr>
        <w:spacing w:after="0" w:line="193" w:lineRule="exact"/>
        <w:rPr>
          <w:sz w:val="20"/>
          <w:szCs w:val="20"/>
          <w:color w:val="auto"/>
        </w:rPr>
      </w:pPr>
    </w:p>
    <w:p>
      <w:pPr>
        <w:ind w:left="380" w:right="100" w:firstLine="534"/>
        <w:spacing w:after="0" w:line="244" w:lineRule="auto"/>
        <w:rPr>
          <w:sz w:val="20"/>
          <w:szCs w:val="20"/>
          <w:color w:val="auto"/>
        </w:rPr>
      </w:pPr>
      <w:r>
        <w:rPr>
          <w:rFonts w:ascii="Arial" w:cs="Arial" w:eastAsia="Arial" w:hAnsi="Arial"/>
          <w:sz w:val="17"/>
          <w:szCs w:val="17"/>
          <w:color w:val="auto"/>
        </w:rPr>
        <w:t>The Company regularly reviews all of its investments for other-than-temporary declines in fair value. This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When the Company determines that the decline in fair value of an investment is below its carrying value and this decline is other-than-temporary, the Company reduces the carrying value of the security it holds and records a loss for the amount of such decline.</w:t>
      </w:r>
    </w:p>
    <w:p>
      <w:pPr>
        <w:spacing w:after="0" w:line="280"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Restricted Cash</w:t>
      </w:r>
    </w:p>
    <w:p>
      <w:pPr>
        <w:spacing w:after="0" w:line="126" w:lineRule="exact"/>
        <w:rPr>
          <w:sz w:val="20"/>
          <w:szCs w:val="20"/>
          <w:color w:val="auto"/>
        </w:rPr>
      </w:pPr>
    </w:p>
    <w:p>
      <w:pPr>
        <w:ind w:left="380" w:right="60" w:firstLine="534"/>
        <w:spacing w:after="0" w:line="250" w:lineRule="auto"/>
        <w:rPr>
          <w:sz w:val="20"/>
          <w:szCs w:val="20"/>
          <w:color w:val="auto"/>
        </w:rPr>
      </w:pPr>
      <w:r>
        <w:rPr>
          <w:rFonts w:ascii="Arial" w:cs="Arial" w:eastAsia="Arial" w:hAnsi="Arial"/>
          <w:sz w:val="17"/>
          <w:szCs w:val="17"/>
          <w:color w:val="auto"/>
        </w:rPr>
        <w:t>As of December 31, 2017 and 2018, the Company had $2.3 million of restricted cash classified as a non-current asset. The restricted cash serves as collateral for a facility lease entered into in 2015 (Note 7). Restricted cash is classified as current if the collateral will be returned in less than 12 months.</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Concentration of Credit and Other Risks</w:t>
      </w:r>
    </w:p>
    <w:p>
      <w:pPr>
        <w:spacing w:after="0" w:line="126" w:lineRule="exact"/>
        <w:rPr>
          <w:sz w:val="20"/>
          <w:szCs w:val="20"/>
          <w:color w:val="auto"/>
        </w:rPr>
      </w:pPr>
    </w:p>
    <w:p>
      <w:pPr>
        <w:ind w:left="380" w:right="180" w:firstLine="534"/>
        <w:spacing w:after="0" w:line="250" w:lineRule="auto"/>
        <w:rPr>
          <w:sz w:val="20"/>
          <w:szCs w:val="20"/>
          <w:color w:val="auto"/>
        </w:rPr>
      </w:pPr>
      <w:r>
        <w:rPr>
          <w:rFonts w:ascii="Arial" w:cs="Arial" w:eastAsia="Arial" w:hAnsi="Arial"/>
          <w:sz w:val="17"/>
          <w:szCs w:val="17"/>
          <w:color w:val="auto"/>
        </w:rPr>
        <w:t>Cash and cash equivalents and marketable securities from the Company’s available-for-sale and marketable security portfolio potentially subject the Company to concentrations of credit risk. The Company invests in money market funds and marketable securities through custodial relationships with</w:t>
      </w:r>
    </w:p>
    <w:p>
      <w:pPr>
        <w:spacing w:after="0" w:line="12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020"/>
          </w:cols>
          <w:pgMar w:left="240" w:top="449" w:right="639" w:bottom="1440" w:gutter="0" w:footer="0" w:header="0"/>
        </w:sectPr>
      </w:pPr>
    </w:p>
    <w:bookmarkStart w:id="222" w:name="page223"/>
    <w:bookmarkEnd w:id="2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7" w:lineRule="exact"/>
        <w:rPr>
          <w:sz w:val="20"/>
          <w:szCs w:val="20"/>
          <w:color w:val="auto"/>
        </w:rPr>
      </w:pPr>
    </w:p>
    <w:p>
      <w:pPr>
        <w:ind w:left="380" w:right="60"/>
        <w:spacing w:after="0" w:line="250" w:lineRule="auto"/>
        <w:rPr>
          <w:sz w:val="20"/>
          <w:szCs w:val="20"/>
          <w:color w:val="auto"/>
        </w:rPr>
      </w:pPr>
      <w:r>
        <w:rPr>
          <w:rFonts w:ascii="Arial" w:cs="Arial" w:eastAsia="Arial" w:hAnsi="Arial"/>
          <w:sz w:val="17"/>
          <w:szCs w:val="17"/>
          <w:color w:val="auto"/>
        </w:rPr>
        <w:t>major U.S. and Australian banks. Under its investment policy, the Company limits amounts invested in such securities by credit rating, maturity, industry group, investment type and issuer, except for securities issued by the U.S. government. The Company is not exposed to any significant concentrations of credit risk from these financial instruments.</w:t>
      </w:r>
    </w:p>
    <w:p>
      <w:pPr>
        <w:spacing w:after="0" w:line="188" w:lineRule="exact"/>
        <w:rPr>
          <w:sz w:val="20"/>
          <w:szCs w:val="20"/>
          <w:color w:val="auto"/>
        </w:rPr>
      </w:pPr>
    </w:p>
    <w:p>
      <w:pPr>
        <w:ind w:left="380" w:right="140" w:firstLine="534"/>
        <w:spacing w:after="0" w:line="250" w:lineRule="auto"/>
        <w:rPr>
          <w:sz w:val="20"/>
          <w:szCs w:val="20"/>
          <w:color w:val="auto"/>
        </w:rPr>
      </w:pPr>
      <w:r>
        <w:rPr>
          <w:rFonts w:ascii="Arial" w:cs="Arial" w:eastAsia="Arial" w:hAnsi="Arial"/>
          <w:sz w:val="17"/>
          <w:szCs w:val="17"/>
          <w:color w:val="auto"/>
        </w:rPr>
        <w:t>Receivables and related party receivables from collaborations (Note 6) are typically unsecured. Accordingly, the Company may be exposed to credit risk generally associated with its current collaboration agreement with Merck and any future collaboration agreements with other collaboration partners. To date, the Company has not experienced any losses related to these receivables.</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7"/>
          <w:szCs w:val="17"/>
          <w:color w:val="auto"/>
        </w:rPr>
        <w:t>Merck accounted for 100% of the Company’s revenue for the years ended December 31, 2017 and 2018.</w:t>
      </w:r>
    </w:p>
    <w:p>
      <w:pPr>
        <w:spacing w:after="0" w:line="29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26" w:lineRule="exact"/>
        <w:rPr>
          <w:sz w:val="20"/>
          <w:szCs w:val="20"/>
          <w:color w:val="auto"/>
        </w:rPr>
      </w:pPr>
    </w:p>
    <w:p>
      <w:pPr>
        <w:ind w:left="380" w:right="120" w:firstLine="534"/>
        <w:spacing w:after="0" w:line="247" w:lineRule="auto"/>
        <w:rPr>
          <w:sz w:val="20"/>
          <w:szCs w:val="20"/>
          <w:color w:val="auto"/>
        </w:rPr>
      </w:pPr>
      <w:r>
        <w:rPr>
          <w:rFonts w:ascii="Arial" w:cs="Arial" w:eastAsia="Arial" w:hAnsi="Arial"/>
          <w:sz w:val="17"/>
          <w:szCs w:val="17"/>
          <w:color w:val="auto"/>
        </w:rPr>
        <w:t>Property and equipment is recorded at cost and consists of computer equipment, laboratory equipment and office furniture and leasehold improvements. Maintenance and repairs, and training on the use of equipment, are charged to expense as incurred. Costs that improve assets or extend their economic lives are capitalized. Depreciation is recognized using the straight-line method based on an estimated useful life of the asset, which is as follows:</w:t>
      </w:r>
    </w:p>
    <w:p>
      <w:pPr>
        <w:spacing w:after="0" w:line="217" w:lineRule="exact"/>
        <w:rPr>
          <w:sz w:val="20"/>
          <w:szCs w:val="20"/>
          <w:color w:val="auto"/>
        </w:rPr>
      </w:pPr>
    </w:p>
    <w:tbl>
      <w:tblPr>
        <w:tblLayout w:type="fixed"/>
        <w:tblInd w:w="380" w:type="dxa"/>
        <w:tblCellMar>
          <w:top w:w="0" w:type="dxa"/>
          <w:left w:w="0" w:type="dxa"/>
          <w:bottom w:w="0" w:type="dxa"/>
          <w:right w:w="0" w:type="dxa"/>
        </w:tblCellMar>
      </w:tblPr>
      <w:tr>
        <w:trPr>
          <w:trHeight w:val="197"/>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Computer equipment</w:t>
            </w:r>
          </w:p>
        </w:tc>
        <w:tc>
          <w:tcPr>
            <w:tcW w:w="5580" w:type="dxa"/>
            <w:vAlign w:val="bottom"/>
            <w:shd w:val="clear" w:color="auto" w:fill="CCEEFF"/>
          </w:tcPr>
          <w:p>
            <w:pPr>
              <w:ind w:left="1940"/>
              <w:spacing w:after="0"/>
              <w:rPr>
                <w:sz w:val="20"/>
                <w:szCs w:val="20"/>
                <w:color w:val="auto"/>
              </w:rPr>
            </w:pPr>
            <w:r>
              <w:rPr>
                <w:rFonts w:ascii="Arial" w:cs="Arial" w:eastAsia="Arial" w:hAnsi="Arial"/>
                <w:sz w:val="17"/>
                <w:szCs w:val="17"/>
                <w:color w:val="auto"/>
              </w:rPr>
              <w:t>3 years</w:t>
            </w:r>
          </w:p>
        </w:tc>
      </w:tr>
      <w:tr>
        <w:trPr>
          <w:trHeight w:val="196"/>
        </w:trPr>
        <w:tc>
          <w:tcPr>
            <w:tcW w:w="5100" w:type="dxa"/>
            <w:vAlign w:val="bottom"/>
          </w:tcPr>
          <w:p>
            <w:pPr>
              <w:spacing w:after="0"/>
              <w:rPr>
                <w:sz w:val="20"/>
                <w:szCs w:val="20"/>
                <w:color w:val="auto"/>
              </w:rPr>
            </w:pPr>
            <w:r>
              <w:rPr>
                <w:rFonts w:ascii="Arial" w:cs="Arial" w:eastAsia="Arial" w:hAnsi="Arial"/>
                <w:sz w:val="17"/>
                <w:szCs w:val="17"/>
                <w:color w:val="auto"/>
              </w:rPr>
              <w:t>Laboratory equipment and office furniture</w:t>
            </w:r>
          </w:p>
        </w:tc>
        <w:tc>
          <w:tcPr>
            <w:tcW w:w="5580" w:type="dxa"/>
            <w:vAlign w:val="bottom"/>
          </w:tcPr>
          <w:p>
            <w:pPr>
              <w:ind w:left="1940"/>
              <w:spacing w:after="0"/>
              <w:rPr>
                <w:sz w:val="20"/>
                <w:szCs w:val="20"/>
                <w:color w:val="auto"/>
              </w:rPr>
            </w:pPr>
            <w:r>
              <w:rPr>
                <w:rFonts w:ascii="Arial" w:cs="Arial" w:eastAsia="Arial" w:hAnsi="Arial"/>
                <w:sz w:val="17"/>
                <w:szCs w:val="17"/>
                <w:color w:val="auto"/>
              </w:rPr>
              <w:t>3 years</w:t>
            </w:r>
          </w:p>
        </w:tc>
      </w:tr>
      <w:tr>
        <w:trPr>
          <w:trHeight w:val="196"/>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w:t>
            </w:r>
          </w:p>
        </w:tc>
        <w:tc>
          <w:tcPr>
            <w:tcW w:w="5580" w:type="dxa"/>
            <w:vAlign w:val="bottom"/>
            <w:shd w:val="clear" w:color="auto" w:fill="CCEEFF"/>
          </w:tcPr>
          <w:p>
            <w:pPr>
              <w:ind w:left="1940"/>
              <w:spacing w:after="0"/>
              <w:rPr>
                <w:sz w:val="20"/>
                <w:szCs w:val="20"/>
                <w:color w:val="auto"/>
              </w:rPr>
            </w:pPr>
            <w:r>
              <w:rPr>
                <w:rFonts w:ascii="Arial" w:cs="Arial" w:eastAsia="Arial" w:hAnsi="Arial"/>
                <w:sz w:val="17"/>
                <w:szCs w:val="17"/>
                <w:color w:val="auto"/>
              </w:rPr>
              <w:t>Shorter of life of asset or lease term</w:t>
            </w:r>
          </w:p>
        </w:tc>
      </w:tr>
    </w:tbl>
    <w:p>
      <w:pPr>
        <w:spacing w:after="0" w:line="29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Leases</w:t>
      </w:r>
    </w:p>
    <w:p>
      <w:pPr>
        <w:spacing w:after="0" w:line="126" w:lineRule="exact"/>
        <w:rPr>
          <w:sz w:val="20"/>
          <w:szCs w:val="20"/>
          <w:color w:val="auto"/>
        </w:rPr>
      </w:pPr>
    </w:p>
    <w:p>
      <w:pPr>
        <w:ind w:left="380" w:right="300" w:firstLine="534"/>
        <w:spacing w:after="0" w:line="247" w:lineRule="auto"/>
        <w:rPr>
          <w:sz w:val="20"/>
          <w:szCs w:val="20"/>
          <w:color w:val="auto"/>
        </w:rPr>
      </w:pPr>
      <w:r>
        <w:rPr>
          <w:rFonts w:ascii="Arial" w:cs="Arial" w:eastAsia="Arial" w:hAnsi="Arial"/>
          <w:sz w:val="17"/>
          <w:szCs w:val="17"/>
          <w:color w:val="auto"/>
        </w:rPr>
        <w:t>The Company’s lease agreement for its laboratory and office facilities are classified as operating leases. Rent expense is recognized on a straight-line basis over the term of the lease. Incentives granted under the Company’s facilities leases, including allowances to fund leasehold improvements and rent holidays, are capitalized and are recognized as reductions to rental expense on a straight-line basis over the term of the lease.</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26" w:lineRule="exact"/>
        <w:rPr>
          <w:sz w:val="20"/>
          <w:szCs w:val="20"/>
          <w:color w:val="auto"/>
        </w:rPr>
      </w:pPr>
    </w:p>
    <w:p>
      <w:pPr>
        <w:ind w:left="380" w:right="60" w:firstLine="534"/>
        <w:spacing w:after="0" w:line="244" w:lineRule="auto"/>
        <w:rPr>
          <w:sz w:val="20"/>
          <w:szCs w:val="20"/>
          <w:color w:val="auto"/>
        </w:rPr>
      </w:pPr>
      <w:r>
        <w:rPr>
          <w:rFonts w:ascii="Arial" w:cs="Arial" w:eastAsia="Arial" w:hAnsi="Arial"/>
          <w:sz w:val="17"/>
          <w:szCs w:val="17"/>
          <w:color w:val="auto"/>
        </w:rPr>
        <w:t>Long-lived assets, such as property and equipment, are reviewed for impairment whenever events or changes in circumstances indicate that the carrying amount of an asset may not be recoverable. Recoverability of assets to be held and used is measured by a comparison of the carrying amount of an asset to the estimated undiscounted future cash flows expected to be generated by the asset. If the carrying amount of an asset exceeds its estimated undiscounted future cash flows, an impairment charge is recognized as the amount by which the carrying amount of the asset exceeds the estimated fair value of the asset. As of December 31, 2017 and 2018 and during the twelve months then ended, no revision to the remaining useful lives or write-down of long-lived assets was required.</w:t>
      </w:r>
    </w:p>
    <w:p>
      <w:pPr>
        <w:spacing w:after="0" w:line="280"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Income Taxes</w:t>
      </w:r>
    </w:p>
    <w:p>
      <w:pPr>
        <w:spacing w:after="0" w:line="126" w:lineRule="exact"/>
        <w:rPr>
          <w:sz w:val="20"/>
          <w:szCs w:val="20"/>
          <w:color w:val="auto"/>
        </w:rPr>
      </w:pPr>
    </w:p>
    <w:p>
      <w:pPr>
        <w:ind w:left="380" w:right="220" w:firstLine="534"/>
        <w:spacing w:after="0" w:line="250" w:lineRule="auto"/>
        <w:rPr>
          <w:sz w:val="20"/>
          <w:szCs w:val="20"/>
          <w:color w:val="auto"/>
        </w:rPr>
      </w:pPr>
      <w:r>
        <w:rPr>
          <w:rFonts w:ascii="Arial" w:cs="Arial" w:eastAsia="Arial" w:hAnsi="Arial"/>
          <w:sz w:val="17"/>
          <w:szCs w:val="17"/>
          <w:color w:val="auto"/>
        </w:rPr>
        <w:t>Income taxes are accounted for under the liability method. Deferred tax assets and liabilities are recognized for the future tax consequences attributable to the differences between the financial statement carrying amounts of existing assets and liabilities and their respective tax bases and the</w:t>
      </w:r>
    </w:p>
    <w:p>
      <w:pPr>
        <w:spacing w:after="0" w:line="12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060"/>
          </w:cols>
          <w:pgMar w:left="240" w:top="449" w:right="599" w:bottom="1440" w:gutter="0" w:footer="0" w:header="0"/>
        </w:sectPr>
      </w:pPr>
    </w:p>
    <w:bookmarkStart w:id="223" w:name="page224"/>
    <w:bookmarkEnd w:id="2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7" w:lineRule="exact"/>
        <w:rPr>
          <w:sz w:val="20"/>
          <w:szCs w:val="20"/>
          <w:color w:val="auto"/>
        </w:rPr>
      </w:pPr>
    </w:p>
    <w:p>
      <w:pPr>
        <w:ind w:left="380" w:right="100"/>
        <w:spacing w:after="0" w:line="247" w:lineRule="auto"/>
        <w:rPr>
          <w:sz w:val="20"/>
          <w:szCs w:val="20"/>
          <w:color w:val="auto"/>
        </w:rPr>
      </w:pPr>
      <w:r>
        <w:rPr>
          <w:rFonts w:ascii="Arial" w:cs="Arial" w:eastAsia="Arial" w:hAnsi="Arial"/>
          <w:sz w:val="17"/>
          <w:szCs w:val="17"/>
          <w:color w:val="auto"/>
        </w:rPr>
        <w:t>operating loss and tax credit carryforwards. Valuation allowances are established when necessary to reduce deferred tax assets to the amount expected to be realized. Deferred tax assets and liabilities are measured at the balance sheet date using the enacted tax rates expected to apply to taxable income in the years in which those temporary differences are expected to be recovered or settled. The effect on deferred tax assets and liabilities of a change in tax rates is recognized in the period such tax rate changes are enacted.</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Convertible Preferred Stock Warrant</w:t>
      </w:r>
    </w:p>
    <w:p>
      <w:pPr>
        <w:spacing w:after="0" w:line="126" w:lineRule="exact"/>
        <w:rPr>
          <w:sz w:val="20"/>
          <w:szCs w:val="20"/>
          <w:color w:val="auto"/>
        </w:rPr>
      </w:pPr>
    </w:p>
    <w:p>
      <w:pPr>
        <w:ind w:left="380" w:right="20" w:firstLine="534"/>
        <w:spacing w:after="0" w:line="244" w:lineRule="auto"/>
        <w:rPr>
          <w:sz w:val="20"/>
          <w:szCs w:val="20"/>
          <w:color w:val="auto"/>
        </w:rPr>
      </w:pPr>
      <w:r>
        <w:rPr>
          <w:rFonts w:ascii="Arial" w:cs="Arial" w:eastAsia="Arial" w:hAnsi="Arial"/>
          <w:sz w:val="17"/>
          <w:szCs w:val="17"/>
          <w:color w:val="auto"/>
        </w:rPr>
        <w:t>Freestanding warrants to purchase the Company’s convertible preferred stock are classified as a liability on the consolidated balance sheets. The convertible preferred stock warrants are recorded as a liability because the underlying shares of convertible preferred stock are contingently redeemable, which, therefore, may obligate the Company to transfer assets at some point in the future to settle these warrants. As a result, the warrants are subject to remeasurement at each balance sheet date, with changes in estimated fair value recognized as a component of total other income (expense), net in the Company’s consolidated statements of operations. The Company will continue to adjust the liability for changes in estimated fair value until the earlier of exercise or automatic exercise of the warrant upon the completion of a liquidation event or end of the warrant term.</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26" w:lineRule="exact"/>
        <w:rPr>
          <w:sz w:val="20"/>
          <w:szCs w:val="20"/>
          <w:color w:val="auto"/>
        </w:rPr>
      </w:pPr>
    </w:p>
    <w:p>
      <w:pPr>
        <w:ind w:left="380" w:firstLine="534"/>
        <w:spacing w:after="0" w:line="242" w:lineRule="auto"/>
        <w:rPr>
          <w:sz w:val="20"/>
          <w:szCs w:val="20"/>
          <w:color w:val="auto"/>
        </w:rPr>
      </w:pPr>
      <w:r>
        <w:rPr>
          <w:rFonts w:ascii="Arial" w:cs="Arial" w:eastAsia="Arial" w:hAnsi="Arial"/>
          <w:sz w:val="17"/>
          <w:szCs w:val="17"/>
          <w:color w:val="auto"/>
        </w:rPr>
        <w:t>All of the Company’s revenue to date has been generated from its collaboration agreements. Revenue from collaboration agreements may include non-refundable upfront license fees, partial or complete reimbursement of research and development costs, contingent consideration payments based on the achievement of defined collaboration objectives and royalties on sales of commercialized products. Revenue from research activities earned under collaboration arrangements are recognized when there is persuasive evidence that an arrangement exists, services have been rendered, the price is fixed or determinable and collectability is reasonably assured. Revenue generated from the Company’s collaboration arrangements is not subject to repayment. The Company’s obligations under collaboration agreements may include the transfer of intellectual property rights in the form of licenses, obligations to provide research and development services and obligations to participate on certain development committees with the collaboration party. The Company makes judgments that affect the period over which the Company recognizes revenue. At each reporting period, the Company reviews its estimated period of performance for its collaboration and license revenue based on the progress under the arrangement and accounts for the impact of any changes in estimated periods of performance on a prospective basis. The Company records amounts received prior to satisfying the above revenue recognition criteria as deferred revenue until all applicable revenue recognition criteria are met. Deferred revenue represents the portion of research or license payments received that have not been earned.</w:t>
      </w:r>
    </w:p>
    <w:p>
      <w:pPr>
        <w:spacing w:after="0" w:line="201" w:lineRule="exact"/>
        <w:rPr>
          <w:sz w:val="20"/>
          <w:szCs w:val="20"/>
          <w:color w:val="auto"/>
        </w:rPr>
      </w:pPr>
    </w:p>
    <w:p>
      <w:pPr>
        <w:ind w:left="380" w:right="120" w:firstLine="534"/>
        <w:spacing w:after="0" w:line="244" w:lineRule="auto"/>
        <w:rPr>
          <w:sz w:val="20"/>
          <w:szCs w:val="20"/>
          <w:color w:val="auto"/>
        </w:rPr>
      </w:pPr>
      <w:r>
        <w:rPr>
          <w:rFonts w:ascii="Arial" w:cs="Arial" w:eastAsia="Arial" w:hAnsi="Arial"/>
          <w:sz w:val="17"/>
          <w:szCs w:val="17"/>
          <w:color w:val="auto"/>
        </w:rPr>
        <w:t>For revenue agreements with multiple-element arrangements, such as license and development agreements, the Company allocates revenue to each non-contingent element based on the relative selling price of each element. When applying the relative selling price method, the Company determines the selling price for each deliverable using vendor-specific objective evidence or third-party evidence. If neither exists, the Company uses the best estimate of selling price for that deliverable. Revenue allocated is then recognized when all of the following criteria are met: persuasive evidence of an arrangement exists; transfer of technology has been completed or services have been rendered; the price to the customer is fixed or determinable and collectability is reasonably assured.</w:t>
      </w:r>
    </w:p>
    <w:p>
      <w:pPr>
        <w:spacing w:after="0" w:line="13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1040"/>
          </w:cols>
          <w:pgMar w:left="240" w:top="449" w:right="619" w:bottom="1440" w:gutter="0" w:footer="0" w:header="0"/>
        </w:sectPr>
      </w:pPr>
    </w:p>
    <w:bookmarkStart w:id="224" w:name="page225"/>
    <w:bookmarkEnd w:id="2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7" w:lineRule="exact"/>
        <w:rPr>
          <w:sz w:val="20"/>
          <w:szCs w:val="20"/>
          <w:color w:val="auto"/>
        </w:rPr>
      </w:pPr>
    </w:p>
    <w:p>
      <w:pPr>
        <w:ind w:left="380" w:right="140" w:firstLine="534"/>
        <w:spacing w:after="0" w:line="241" w:lineRule="auto"/>
        <w:rPr>
          <w:sz w:val="20"/>
          <w:szCs w:val="20"/>
          <w:color w:val="auto"/>
        </w:rPr>
      </w:pPr>
      <w:r>
        <w:rPr>
          <w:rFonts w:ascii="Arial" w:cs="Arial" w:eastAsia="Arial" w:hAnsi="Arial"/>
          <w:sz w:val="17"/>
          <w:szCs w:val="17"/>
          <w:color w:val="auto"/>
        </w:rPr>
        <w:t>Payments that are contingent upon the achievement of a substantive milestone are recognized entirely as revenue in the period in which the milestone is achieved. A milestone is defined as an event: (a) that can only be achieved based in whole or in part on either</w:t>
      </w:r>
    </w:p>
    <w:p>
      <w:pPr>
        <w:ind w:left="380" w:right="40" w:hanging="9"/>
        <w:spacing w:after="0" w:line="243" w:lineRule="auto"/>
        <w:tabs>
          <w:tab w:leader="none" w:pos="642"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Company’s performance or (2) on the occurrence of a specific outcome resulting from the Company’s performance; (b) for which there is substantive uncertainty at the date the arrangement is entered into that the event will be achieved; and (c) that would result in additional payments being due to the entity. A milestone is considered substantive if the consideration earned from the achievement of the milestone meets all of the following criteria: (a) the consideration is commensurate with either (1) the Company’s performance to achieve the milestone, or (2) the enhancement of the value of the delivered item(s) as a result of a specific outcome resulting from the Company’s performance to achieve the milestone; (b) the consideration relates solely to past performance; and (c) the consideration is reasonable relative to all of the deliverables and payment terms (including other potential milestone consideration) within the arrangement. To the extent that non-substantive milestones are achieved and the Company has remaining performance obligations, payments in respect of such milestones are deferred and recognized as revenue over the estimated remaining period of performance. If there were no remaining performance obligations, the Company would recognize the revenue in the period it is earned.</w:t>
      </w:r>
    </w:p>
    <w:p>
      <w:pPr>
        <w:spacing w:after="0" w:line="195" w:lineRule="exact"/>
        <w:rPr>
          <w:sz w:val="20"/>
          <w:szCs w:val="20"/>
          <w:color w:val="auto"/>
        </w:rPr>
      </w:pPr>
    </w:p>
    <w:p>
      <w:pPr>
        <w:ind w:left="380" w:right="20" w:firstLine="534"/>
        <w:spacing w:after="0" w:line="243" w:lineRule="auto"/>
        <w:rPr>
          <w:sz w:val="20"/>
          <w:szCs w:val="20"/>
          <w:color w:val="auto"/>
        </w:rPr>
      </w:pPr>
      <w:r>
        <w:rPr>
          <w:rFonts w:ascii="Arial" w:cs="Arial" w:eastAsia="Arial" w:hAnsi="Arial"/>
          <w:sz w:val="17"/>
          <w:szCs w:val="17"/>
          <w:color w:val="auto"/>
        </w:rPr>
        <w:t>Payments related to options to license the Company’s program candidates are considered substantive if, at the inception of the arrangement, the Company is at risk as to whether the collaboration partner will choose to exercise the option. Factors that the Company considers in evaluating whether an option is substantive include the overall objective of the arrangement, the benefit the collaborator might obtain from the arrangement without exercising the option, the cost to exercise the option and the likelihood that the option will be exercised. For arrangements under which an option is considered substantive, the Company does not consider the item underlying the option to be a deliverable at the inception of the arrangement and the associated option fees are not included in allocable arrangement consideration, assuming the option is not priced at a significant and incremental discount. Conversely, for arrangements under which an option is not considered substantive or if an option is priced at a significant and incremental discount, the Company would consider the item underlying the option to be a deliverable at the inception of the arrangement and a corresponding amount would be included in allocable arrangement consideration.</w:t>
      </w:r>
    </w:p>
    <w:p>
      <w:pPr>
        <w:spacing w:after="0" w:line="195" w:lineRule="exact"/>
        <w:rPr>
          <w:sz w:val="20"/>
          <w:szCs w:val="20"/>
          <w:color w:val="auto"/>
        </w:rPr>
      </w:pPr>
    </w:p>
    <w:p>
      <w:pPr>
        <w:ind w:left="380" w:right="60" w:firstLine="534"/>
        <w:spacing w:after="0" w:line="258" w:lineRule="auto"/>
        <w:rPr>
          <w:sz w:val="20"/>
          <w:szCs w:val="20"/>
          <w:color w:val="auto"/>
        </w:rPr>
      </w:pPr>
      <w:r>
        <w:rPr>
          <w:rFonts w:ascii="Arial" w:cs="Arial" w:eastAsia="Arial" w:hAnsi="Arial"/>
          <w:sz w:val="17"/>
          <w:szCs w:val="17"/>
          <w:color w:val="auto"/>
        </w:rPr>
        <w:t>Revenue related to research collaboration services and grants are recognized as research costs are incurred and/or the underlying services are performed over the term as specified in the related agreements.</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26" w:lineRule="exact"/>
        <w:rPr>
          <w:sz w:val="20"/>
          <w:szCs w:val="20"/>
          <w:color w:val="auto"/>
        </w:rPr>
      </w:pPr>
    </w:p>
    <w:p>
      <w:pPr>
        <w:ind w:left="380" w:right="20" w:firstLine="534"/>
        <w:spacing w:after="0" w:line="245" w:lineRule="auto"/>
        <w:rPr>
          <w:sz w:val="20"/>
          <w:szCs w:val="20"/>
          <w:color w:val="auto"/>
        </w:rPr>
      </w:pPr>
      <w:r>
        <w:rPr>
          <w:rFonts w:ascii="Arial" w:cs="Arial" w:eastAsia="Arial" w:hAnsi="Arial"/>
          <w:sz w:val="17"/>
          <w:szCs w:val="17"/>
          <w:color w:val="auto"/>
        </w:rPr>
        <w:t>Research and development costs are expensed as incurred. Research and development expenses primarily include salaries and benefits for medical, clinical, quality, preclinical, manufacturing and research personnel, costs related to research activities, preclinical studies, clinical trials, drug manufacturing expenses and allocated overhead and facility occupancy costs. The Company accounts for non-refundable advance payments for goods or services that will be used in future research and development activities as expenses when the goods have been received or when the service has been performed rather than when the payment is made.</w:t>
      </w:r>
    </w:p>
    <w:p>
      <w:pPr>
        <w:spacing w:after="0" w:line="194" w:lineRule="exact"/>
        <w:rPr>
          <w:sz w:val="20"/>
          <w:szCs w:val="20"/>
          <w:color w:val="auto"/>
        </w:rPr>
      </w:pPr>
    </w:p>
    <w:p>
      <w:pPr>
        <w:ind w:left="380" w:firstLine="534"/>
        <w:spacing w:after="0" w:line="250" w:lineRule="auto"/>
        <w:rPr>
          <w:sz w:val="20"/>
          <w:szCs w:val="20"/>
          <w:color w:val="auto"/>
        </w:rPr>
      </w:pPr>
      <w:r>
        <w:rPr>
          <w:rFonts w:ascii="Arial" w:cs="Arial" w:eastAsia="Arial" w:hAnsi="Arial"/>
          <w:sz w:val="17"/>
          <w:szCs w:val="17"/>
          <w:color w:val="auto"/>
        </w:rPr>
        <w:t>Clinical trial costs are a component of research and development expenses. The Company expenses costs for its clinical trial activities performed by third parties, including clinical research organizations and other service providers, as they are incurred, based upon estimates of the work completed over the life of the individual study in accordance with associated agreements. The</w:t>
      </w:r>
    </w:p>
    <w:p>
      <w:pPr>
        <w:spacing w:after="0" w:line="12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1060"/>
          </w:cols>
          <w:pgMar w:left="240" w:top="449" w:right="599" w:bottom="1440" w:gutter="0" w:footer="0" w:header="0"/>
        </w:sectPr>
      </w:pPr>
    </w:p>
    <w:bookmarkStart w:id="225" w:name="page226"/>
    <w:bookmarkEnd w:id="2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Company uses information it receives from internal personnel and outside service providers to estimate the clinical trial costs incurred.</w:t>
      </w:r>
    </w:p>
    <w:p>
      <w:pPr>
        <w:spacing w:after="0" w:line="29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26" w:lineRule="exact"/>
        <w:rPr>
          <w:sz w:val="20"/>
          <w:szCs w:val="20"/>
          <w:color w:val="auto"/>
        </w:rPr>
      </w:pPr>
    </w:p>
    <w:p>
      <w:pPr>
        <w:jc w:val="both"/>
        <w:ind w:left="380" w:right="20" w:firstLine="534"/>
        <w:spacing w:after="0" w:line="241" w:lineRule="auto"/>
        <w:rPr>
          <w:sz w:val="20"/>
          <w:szCs w:val="20"/>
          <w:color w:val="auto"/>
        </w:rPr>
      </w:pPr>
      <w:r>
        <w:rPr>
          <w:rFonts w:ascii="Arial" w:cs="Arial" w:eastAsia="Arial" w:hAnsi="Arial"/>
          <w:sz w:val="17"/>
          <w:szCs w:val="17"/>
          <w:color w:val="auto"/>
        </w:rPr>
        <w:t>The Company values stock-based payments to employees on the grant date of each award and recognizes the estimated fair value of such awards over the period during which the employee is required to provide service in exchange for the award, which is generally the vesting period of each award. Stock-based payments to consultants are subject to periodic remeasurement over their vesting terms.</w:t>
      </w:r>
    </w:p>
    <w:p>
      <w:pPr>
        <w:jc w:val="both"/>
        <w:ind w:left="380" w:right="140"/>
        <w:spacing w:after="0" w:line="250" w:lineRule="auto"/>
        <w:rPr>
          <w:sz w:val="20"/>
          <w:szCs w:val="20"/>
          <w:color w:val="auto"/>
        </w:rPr>
      </w:pPr>
      <w:r>
        <w:rPr>
          <w:rFonts w:ascii="Arial" w:cs="Arial" w:eastAsia="Arial" w:hAnsi="Arial"/>
          <w:sz w:val="17"/>
          <w:szCs w:val="17"/>
          <w:color w:val="auto"/>
        </w:rPr>
        <w:t>Stock-based payments are valued using the Black-Scholes option-pricing model. Because non-cash stock-based compensation expense is based on awards ultimately expected to vest, it is reduced by an estimate for future forfeitures. Forfeitures are estimated at the time of grant and revised, if necessary, in subsequent periods if actual forfeitures differ from estimates.</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Foreign Currency Transactions</w:t>
      </w:r>
    </w:p>
    <w:p>
      <w:pPr>
        <w:spacing w:after="0" w:line="126" w:lineRule="exact"/>
        <w:rPr>
          <w:sz w:val="20"/>
          <w:szCs w:val="20"/>
          <w:color w:val="auto"/>
        </w:rPr>
      </w:pPr>
    </w:p>
    <w:p>
      <w:pPr>
        <w:ind w:left="380" w:right="20" w:firstLine="534"/>
        <w:spacing w:after="0" w:line="244" w:lineRule="auto"/>
        <w:rPr>
          <w:sz w:val="20"/>
          <w:szCs w:val="20"/>
          <w:color w:val="auto"/>
        </w:rPr>
      </w:pPr>
      <w:r>
        <w:rPr>
          <w:rFonts w:ascii="Arial" w:cs="Arial" w:eastAsia="Arial" w:hAnsi="Arial"/>
          <w:sz w:val="17"/>
          <w:szCs w:val="17"/>
          <w:color w:val="auto"/>
        </w:rPr>
        <w:t>The functional currency of NGM Biopharmaceuticals Australia Pty Ltd., a wholly owned subsidiary, is the U.S. dollar. Accordingly, all monetary assets and liabilities of the subsidiary are remeasured into U.S. dollars at the current period-end exchange rates and non-monetary assets are remeasured using historical exchange rates. Income and expense elements are remeasured to U.S. dollars using the average exchange rates in effect during the period. Remeasurement gains and losses are recorded as other income (expense). During the years ended December 31, 2017 and 2018, the Company recorded a foreign exchange remeasurement loss of $0.1 million and gain of $0.2 million, respectively.</w:t>
      </w:r>
    </w:p>
    <w:p>
      <w:pPr>
        <w:spacing w:after="0" w:line="196" w:lineRule="exact"/>
        <w:rPr>
          <w:sz w:val="20"/>
          <w:szCs w:val="20"/>
          <w:color w:val="auto"/>
        </w:rPr>
      </w:pPr>
    </w:p>
    <w:p>
      <w:pPr>
        <w:ind w:left="380" w:right="40" w:firstLine="534"/>
        <w:spacing w:after="0" w:line="245" w:lineRule="auto"/>
        <w:rPr>
          <w:sz w:val="20"/>
          <w:szCs w:val="20"/>
          <w:color w:val="auto"/>
        </w:rPr>
      </w:pPr>
      <w:r>
        <w:rPr>
          <w:rFonts w:ascii="Arial" w:cs="Arial" w:eastAsia="Arial" w:hAnsi="Arial"/>
          <w:sz w:val="17"/>
          <w:szCs w:val="17"/>
          <w:color w:val="auto"/>
        </w:rPr>
        <w:t>The Company is subject to foreign currency risk with respect to its clinical and manufacturing contracts denominated in currencies other than the U.S. dollar, primarily British Pounds, Swiss Francs, and the Euro. Payments on contracts denominated in foreign currencies are made at the spot rate on the day of payment. Changes in the exchange rate between billing dates and payment dates are recorded to other income (expense), net on the consolidated statements of operations. During the years ended December 31, 2017 and 2018, the Company recorded a foreign exchange transaction gain of $37,000 and loss of $31,000, respectively.</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126" w:lineRule="exact"/>
        <w:rPr>
          <w:sz w:val="20"/>
          <w:szCs w:val="20"/>
          <w:color w:val="auto"/>
        </w:rPr>
      </w:pPr>
    </w:p>
    <w:p>
      <w:pPr>
        <w:jc w:val="both"/>
        <w:ind w:left="380" w:right="280" w:firstLine="534"/>
        <w:spacing w:after="0" w:line="250" w:lineRule="auto"/>
        <w:rPr>
          <w:sz w:val="20"/>
          <w:szCs w:val="20"/>
          <w:color w:val="auto"/>
        </w:rPr>
      </w:pPr>
      <w:r>
        <w:rPr>
          <w:rFonts w:ascii="Arial" w:cs="Arial" w:eastAsia="Arial" w:hAnsi="Arial"/>
          <w:sz w:val="17"/>
          <w:szCs w:val="17"/>
          <w:color w:val="auto"/>
        </w:rPr>
        <w:t>Comprehensive loss is comprised of net loss and certain changes in equity that are excluded from net loss. For the years ended December 31, 2017 and 2018, the difference between comprehensive loss and net loss consisted of changes in net unrealized loss on marketable securities of $0.3 million, and changes in net unrealized gain on marketable securities of $0.2 million, respectively.</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Net Loss per Common Share</w:t>
      </w:r>
    </w:p>
    <w:p>
      <w:pPr>
        <w:spacing w:after="0" w:line="126" w:lineRule="exact"/>
        <w:rPr>
          <w:sz w:val="20"/>
          <w:szCs w:val="20"/>
          <w:color w:val="auto"/>
        </w:rPr>
      </w:pPr>
    </w:p>
    <w:p>
      <w:pPr>
        <w:ind w:left="380" w:firstLine="534"/>
        <w:spacing w:after="0" w:line="245" w:lineRule="auto"/>
        <w:rPr>
          <w:sz w:val="20"/>
          <w:szCs w:val="20"/>
          <w:color w:val="auto"/>
        </w:rPr>
      </w:pPr>
      <w:r>
        <w:rPr>
          <w:rFonts w:ascii="Arial" w:cs="Arial" w:eastAsia="Arial" w:hAnsi="Arial"/>
          <w:sz w:val="17"/>
          <w:szCs w:val="17"/>
          <w:color w:val="auto"/>
        </w:rPr>
        <w:t>Basic net loss per common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potentially dilutive common shares, including common stock issuable upon exercise of stock options, and unvested restricted common stock and stock units. As the Company had net losses for the years ended December 31, 2017 and 2018, all potential common shares were determined to be anti-dilutive.</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060"/>
          </w:cols>
          <w:pgMar w:left="240" w:top="449" w:right="599" w:bottom="1440" w:gutter="0" w:footer="0" w:header="0"/>
        </w:sectPr>
      </w:pPr>
    </w:p>
    <w:bookmarkStart w:id="226" w:name="page227"/>
    <w:bookmarkEnd w:id="2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following table sets forth the computation of net loss per common share (in thousands, except per share):</w:t>
      </w:r>
    </w:p>
    <w:p>
      <w:pPr>
        <w:spacing w:after="0" w:line="222"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9"/>
        </w:trPr>
        <w:tc>
          <w:tcPr>
            <w:tcW w:w="8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0"/>
        </w:trPr>
        <w:tc>
          <w:tcPr>
            <w:tcW w:w="80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01"/>
              <w:spacing w:after="0" w:line="150" w:lineRule="exact"/>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17"/>
              <w:spacing w:after="0" w:line="150"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r>
      <w:tr>
        <w:trPr>
          <w:trHeight w:val="176"/>
        </w:trPr>
        <w:tc>
          <w:tcPr>
            <w:tcW w:w="808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Numerator:</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6"/>
        </w:trPr>
        <w:tc>
          <w:tcPr>
            <w:tcW w:w="8080" w:type="dxa"/>
            <w:vAlign w:val="bottom"/>
          </w:tcPr>
          <w:p>
            <w:pPr>
              <w:ind w:left="340"/>
              <w:spacing w:after="0"/>
              <w:rPr>
                <w:sz w:val="20"/>
                <w:szCs w:val="20"/>
                <w:color w:val="auto"/>
              </w:rPr>
            </w:pPr>
            <w:r>
              <w:rPr>
                <w:rFonts w:ascii="Arial" w:cs="Arial" w:eastAsia="Arial" w:hAnsi="Arial"/>
                <w:sz w:val="17"/>
                <w:szCs w:val="17"/>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40"/>
              <w:spacing w:after="0"/>
              <w:rPr>
                <w:sz w:val="20"/>
                <w:szCs w:val="20"/>
                <w:color w:val="auto"/>
              </w:rPr>
            </w:pPr>
            <w:r>
              <w:rPr>
                <w:rFonts w:ascii="Arial" w:cs="Arial" w:eastAsia="Arial" w:hAnsi="Arial"/>
                <w:sz w:val="17"/>
                <w:szCs w:val="17"/>
                <w:color w:val="auto"/>
              </w:rPr>
              <w:t>(14,159)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(493)</w:t>
            </w:r>
          </w:p>
        </w:tc>
      </w:tr>
      <w:tr>
        <w:trPr>
          <w:trHeight w:val="20"/>
        </w:trPr>
        <w:tc>
          <w:tcPr>
            <w:tcW w:w="8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8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Denominator:</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6"/>
        </w:trPr>
        <w:tc>
          <w:tcPr>
            <w:tcW w:w="8080" w:type="dxa"/>
            <w:vAlign w:val="bottom"/>
          </w:tcPr>
          <w:p>
            <w:pPr>
              <w:ind w:left="340"/>
              <w:spacing w:after="0"/>
              <w:rPr>
                <w:sz w:val="20"/>
                <w:szCs w:val="20"/>
                <w:color w:val="auto"/>
              </w:rPr>
            </w:pPr>
            <w:r>
              <w:rPr>
                <w:rFonts w:ascii="Arial" w:cs="Arial" w:eastAsia="Arial" w:hAnsi="Arial"/>
                <w:sz w:val="17"/>
                <w:szCs w:val="17"/>
                <w:color w:val="auto"/>
              </w:rPr>
              <w:t>Weighted-average number of common shares used in calculating net income per share—</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7"/>
        </w:trPr>
        <w:tc>
          <w:tcPr>
            <w:tcW w:w="8080" w:type="dxa"/>
            <w:vAlign w:val="bottom"/>
          </w:tcPr>
          <w:p>
            <w:pPr>
              <w:ind w:left="520"/>
              <w:spacing w:after="0"/>
              <w:rPr>
                <w:sz w:val="20"/>
                <w:szCs w:val="20"/>
                <w:color w:val="auto"/>
              </w:rPr>
            </w:pPr>
            <w:r>
              <w:rPr>
                <w:rFonts w:ascii="Arial" w:cs="Arial" w:eastAsia="Arial" w:hAnsi="Arial"/>
                <w:sz w:val="17"/>
                <w:szCs w:val="17"/>
                <w:color w:val="auto"/>
              </w:rPr>
              <w:t>basic and diluted</w:t>
            </w:r>
          </w:p>
        </w:tc>
        <w:tc>
          <w:tcPr>
            <w:tcW w:w="100" w:type="dxa"/>
            <w:vAlign w:val="bottom"/>
          </w:tcPr>
          <w:p>
            <w:pPr>
              <w:spacing w:after="0"/>
              <w:rPr>
                <w:sz w:val="17"/>
                <w:szCs w:val="17"/>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7"/>
                <w:szCs w:val="17"/>
                <w:color w:val="auto"/>
              </w:rPr>
              <w:t>5,961,767</w:t>
            </w: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6,383,751</w:t>
            </w:r>
          </w:p>
        </w:tc>
      </w:tr>
      <w:tr>
        <w:trPr>
          <w:trHeight w:val="20"/>
        </w:trPr>
        <w:tc>
          <w:tcPr>
            <w:tcW w:w="8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8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 per share—basic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(2.37)</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(0.08)</w:t>
            </w:r>
          </w:p>
        </w:tc>
      </w:tr>
      <w:tr>
        <w:trPr>
          <w:trHeight w:val="20"/>
        </w:trPr>
        <w:tc>
          <w:tcPr>
            <w:tcW w:w="8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left="380" w:firstLine="534"/>
        <w:spacing w:after="0" w:line="258" w:lineRule="auto"/>
        <w:rPr>
          <w:sz w:val="20"/>
          <w:szCs w:val="20"/>
          <w:color w:val="auto"/>
        </w:rPr>
      </w:pPr>
      <w:r>
        <w:rPr>
          <w:rFonts w:ascii="Arial" w:cs="Arial" w:eastAsia="Arial" w:hAnsi="Arial"/>
          <w:sz w:val="17"/>
          <w:szCs w:val="17"/>
          <w:color w:val="auto"/>
        </w:rPr>
        <w:t>Potentially dilutive securities that were not included in the diluted per share calculations because they would be anti-dilutive were as follows:</w:t>
      </w:r>
    </w:p>
    <w:p>
      <w:pPr>
        <w:spacing w:after="0" w:line="19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3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8"/>
              </w:rPr>
              <w:t>Year Ended</w:t>
            </w:r>
          </w:p>
        </w:tc>
      </w:tr>
      <w:tr>
        <w:trPr>
          <w:trHeight w:val="169"/>
        </w:trPr>
        <w:tc>
          <w:tcPr>
            <w:tcW w:w="8320" w:type="dxa"/>
            <w:vAlign w:val="bottom"/>
          </w:tcPr>
          <w:p>
            <w:pPr>
              <w:spacing w:after="0"/>
              <w:rPr>
                <w:sz w:val="14"/>
                <w:szCs w:val="14"/>
                <w:color w:val="auto"/>
              </w:rPr>
            </w:pPr>
          </w:p>
        </w:tc>
        <w:tc>
          <w:tcPr>
            <w:tcW w:w="23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8"/>
              </w:rPr>
              <w:t>December 31,</w:t>
            </w:r>
          </w:p>
        </w:tc>
      </w:tr>
      <w:tr>
        <w:trPr>
          <w:trHeight w:val="150"/>
        </w:trPr>
        <w:tc>
          <w:tcPr>
            <w:tcW w:w="8320" w:type="dxa"/>
            <w:vAlign w:val="bottom"/>
            <w:tcBorders>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60"/>
              <w:spacing w:after="0" w:line="150"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76"/>
              <w:spacing w:after="0" w:line="150"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r>
      <w:tr>
        <w:trPr>
          <w:trHeight w:val="190"/>
        </w:trPr>
        <w:tc>
          <w:tcPr>
            <w:tcW w:w="8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Convertible preferred stock</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47,267,466</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47,267,466</w:t>
            </w:r>
          </w:p>
        </w:tc>
        <w:tc>
          <w:tcPr>
            <w:tcW w:w="60" w:type="dxa"/>
            <w:vAlign w:val="bottom"/>
            <w:shd w:val="clear" w:color="auto" w:fill="CCEEFF"/>
          </w:tcPr>
          <w:p>
            <w:pPr>
              <w:spacing w:after="0"/>
              <w:rPr>
                <w:sz w:val="16"/>
                <w:szCs w:val="16"/>
                <w:color w:val="auto"/>
              </w:rPr>
            </w:pPr>
          </w:p>
        </w:tc>
      </w:tr>
      <w:tr>
        <w:trPr>
          <w:trHeight w:val="196"/>
        </w:trPr>
        <w:tc>
          <w:tcPr>
            <w:tcW w:w="8320" w:type="dxa"/>
            <w:vAlign w:val="bottom"/>
          </w:tcPr>
          <w:p>
            <w:pPr>
              <w:spacing w:after="0"/>
              <w:rPr>
                <w:sz w:val="20"/>
                <w:szCs w:val="20"/>
                <w:color w:val="auto"/>
              </w:rPr>
            </w:pPr>
            <w:r>
              <w:rPr>
                <w:rFonts w:ascii="Arial" w:cs="Arial" w:eastAsia="Arial" w:hAnsi="Arial"/>
                <w:sz w:val="17"/>
                <w:szCs w:val="17"/>
                <w:color w:val="auto"/>
              </w:rPr>
              <w:t>Options to purchase common stock</w:t>
            </w: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8,468,702</w:t>
            </w: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9,806,689</w:t>
            </w:r>
          </w:p>
        </w:tc>
      </w:tr>
      <w:tr>
        <w:trPr>
          <w:trHeight w:val="196"/>
        </w:trPr>
        <w:tc>
          <w:tcPr>
            <w:tcW w:w="8320" w:type="dxa"/>
            <w:vAlign w:val="bottom"/>
            <w:shd w:val="clear" w:color="auto" w:fill="CCEEFF"/>
          </w:tcPr>
          <w:p>
            <w:pPr>
              <w:spacing w:after="0"/>
              <w:rPr>
                <w:sz w:val="20"/>
                <w:szCs w:val="20"/>
                <w:color w:val="auto"/>
              </w:rPr>
            </w:pPr>
            <w:r>
              <w:rPr>
                <w:rFonts w:ascii="Arial" w:cs="Arial" w:eastAsia="Arial" w:hAnsi="Arial"/>
                <w:sz w:val="17"/>
                <w:szCs w:val="17"/>
                <w:color w:val="auto"/>
              </w:rPr>
              <w:t>Warrants to purchase convertible preferred stock</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19,637</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19,637</w:t>
            </w:r>
          </w:p>
        </w:tc>
      </w:tr>
      <w:tr>
        <w:trPr>
          <w:trHeight w:val="203"/>
        </w:trPr>
        <w:tc>
          <w:tcPr>
            <w:tcW w:w="8320" w:type="dxa"/>
            <w:vAlign w:val="bottom"/>
          </w:tcPr>
          <w:p>
            <w:pPr>
              <w:spacing w:after="0"/>
              <w:rPr>
                <w:sz w:val="20"/>
                <w:szCs w:val="20"/>
                <w:color w:val="auto"/>
              </w:rPr>
            </w:pPr>
            <w:r>
              <w:rPr>
                <w:rFonts w:ascii="Arial" w:cs="Arial" w:eastAsia="Arial" w:hAnsi="Arial"/>
                <w:sz w:val="17"/>
                <w:szCs w:val="17"/>
                <w:color w:val="auto"/>
              </w:rPr>
              <w:t>Total</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55,755,805</w:t>
            </w:r>
          </w:p>
        </w:tc>
        <w:tc>
          <w:tcPr>
            <w:tcW w:w="26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57,093,792</w:t>
            </w:r>
          </w:p>
        </w:tc>
        <w:tc>
          <w:tcPr>
            <w:tcW w:w="60" w:type="dxa"/>
            <w:vAlign w:val="bottom"/>
          </w:tcPr>
          <w:p>
            <w:pPr>
              <w:spacing w:after="0"/>
              <w:rPr>
                <w:sz w:val="17"/>
                <w:szCs w:val="17"/>
                <w:color w:val="auto"/>
              </w:rPr>
            </w:pPr>
          </w:p>
        </w:tc>
      </w:tr>
      <w:tr>
        <w:trPr>
          <w:trHeight w:val="20"/>
        </w:trPr>
        <w:tc>
          <w:tcPr>
            <w:tcW w:w="8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Segment and Geographical Information</w:t>
      </w:r>
    </w:p>
    <w:p>
      <w:pPr>
        <w:spacing w:after="0" w:line="126" w:lineRule="exact"/>
        <w:rPr>
          <w:sz w:val="20"/>
          <w:szCs w:val="20"/>
          <w:color w:val="auto"/>
        </w:rPr>
      </w:pPr>
    </w:p>
    <w:p>
      <w:pPr>
        <w:ind w:left="380" w:right="80" w:firstLine="534"/>
        <w:spacing w:after="0" w:line="250" w:lineRule="auto"/>
        <w:rPr>
          <w:sz w:val="20"/>
          <w:szCs w:val="20"/>
          <w:color w:val="auto"/>
        </w:rPr>
      </w:pPr>
      <w:r>
        <w:rPr>
          <w:rFonts w:ascii="Arial" w:cs="Arial" w:eastAsia="Arial" w:hAnsi="Arial"/>
          <w:sz w:val="17"/>
          <w:szCs w:val="17"/>
          <w:color w:val="auto"/>
        </w:rPr>
        <w:t>The Company operates in one segment. Substantially all of the Company’s long-lived assets are based in the United States. Long-lived assets are primarily comprised of property and equipment. For the years ended December 31, 2017 and 2018, the Company’s revenues were entirely within the United States based upon the location of the customers.</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26" w:lineRule="exact"/>
        <w:rPr>
          <w:sz w:val="20"/>
          <w:szCs w:val="20"/>
          <w:color w:val="auto"/>
        </w:rPr>
      </w:pPr>
    </w:p>
    <w:p>
      <w:pPr>
        <w:ind w:left="380" w:right="40" w:firstLine="534"/>
        <w:spacing w:after="0" w:line="245" w:lineRule="auto"/>
        <w:rPr>
          <w:sz w:val="20"/>
          <w:szCs w:val="20"/>
          <w:color w:val="auto"/>
        </w:rPr>
      </w:pPr>
      <w:r>
        <w:rPr>
          <w:rFonts w:ascii="Arial" w:cs="Arial" w:eastAsia="Arial" w:hAnsi="Arial"/>
          <w:sz w:val="17"/>
          <w:szCs w:val="17"/>
          <w:color w:val="auto"/>
        </w:rPr>
        <w:t>From time to time, new accounting pronouncements are issued by the FASB or other standard setting bodies and adopted by us as of the specified effective date. Unless otherwise discussed, the impact of recently issued standards that are not yet effective will not have a material impact on our consolidated financial statements upon adoption. Under the Jumpstart Our Business Startups Act of 2012, as amended (the JOBS Act), we meet the definition of an emerging growth company, and have elected the extended transition period for complying with new or revised accounting standards pursuant to Section 107(b) of the JOBS Act.</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26" w:lineRule="exact"/>
        <w:rPr>
          <w:sz w:val="20"/>
          <w:szCs w:val="20"/>
          <w:color w:val="auto"/>
        </w:rPr>
      </w:pPr>
    </w:p>
    <w:p>
      <w:pPr>
        <w:ind w:left="380" w:right="240" w:firstLine="534"/>
        <w:spacing w:after="0" w:line="250" w:lineRule="auto"/>
        <w:rPr>
          <w:sz w:val="20"/>
          <w:szCs w:val="20"/>
          <w:color w:val="auto"/>
        </w:rPr>
      </w:pPr>
      <w:r>
        <w:rPr>
          <w:rFonts w:ascii="Arial" w:cs="Arial" w:eastAsia="Arial" w:hAnsi="Arial"/>
          <w:sz w:val="17"/>
          <w:szCs w:val="17"/>
          <w:color w:val="auto"/>
        </w:rPr>
        <w:t xml:space="preserve">In November 2015, the Financial Accounting Standards Board (FASB) issued Accounting Standards Update (ASU) No. 2015-17, </w:t>
      </w:r>
      <w:r>
        <w:rPr>
          <w:rFonts w:ascii="Arial" w:cs="Arial" w:eastAsia="Arial" w:hAnsi="Arial"/>
          <w:sz w:val="17"/>
          <w:szCs w:val="17"/>
          <w:i w:val="1"/>
          <w:iCs w:val="1"/>
          <w:color w:val="auto"/>
        </w:rPr>
        <w:t xml:space="preserve">Income Taxes (Topic 740)—Balance Sheet Classification of Deferred Taxes </w:t>
      </w:r>
      <w:r>
        <w:rPr>
          <w:rFonts w:ascii="Arial" w:cs="Arial" w:eastAsia="Arial" w:hAnsi="Arial"/>
          <w:sz w:val="17"/>
          <w:szCs w:val="17"/>
          <w:color w:val="auto"/>
        </w:rPr>
        <w:t>(ASU 2015-17). This ASU simplifies the presentation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deferred income taxes by requiring non-current classification in a classified statement of financial position. ASU 2015-17 is</w:t>
      </w:r>
    </w:p>
    <w:p>
      <w:pPr>
        <w:spacing w:after="0" w:line="12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1060"/>
          </w:cols>
          <w:pgMar w:left="240" w:top="449" w:right="599" w:bottom="1440" w:gutter="0" w:footer="0" w:header="0"/>
        </w:sectPr>
      </w:pPr>
    </w:p>
    <w:bookmarkStart w:id="227" w:name="page228"/>
    <w:bookmarkEnd w:id="2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7" w:lineRule="exact"/>
        <w:rPr>
          <w:sz w:val="20"/>
          <w:szCs w:val="20"/>
          <w:color w:val="auto"/>
        </w:rPr>
      </w:pPr>
    </w:p>
    <w:p>
      <w:pPr>
        <w:ind w:left="380" w:right="20"/>
        <w:spacing w:after="0" w:line="247" w:lineRule="auto"/>
        <w:rPr>
          <w:sz w:val="20"/>
          <w:szCs w:val="20"/>
          <w:color w:val="auto"/>
        </w:rPr>
      </w:pPr>
      <w:r>
        <w:rPr>
          <w:rFonts w:ascii="Arial" w:cs="Arial" w:eastAsia="Arial" w:hAnsi="Arial"/>
          <w:sz w:val="17"/>
          <w:szCs w:val="17"/>
          <w:color w:val="auto"/>
        </w:rPr>
        <w:t>effective for financial statements issued for fiscal years beginning after December 15, 2017. ASU 2015-17 may be either applied prospectively to all deferred tax assets and liabilities or retrospectively to all periods presented. The Company adopted ASU 2015-17 as of December 31, 2017; however, there was no impact on the Company’s consolidated financial statements as a result of adopting ASU 2015-17.</w:t>
      </w:r>
    </w:p>
    <w:p>
      <w:pPr>
        <w:spacing w:after="0" w:line="172" w:lineRule="exact"/>
        <w:rPr>
          <w:sz w:val="20"/>
          <w:szCs w:val="20"/>
          <w:color w:val="auto"/>
        </w:rPr>
      </w:pPr>
    </w:p>
    <w:p>
      <w:pPr>
        <w:ind w:left="380" w:firstLine="534"/>
        <w:spacing w:after="0" w:line="247"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Compensation—Stock Compensation (Topic 718)—Improvements to Employee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Share Based Payment Accounting </w:t>
      </w:r>
      <w:r>
        <w:rPr>
          <w:rFonts w:ascii="Arial" w:cs="Arial" w:eastAsia="Arial" w:hAnsi="Arial"/>
          <w:sz w:val="17"/>
          <w:szCs w:val="17"/>
          <w:color w:val="auto"/>
        </w:rPr>
        <w:t>as part of the FASB simplification initiative. The new standard provides for changes to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stock compensation including 1) excess tax benefits and tax deficiencies related to share based payment awards will be recognized as income tax expense in the reporting period in which they occur; 2) excess tax benefits will be classified as an operating activity in the statement of cash flows; 3) the option to elect to estimate forfeitures or account for them when they occur; and 4) increase tax withholding requirements threshold to qualify for equity classification. The Company adopted ASU 2016-09 as of January 1, 2018 and recorded a $5.2 million increase to net operating loss deferred tax asset and a corresponding $5.2 million increase in valuation allowance.</w:t>
      </w:r>
    </w:p>
    <w:p>
      <w:pPr>
        <w:spacing w:after="0" w:line="176" w:lineRule="exact"/>
        <w:rPr>
          <w:sz w:val="20"/>
          <w:szCs w:val="20"/>
          <w:color w:val="auto"/>
        </w:rPr>
      </w:pPr>
    </w:p>
    <w:p>
      <w:pPr>
        <w:ind w:left="380" w:firstLine="534"/>
        <w:spacing w:after="0" w:line="254" w:lineRule="auto"/>
        <w:rPr>
          <w:sz w:val="20"/>
          <w:szCs w:val="20"/>
          <w:color w:val="auto"/>
        </w:rPr>
      </w:pPr>
      <w:r>
        <w:rPr>
          <w:rFonts w:ascii="Arial" w:cs="Arial" w:eastAsia="Arial" w:hAnsi="Arial"/>
          <w:sz w:val="17"/>
          <w:szCs w:val="17"/>
          <w:color w:val="auto"/>
        </w:rPr>
        <w:t xml:space="preserve">In May 2017, the FASB issued ASU No. 2017-09, </w:t>
      </w:r>
      <w:r>
        <w:rPr>
          <w:rFonts w:ascii="Arial" w:cs="Arial" w:eastAsia="Arial" w:hAnsi="Arial"/>
          <w:sz w:val="17"/>
          <w:szCs w:val="17"/>
          <w:i w:val="1"/>
          <w:iCs w:val="1"/>
          <w:color w:val="auto"/>
        </w:rPr>
        <w:t>Compensation—Stock Compensation (Topic 718): Scope Modification</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ASU 2017-09 defines which changes to the terms or conditions of a share-based payment award require the Company to</w:t>
      </w:r>
      <w:r>
        <w:rPr>
          <w:rFonts w:ascii="Arial" w:cs="Arial" w:eastAsia="Arial" w:hAnsi="Arial"/>
          <w:sz w:val="17"/>
          <w:szCs w:val="17"/>
          <w:i w:val="1"/>
          <w:iCs w:val="1"/>
          <w:color w:val="auto"/>
        </w:rPr>
        <w:t xml:space="preserve"> </w:t>
      </w:r>
      <w:r>
        <w:rPr>
          <w:rFonts w:ascii="Arial" w:cs="Arial" w:eastAsia="Arial" w:hAnsi="Arial"/>
          <w:sz w:val="17"/>
          <w:szCs w:val="17"/>
          <w:color w:val="auto"/>
        </w:rPr>
        <w:t>apply modification accounting. The Company adopted ASU 2017-09 on January 1, 2018; however, there was no impact on the Company’s consolidated financial statements as a result of adopting ASU 2017-09.</w:t>
      </w:r>
    </w:p>
    <w:p>
      <w:pPr>
        <w:spacing w:after="0" w:line="168" w:lineRule="exact"/>
        <w:rPr>
          <w:sz w:val="20"/>
          <w:szCs w:val="20"/>
          <w:color w:val="auto"/>
        </w:rPr>
      </w:pPr>
    </w:p>
    <w:p>
      <w:pPr>
        <w:ind w:left="380" w:firstLine="534"/>
        <w:spacing w:after="0" w:line="247"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 (Topic 230)—Restricted Cash</w:t>
      </w:r>
      <w:r>
        <w:rPr>
          <w:rFonts w:ascii="Arial" w:cs="Arial" w:eastAsia="Arial" w:hAnsi="Arial"/>
          <w:sz w:val="17"/>
          <w:szCs w:val="17"/>
          <w:color w:val="auto"/>
        </w:rPr>
        <w:t>, to clarify the presentation of the change in restricted cash on the statement of cash flows. The new standard clarifies the FASB’s position that changes to restricted cash are not reflective of an entity’s operating, investing or financing activities, and therefore should be included with cash and cash equivalents when reconciling the beginning-of-period and end-of-period total amounts shown on the statement of cash flows. The ASU is effective for fiscal years beginning after December 15, 2018. The Company elected to early adopt this ASU using the retrospective transition method to each period presented having no effect within the classification of its consolidated statements of cash flows due to there being no changes in the Company’s restricted cash balances for any of the years presented.</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Recent Accounting Pronouncements Not Yet Adopted</w:t>
      </w:r>
    </w:p>
    <w:p>
      <w:pPr>
        <w:spacing w:after="0" w:line="108" w:lineRule="exact"/>
        <w:rPr>
          <w:sz w:val="20"/>
          <w:szCs w:val="20"/>
          <w:color w:val="auto"/>
        </w:rPr>
      </w:pPr>
    </w:p>
    <w:p>
      <w:pPr>
        <w:ind w:left="380" w:firstLine="534"/>
        <w:spacing w:after="0" w:line="245"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which supersedes the revenue recognition requirements in Accounting Standards Codification (ASC) 605, Revenue Recognition.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The ASU’s effective date will be for annual reporting periods beginning after December 15, 2018 and interim periods beginning after December 15, 2019 using one of two retrospective application methods. The Company has engaged outside advisors to assist in analyzing its research collaboration, product development and license agreement with Merck to determine the differences in the accounting treatment under ASU 2014-09 compared to the current accounting treatment. The consideration the Company is</w:t>
      </w:r>
    </w:p>
    <w:p>
      <w:pPr>
        <w:spacing w:after="0" w:line="13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1040"/>
          </w:cols>
          <w:pgMar w:left="240" w:top="449" w:right="619" w:bottom="1440" w:gutter="0" w:footer="0" w:header="0"/>
        </w:sectPr>
      </w:pPr>
    </w:p>
    <w:bookmarkStart w:id="228" w:name="page229"/>
    <w:bookmarkEnd w:id="2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7" w:lineRule="exact"/>
        <w:rPr>
          <w:sz w:val="20"/>
          <w:szCs w:val="20"/>
          <w:color w:val="auto"/>
        </w:rPr>
      </w:pPr>
    </w:p>
    <w:p>
      <w:pPr>
        <w:ind w:left="380" w:right="80"/>
        <w:spacing w:after="0" w:line="247" w:lineRule="auto"/>
        <w:rPr>
          <w:sz w:val="20"/>
          <w:szCs w:val="20"/>
          <w:color w:val="auto"/>
        </w:rPr>
      </w:pPr>
      <w:r>
        <w:rPr>
          <w:rFonts w:ascii="Arial" w:cs="Arial" w:eastAsia="Arial" w:hAnsi="Arial"/>
          <w:sz w:val="17"/>
          <w:szCs w:val="17"/>
          <w:color w:val="auto"/>
        </w:rPr>
        <w:t>eligible to receive under this agreement includes upfront payments, research and development funding, option payments, milestone payments, and royalties. The new revenue recognition standard differs from the current accounting standard in many respects, such as in the accounting for variable consideration and the measurement of progress toward completion of performance obligations. The company currently anticipates adopting the new standard effective January 1, 2019 under the modified retrospective method.</w:t>
      </w:r>
    </w:p>
    <w:p>
      <w:pPr>
        <w:spacing w:after="0" w:line="172" w:lineRule="exact"/>
        <w:rPr>
          <w:sz w:val="20"/>
          <w:szCs w:val="20"/>
          <w:color w:val="auto"/>
        </w:rPr>
      </w:pPr>
    </w:p>
    <w:p>
      <w:pPr>
        <w:ind w:left="380" w:firstLine="534"/>
        <w:spacing w:after="0" w:line="246"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increases lease transparency and comparability among organizations. Under the new standard, lessees will be required to recognize all assets and liabilities arising from leases on the balance sheet, with the exception of leases with a term of 12 months or less, which permits a lessee to make an accounting policy election by class of underlying asset not to recognize lease assets and liabilities. In March 2018, the FASB approved an alternative transition method to the modified retrospective approach, which eliminates the requirement to restate prior period financial statements and allows the cumulative effect of the retrospective allocation to be recorded as an adjustment to the opening balance of retained earnings at the date of adoption. The Company is currently assessing the timing of adoption and the impact that the adoption of ASU 2016-02 will have on its consolidated financial statements and related disclosures.</w:t>
      </w:r>
    </w:p>
    <w:p>
      <w:pPr>
        <w:spacing w:after="0" w:line="178" w:lineRule="exact"/>
        <w:rPr>
          <w:sz w:val="20"/>
          <w:szCs w:val="20"/>
          <w:color w:val="auto"/>
        </w:rPr>
      </w:pPr>
    </w:p>
    <w:p>
      <w:pPr>
        <w:ind w:left="380" w:right="140" w:firstLine="534"/>
        <w:spacing w:after="0" w:line="249"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Compensation—Stock Compensation (Topic 718): 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Non-Employee Share-Based Payment Accounting </w:t>
      </w:r>
      <w:r>
        <w:rPr>
          <w:rFonts w:ascii="Arial" w:cs="Arial" w:eastAsia="Arial" w:hAnsi="Arial"/>
          <w:sz w:val="17"/>
          <w:szCs w:val="17"/>
          <w:color w:val="auto"/>
        </w:rPr>
        <w:t>as part of the FASB simplification initiative. The new standard expands the scope of</w:t>
      </w:r>
      <w:r>
        <w:rPr>
          <w:rFonts w:ascii="Arial" w:cs="Arial" w:eastAsia="Arial" w:hAnsi="Arial"/>
          <w:sz w:val="17"/>
          <w:szCs w:val="17"/>
          <w:i w:val="1"/>
          <w:iCs w:val="1"/>
          <w:color w:val="auto"/>
        </w:rPr>
        <w:t xml:space="preserve"> </w:t>
      </w:r>
      <w:r>
        <w:rPr>
          <w:rFonts w:ascii="Arial" w:cs="Arial" w:eastAsia="Arial" w:hAnsi="Arial"/>
          <w:sz w:val="17"/>
          <w:szCs w:val="17"/>
          <w:color w:val="auto"/>
        </w:rPr>
        <w:t>Topic 718, allowing the Company to apply the requirements of Topic 718 to certain non-employee awards to acquire goods and services from non-employees. This ASU will be effective for the Company for fiscal years beginning after December 15, 2019, and interim periods within fiscal years beginning after December 15, 2020, with early adoption permitted. The Company is currently assessing the timing of adoption and the impact that the adoption of ASU 2018-07 will have on its consolidated financial statements and related disclosures.</w:t>
      </w:r>
    </w:p>
    <w:p>
      <w:pPr>
        <w:spacing w:after="0" w:line="171" w:lineRule="exact"/>
        <w:rPr>
          <w:sz w:val="20"/>
          <w:szCs w:val="20"/>
          <w:color w:val="auto"/>
        </w:rPr>
      </w:pPr>
    </w:p>
    <w:p>
      <w:pPr>
        <w:ind w:left="380" w:right="80" w:firstLine="534"/>
        <w:spacing w:after="0" w:line="245"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Measurements (Topic 820)</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 Framework</w:t>
      </w:r>
      <w:r>
        <w:rPr>
          <w:rFonts w:ascii="Arial" w:cs="Arial" w:eastAsia="Arial" w:hAnsi="Arial"/>
          <w:sz w:val="17"/>
          <w:szCs w:val="17"/>
          <w:color w:val="auto"/>
        </w:rPr>
        <w:t xml:space="preserve"> – </w:t>
      </w:r>
      <w:r>
        <w:rPr>
          <w:rFonts w:ascii="Arial" w:cs="Arial" w:eastAsia="Arial" w:hAnsi="Arial"/>
          <w:sz w:val="17"/>
          <w:szCs w:val="17"/>
          <w:i w:val="1"/>
          <w:iCs w:val="1"/>
          <w:color w:val="auto"/>
        </w:rPr>
        <w:t>Changes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Disclosure Requirements for Fair Value Measurement </w:t>
      </w:r>
      <w:r>
        <w:rPr>
          <w:rFonts w:ascii="Arial" w:cs="Arial" w:eastAsia="Arial" w:hAnsi="Arial"/>
          <w:sz w:val="17"/>
          <w:szCs w:val="17"/>
          <w:color w:val="auto"/>
        </w:rPr>
        <w:t>as part of the FASB’s disclosure framework project. This ASU modifies the</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requirements on fair value measurements in Topic 820, Fair Value Measurement by removing the requirement to disclose amounts of and reasons for transfers between Level 1 and Level 2 of the fair value hierarchy, the policy for timing of transfers between levels, and the valuation process for Level 3 fair value measurements. This ASU also modifies existing disclosure requirements by clarifying that the measurement uncertainty disclosure is to communicate information about the uncertainty in measurement as of the reporting date, and it adds required disclosures for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This ASU will be effective for the Company for fiscal years and interim periods within those fiscal years, beginning after December 15, 2019. The Company is currently assessing the impact of this ASU on its consolidated financial statements.</w:t>
      </w:r>
    </w:p>
    <w:p>
      <w:pPr>
        <w:spacing w:after="0" w:line="175" w:lineRule="exact"/>
        <w:rPr>
          <w:sz w:val="20"/>
          <w:szCs w:val="20"/>
          <w:color w:val="auto"/>
        </w:rPr>
      </w:pPr>
    </w:p>
    <w:p>
      <w:pPr>
        <w:jc w:val="both"/>
        <w:ind w:left="380" w:right="40" w:firstLine="534"/>
        <w:spacing w:after="0" w:line="261" w:lineRule="auto"/>
        <w:rPr>
          <w:sz w:val="20"/>
          <w:szCs w:val="20"/>
          <w:color w:val="auto"/>
        </w:rPr>
      </w:pPr>
      <w:r>
        <w:rPr>
          <w:rFonts w:ascii="Arial" w:cs="Arial" w:eastAsia="Arial" w:hAnsi="Arial"/>
          <w:sz w:val="17"/>
          <w:szCs w:val="17"/>
          <w:color w:val="auto"/>
        </w:rPr>
        <w:t xml:space="preserve">In November 2018, the FASB issued ASU No. 2018-18, </w:t>
      </w:r>
      <w:r>
        <w:rPr>
          <w:rFonts w:ascii="Arial" w:cs="Arial" w:eastAsia="Arial" w:hAnsi="Arial"/>
          <w:sz w:val="17"/>
          <w:szCs w:val="17"/>
          <w:i w:val="1"/>
          <w:iCs w:val="1"/>
          <w:color w:val="auto"/>
        </w:rPr>
        <w:t>Collaborative Arrangements (Topic 808)</w:t>
      </w:r>
      <w:r>
        <w:rPr>
          <w:rFonts w:ascii="Arial" w:cs="Arial" w:eastAsia="Arial" w:hAnsi="Arial"/>
          <w:sz w:val="17"/>
          <w:szCs w:val="17"/>
          <w:color w:val="auto"/>
        </w:rPr>
        <w:t xml:space="preserve">: </w:t>
      </w:r>
      <w:r>
        <w:rPr>
          <w:rFonts w:ascii="Arial" w:cs="Arial" w:eastAsia="Arial" w:hAnsi="Arial"/>
          <w:sz w:val="17"/>
          <w:szCs w:val="17"/>
          <w:i w:val="1"/>
          <w:iCs w:val="1"/>
          <w:color w:val="auto"/>
        </w:rPr>
        <w:t>Clarifying the Interaction between</w:t>
      </w:r>
      <w:r>
        <w:rPr>
          <w:rFonts w:ascii="Arial" w:cs="Arial" w:eastAsia="Arial" w:hAnsi="Arial"/>
          <w:sz w:val="17"/>
          <w:szCs w:val="17"/>
          <w:color w:val="auto"/>
        </w:rPr>
        <w:t xml:space="preserve"> </w:t>
      </w:r>
      <w:r>
        <w:rPr>
          <w:rFonts w:ascii="Arial" w:cs="Arial" w:eastAsia="Arial" w:hAnsi="Arial"/>
          <w:sz w:val="17"/>
          <w:szCs w:val="17"/>
          <w:i w:val="1"/>
          <w:iCs w:val="1"/>
          <w:color w:val="auto"/>
        </w:rPr>
        <w:t>Topic 808 and Topic 606</w:t>
      </w:r>
      <w:r>
        <w:rPr>
          <w:rFonts w:ascii="Arial" w:cs="Arial" w:eastAsia="Arial" w:hAnsi="Arial"/>
          <w:sz w:val="17"/>
          <w:szCs w:val="17"/>
          <w:color w:val="auto"/>
        </w:rPr>
        <w:t>, which clarifies that certain transactions between collaborative arrangement participants should be accounted for</w:t>
      </w:r>
      <w:r>
        <w:rPr>
          <w:rFonts w:ascii="Arial" w:cs="Arial" w:eastAsia="Arial" w:hAnsi="Arial"/>
          <w:sz w:val="17"/>
          <w:szCs w:val="17"/>
          <w:i w:val="1"/>
          <w:iCs w:val="1"/>
          <w:color w:val="auto"/>
        </w:rPr>
        <w:t xml:space="preserve"> </w:t>
      </w:r>
      <w:r>
        <w:rPr>
          <w:rFonts w:ascii="Arial" w:cs="Arial" w:eastAsia="Arial" w:hAnsi="Arial"/>
          <w:sz w:val="17"/>
          <w:szCs w:val="17"/>
          <w:color w:val="auto"/>
        </w:rPr>
        <w:t>as revenue under Topic 606</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1040"/>
          </w:cols>
          <w:pgMar w:left="240" w:top="449" w:right="619" w:bottom="1440" w:gutter="0" w:footer="0" w:header="0"/>
        </w:sectPr>
      </w:pPr>
    </w:p>
    <w:bookmarkStart w:id="229" w:name="page230"/>
    <w:bookmarkEnd w:id="2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7"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when then collaborative arrangement participant is a customer in the context of a unit of account. In those situations, all the guidance in Topic 606 should be applied, including recognition, measurement, presentation, and disclosure requirements. This ASU adds unit-of-account guidance in Topic 808 to align with the guidance in Topic 606 (that is, a distinct good or service) when an entity is assessing whether the collaborative arrangement or a part of the arrangement is within the scope of Topic 606, and requires that in a transaction with a collaborative arrangement participant that is not directly related to sales to third parties, presenting the transaction together with revenue recognized under Topic 606 is precluded if the collaborative arrangement participant is not a customer. This ASU will be effective for the Company for fiscal years beginning after December 15, 2020, and interim periods within fiscal years beginning after December 15, 2021. The Company is currently assessing the impact of this ASU on its consolidated financial statements.</w:t>
      </w:r>
    </w:p>
    <w:p>
      <w:pPr>
        <w:spacing w:after="0" w:line="198" w:lineRule="exact"/>
        <w:rPr>
          <w:sz w:val="20"/>
          <w:szCs w:val="20"/>
          <w:color w:val="auto"/>
        </w:rPr>
      </w:pPr>
    </w:p>
    <w:p>
      <w:pPr>
        <w:ind w:left="380" w:right="40" w:firstLine="534"/>
        <w:spacing w:after="0" w:line="244" w:lineRule="auto"/>
        <w:rPr>
          <w:sz w:val="20"/>
          <w:szCs w:val="20"/>
          <w:color w:val="auto"/>
        </w:rPr>
      </w:pPr>
      <w:r>
        <w:rPr>
          <w:rFonts w:ascii="Arial" w:cs="Arial" w:eastAsia="Arial" w:hAnsi="Arial"/>
          <w:sz w:val="17"/>
          <w:szCs w:val="17"/>
          <w:color w:val="auto"/>
        </w:rPr>
        <w:t>In June 2016, the FASB issued ASU No. 2016-13 “Financial Instruments-Credit Losses (Topic 326): Measurement of Credit Losses on Financial Instruments”. The new guidance amended guidance on reporting credit losses for assets held at amortized cost basis and available for sale debt securities. For available for sale debt securities, credit losses will be presented as an allowance rather than as a write-down. This standard is effective for the Company’s fiscal year beginning after December 31, 2020. Early adoption is permitted for all entities. The Company is currently assessing the timing of adoption and the impact that the adoption of ASU 2016-13 will have on its consolidated financial statements and related disclosures.</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3. Fair Value Measurements</w:t>
      </w:r>
    </w:p>
    <w:p>
      <w:pPr>
        <w:spacing w:after="0" w:line="128" w:lineRule="exact"/>
        <w:rPr>
          <w:sz w:val="20"/>
          <w:szCs w:val="20"/>
          <w:color w:val="auto"/>
        </w:rPr>
      </w:pPr>
    </w:p>
    <w:p>
      <w:pPr>
        <w:ind w:left="380" w:right="80" w:firstLine="534"/>
        <w:spacing w:after="0" w:line="244" w:lineRule="auto"/>
        <w:rPr>
          <w:sz w:val="20"/>
          <w:szCs w:val="20"/>
          <w:color w:val="auto"/>
        </w:rPr>
      </w:pPr>
      <w:r>
        <w:rPr>
          <w:rFonts w:ascii="Arial" w:cs="Arial" w:eastAsia="Arial" w:hAnsi="Arial"/>
          <w:sz w:val="17"/>
          <w:szCs w:val="17"/>
          <w:color w:val="auto"/>
        </w:rPr>
        <w:t>Financial assets and liabilities are recorded at fair value. The carrying amount of certain financial instruments, including cash and cash equivalents, receivable from collaboration, related party receivable from collaboration and other current assets and liabilities approximate fair value due to their relatively short maturities. Assets and liabilities recorded at fair value on a recurring basis in the balance sheets are categorized based upon the level of judgment associated with the inputs used to measure their fair values. Fair value accounting is applied to the convertible preferred stock warrant liabilities that are recorded at their estimated fair value in the consolidated financial statements.</w:t>
      </w:r>
    </w:p>
    <w:p>
      <w:pPr>
        <w:spacing w:after="0" w:line="196" w:lineRule="exact"/>
        <w:rPr>
          <w:sz w:val="20"/>
          <w:szCs w:val="20"/>
          <w:color w:val="auto"/>
        </w:rPr>
      </w:pPr>
    </w:p>
    <w:p>
      <w:pPr>
        <w:ind w:left="380" w:right="40" w:firstLine="534"/>
        <w:spacing w:after="0" w:line="245" w:lineRule="auto"/>
        <w:rPr>
          <w:sz w:val="20"/>
          <w:szCs w:val="20"/>
          <w:color w:val="auto"/>
        </w:rPr>
      </w:pPr>
      <w:r>
        <w:rPr>
          <w:rFonts w:ascii="Arial" w:cs="Arial" w:eastAsia="Arial" w:hAnsi="Arial"/>
          <w:sz w:val="17"/>
          <w:szCs w:val="17"/>
          <w:color w:val="auto"/>
        </w:rPr>
        <w:t>The FASB defined fair value as the exchange price that would be received for an asset or paid to transfer a liability, or an exit price, in the principal or most advantageous market for that asset or liability in an orderly transaction between market participants on the measurement date, and established a fair value hierarchy that requires an entity to maximize the use of observable inputs, where available, and minimize the use of unobservable inputs when measuring fair value. The FASB set forth three levels of inputs that may be used to measure fair value:</w:t>
      </w:r>
    </w:p>
    <w:p>
      <w:pPr>
        <w:spacing w:after="0" w:line="102" w:lineRule="exact"/>
        <w:rPr>
          <w:sz w:val="20"/>
          <w:szCs w:val="20"/>
          <w:color w:val="auto"/>
        </w:rPr>
      </w:pPr>
    </w:p>
    <w:p>
      <w:pPr>
        <w:ind w:left="900"/>
        <w:spacing w:after="0"/>
        <w:tabs>
          <w:tab w:leader="none" w:pos="1840" w:val="left"/>
        </w:tabs>
        <w:rPr>
          <w:sz w:val="20"/>
          <w:szCs w:val="20"/>
          <w:color w:val="auto"/>
        </w:rPr>
      </w:pPr>
      <w:r>
        <w:rPr>
          <w:rFonts w:ascii="Arial" w:cs="Arial" w:eastAsia="Arial" w:hAnsi="Arial"/>
          <w:sz w:val="17"/>
          <w:szCs w:val="17"/>
          <w:color w:val="auto"/>
        </w:rPr>
        <w:t>Level 1:</w:t>
      </w:r>
      <w:r>
        <w:rPr>
          <w:sz w:val="20"/>
          <w:szCs w:val="20"/>
          <w:color w:val="auto"/>
        </w:rPr>
        <w:tab/>
      </w:r>
      <w:r>
        <w:rPr>
          <w:rFonts w:ascii="Arial" w:cs="Arial" w:eastAsia="Arial" w:hAnsi="Arial"/>
          <w:sz w:val="17"/>
          <w:szCs w:val="17"/>
          <w:color w:val="auto"/>
        </w:rPr>
        <w:t>Quoted prices in active markets for identical assets or liabilities.</w:t>
      </w:r>
    </w:p>
    <w:p>
      <w:pPr>
        <w:spacing w:after="0" w:line="119" w:lineRule="exact"/>
        <w:rPr>
          <w:sz w:val="20"/>
          <w:szCs w:val="20"/>
          <w:color w:val="auto"/>
        </w:rPr>
      </w:pPr>
    </w:p>
    <w:p>
      <w:pPr>
        <w:ind w:left="1860" w:right="200" w:hanging="955"/>
        <w:spacing w:after="0" w:line="250" w:lineRule="auto"/>
        <w:tabs>
          <w:tab w:leader="none" w:pos="1840" w:val="left"/>
        </w:tabs>
        <w:rPr>
          <w:sz w:val="20"/>
          <w:szCs w:val="20"/>
          <w:color w:val="auto"/>
        </w:rPr>
      </w:pPr>
      <w:r>
        <w:rPr>
          <w:rFonts w:ascii="Arial" w:cs="Arial" w:eastAsia="Arial" w:hAnsi="Arial"/>
          <w:sz w:val="17"/>
          <w:szCs w:val="17"/>
          <w:color w:val="auto"/>
        </w:rPr>
        <w:t>Level 2:</w:t>
      </w:r>
      <w:r>
        <w:rPr>
          <w:sz w:val="20"/>
          <w:szCs w:val="20"/>
          <w:color w:val="auto"/>
        </w:rPr>
        <w:tab/>
      </w:r>
      <w:r>
        <w:rPr>
          <w:rFonts w:ascii="Arial" w:cs="Arial" w:eastAsia="Arial" w:hAnsi="Arial"/>
          <w:sz w:val="17"/>
          <w:szCs w:val="17"/>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96" w:lineRule="exact"/>
        <w:rPr>
          <w:sz w:val="20"/>
          <w:szCs w:val="20"/>
          <w:color w:val="auto"/>
        </w:rPr>
      </w:pPr>
    </w:p>
    <w:p>
      <w:pPr>
        <w:ind w:left="1860" w:right="400" w:hanging="955"/>
        <w:spacing w:after="0" w:line="258" w:lineRule="auto"/>
        <w:tabs>
          <w:tab w:leader="none" w:pos="1840" w:val="left"/>
        </w:tabs>
        <w:rPr>
          <w:sz w:val="20"/>
          <w:szCs w:val="20"/>
          <w:color w:val="auto"/>
        </w:rPr>
      </w:pPr>
      <w:r>
        <w:rPr>
          <w:rFonts w:ascii="Arial" w:cs="Arial" w:eastAsia="Arial" w:hAnsi="Arial"/>
          <w:sz w:val="17"/>
          <w:szCs w:val="17"/>
          <w:color w:val="auto"/>
        </w:rPr>
        <w:t>Level 3:</w:t>
      </w:r>
      <w:r>
        <w:rPr>
          <w:sz w:val="20"/>
          <w:szCs w:val="20"/>
          <w:color w:val="auto"/>
        </w:rPr>
        <w:tab/>
      </w:r>
      <w:r>
        <w:rPr>
          <w:rFonts w:ascii="Arial" w:cs="Arial" w:eastAsia="Arial" w:hAnsi="Arial"/>
          <w:sz w:val="17"/>
          <w:szCs w:val="17"/>
          <w:color w:val="auto"/>
        </w:rPr>
        <w:t>Unobservable inputs that are supported by little or no market activity and that are significant to the fair value of the assets or liabilities.</w:t>
      </w:r>
    </w:p>
    <w:p>
      <w:pPr>
        <w:spacing w:after="0" w:line="182" w:lineRule="exact"/>
        <w:rPr>
          <w:sz w:val="20"/>
          <w:szCs w:val="20"/>
          <w:color w:val="auto"/>
        </w:rPr>
      </w:pPr>
    </w:p>
    <w:p>
      <w:pPr>
        <w:ind w:left="380" w:right="80" w:firstLine="534"/>
        <w:spacing w:after="0" w:line="250" w:lineRule="auto"/>
        <w:rPr>
          <w:sz w:val="20"/>
          <w:szCs w:val="20"/>
          <w:color w:val="auto"/>
        </w:rPr>
      </w:pPr>
      <w:r>
        <w:rPr>
          <w:rFonts w:ascii="Arial" w:cs="Arial" w:eastAsia="Arial" w:hAnsi="Arial"/>
          <w:sz w:val="17"/>
          <w:szCs w:val="17"/>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2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1040"/>
          </w:cols>
          <w:pgMar w:left="240" w:top="449" w:right="619" w:bottom="1440" w:gutter="0" w:footer="0" w:header="0"/>
        </w:sectPr>
      </w:pPr>
    </w:p>
    <w:bookmarkStart w:id="230" w:name="page231"/>
    <w:bookmarkEnd w:id="2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7" w:lineRule="exact"/>
        <w:rPr>
          <w:sz w:val="20"/>
          <w:szCs w:val="20"/>
          <w:color w:val="auto"/>
        </w:rPr>
      </w:pPr>
    </w:p>
    <w:p>
      <w:pPr>
        <w:ind w:left="380" w:right="80" w:firstLine="534"/>
        <w:spacing w:after="0" w:line="245" w:lineRule="auto"/>
        <w:rPr>
          <w:sz w:val="20"/>
          <w:szCs w:val="20"/>
          <w:color w:val="auto"/>
        </w:rPr>
      </w:pPr>
      <w:r>
        <w:rPr>
          <w:rFonts w:ascii="Arial" w:cs="Arial" w:eastAsia="Arial" w:hAnsi="Arial"/>
          <w:sz w:val="17"/>
          <w:szCs w:val="17"/>
          <w:color w:val="auto"/>
        </w:rPr>
        <w:t>To date, the Company has not recorded any impairment charges on marketable securities related to other-than-temporary declines in market value. In determining whether a decline is other than temporary, the Company considers various factors including the length of time and extent to which the market value has been less than cost, the financial condition and near-term prospects of the issuer and the Company’s intent and ability to retain its investment in the issuer for a period of time sufficient to allow for any anticipated recovery in market value.</w:t>
      </w:r>
    </w:p>
    <w:p>
      <w:pPr>
        <w:spacing w:after="0" w:line="194" w:lineRule="exact"/>
        <w:rPr>
          <w:sz w:val="20"/>
          <w:szCs w:val="20"/>
          <w:color w:val="auto"/>
        </w:rPr>
      </w:pPr>
    </w:p>
    <w:p>
      <w:pPr>
        <w:ind w:left="380" w:right="100" w:firstLine="534"/>
        <w:spacing w:after="0" w:line="244" w:lineRule="auto"/>
        <w:rPr>
          <w:sz w:val="20"/>
          <w:szCs w:val="20"/>
          <w:color w:val="auto"/>
        </w:rPr>
      </w:pPr>
      <w:r>
        <w:rPr>
          <w:rFonts w:ascii="Arial" w:cs="Arial" w:eastAsia="Arial" w:hAnsi="Arial"/>
          <w:sz w:val="17"/>
          <w:szCs w:val="17"/>
          <w:color w:val="auto"/>
        </w:rPr>
        <w:t>The Company estimates the fair values of investments in corporate agency bond securities, commercial paper and government agencies securities using level 2 inputs,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196" w:lineRule="exact"/>
        <w:rPr>
          <w:sz w:val="20"/>
          <w:szCs w:val="20"/>
          <w:color w:val="auto"/>
        </w:rPr>
      </w:pPr>
    </w:p>
    <w:p>
      <w:pPr>
        <w:ind w:left="380" w:right="120" w:firstLine="534"/>
        <w:spacing w:after="0" w:line="258" w:lineRule="auto"/>
        <w:rPr>
          <w:sz w:val="20"/>
          <w:szCs w:val="20"/>
          <w:color w:val="auto"/>
        </w:rPr>
      </w:pPr>
      <w:r>
        <w:rPr>
          <w:rFonts w:ascii="Arial" w:cs="Arial" w:eastAsia="Arial" w:hAnsi="Arial"/>
          <w:sz w:val="17"/>
          <w:szCs w:val="17"/>
          <w:color w:val="auto"/>
        </w:rPr>
        <w:t>Cash equivalents and marketable securities, all of which are classified as available-for-sale securities consisted of the following (in thousands):</w:t>
      </w:r>
    </w:p>
    <w:p>
      <w:pPr>
        <w:spacing w:after="0" w:line="198" w:lineRule="exact"/>
        <w:rPr>
          <w:sz w:val="20"/>
          <w:szCs w:val="20"/>
          <w:color w:val="auto"/>
        </w:rPr>
      </w:pPr>
    </w:p>
    <w:tbl>
      <w:tblPr>
        <w:tblLayout w:type="fixed"/>
        <w:tblInd w:w="380" w:type="dxa"/>
        <w:tblCellMar>
          <w:top w:w="0" w:type="dxa"/>
          <w:left w:w="0" w:type="dxa"/>
          <w:bottom w:w="0" w:type="dxa"/>
          <w:right w:w="0" w:type="dxa"/>
        </w:tblCellMar>
      </w:tblPr>
      <w:tr>
        <w:trPr>
          <w:trHeight w:val="169"/>
        </w:trPr>
        <w:tc>
          <w:tcPr>
            <w:tcW w:w="4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rPr>
              <w:t>At December 31, 2017</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400"/>
              <w:spacing w:after="0" w:line="139" w:lineRule="exact"/>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460"/>
              <w:spacing w:after="0" w:line="139" w:lineRule="exact"/>
              <w:rPr>
                <w:sz w:val="20"/>
                <w:szCs w:val="20"/>
                <w:color w:val="auto"/>
              </w:rPr>
            </w:pPr>
            <w:r>
              <w:rPr>
                <w:rFonts w:ascii="Arial" w:cs="Arial" w:eastAsia="Arial" w:hAnsi="Arial"/>
                <w:sz w:val="14"/>
                <w:szCs w:val="14"/>
                <w:b w:val="1"/>
                <w:bCs w:val="1"/>
                <w:color w:val="auto"/>
                <w:w w:val="98"/>
              </w:rPr>
              <w:t>Gross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8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gridSpan w:val="3"/>
          </w:tcPr>
          <w:p>
            <w:pPr>
              <w:jc w:val="center"/>
              <w:ind w:right="280"/>
              <w:spacing w:after="0" w:line="157" w:lineRule="exact"/>
              <w:rPr>
                <w:sz w:val="20"/>
                <w:szCs w:val="20"/>
                <w:color w:val="auto"/>
              </w:rPr>
            </w:pPr>
            <w:r>
              <w:rPr>
                <w:rFonts w:ascii="Arial" w:cs="Arial" w:eastAsia="Arial" w:hAnsi="Arial"/>
                <w:sz w:val="14"/>
                <w:szCs w:val="14"/>
                <w:b w:val="1"/>
                <w:bCs w:val="1"/>
                <w:color w:val="auto"/>
                <w:w w:val="99"/>
              </w:rPr>
              <w:t>Amortized</w:t>
            </w:r>
          </w:p>
        </w:tc>
        <w:tc>
          <w:tcPr>
            <w:tcW w:w="240" w:type="dxa"/>
            <w:vAlign w:val="bottom"/>
          </w:tcPr>
          <w:p>
            <w:pPr>
              <w:spacing w:after="0"/>
              <w:rPr>
                <w:sz w:val="13"/>
                <w:szCs w:val="13"/>
                <w:color w:val="auto"/>
              </w:rPr>
            </w:pPr>
          </w:p>
        </w:tc>
        <w:tc>
          <w:tcPr>
            <w:tcW w:w="980" w:type="dxa"/>
            <w:vAlign w:val="bottom"/>
            <w:gridSpan w:val="3"/>
          </w:tcPr>
          <w:p>
            <w:pPr>
              <w:jc w:val="right"/>
              <w:ind w:right="260"/>
              <w:spacing w:after="0" w:line="157" w:lineRule="exact"/>
              <w:rPr>
                <w:sz w:val="20"/>
                <w:szCs w:val="20"/>
                <w:color w:val="auto"/>
              </w:rPr>
            </w:pPr>
            <w:r>
              <w:rPr>
                <w:rFonts w:ascii="Arial" w:cs="Arial" w:eastAsia="Arial" w:hAnsi="Arial"/>
                <w:sz w:val="14"/>
                <w:szCs w:val="14"/>
                <w:b w:val="1"/>
                <w:bCs w:val="1"/>
                <w:color w:val="auto"/>
                <w:w w:val="98"/>
              </w:rPr>
              <w:t>Unrealized</w:t>
            </w:r>
          </w:p>
        </w:tc>
        <w:tc>
          <w:tcPr>
            <w:tcW w:w="240" w:type="dxa"/>
            <w:vAlign w:val="bottom"/>
          </w:tcPr>
          <w:p>
            <w:pPr>
              <w:spacing w:after="0"/>
              <w:rPr>
                <w:sz w:val="13"/>
                <w:szCs w:val="13"/>
                <w:color w:val="auto"/>
              </w:rPr>
            </w:pPr>
          </w:p>
        </w:tc>
        <w:tc>
          <w:tcPr>
            <w:tcW w:w="102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Cost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Gain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Loss</w:t>
            </w:r>
          </w:p>
        </w:tc>
        <w:tc>
          <w:tcPr>
            <w:tcW w:w="260" w:type="dxa"/>
            <w:vAlign w:val="bottom"/>
          </w:tcPr>
          <w:p>
            <w:pPr>
              <w:spacing w:after="0"/>
              <w:rPr>
                <w:sz w:val="14"/>
                <w:szCs w:val="1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0"/>
        </w:trPr>
        <w:tc>
          <w:tcPr>
            <w:tcW w:w="48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Money market funds</w:t>
            </w:r>
          </w:p>
        </w:tc>
        <w:tc>
          <w:tcPr>
            <w:tcW w:w="1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18,263</w:t>
            </w:r>
          </w:p>
        </w:tc>
        <w:tc>
          <w:tcPr>
            <w:tcW w:w="2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3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18,263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20"/>
                <w:szCs w:val="20"/>
                <w:color w:val="auto"/>
              </w:rPr>
            </w:pPr>
            <w:r>
              <w:rPr>
                <w:rFonts w:ascii="Arial" w:cs="Arial" w:eastAsia="Arial" w:hAnsi="Arial"/>
                <w:sz w:val="17"/>
                <w:szCs w:val="17"/>
                <w:color w:val="auto"/>
              </w:rPr>
              <w:t>Corporate and agency bonds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93,025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(301)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92,724</w:t>
            </w: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Commercial paper</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34,393</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34,393</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20"/>
                <w:szCs w:val="20"/>
                <w:color w:val="auto"/>
              </w:rPr>
            </w:pPr>
            <w:r>
              <w:rPr>
                <w:rFonts w:ascii="Arial" w:cs="Arial" w:eastAsia="Arial" w:hAnsi="Arial"/>
                <w:sz w:val="17"/>
                <w:szCs w:val="17"/>
                <w:color w:val="auto"/>
              </w:rPr>
              <w:t>U.S. government agencies securities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66,256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(131)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66,125</w:t>
            </w:r>
          </w:p>
        </w:tc>
        <w:tc>
          <w:tcPr>
            <w:tcW w:w="0" w:type="dxa"/>
            <w:vAlign w:val="bottom"/>
          </w:tcPr>
          <w:p>
            <w:pPr>
              <w:spacing w:after="0"/>
              <w:rPr>
                <w:sz w:val="1"/>
                <w:szCs w:val="1"/>
                <w:color w:val="auto"/>
              </w:rPr>
            </w:pPr>
          </w:p>
        </w:tc>
      </w:tr>
      <w:tr>
        <w:trPr>
          <w:trHeight w:val="26"/>
        </w:trPr>
        <w:tc>
          <w:tcPr>
            <w:tcW w:w="4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8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211,937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(432)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211,505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7"/>
                <w:szCs w:val="17"/>
                <w:color w:val="auto"/>
              </w:rPr>
              <w:t>Classified as:</w:t>
            </w: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00" w:type="dxa"/>
            <w:vAlign w:val="bottom"/>
            <w:vMerge w:val="continue"/>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18,263</w:t>
            </w:r>
          </w:p>
        </w:tc>
        <w:tc>
          <w:tcPr>
            <w:tcW w:w="0" w:type="dxa"/>
            <w:vAlign w:val="bottom"/>
          </w:tcPr>
          <w:p>
            <w:pPr>
              <w:spacing w:after="0"/>
              <w:rPr>
                <w:sz w:val="1"/>
                <w:szCs w:val="1"/>
                <w:color w:val="auto"/>
              </w:rPr>
            </w:pPr>
          </w:p>
        </w:tc>
      </w:tr>
      <w:tr>
        <w:trPr>
          <w:trHeight w:val="196"/>
        </w:trPr>
        <w:tc>
          <w:tcPr>
            <w:tcW w:w="4800" w:type="dxa"/>
            <w:vAlign w:val="bottom"/>
          </w:tcPr>
          <w:p>
            <w:pPr>
              <w:ind w:left="340"/>
              <w:spacing w:after="0"/>
              <w:rPr>
                <w:sz w:val="20"/>
                <w:szCs w:val="20"/>
                <w:color w:val="auto"/>
              </w:rPr>
            </w:pPr>
            <w:r>
              <w:rPr>
                <w:rFonts w:ascii="Arial" w:cs="Arial" w:eastAsia="Arial" w:hAnsi="Arial"/>
                <w:sz w:val="17"/>
                <w:szCs w:val="17"/>
                <w:color w:val="auto"/>
              </w:rPr>
              <w:t>Short-term marketable securities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148,092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Long-term marketable securities</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45,150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00" w:type="dxa"/>
            <w:vAlign w:val="bottom"/>
          </w:tcPr>
          <w:p>
            <w:pPr>
              <w:ind w:left="680"/>
              <w:spacing w:after="0"/>
              <w:rPr>
                <w:sz w:val="20"/>
                <w:szCs w:val="20"/>
                <w:color w:val="auto"/>
              </w:rPr>
            </w:pPr>
            <w:r>
              <w:rPr>
                <w:rFonts w:ascii="Arial" w:cs="Arial" w:eastAsia="Arial" w:hAnsi="Arial"/>
                <w:sz w:val="17"/>
                <w:szCs w:val="17"/>
                <w:color w:val="auto"/>
              </w:rPr>
              <w:t>Total cash equivalents and marketable securities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211,505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40" w:type="dxa"/>
            <w:vAlign w:val="bottom"/>
            <w:gridSpan w:val="2"/>
            <w:vMerge w:val="restart"/>
          </w:tcPr>
          <w:p>
            <w:pPr>
              <w:jc w:val="right"/>
              <w:ind w:right="647"/>
              <w:spacing w:after="0"/>
              <w:rPr>
                <w:sz w:val="20"/>
                <w:szCs w:val="20"/>
                <w:color w:val="auto"/>
              </w:rPr>
            </w:pPr>
            <w:r>
              <w:rPr>
                <w:rFonts w:ascii="Arial" w:cs="Arial" w:eastAsia="Arial" w:hAnsi="Arial"/>
                <w:sz w:val="17"/>
                <w:szCs w:val="17"/>
                <w:color w:val="auto"/>
              </w:rPr>
              <w:t>F-19</w:t>
            </w: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800" w:type="dxa"/>
            <w:vAlign w:val="bottom"/>
          </w:tcPr>
          <w:p>
            <w:pPr>
              <w:spacing w:after="0"/>
              <w:rPr>
                <w:sz w:val="24"/>
                <w:szCs w:val="24"/>
                <w:color w:val="auto"/>
              </w:rPr>
            </w:pPr>
          </w:p>
        </w:tc>
        <w:tc>
          <w:tcPr>
            <w:tcW w:w="144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49" w:right="599" w:bottom="1440" w:gutter="0" w:footer="0" w:header="0"/>
        </w:sectPr>
      </w:pPr>
    </w:p>
    <w:bookmarkStart w:id="231" w:name="page232"/>
    <w:bookmarkEnd w:id="2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6" w:lineRule="exact"/>
        <w:rPr>
          <w:sz w:val="20"/>
          <w:szCs w:val="20"/>
          <w:color w:val="auto"/>
        </w:rPr>
      </w:pPr>
    </w:p>
    <w:tbl>
      <w:tblPr>
        <w:tblLayout w:type="fixed"/>
        <w:tblInd w:w="380" w:type="dxa"/>
        <w:tblCellMar>
          <w:top w:w="0" w:type="dxa"/>
          <w:left w:w="0" w:type="dxa"/>
          <w:bottom w:w="0" w:type="dxa"/>
          <w:right w:w="0" w:type="dxa"/>
        </w:tblCellMar>
      </w:tblPr>
      <w:tr>
        <w:trPr>
          <w:trHeight w:val="169"/>
        </w:trPr>
        <w:tc>
          <w:tcPr>
            <w:tcW w:w="6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rPr>
              <w:t>At December 31, 2018</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400"/>
              <w:spacing w:after="0" w:line="139" w:lineRule="exact"/>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720"/>
              <w:spacing w:after="0" w:line="139" w:lineRule="exact"/>
              <w:rPr>
                <w:sz w:val="20"/>
                <w:szCs w:val="20"/>
                <w:color w:val="auto"/>
              </w:rPr>
            </w:pPr>
            <w:r>
              <w:rPr>
                <w:rFonts w:ascii="Arial" w:cs="Arial" w:eastAsia="Arial" w:hAnsi="Arial"/>
                <w:sz w:val="14"/>
                <w:szCs w:val="14"/>
                <w:b w:val="1"/>
                <w:bCs w:val="1"/>
                <w:color w:val="auto"/>
                <w:w w:val="98"/>
              </w:rPr>
              <w:t>Gross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140" w:type="dxa"/>
            <w:vAlign w:val="bottom"/>
          </w:tcPr>
          <w:p>
            <w:pPr>
              <w:spacing w:after="0"/>
              <w:rPr>
                <w:sz w:val="13"/>
                <w:szCs w:val="13"/>
                <w:color w:val="auto"/>
              </w:rPr>
            </w:pPr>
          </w:p>
        </w:tc>
        <w:tc>
          <w:tcPr>
            <w:tcW w:w="1000" w:type="dxa"/>
            <w:vAlign w:val="bottom"/>
            <w:gridSpan w:val="3"/>
          </w:tcPr>
          <w:p>
            <w:pPr>
              <w:jc w:val="center"/>
              <w:ind w:right="280"/>
              <w:spacing w:after="0" w:line="157" w:lineRule="exact"/>
              <w:rPr>
                <w:sz w:val="20"/>
                <w:szCs w:val="20"/>
                <w:color w:val="auto"/>
              </w:rPr>
            </w:pPr>
            <w:r>
              <w:rPr>
                <w:rFonts w:ascii="Arial" w:cs="Arial" w:eastAsia="Arial" w:hAnsi="Arial"/>
                <w:sz w:val="14"/>
                <w:szCs w:val="14"/>
                <w:b w:val="1"/>
                <w:bCs w:val="1"/>
                <w:color w:val="auto"/>
                <w:w w:val="99"/>
              </w:rPr>
              <w:t>Amortized</w:t>
            </w:r>
          </w:p>
        </w:tc>
        <w:tc>
          <w:tcPr>
            <w:tcW w:w="240" w:type="dxa"/>
            <w:vAlign w:val="bottom"/>
          </w:tcPr>
          <w:p>
            <w:pPr>
              <w:spacing w:after="0"/>
              <w:rPr>
                <w:sz w:val="13"/>
                <w:szCs w:val="13"/>
                <w:color w:val="auto"/>
              </w:rPr>
            </w:pPr>
          </w:p>
        </w:tc>
        <w:tc>
          <w:tcPr>
            <w:tcW w:w="980" w:type="dxa"/>
            <w:vAlign w:val="bottom"/>
            <w:gridSpan w:val="3"/>
          </w:tcPr>
          <w:p>
            <w:pPr>
              <w:jc w:val="right"/>
              <w:ind w:right="260"/>
              <w:spacing w:after="0" w:line="157" w:lineRule="exact"/>
              <w:rPr>
                <w:sz w:val="20"/>
                <w:szCs w:val="20"/>
                <w:color w:val="auto"/>
              </w:rPr>
            </w:pPr>
            <w:r>
              <w:rPr>
                <w:rFonts w:ascii="Arial" w:cs="Arial" w:eastAsia="Arial" w:hAnsi="Arial"/>
                <w:sz w:val="14"/>
                <w:szCs w:val="14"/>
                <w:b w:val="1"/>
                <w:bCs w:val="1"/>
                <w:color w:val="auto"/>
                <w:w w:val="98"/>
              </w:rPr>
              <w:t>Unrealized</w:t>
            </w:r>
          </w:p>
        </w:tc>
        <w:tc>
          <w:tcPr>
            <w:tcW w:w="240" w:type="dxa"/>
            <w:vAlign w:val="bottom"/>
          </w:tcPr>
          <w:p>
            <w:pPr>
              <w:spacing w:after="0"/>
              <w:rPr>
                <w:sz w:val="13"/>
                <w:szCs w:val="13"/>
                <w:color w:val="auto"/>
              </w:rPr>
            </w:pPr>
          </w:p>
        </w:tc>
        <w:tc>
          <w:tcPr>
            <w:tcW w:w="128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Cost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Gain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Loss</w:t>
            </w:r>
          </w:p>
        </w:tc>
        <w:tc>
          <w:tcPr>
            <w:tcW w:w="2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0"/>
        </w:trPr>
        <w:tc>
          <w:tcPr>
            <w:tcW w:w="61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Money market funds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34,983</w:t>
            </w:r>
          </w:p>
        </w:tc>
        <w:tc>
          <w:tcPr>
            <w:tcW w:w="2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34,983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140" w:type="dxa"/>
            <w:vAlign w:val="bottom"/>
          </w:tcPr>
          <w:p>
            <w:pPr>
              <w:spacing w:after="0"/>
              <w:rPr>
                <w:sz w:val="20"/>
                <w:szCs w:val="20"/>
                <w:color w:val="auto"/>
              </w:rPr>
            </w:pPr>
            <w:r>
              <w:rPr>
                <w:rFonts w:ascii="Arial" w:cs="Arial" w:eastAsia="Arial" w:hAnsi="Arial"/>
                <w:sz w:val="17"/>
                <w:szCs w:val="17"/>
                <w:color w:val="auto"/>
              </w:rPr>
              <w:t>Corporate and agency bonds</w:t>
            </w:r>
          </w:p>
        </w:tc>
        <w:tc>
          <w:tcPr>
            <w:tcW w:w="10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68,323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7"/>
                <w:szCs w:val="17"/>
                <w:color w:val="auto"/>
              </w:rPr>
              <w:t>(241)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68,082</w:t>
            </w:r>
          </w:p>
        </w:tc>
        <w:tc>
          <w:tcPr>
            <w:tcW w:w="0" w:type="dxa"/>
            <w:vAlign w:val="bottom"/>
          </w:tcPr>
          <w:p>
            <w:pPr>
              <w:spacing w:after="0"/>
              <w:rPr>
                <w:sz w:val="1"/>
                <w:szCs w:val="1"/>
                <w:color w:val="auto"/>
              </w:rPr>
            </w:pPr>
          </w:p>
        </w:tc>
      </w:tr>
      <w:tr>
        <w:trPr>
          <w:trHeight w:val="196"/>
        </w:trPr>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Commercial paper</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17,904</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17,904</w:t>
            </w:r>
          </w:p>
        </w:tc>
        <w:tc>
          <w:tcPr>
            <w:tcW w:w="0" w:type="dxa"/>
            <w:vAlign w:val="bottom"/>
          </w:tcPr>
          <w:p>
            <w:pPr>
              <w:spacing w:after="0"/>
              <w:rPr>
                <w:sz w:val="1"/>
                <w:szCs w:val="1"/>
                <w:color w:val="auto"/>
              </w:rPr>
            </w:pPr>
          </w:p>
        </w:tc>
      </w:tr>
      <w:tr>
        <w:trPr>
          <w:trHeight w:val="196"/>
        </w:trPr>
        <w:tc>
          <w:tcPr>
            <w:tcW w:w="6140" w:type="dxa"/>
            <w:vAlign w:val="bottom"/>
          </w:tcPr>
          <w:p>
            <w:pPr>
              <w:spacing w:after="0"/>
              <w:rPr>
                <w:sz w:val="20"/>
                <w:szCs w:val="20"/>
                <w:color w:val="auto"/>
              </w:rPr>
            </w:pPr>
            <w:r>
              <w:rPr>
                <w:rFonts w:ascii="Arial" w:cs="Arial" w:eastAsia="Arial" w:hAnsi="Arial"/>
                <w:sz w:val="17"/>
                <w:szCs w:val="17"/>
                <w:color w:val="auto"/>
              </w:rPr>
              <w:t>U.S. government agencies securities</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63,751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7"/>
                <w:szCs w:val="17"/>
                <w:color w:val="auto"/>
              </w:rPr>
              <w:t>(26)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63,725</w:t>
            </w:r>
          </w:p>
        </w:tc>
        <w:tc>
          <w:tcPr>
            <w:tcW w:w="0" w:type="dxa"/>
            <w:vAlign w:val="bottom"/>
          </w:tcPr>
          <w:p>
            <w:pPr>
              <w:spacing w:after="0"/>
              <w:rPr>
                <w:sz w:val="1"/>
                <w:szCs w:val="1"/>
                <w:color w:val="auto"/>
              </w:rPr>
            </w:pPr>
          </w:p>
        </w:tc>
      </w:tr>
      <w:tr>
        <w:trPr>
          <w:trHeight w:val="26"/>
        </w:trPr>
        <w:tc>
          <w:tcPr>
            <w:tcW w:w="6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1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184,961</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(267)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184,694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7"/>
                <w:szCs w:val="17"/>
                <w:color w:val="auto"/>
              </w:rPr>
              <w:t>Classified as: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1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34,984</w:t>
            </w:r>
          </w:p>
        </w:tc>
        <w:tc>
          <w:tcPr>
            <w:tcW w:w="0" w:type="dxa"/>
            <w:vAlign w:val="bottom"/>
          </w:tcPr>
          <w:p>
            <w:pPr>
              <w:spacing w:after="0"/>
              <w:rPr>
                <w:sz w:val="1"/>
                <w:szCs w:val="1"/>
                <w:color w:val="auto"/>
              </w:rPr>
            </w:pPr>
          </w:p>
        </w:tc>
      </w:tr>
      <w:tr>
        <w:trPr>
          <w:trHeight w:val="196"/>
        </w:trPr>
        <w:tc>
          <w:tcPr>
            <w:tcW w:w="6140" w:type="dxa"/>
            <w:vAlign w:val="bottom"/>
          </w:tcPr>
          <w:p>
            <w:pPr>
              <w:ind w:left="340"/>
              <w:spacing w:after="0"/>
              <w:rPr>
                <w:sz w:val="20"/>
                <w:szCs w:val="20"/>
                <w:color w:val="auto"/>
              </w:rPr>
            </w:pPr>
            <w:r>
              <w:rPr>
                <w:rFonts w:ascii="Arial" w:cs="Arial" w:eastAsia="Arial" w:hAnsi="Arial"/>
                <w:sz w:val="17"/>
                <w:szCs w:val="17"/>
                <w:color w:val="auto"/>
              </w:rPr>
              <w:t>Short-term marketable securities</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149,710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Long-term marketable securities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40" w:type="dxa"/>
            <w:vAlign w:val="bottom"/>
          </w:tcPr>
          <w:p>
            <w:pPr>
              <w:ind w:left="680"/>
              <w:spacing w:after="0"/>
              <w:rPr>
                <w:sz w:val="20"/>
                <w:szCs w:val="20"/>
                <w:color w:val="auto"/>
              </w:rPr>
            </w:pPr>
            <w:r>
              <w:rPr>
                <w:rFonts w:ascii="Arial" w:cs="Arial" w:eastAsia="Arial" w:hAnsi="Arial"/>
                <w:sz w:val="17"/>
                <w:szCs w:val="17"/>
                <w:color w:val="auto"/>
              </w:rPr>
              <w:t>Total cash equivalents and marketable securities</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u w:val="single" w:color="auto"/>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184,694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380" w:right="280" w:firstLine="534"/>
        <w:spacing w:after="0" w:line="258" w:lineRule="auto"/>
        <w:rPr>
          <w:sz w:val="20"/>
          <w:szCs w:val="20"/>
          <w:color w:val="auto"/>
        </w:rPr>
      </w:pPr>
      <w:r>
        <w:rPr>
          <w:rFonts w:ascii="Arial" w:cs="Arial" w:eastAsia="Arial" w:hAnsi="Arial"/>
          <w:sz w:val="17"/>
          <w:szCs w:val="17"/>
          <w:color w:val="auto"/>
        </w:rPr>
        <w:t>Cash and cash equivalents in the table above excludes cash on deposit with banks of $7.3 million as of December 31, 2017 and $21.9 million as of December 31, 2018.</w:t>
      </w:r>
    </w:p>
    <w:p>
      <w:pPr>
        <w:spacing w:after="0" w:line="182" w:lineRule="exact"/>
        <w:rPr>
          <w:sz w:val="20"/>
          <w:szCs w:val="20"/>
          <w:color w:val="auto"/>
        </w:rPr>
      </w:pPr>
    </w:p>
    <w:p>
      <w:pPr>
        <w:ind w:left="380" w:right="320" w:firstLine="534"/>
        <w:spacing w:after="0" w:line="258" w:lineRule="auto"/>
        <w:rPr>
          <w:sz w:val="20"/>
          <w:szCs w:val="20"/>
          <w:color w:val="auto"/>
        </w:rPr>
      </w:pPr>
      <w:r>
        <w:rPr>
          <w:rFonts w:ascii="Arial" w:cs="Arial" w:eastAsia="Arial" w:hAnsi="Arial"/>
          <w:sz w:val="17"/>
          <w:szCs w:val="17"/>
          <w:color w:val="auto"/>
        </w:rPr>
        <w:t>As of December 31, 2017 and 2018, the Company’s marketable securities had the following remaining contractual maturities (in thousands):</w:t>
      </w:r>
    </w:p>
    <w:p>
      <w:pPr>
        <w:spacing w:after="0" w:line="198" w:lineRule="exact"/>
        <w:rPr>
          <w:sz w:val="20"/>
          <w:szCs w:val="20"/>
          <w:color w:val="auto"/>
        </w:rPr>
      </w:pPr>
    </w:p>
    <w:tbl>
      <w:tblPr>
        <w:tblLayout w:type="fixed"/>
        <w:tblInd w:w="380" w:type="dxa"/>
        <w:tblCellMar>
          <w:top w:w="0" w:type="dxa"/>
          <w:left w:w="0" w:type="dxa"/>
          <w:bottom w:w="0" w:type="dxa"/>
          <w:right w:w="0" w:type="dxa"/>
        </w:tblCellMar>
      </w:tblPr>
      <w:tr>
        <w:trPr>
          <w:trHeight w:val="169"/>
        </w:trPr>
        <w:tc>
          <w:tcPr>
            <w:tcW w:w="43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At December 31, 2017</w:t>
            </w:r>
          </w:p>
        </w:tc>
      </w:tr>
      <w:tr>
        <w:trPr>
          <w:trHeight w:val="150"/>
        </w:trPr>
        <w:tc>
          <w:tcPr>
            <w:tcW w:w="434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320" w:type="dxa"/>
            <w:vAlign w:val="bottom"/>
            <w:tcBorders>
              <w:top w:val="single" w:sz="8" w:color="auto"/>
            </w:tcBorders>
            <w:gridSpan w:val="3"/>
          </w:tcPr>
          <w:p>
            <w:pPr>
              <w:spacing w:after="0" w:line="150" w:lineRule="exact"/>
              <w:rPr>
                <w:sz w:val="20"/>
                <w:szCs w:val="20"/>
                <w:color w:val="auto"/>
              </w:rPr>
            </w:pPr>
            <w:r>
              <w:rPr>
                <w:rFonts w:ascii="Arial" w:cs="Arial" w:eastAsia="Arial" w:hAnsi="Arial"/>
                <w:sz w:val="14"/>
                <w:szCs w:val="14"/>
                <w:b w:val="1"/>
                <w:bCs w:val="1"/>
                <w:color w:val="auto"/>
              </w:rPr>
              <w:t>Amortized Cost</w:t>
            </w:r>
          </w:p>
        </w:tc>
        <w:tc>
          <w:tcPr>
            <w:tcW w:w="2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0"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3"/>
                <w:szCs w:val="13"/>
                <w:color w:val="auto"/>
              </w:rPr>
            </w:pPr>
          </w:p>
        </w:tc>
      </w:tr>
      <w:tr>
        <w:trPr>
          <w:trHeight w:val="190"/>
        </w:trPr>
        <w:tc>
          <w:tcPr>
            <w:tcW w:w="43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Less than one year</w:t>
            </w:r>
          </w:p>
        </w:tc>
        <w:tc>
          <w:tcPr>
            <w:tcW w:w="39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148,280</w:t>
            </w:r>
          </w:p>
        </w:tc>
        <w:tc>
          <w:tcPr>
            <w:tcW w:w="2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$148,092</w:t>
            </w:r>
          </w:p>
        </w:tc>
        <w:tc>
          <w:tcPr>
            <w:tcW w:w="60" w:type="dxa"/>
            <w:vAlign w:val="bottom"/>
            <w:tcBorders>
              <w:top w:val="single" w:sz="8" w:color="CCEEFF"/>
            </w:tcBorders>
            <w:shd w:val="clear" w:color="auto" w:fill="CCEEFF"/>
          </w:tcPr>
          <w:p>
            <w:pPr>
              <w:spacing w:after="0"/>
              <w:rPr>
                <w:sz w:val="16"/>
                <w:szCs w:val="16"/>
                <w:color w:val="auto"/>
              </w:rPr>
            </w:pPr>
          </w:p>
        </w:tc>
      </w:tr>
      <w:tr>
        <w:trPr>
          <w:trHeight w:val="196"/>
        </w:trPr>
        <w:tc>
          <w:tcPr>
            <w:tcW w:w="4340" w:type="dxa"/>
            <w:vAlign w:val="bottom"/>
          </w:tcPr>
          <w:p>
            <w:pPr>
              <w:spacing w:after="0"/>
              <w:rPr>
                <w:sz w:val="20"/>
                <w:szCs w:val="20"/>
                <w:color w:val="auto"/>
              </w:rPr>
            </w:pPr>
            <w:r>
              <w:rPr>
                <w:rFonts w:ascii="Arial" w:cs="Arial" w:eastAsia="Arial" w:hAnsi="Arial"/>
                <w:sz w:val="17"/>
                <w:szCs w:val="17"/>
                <w:color w:val="auto"/>
              </w:rPr>
              <w:t>Greater than one year but less than five years</w:t>
            </w:r>
          </w:p>
        </w:tc>
        <w:tc>
          <w:tcPr>
            <w:tcW w:w="3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45,394</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45,150</w:t>
            </w:r>
          </w:p>
        </w:tc>
      </w:tr>
      <w:tr>
        <w:trPr>
          <w:trHeight w:val="26"/>
        </w:trPr>
        <w:tc>
          <w:tcPr>
            <w:tcW w:w="43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96"/>
        </w:trPr>
        <w:tc>
          <w:tcPr>
            <w:tcW w:w="4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3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193,674</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193,242</w:t>
            </w:r>
          </w:p>
        </w:tc>
        <w:tc>
          <w:tcPr>
            <w:tcW w:w="60" w:type="dxa"/>
            <w:vAlign w:val="bottom"/>
            <w:shd w:val="clear" w:color="auto" w:fill="CCEEFF"/>
          </w:tcPr>
          <w:p>
            <w:pPr>
              <w:spacing w:after="0"/>
              <w:rPr>
                <w:sz w:val="17"/>
                <w:szCs w:val="17"/>
                <w:color w:val="auto"/>
              </w:rPr>
            </w:pPr>
          </w:p>
        </w:tc>
      </w:tr>
      <w:tr>
        <w:trPr>
          <w:trHeight w:val="20"/>
        </w:trPr>
        <w:tc>
          <w:tcPr>
            <w:tcW w:w="43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43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At December 31, 2018</w:t>
            </w:r>
          </w:p>
        </w:tc>
      </w:tr>
      <w:tr>
        <w:trPr>
          <w:trHeight w:val="150"/>
        </w:trPr>
        <w:tc>
          <w:tcPr>
            <w:tcW w:w="434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320" w:type="dxa"/>
            <w:vAlign w:val="bottom"/>
            <w:tcBorders>
              <w:top w:val="single" w:sz="8" w:color="auto"/>
            </w:tcBorders>
            <w:gridSpan w:val="3"/>
          </w:tcPr>
          <w:p>
            <w:pPr>
              <w:spacing w:after="0" w:line="150" w:lineRule="exact"/>
              <w:rPr>
                <w:sz w:val="20"/>
                <w:szCs w:val="20"/>
                <w:color w:val="auto"/>
              </w:rPr>
            </w:pPr>
            <w:r>
              <w:rPr>
                <w:rFonts w:ascii="Arial" w:cs="Arial" w:eastAsia="Arial" w:hAnsi="Arial"/>
                <w:sz w:val="14"/>
                <w:szCs w:val="14"/>
                <w:b w:val="1"/>
                <w:bCs w:val="1"/>
                <w:color w:val="auto"/>
              </w:rPr>
              <w:t>Amortized Cost</w:t>
            </w:r>
          </w:p>
        </w:tc>
        <w:tc>
          <w:tcPr>
            <w:tcW w:w="2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0"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3"/>
                <w:szCs w:val="13"/>
                <w:color w:val="auto"/>
              </w:rPr>
            </w:pPr>
          </w:p>
        </w:tc>
      </w:tr>
      <w:tr>
        <w:trPr>
          <w:trHeight w:val="190"/>
        </w:trPr>
        <w:tc>
          <w:tcPr>
            <w:tcW w:w="43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Less than one year</w:t>
            </w:r>
          </w:p>
        </w:tc>
        <w:tc>
          <w:tcPr>
            <w:tcW w:w="39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149,976</w:t>
            </w:r>
          </w:p>
        </w:tc>
        <w:tc>
          <w:tcPr>
            <w:tcW w:w="2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$149,710</w:t>
            </w:r>
          </w:p>
        </w:tc>
        <w:tc>
          <w:tcPr>
            <w:tcW w:w="60" w:type="dxa"/>
            <w:vAlign w:val="bottom"/>
            <w:tcBorders>
              <w:top w:val="single" w:sz="8" w:color="CCEEFF"/>
            </w:tcBorders>
            <w:shd w:val="clear" w:color="auto" w:fill="CCEEFF"/>
          </w:tcPr>
          <w:p>
            <w:pPr>
              <w:spacing w:after="0"/>
              <w:rPr>
                <w:sz w:val="16"/>
                <w:szCs w:val="16"/>
                <w:color w:val="auto"/>
              </w:rPr>
            </w:pPr>
          </w:p>
        </w:tc>
      </w:tr>
      <w:tr>
        <w:trPr>
          <w:trHeight w:val="196"/>
        </w:trPr>
        <w:tc>
          <w:tcPr>
            <w:tcW w:w="4340" w:type="dxa"/>
            <w:vAlign w:val="bottom"/>
          </w:tcPr>
          <w:p>
            <w:pPr>
              <w:spacing w:after="0"/>
              <w:rPr>
                <w:sz w:val="20"/>
                <w:szCs w:val="20"/>
                <w:color w:val="auto"/>
              </w:rPr>
            </w:pPr>
            <w:r>
              <w:rPr>
                <w:rFonts w:ascii="Arial" w:cs="Arial" w:eastAsia="Arial" w:hAnsi="Arial"/>
                <w:sz w:val="17"/>
                <w:szCs w:val="17"/>
                <w:color w:val="auto"/>
              </w:rPr>
              <w:t>Greater than one year but less than five years</w:t>
            </w:r>
          </w:p>
        </w:tc>
        <w:tc>
          <w:tcPr>
            <w:tcW w:w="3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6"/>
        </w:trPr>
        <w:tc>
          <w:tcPr>
            <w:tcW w:w="43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96"/>
        </w:trPr>
        <w:tc>
          <w:tcPr>
            <w:tcW w:w="4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3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149,976</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149,710</w:t>
            </w:r>
          </w:p>
        </w:tc>
        <w:tc>
          <w:tcPr>
            <w:tcW w:w="60" w:type="dxa"/>
            <w:vAlign w:val="bottom"/>
            <w:shd w:val="clear" w:color="auto" w:fill="CCEEFF"/>
          </w:tcPr>
          <w:p>
            <w:pPr>
              <w:spacing w:after="0"/>
              <w:rPr>
                <w:sz w:val="17"/>
                <w:szCs w:val="17"/>
                <w:color w:val="auto"/>
              </w:rPr>
            </w:pPr>
          </w:p>
        </w:tc>
      </w:tr>
      <w:tr>
        <w:trPr>
          <w:trHeight w:val="20"/>
        </w:trPr>
        <w:tc>
          <w:tcPr>
            <w:tcW w:w="43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6"/>
        </w:trPr>
        <w:tc>
          <w:tcPr>
            <w:tcW w:w="4340" w:type="dxa"/>
            <w:vAlign w:val="bottom"/>
          </w:tcPr>
          <w:p>
            <w:pPr>
              <w:spacing w:after="0"/>
              <w:rPr>
                <w:sz w:val="24"/>
                <w:szCs w:val="24"/>
                <w:color w:val="auto"/>
              </w:rPr>
            </w:pPr>
          </w:p>
        </w:tc>
        <w:tc>
          <w:tcPr>
            <w:tcW w:w="4200" w:type="dxa"/>
            <w:vAlign w:val="bottom"/>
            <w:gridSpan w:val="2"/>
          </w:tcPr>
          <w:p>
            <w:pPr>
              <w:ind w:left="820"/>
              <w:spacing w:after="0"/>
              <w:rPr>
                <w:sz w:val="20"/>
                <w:szCs w:val="20"/>
                <w:color w:val="auto"/>
              </w:rPr>
            </w:pPr>
            <w:r>
              <w:rPr>
                <w:rFonts w:ascii="Arial" w:cs="Arial" w:eastAsia="Arial" w:hAnsi="Arial"/>
                <w:sz w:val="17"/>
                <w:szCs w:val="17"/>
                <w:color w:val="auto"/>
              </w:rPr>
              <w:t>F-20</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60"/>
          </w:cols>
          <w:pgMar w:left="240" w:top="449" w:right="599" w:bottom="1440" w:gutter="0" w:footer="0" w:header="0"/>
        </w:sectPr>
      </w:pPr>
    </w:p>
    <w:bookmarkStart w:id="232" w:name="page233"/>
    <w:bookmarkEnd w:id="2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Assets and Liabilities Measured at Fair Value on a Recurring Basis</w:t>
      </w:r>
    </w:p>
    <w:p>
      <w:pPr>
        <w:spacing w:after="0" w:line="126" w:lineRule="exact"/>
        <w:rPr>
          <w:sz w:val="20"/>
          <w:szCs w:val="20"/>
          <w:color w:val="auto"/>
        </w:rPr>
      </w:pPr>
    </w:p>
    <w:p>
      <w:pPr>
        <w:ind w:left="380" w:right="320" w:firstLine="534"/>
        <w:spacing w:after="0" w:line="258" w:lineRule="auto"/>
        <w:rPr>
          <w:sz w:val="20"/>
          <w:szCs w:val="20"/>
          <w:color w:val="auto"/>
        </w:rPr>
      </w:pPr>
      <w:r>
        <w:rPr>
          <w:rFonts w:ascii="Arial" w:cs="Arial" w:eastAsia="Arial" w:hAnsi="Arial"/>
          <w:sz w:val="17"/>
          <w:szCs w:val="17"/>
          <w:color w:val="auto"/>
        </w:rPr>
        <w:t>The following table sets forth the estimated fair value of the Company’s financial assets and liabilities that were measured at fair value on a recurring basis as of December 31, 2017 and 2018 (in thousands):</w:t>
      </w:r>
    </w:p>
    <w:p>
      <w:pPr>
        <w:spacing w:after="0" w:line="19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9"/>
              </w:rPr>
              <w:t>Fair Value Measurements at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6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center"/>
              <w:ind w:right="720"/>
              <w:spacing w:after="0"/>
              <w:rPr>
                <w:sz w:val="20"/>
                <w:szCs w:val="20"/>
                <w:color w:val="auto"/>
              </w:rPr>
            </w:pPr>
            <w:r>
              <w:rPr>
                <w:rFonts w:ascii="Arial" w:cs="Arial" w:eastAsia="Arial" w:hAnsi="Arial"/>
                <w:sz w:val="14"/>
                <w:szCs w:val="14"/>
                <w:b w:val="1"/>
                <w:bCs w:val="1"/>
                <w:color w:val="auto"/>
                <w:w w:val="99"/>
              </w:rPr>
              <w:t>December 31, 2017</w:t>
            </w: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0"/>
        </w:trPr>
        <w:tc>
          <w:tcPr>
            <w:tcW w:w="6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ind w:left="100"/>
              <w:spacing w:after="0" w:line="150" w:lineRule="exact"/>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3"/>
                <w:szCs w:val="13"/>
                <w:color w:val="auto"/>
              </w:rPr>
            </w:pPr>
          </w:p>
        </w:tc>
        <w:tc>
          <w:tcPr>
            <w:tcW w:w="820" w:type="dxa"/>
            <w:vAlign w:val="bottom"/>
            <w:gridSpan w:val="3"/>
          </w:tcPr>
          <w:p>
            <w:pPr>
              <w:jc w:val="right"/>
              <w:ind w:right="260"/>
              <w:spacing w:after="0" w:line="150"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20"/>
              <w:spacing w:after="0" w:line="150" w:lineRule="exact"/>
              <w:rPr>
                <w:sz w:val="20"/>
                <w:szCs w:val="20"/>
                <w:color w:val="auto"/>
              </w:rPr>
            </w:pPr>
            <w:r>
              <w:rPr>
                <w:rFonts w:ascii="Arial" w:cs="Arial" w:eastAsia="Arial" w:hAnsi="Arial"/>
                <w:sz w:val="14"/>
                <w:szCs w:val="14"/>
                <w:b w:val="1"/>
                <w:bCs w:val="1"/>
                <w:color w:val="auto"/>
              </w:rPr>
              <w:t>Level 2</w:t>
            </w:r>
          </w:p>
        </w:tc>
        <w:tc>
          <w:tcPr>
            <w:tcW w:w="480" w:type="dxa"/>
            <w:vAlign w:val="bottom"/>
            <w:gridSpan w:val="2"/>
          </w:tcPr>
          <w:p>
            <w:pPr>
              <w:spacing w:after="0" w:line="150" w:lineRule="exact"/>
              <w:rPr>
                <w:sz w:val="20"/>
                <w:szCs w:val="20"/>
                <w:color w:val="auto"/>
              </w:rPr>
            </w:pPr>
            <w:r>
              <w:rPr>
                <w:rFonts w:ascii="Arial" w:cs="Arial" w:eastAsia="Arial" w:hAnsi="Arial"/>
                <w:sz w:val="14"/>
                <w:szCs w:val="14"/>
                <w:b w:val="1"/>
                <w:bCs w:val="1"/>
                <w:color w:val="auto"/>
                <w:w w:val="96"/>
              </w:rPr>
              <w:t>Level 3</w:t>
            </w:r>
          </w:p>
        </w:tc>
        <w:tc>
          <w:tcPr>
            <w:tcW w:w="60" w:type="dxa"/>
            <w:vAlign w:val="bottom"/>
          </w:tcPr>
          <w:p>
            <w:pPr>
              <w:spacing w:after="0"/>
              <w:rPr>
                <w:sz w:val="13"/>
                <w:szCs w:val="13"/>
                <w:color w:val="auto"/>
              </w:rPr>
            </w:pPr>
          </w:p>
        </w:tc>
      </w:tr>
      <w:tr>
        <w:trPr>
          <w:trHeight w:val="176"/>
        </w:trPr>
        <w:tc>
          <w:tcPr>
            <w:tcW w:w="690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Assets</w:t>
            </w: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196"/>
        </w:trPr>
        <w:tc>
          <w:tcPr>
            <w:tcW w:w="6900" w:type="dxa"/>
            <w:vAlign w:val="bottom"/>
          </w:tcPr>
          <w:p>
            <w:pPr>
              <w:ind w:left="340"/>
              <w:spacing w:after="0"/>
              <w:rPr>
                <w:sz w:val="20"/>
                <w:szCs w:val="20"/>
                <w:color w:val="auto"/>
              </w:rPr>
            </w:pPr>
            <w:r>
              <w:rPr>
                <w:rFonts w:ascii="Arial" w:cs="Arial" w:eastAsia="Arial" w:hAnsi="Arial"/>
                <w:sz w:val="17"/>
                <w:szCs w:val="17"/>
                <w:color w:val="auto"/>
              </w:rPr>
              <w:t>Money market funds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18,263</w:t>
            </w:r>
          </w:p>
        </w:tc>
        <w:tc>
          <w:tcPr>
            <w:tcW w:w="1100" w:type="dxa"/>
            <w:vAlign w:val="bottom"/>
            <w:gridSpan w:val="4"/>
          </w:tcPr>
          <w:p>
            <w:pPr>
              <w:jc w:val="right"/>
              <w:ind w:right="180"/>
              <w:spacing w:after="0"/>
              <w:rPr>
                <w:sz w:val="20"/>
                <w:szCs w:val="20"/>
                <w:color w:val="auto"/>
              </w:rPr>
            </w:pPr>
            <w:r>
              <w:rPr>
                <w:rFonts w:ascii="Arial" w:cs="Arial" w:eastAsia="Arial" w:hAnsi="Arial"/>
                <w:sz w:val="17"/>
                <w:szCs w:val="17"/>
                <w:color w:val="auto"/>
              </w:rPr>
              <w:t>$18,263</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196"/>
        </w:trPr>
        <w:tc>
          <w:tcPr>
            <w:tcW w:w="6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Corporate and agency bonds</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92,724</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92,724</w:t>
            </w:r>
          </w:p>
        </w:tc>
        <w:tc>
          <w:tcPr>
            <w:tcW w:w="2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196"/>
        </w:trPr>
        <w:tc>
          <w:tcPr>
            <w:tcW w:w="6900" w:type="dxa"/>
            <w:vAlign w:val="bottom"/>
          </w:tcPr>
          <w:p>
            <w:pPr>
              <w:ind w:left="340"/>
              <w:spacing w:after="0"/>
              <w:rPr>
                <w:sz w:val="20"/>
                <w:szCs w:val="20"/>
                <w:color w:val="auto"/>
              </w:rPr>
            </w:pPr>
            <w:r>
              <w:rPr>
                <w:rFonts w:ascii="Arial" w:cs="Arial" w:eastAsia="Arial" w:hAnsi="Arial"/>
                <w:sz w:val="17"/>
                <w:szCs w:val="17"/>
                <w:color w:val="auto"/>
              </w:rPr>
              <w:t>Commercial paper</w:t>
            </w:r>
          </w:p>
        </w:tc>
        <w:tc>
          <w:tcPr>
            <w:tcW w:w="1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34,393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7"/>
                <w:szCs w:val="17"/>
                <w:color w:val="auto"/>
              </w:rPr>
              <w:t>34,393</w:t>
            </w:r>
          </w:p>
        </w:tc>
        <w:tc>
          <w:tcPr>
            <w:tcW w:w="200" w:type="dxa"/>
            <w:vAlign w:val="bottom"/>
          </w:tcPr>
          <w:p>
            <w:pPr>
              <w:spacing w:after="0"/>
              <w:rPr>
                <w:sz w:val="17"/>
                <w:szCs w:val="17"/>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196"/>
        </w:trPr>
        <w:tc>
          <w:tcPr>
            <w:tcW w:w="6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U.S. government agencies securities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66,125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66,125</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0"/>
        </w:trPr>
        <w:tc>
          <w:tcPr>
            <w:tcW w:w="6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69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211,505</w:t>
            </w:r>
          </w:p>
        </w:tc>
        <w:tc>
          <w:tcPr>
            <w:tcW w:w="80" w:type="dxa"/>
            <w:vAlign w:val="bottom"/>
          </w:tcPr>
          <w:p>
            <w:pPr>
              <w:spacing w:after="0"/>
              <w:rPr>
                <w:sz w:val="17"/>
                <w:szCs w:val="17"/>
                <w:color w:val="auto"/>
              </w:rPr>
            </w:pPr>
          </w:p>
        </w:tc>
        <w:tc>
          <w:tcPr>
            <w:tcW w:w="1100" w:type="dxa"/>
            <w:vAlign w:val="bottom"/>
            <w:gridSpan w:val="4"/>
          </w:tcPr>
          <w:p>
            <w:pPr>
              <w:jc w:val="right"/>
              <w:ind w:right="1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18,263</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7"/>
                <w:szCs w:val="17"/>
                <w:color w:val="auto"/>
              </w:rPr>
              <w:t>193,242</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0"/>
        </w:trPr>
        <w:tc>
          <w:tcPr>
            <w:tcW w:w="6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6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Liabilities</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6900" w:type="dxa"/>
            <w:vAlign w:val="bottom"/>
          </w:tcPr>
          <w:p>
            <w:pPr>
              <w:ind w:left="340"/>
              <w:spacing w:after="0"/>
              <w:rPr>
                <w:sz w:val="20"/>
                <w:szCs w:val="20"/>
                <w:color w:val="auto"/>
              </w:rPr>
            </w:pPr>
            <w:r>
              <w:rPr>
                <w:rFonts w:ascii="Arial" w:cs="Arial" w:eastAsia="Arial" w:hAnsi="Arial"/>
                <w:sz w:val="17"/>
                <w:szCs w:val="17"/>
                <w:color w:val="auto"/>
              </w:rPr>
              <w:t>Convertible preferred stock warrant liability</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121</w:t>
            </w:r>
          </w:p>
        </w:tc>
        <w:tc>
          <w:tcPr>
            <w:tcW w:w="8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$ 121</w:t>
            </w:r>
          </w:p>
        </w:tc>
        <w:tc>
          <w:tcPr>
            <w:tcW w:w="60" w:type="dxa"/>
            <w:vAlign w:val="bottom"/>
          </w:tcPr>
          <w:p>
            <w:pPr>
              <w:spacing w:after="0"/>
              <w:rPr>
                <w:sz w:val="17"/>
                <w:szCs w:val="17"/>
                <w:color w:val="auto"/>
              </w:rPr>
            </w:pPr>
          </w:p>
        </w:tc>
      </w:tr>
      <w:tr>
        <w:trPr>
          <w:trHeight w:val="26"/>
        </w:trPr>
        <w:tc>
          <w:tcPr>
            <w:tcW w:w="6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96"/>
        </w:trPr>
        <w:tc>
          <w:tcPr>
            <w:tcW w:w="69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$ 121</w:t>
            </w:r>
          </w:p>
        </w:tc>
        <w:tc>
          <w:tcPr>
            <w:tcW w:w="60" w:type="dxa"/>
            <w:vAlign w:val="bottom"/>
            <w:shd w:val="clear" w:color="auto" w:fill="CCEEFF"/>
          </w:tcPr>
          <w:p>
            <w:pPr>
              <w:spacing w:after="0"/>
              <w:rPr>
                <w:sz w:val="17"/>
                <w:szCs w:val="17"/>
                <w:color w:val="auto"/>
              </w:rPr>
            </w:pPr>
          </w:p>
        </w:tc>
      </w:tr>
      <w:tr>
        <w:trPr>
          <w:trHeight w:val="20"/>
        </w:trPr>
        <w:tc>
          <w:tcPr>
            <w:tcW w:w="6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4"/>
        </w:trPr>
        <w:tc>
          <w:tcPr>
            <w:tcW w:w="6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9"/>
              </w:rPr>
              <w:t>Fair Value Measurements at</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6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center"/>
              <w:ind w:right="720"/>
              <w:spacing w:after="0"/>
              <w:rPr>
                <w:sz w:val="20"/>
                <w:szCs w:val="20"/>
                <w:color w:val="auto"/>
              </w:rPr>
            </w:pPr>
            <w:r>
              <w:rPr>
                <w:rFonts w:ascii="Arial" w:cs="Arial" w:eastAsia="Arial" w:hAnsi="Arial"/>
                <w:sz w:val="14"/>
                <w:szCs w:val="14"/>
                <w:b w:val="1"/>
                <w:bCs w:val="1"/>
                <w:color w:val="auto"/>
                <w:w w:val="99"/>
              </w:rPr>
              <w:t>December 31, 2018</w:t>
            </w: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0"/>
        </w:trPr>
        <w:tc>
          <w:tcPr>
            <w:tcW w:w="6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ind w:left="100"/>
              <w:spacing w:after="0" w:line="150" w:lineRule="exact"/>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3"/>
                <w:szCs w:val="13"/>
                <w:color w:val="auto"/>
              </w:rPr>
            </w:pPr>
          </w:p>
        </w:tc>
        <w:tc>
          <w:tcPr>
            <w:tcW w:w="820" w:type="dxa"/>
            <w:vAlign w:val="bottom"/>
            <w:gridSpan w:val="3"/>
          </w:tcPr>
          <w:p>
            <w:pPr>
              <w:jc w:val="right"/>
              <w:ind w:right="260"/>
              <w:spacing w:after="0" w:line="150"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20"/>
              <w:spacing w:after="0" w:line="150" w:lineRule="exact"/>
              <w:rPr>
                <w:sz w:val="20"/>
                <w:szCs w:val="20"/>
                <w:color w:val="auto"/>
              </w:rPr>
            </w:pPr>
            <w:r>
              <w:rPr>
                <w:rFonts w:ascii="Arial" w:cs="Arial" w:eastAsia="Arial" w:hAnsi="Arial"/>
                <w:sz w:val="14"/>
                <w:szCs w:val="14"/>
                <w:b w:val="1"/>
                <w:bCs w:val="1"/>
                <w:color w:val="auto"/>
              </w:rPr>
              <w:t>Level 2</w:t>
            </w:r>
          </w:p>
        </w:tc>
        <w:tc>
          <w:tcPr>
            <w:tcW w:w="480" w:type="dxa"/>
            <w:vAlign w:val="bottom"/>
            <w:gridSpan w:val="2"/>
          </w:tcPr>
          <w:p>
            <w:pPr>
              <w:spacing w:after="0" w:line="150" w:lineRule="exact"/>
              <w:rPr>
                <w:sz w:val="20"/>
                <w:szCs w:val="20"/>
                <w:color w:val="auto"/>
              </w:rPr>
            </w:pPr>
            <w:r>
              <w:rPr>
                <w:rFonts w:ascii="Arial" w:cs="Arial" w:eastAsia="Arial" w:hAnsi="Arial"/>
                <w:sz w:val="14"/>
                <w:szCs w:val="14"/>
                <w:b w:val="1"/>
                <w:bCs w:val="1"/>
                <w:color w:val="auto"/>
                <w:w w:val="96"/>
              </w:rPr>
              <w:t>Level 3</w:t>
            </w:r>
          </w:p>
        </w:tc>
        <w:tc>
          <w:tcPr>
            <w:tcW w:w="60" w:type="dxa"/>
            <w:vAlign w:val="bottom"/>
          </w:tcPr>
          <w:p>
            <w:pPr>
              <w:spacing w:after="0"/>
              <w:rPr>
                <w:sz w:val="13"/>
                <w:szCs w:val="13"/>
                <w:color w:val="auto"/>
              </w:rPr>
            </w:pPr>
          </w:p>
        </w:tc>
      </w:tr>
      <w:tr>
        <w:trPr>
          <w:trHeight w:val="176"/>
        </w:trPr>
        <w:tc>
          <w:tcPr>
            <w:tcW w:w="690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Assets</w:t>
            </w: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196"/>
        </w:trPr>
        <w:tc>
          <w:tcPr>
            <w:tcW w:w="6900" w:type="dxa"/>
            <w:vAlign w:val="bottom"/>
          </w:tcPr>
          <w:p>
            <w:pPr>
              <w:ind w:left="340"/>
              <w:spacing w:after="0"/>
              <w:rPr>
                <w:sz w:val="20"/>
                <w:szCs w:val="20"/>
                <w:color w:val="auto"/>
              </w:rPr>
            </w:pPr>
            <w:r>
              <w:rPr>
                <w:rFonts w:ascii="Arial" w:cs="Arial" w:eastAsia="Arial" w:hAnsi="Arial"/>
                <w:sz w:val="17"/>
                <w:szCs w:val="17"/>
                <w:color w:val="auto"/>
              </w:rPr>
              <w:t>Money market funds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34,983</w:t>
            </w:r>
          </w:p>
        </w:tc>
        <w:tc>
          <w:tcPr>
            <w:tcW w:w="1100" w:type="dxa"/>
            <w:vAlign w:val="bottom"/>
            <w:gridSpan w:val="4"/>
          </w:tcPr>
          <w:p>
            <w:pPr>
              <w:jc w:val="right"/>
              <w:ind w:right="180"/>
              <w:spacing w:after="0"/>
              <w:rPr>
                <w:sz w:val="20"/>
                <w:szCs w:val="20"/>
                <w:color w:val="auto"/>
              </w:rPr>
            </w:pPr>
            <w:r>
              <w:rPr>
                <w:rFonts w:ascii="Arial" w:cs="Arial" w:eastAsia="Arial" w:hAnsi="Arial"/>
                <w:sz w:val="17"/>
                <w:szCs w:val="17"/>
                <w:color w:val="auto"/>
              </w:rPr>
              <w:t>$34,983</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196"/>
        </w:trPr>
        <w:tc>
          <w:tcPr>
            <w:tcW w:w="6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Corporate and agency bonds</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68,082</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68,082</w:t>
            </w:r>
          </w:p>
        </w:tc>
        <w:tc>
          <w:tcPr>
            <w:tcW w:w="2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196"/>
        </w:trPr>
        <w:tc>
          <w:tcPr>
            <w:tcW w:w="6900" w:type="dxa"/>
            <w:vAlign w:val="bottom"/>
          </w:tcPr>
          <w:p>
            <w:pPr>
              <w:ind w:left="340"/>
              <w:spacing w:after="0"/>
              <w:rPr>
                <w:sz w:val="20"/>
                <w:szCs w:val="20"/>
                <w:color w:val="auto"/>
              </w:rPr>
            </w:pPr>
            <w:r>
              <w:rPr>
                <w:rFonts w:ascii="Arial" w:cs="Arial" w:eastAsia="Arial" w:hAnsi="Arial"/>
                <w:sz w:val="17"/>
                <w:szCs w:val="17"/>
                <w:color w:val="auto"/>
              </w:rPr>
              <w:t>Commercial paper</w:t>
            </w:r>
          </w:p>
        </w:tc>
        <w:tc>
          <w:tcPr>
            <w:tcW w:w="1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17,904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7"/>
                <w:szCs w:val="17"/>
                <w:color w:val="auto"/>
              </w:rPr>
              <w:t>17,904</w:t>
            </w:r>
          </w:p>
        </w:tc>
        <w:tc>
          <w:tcPr>
            <w:tcW w:w="200" w:type="dxa"/>
            <w:vAlign w:val="bottom"/>
          </w:tcPr>
          <w:p>
            <w:pPr>
              <w:spacing w:after="0"/>
              <w:rPr>
                <w:sz w:val="17"/>
                <w:szCs w:val="17"/>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196"/>
        </w:trPr>
        <w:tc>
          <w:tcPr>
            <w:tcW w:w="6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U.S. government agencies securities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63,725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63,725</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0"/>
        </w:trPr>
        <w:tc>
          <w:tcPr>
            <w:tcW w:w="6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69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184,694</w:t>
            </w:r>
          </w:p>
        </w:tc>
        <w:tc>
          <w:tcPr>
            <w:tcW w:w="80" w:type="dxa"/>
            <w:vAlign w:val="bottom"/>
          </w:tcPr>
          <w:p>
            <w:pPr>
              <w:spacing w:after="0"/>
              <w:rPr>
                <w:sz w:val="17"/>
                <w:szCs w:val="17"/>
                <w:color w:val="auto"/>
              </w:rPr>
            </w:pPr>
          </w:p>
        </w:tc>
        <w:tc>
          <w:tcPr>
            <w:tcW w:w="1100" w:type="dxa"/>
            <w:vAlign w:val="bottom"/>
            <w:gridSpan w:val="4"/>
          </w:tcPr>
          <w:p>
            <w:pPr>
              <w:jc w:val="right"/>
              <w:ind w:right="1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34,983</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7"/>
                <w:szCs w:val="17"/>
                <w:color w:val="auto"/>
              </w:rPr>
              <w:t>149,711</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0"/>
        </w:trPr>
        <w:tc>
          <w:tcPr>
            <w:tcW w:w="6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6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Liabilities</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6900" w:type="dxa"/>
            <w:vAlign w:val="bottom"/>
          </w:tcPr>
          <w:p>
            <w:pPr>
              <w:ind w:left="340"/>
              <w:spacing w:after="0"/>
              <w:rPr>
                <w:sz w:val="20"/>
                <w:szCs w:val="20"/>
                <w:color w:val="auto"/>
              </w:rPr>
            </w:pPr>
            <w:r>
              <w:rPr>
                <w:rFonts w:ascii="Arial" w:cs="Arial" w:eastAsia="Arial" w:hAnsi="Arial"/>
                <w:sz w:val="17"/>
                <w:szCs w:val="17"/>
                <w:color w:val="auto"/>
              </w:rPr>
              <w:t>Convertible preferred stock warrant liability</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198</w:t>
            </w:r>
          </w:p>
        </w:tc>
        <w:tc>
          <w:tcPr>
            <w:tcW w:w="8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$ 198</w:t>
            </w:r>
          </w:p>
        </w:tc>
        <w:tc>
          <w:tcPr>
            <w:tcW w:w="60" w:type="dxa"/>
            <w:vAlign w:val="bottom"/>
          </w:tcPr>
          <w:p>
            <w:pPr>
              <w:spacing w:after="0"/>
              <w:rPr>
                <w:sz w:val="17"/>
                <w:szCs w:val="17"/>
                <w:color w:val="auto"/>
              </w:rPr>
            </w:pPr>
          </w:p>
        </w:tc>
      </w:tr>
      <w:tr>
        <w:trPr>
          <w:trHeight w:val="26"/>
        </w:trPr>
        <w:tc>
          <w:tcPr>
            <w:tcW w:w="6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96"/>
        </w:trPr>
        <w:tc>
          <w:tcPr>
            <w:tcW w:w="69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$ 198</w:t>
            </w:r>
          </w:p>
        </w:tc>
        <w:tc>
          <w:tcPr>
            <w:tcW w:w="60" w:type="dxa"/>
            <w:vAlign w:val="bottom"/>
            <w:shd w:val="clear" w:color="auto" w:fill="CCEEFF"/>
          </w:tcPr>
          <w:p>
            <w:pPr>
              <w:spacing w:after="0"/>
              <w:rPr>
                <w:sz w:val="17"/>
                <w:szCs w:val="17"/>
                <w:color w:val="auto"/>
              </w:rPr>
            </w:pPr>
          </w:p>
        </w:tc>
      </w:tr>
      <w:tr>
        <w:trPr>
          <w:trHeight w:val="20"/>
        </w:trPr>
        <w:tc>
          <w:tcPr>
            <w:tcW w:w="6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2" w:lineRule="exact"/>
        <w:rPr>
          <w:sz w:val="20"/>
          <w:szCs w:val="20"/>
          <w:color w:val="auto"/>
        </w:rPr>
      </w:pPr>
    </w:p>
    <w:p>
      <w:pPr>
        <w:ind w:left="380" w:right="300" w:firstLine="534"/>
        <w:spacing w:after="0" w:line="258" w:lineRule="auto"/>
        <w:rPr>
          <w:sz w:val="20"/>
          <w:szCs w:val="20"/>
          <w:color w:val="auto"/>
        </w:rPr>
      </w:pPr>
      <w:r>
        <w:rPr>
          <w:rFonts w:ascii="Arial" w:cs="Arial" w:eastAsia="Arial" w:hAnsi="Arial"/>
          <w:sz w:val="17"/>
          <w:szCs w:val="17"/>
          <w:color w:val="auto"/>
        </w:rPr>
        <w:t>There were no transfers of assets or liabilities between the fair value measurement levels during the years ended December 31, 2017 and 2018.</w:t>
      </w:r>
    </w:p>
    <w:p>
      <w:pPr>
        <w:spacing w:after="0" w:line="182" w:lineRule="exact"/>
        <w:rPr>
          <w:sz w:val="20"/>
          <w:szCs w:val="20"/>
          <w:color w:val="auto"/>
        </w:rPr>
      </w:pPr>
    </w:p>
    <w:p>
      <w:pPr>
        <w:ind w:left="380" w:right="240" w:firstLine="534"/>
        <w:spacing w:after="0" w:line="258" w:lineRule="auto"/>
        <w:rPr>
          <w:sz w:val="20"/>
          <w:szCs w:val="20"/>
          <w:color w:val="auto"/>
        </w:rPr>
      </w:pPr>
      <w:r>
        <w:rPr>
          <w:rFonts w:ascii="Arial" w:cs="Arial" w:eastAsia="Arial" w:hAnsi="Arial"/>
          <w:sz w:val="17"/>
          <w:szCs w:val="17"/>
          <w:color w:val="auto"/>
        </w:rPr>
        <w:t>The following table provides a summary of changes in the fair value of the Company’s convertible preferred stock warrant liability (in thousands):</w:t>
      </w:r>
    </w:p>
    <w:p>
      <w:pPr>
        <w:spacing w:after="0" w:line="198" w:lineRule="exact"/>
        <w:rPr>
          <w:sz w:val="20"/>
          <w:szCs w:val="20"/>
          <w:color w:val="auto"/>
        </w:rPr>
      </w:pPr>
    </w:p>
    <w:tbl>
      <w:tblPr>
        <w:tblLayout w:type="fixed"/>
        <w:tblInd w:w="380" w:type="dxa"/>
        <w:tblCellMar>
          <w:top w:w="0" w:type="dxa"/>
          <w:left w:w="0" w:type="dxa"/>
          <w:bottom w:w="0" w:type="dxa"/>
          <w:right w:w="0" w:type="dxa"/>
        </w:tblCellMar>
      </w:tblPr>
      <w:tr>
        <w:trPr>
          <w:trHeight w:val="169"/>
        </w:trPr>
        <w:tc>
          <w:tcPr>
            <w:tcW w:w="10000" w:type="dxa"/>
            <w:vAlign w:val="bottom"/>
            <w:gridSpan w:val="3"/>
          </w:tcPr>
          <w:p>
            <w:pPr>
              <w:spacing w:after="0"/>
              <w:rPr>
                <w:sz w:val="20"/>
                <w:szCs w:val="20"/>
                <w:color w:val="auto"/>
              </w:rPr>
            </w:pPr>
            <w:r>
              <w:rPr>
                <w:rFonts w:ascii="Arial" w:cs="Arial" w:eastAsia="Arial" w:hAnsi="Arial"/>
                <w:sz w:val="14"/>
                <w:szCs w:val="14"/>
                <w:b w:val="1"/>
                <w:bCs w:val="1"/>
                <w:color w:val="auto"/>
              </w:rPr>
              <w:t>Fair Value Using Level 3 Inputs</w:t>
            </w: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Amounts</w:t>
            </w:r>
          </w:p>
        </w:tc>
      </w:tr>
      <w:tr>
        <w:trPr>
          <w:trHeight w:val="20"/>
        </w:trPr>
        <w:tc>
          <w:tcPr>
            <w:tcW w:w="20" w:type="dxa"/>
            <w:vAlign w:val="bottom"/>
          </w:tcPr>
          <w:p>
            <w:pPr>
              <w:spacing w:after="0" w:line="20" w:lineRule="exact"/>
              <w:rPr>
                <w:sz w:val="1"/>
                <w:szCs w:val="1"/>
                <w:color w:val="auto"/>
              </w:rPr>
            </w:pPr>
          </w:p>
        </w:tc>
        <w:tc>
          <w:tcPr>
            <w:tcW w:w="2020" w:type="dxa"/>
            <w:vAlign w:val="bottom"/>
            <w:tcBorders>
              <w:bottom w:val="single" w:sz="8" w:color="CCEEFF"/>
            </w:tcBorders>
            <w:shd w:val="clear" w:color="auto" w:fill="000000"/>
          </w:tcPr>
          <w:p>
            <w:pPr>
              <w:spacing w:after="0" w:line="20" w:lineRule="exact"/>
              <w:rPr>
                <w:sz w:val="1"/>
                <w:szCs w:val="1"/>
                <w:color w:val="auto"/>
              </w:rPr>
            </w:pPr>
          </w:p>
        </w:tc>
        <w:tc>
          <w:tcPr>
            <w:tcW w:w="7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998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Balance at December 31, 2016</w:t>
            </w:r>
          </w:p>
        </w:tc>
        <w:tc>
          <w:tcPr>
            <w:tcW w:w="2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118</w:t>
            </w:r>
          </w:p>
        </w:tc>
        <w:tc>
          <w:tcPr>
            <w:tcW w:w="6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9980" w:type="dxa"/>
            <w:vAlign w:val="bottom"/>
            <w:gridSpan w:val="2"/>
          </w:tcPr>
          <w:p>
            <w:pPr>
              <w:spacing w:after="0"/>
              <w:rPr>
                <w:sz w:val="20"/>
                <w:szCs w:val="20"/>
                <w:color w:val="auto"/>
              </w:rPr>
            </w:pPr>
            <w:r>
              <w:rPr>
                <w:rFonts w:ascii="Arial" w:cs="Arial" w:eastAsia="Arial" w:hAnsi="Arial"/>
                <w:sz w:val="17"/>
                <w:szCs w:val="17"/>
                <w:color w:val="auto"/>
              </w:rPr>
              <w:t>Change in fair value of warrant liability included in other income (expense), net</w:t>
            </w:r>
          </w:p>
        </w:tc>
        <w:tc>
          <w:tcPr>
            <w:tcW w:w="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December 31, 2017</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980" w:type="dxa"/>
            <w:vAlign w:val="bottom"/>
            <w:gridSpan w:val="2"/>
          </w:tcPr>
          <w:p>
            <w:pPr>
              <w:spacing w:after="0"/>
              <w:rPr>
                <w:sz w:val="20"/>
                <w:szCs w:val="20"/>
                <w:color w:val="auto"/>
              </w:rPr>
            </w:pPr>
            <w:r>
              <w:rPr>
                <w:rFonts w:ascii="Arial" w:cs="Arial" w:eastAsia="Arial" w:hAnsi="Arial"/>
                <w:sz w:val="17"/>
                <w:szCs w:val="17"/>
                <w:color w:val="auto"/>
              </w:rPr>
              <w:t>Change in fair value of warrant liability included in other income (expense), net</w:t>
            </w:r>
          </w:p>
        </w:tc>
        <w:tc>
          <w:tcPr>
            <w:tcW w:w="220" w:type="dxa"/>
            <w:vAlign w:val="bottom"/>
          </w:tcPr>
          <w:p>
            <w:pPr>
              <w:spacing w:after="0"/>
              <w:rPr>
                <w:sz w:val="17"/>
                <w:szCs w:val="17"/>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77</w:t>
            </w:r>
          </w:p>
        </w:tc>
      </w:tr>
      <w:tr>
        <w:trPr>
          <w:trHeight w:val="196"/>
        </w:trPr>
        <w:tc>
          <w:tcPr>
            <w:tcW w:w="20" w:type="dxa"/>
            <w:vAlign w:val="bottom"/>
          </w:tcPr>
          <w:p>
            <w:pPr>
              <w:spacing w:after="0"/>
              <w:rPr>
                <w:sz w:val="17"/>
                <w:szCs w:val="17"/>
                <w:color w:val="auto"/>
              </w:rPr>
            </w:pPr>
          </w:p>
        </w:tc>
        <w:tc>
          <w:tcPr>
            <w:tcW w:w="9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December 31, 2018</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2" w:lineRule="exact"/>
        <w:rPr>
          <w:sz w:val="20"/>
          <w:szCs w:val="20"/>
          <w:color w:val="auto"/>
        </w:rPr>
      </w:pPr>
    </w:p>
    <w:p>
      <w:pPr>
        <w:ind w:left="380" w:right="220" w:firstLine="534"/>
        <w:spacing w:after="0" w:line="258" w:lineRule="auto"/>
        <w:rPr>
          <w:sz w:val="20"/>
          <w:szCs w:val="20"/>
          <w:color w:val="auto"/>
        </w:rPr>
      </w:pPr>
      <w:r>
        <w:rPr>
          <w:rFonts w:ascii="Arial" w:cs="Arial" w:eastAsia="Arial" w:hAnsi="Arial"/>
          <w:sz w:val="17"/>
          <w:szCs w:val="17"/>
          <w:color w:val="auto"/>
        </w:rPr>
        <w:t>The original estimated fair value of the convertible preferred stock warrants of approximately $28,000, issued in February 2009 in conjunction with entering into a loan and security agreement with</w:t>
      </w:r>
    </w:p>
    <w:p>
      <w:pPr>
        <w:spacing w:after="0" w:line="11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1060"/>
          </w:cols>
          <w:pgMar w:left="240" w:top="449" w:right="599" w:bottom="1440" w:gutter="0" w:footer="0" w:header="0"/>
        </w:sectPr>
      </w:pPr>
    </w:p>
    <w:bookmarkStart w:id="233" w:name="page234"/>
    <w:bookmarkEnd w:id="2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7" w:lineRule="exact"/>
        <w:rPr>
          <w:sz w:val="20"/>
          <w:szCs w:val="20"/>
          <w:color w:val="auto"/>
        </w:rPr>
      </w:pPr>
    </w:p>
    <w:p>
      <w:pPr>
        <w:ind w:left="380" w:right="20"/>
        <w:spacing w:after="0" w:line="244" w:lineRule="auto"/>
        <w:rPr>
          <w:sz w:val="20"/>
          <w:szCs w:val="20"/>
          <w:color w:val="auto"/>
        </w:rPr>
      </w:pPr>
      <w:r>
        <w:rPr>
          <w:rFonts w:ascii="Arial" w:cs="Arial" w:eastAsia="Arial" w:hAnsi="Arial"/>
          <w:sz w:val="17"/>
          <w:szCs w:val="17"/>
          <w:color w:val="auto"/>
        </w:rPr>
        <w:t>a lender, was measured upon issuance using the Black-Scholes option-pricing model. The Company recorded other expense of $3,000 and $77,000 for the change in estimated fair value of the warrant liabilities for the years ended December 31, 2017 and 2018, respectively. The inputs used in the determination of the fair value of the warrants as of December 31, 2018 used an estimated fair value per share of the Company’s common stock fair value per share, one month for the expected term of the warrant, 64.99% for the stock value volatility using publicly traded peer company volatility as a basis, and 2.44% for the risk-free interest rate on U.S. Treasury securities at 1-month constant maturity.</w:t>
      </w:r>
    </w:p>
    <w:p>
      <w:pPr>
        <w:spacing w:after="0" w:line="278" w:lineRule="exact"/>
        <w:rPr>
          <w:sz w:val="20"/>
          <w:szCs w:val="20"/>
          <w:color w:val="auto"/>
        </w:rPr>
      </w:pPr>
    </w:p>
    <w:p>
      <w:pPr>
        <w:ind w:left="380" w:right="8180" w:hanging="9"/>
        <w:spacing w:after="0" w:line="383" w:lineRule="auto"/>
        <w:tabs>
          <w:tab w:leader="none" w:pos="574" w:val="left"/>
        </w:tabs>
        <w:numPr>
          <w:ilvl w:val="0"/>
          <w:numId w:val="10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Balance Sheet Components </w:t>
      </w:r>
      <w:r>
        <w:rPr>
          <w:rFonts w:ascii="Arial" w:cs="Arial" w:eastAsia="Arial" w:hAnsi="Arial"/>
          <w:sz w:val="17"/>
          <w:szCs w:val="17"/>
          <w:b w:val="1"/>
          <w:bCs w:val="1"/>
          <w:i w:val="1"/>
          <w:iCs w:val="1"/>
          <w:color w:val="auto"/>
        </w:rPr>
        <w:t>Property and Equipment</w:t>
      </w:r>
    </w:p>
    <w:p>
      <w:pPr>
        <w:ind w:left="900"/>
        <w:spacing w:after="0"/>
        <w:rPr>
          <w:rFonts w:ascii="Arial" w:cs="Arial" w:eastAsia="Arial" w:hAnsi="Arial"/>
          <w:sz w:val="17"/>
          <w:szCs w:val="17"/>
          <w:b w:val="1"/>
          <w:bCs w:val="1"/>
          <w:color w:val="auto"/>
        </w:rPr>
      </w:pPr>
      <w:r>
        <w:rPr>
          <w:rFonts w:ascii="Arial" w:cs="Arial" w:eastAsia="Arial" w:hAnsi="Arial"/>
          <w:sz w:val="17"/>
          <w:szCs w:val="17"/>
          <w:color w:val="auto"/>
        </w:rPr>
        <w:t>Property and equipment consist of the following (in thousands):</w:t>
      </w:r>
    </w:p>
    <w:p>
      <w:pPr>
        <w:spacing w:after="0" w:line="226" w:lineRule="exact"/>
        <w:rPr>
          <w:sz w:val="20"/>
          <w:szCs w:val="20"/>
          <w:color w:val="auto"/>
        </w:rPr>
      </w:pPr>
    </w:p>
    <w:tbl>
      <w:tblPr>
        <w:tblLayout w:type="fixed"/>
        <w:tblInd w:w="380" w:type="dxa"/>
        <w:tblCellMar>
          <w:top w:w="0" w:type="dxa"/>
          <w:left w:w="0" w:type="dxa"/>
          <w:bottom w:w="0" w:type="dxa"/>
          <w:right w:w="0" w:type="dxa"/>
        </w:tblCellMar>
      </w:tblPr>
      <w:tr>
        <w:trPr>
          <w:trHeight w:val="169"/>
        </w:trPr>
        <w:tc>
          <w:tcPr>
            <w:tcW w:w="8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December 31,</w:t>
            </w:r>
          </w:p>
        </w:tc>
      </w:tr>
      <w:tr>
        <w:trPr>
          <w:trHeight w:val="150"/>
        </w:trPr>
        <w:tc>
          <w:tcPr>
            <w:tcW w:w="86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7"/>
              <w:spacing w:after="0" w:line="150"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5"/>
              <w:spacing w:after="0" w:line="150"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r>
      <w:tr>
        <w:trPr>
          <w:trHeight w:val="190"/>
        </w:trPr>
        <w:tc>
          <w:tcPr>
            <w:tcW w:w="8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Computer equipment</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911</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1,123</w:t>
            </w:r>
          </w:p>
        </w:tc>
        <w:tc>
          <w:tcPr>
            <w:tcW w:w="120" w:type="dxa"/>
            <w:vAlign w:val="bottom"/>
            <w:shd w:val="clear" w:color="auto" w:fill="CCEEFF"/>
          </w:tcPr>
          <w:p>
            <w:pPr>
              <w:spacing w:after="0"/>
              <w:rPr>
                <w:sz w:val="16"/>
                <w:szCs w:val="16"/>
                <w:color w:val="auto"/>
              </w:rPr>
            </w:pPr>
          </w:p>
        </w:tc>
      </w:tr>
      <w:tr>
        <w:trPr>
          <w:trHeight w:val="196"/>
        </w:trPr>
        <w:tc>
          <w:tcPr>
            <w:tcW w:w="8620" w:type="dxa"/>
            <w:vAlign w:val="bottom"/>
          </w:tcPr>
          <w:p>
            <w:pPr>
              <w:spacing w:after="0"/>
              <w:rPr>
                <w:sz w:val="20"/>
                <w:szCs w:val="20"/>
                <w:color w:val="auto"/>
              </w:rPr>
            </w:pPr>
            <w:r>
              <w:rPr>
                <w:rFonts w:ascii="Arial" w:cs="Arial" w:eastAsia="Arial" w:hAnsi="Arial"/>
                <w:sz w:val="17"/>
                <w:szCs w:val="17"/>
                <w:color w:val="auto"/>
              </w:rPr>
              <w:t>Laboratory equipment and office furniture</w:t>
            </w:r>
          </w:p>
        </w:tc>
        <w:tc>
          <w:tcPr>
            <w:tcW w:w="10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16,715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18,977</w:t>
            </w:r>
          </w:p>
        </w:tc>
      </w:tr>
      <w:tr>
        <w:trPr>
          <w:trHeight w:val="196"/>
        </w:trPr>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22,300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25,314</w:t>
            </w:r>
          </w:p>
        </w:tc>
      </w:tr>
      <w:tr>
        <w:trPr>
          <w:trHeight w:val="203"/>
        </w:trPr>
        <w:tc>
          <w:tcPr>
            <w:tcW w:w="8620" w:type="dxa"/>
            <w:vAlign w:val="bottom"/>
          </w:tcPr>
          <w:p>
            <w:pPr>
              <w:spacing w:after="0"/>
              <w:rPr>
                <w:sz w:val="20"/>
                <w:szCs w:val="20"/>
                <w:color w:val="auto"/>
              </w:rPr>
            </w:pPr>
            <w:r>
              <w:rPr>
                <w:rFonts w:ascii="Arial" w:cs="Arial" w:eastAsia="Arial" w:hAnsi="Arial"/>
                <w:sz w:val="17"/>
                <w:szCs w:val="17"/>
                <w:color w:val="auto"/>
              </w:rPr>
              <w:t>Construction in process</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679</w:t>
            </w:r>
          </w:p>
        </w:tc>
        <w:tc>
          <w:tcPr>
            <w:tcW w:w="120" w:type="dxa"/>
            <w:vAlign w:val="bottom"/>
          </w:tcPr>
          <w:p>
            <w:pPr>
              <w:spacing w:after="0"/>
              <w:rPr>
                <w:sz w:val="17"/>
                <w:szCs w:val="17"/>
                <w:color w:val="auto"/>
              </w:rPr>
            </w:pPr>
          </w:p>
        </w:tc>
      </w:tr>
      <w:tr>
        <w:trPr>
          <w:trHeight w:val="196"/>
        </w:trPr>
        <w:tc>
          <w:tcPr>
            <w:tcW w:w="8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40,053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46,093</w:t>
            </w:r>
          </w:p>
        </w:tc>
      </w:tr>
      <w:tr>
        <w:trPr>
          <w:trHeight w:val="196"/>
        </w:trPr>
        <w:tc>
          <w:tcPr>
            <w:tcW w:w="8620" w:type="dxa"/>
            <w:vAlign w:val="bottom"/>
          </w:tcPr>
          <w:p>
            <w:pPr>
              <w:spacing w:after="0"/>
              <w:rPr>
                <w:sz w:val="20"/>
                <w:szCs w:val="20"/>
                <w:color w:val="auto"/>
              </w:rPr>
            </w:pPr>
            <w:r>
              <w:rPr>
                <w:rFonts w:ascii="Arial" w:cs="Arial" w:eastAsia="Arial" w:hAnsi="Arial"/>
                <w:sz w:val="17"/>
                <w:szCs w:val="17"/>
                <w:color w:val="auto"/>
              </w:rPr>
              <w:t>Less accumulated depreciation and amortization</w:t>
            </w: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(15,180)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(22,200)</w:t>
            </w:r>
          </w:p>
        </w:tc>
      </w:tr>
      <w:tr>
        <w:trPr>
          <w:trHeight w:val="26"/>
        </w:trPr>
        <w:tc>
          <w:tcPr>
            <w:tcW w:w="8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6"/>
        </w:trPr>
        <w:tc>
          <w:tcPr>
            <w:tcW w:w="8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24,873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23,893</w:t>
            </w:r>
          </w:p>
        </w:tc>
      </w:tr>
      <w:tr>
        <w:trPr>
          <w:trHeight w:val="20"/>
        </w:trPr>
        <w:tc>
          <w:tcPr>
            <w:tcW w:w="8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2" w:lineRule="exact"/>
        <w:rPr>
          <w:sz w:val="20"/>
          <w:szCs w:val="20"/>
          <w:color w:val="auto"/>
        </w:rPr>
      </w:pPr>
    </w:p>
    <w:p>
      <w:pPr>
        <w:ind w:left="380" w:right="820" w:firstLine="534"/>
        <w:spacing w:after="0" w:line="258" w:lineRule="auto"/>
        <w:rPr>
          <w:sz w:val="20"/>
          <w:szCs w:val="20"/>
          <w:color w:val="auto"/>
        </w:rPr>
      </w:pPr>
      <w:r>
        <w:rPr>
          <w:rFonts w:ascii="Arial" w:cs="Arial" w:eastAsia="Arial" w:hAnsi="Arial"/>
          <w:sz w:val="17"/>
          <w:szCs w:val="17"/>
          <w:color w:val="auto"/>
        </w:rPr>
        <w:t>Depreciation expense was approximately $6.4 million and $7.2 million for the years ended December 31, 2017 and 2018, respectively.</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Accrued Liabilities</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Accrued liabilities consist of the following (in thousands):</w:t>
      </w:r>
    </w:p>
    <w:p>
      <w:pPr>
        <w:spacing w:after="0" w:line="226" w:lineRule="exact"/>
        <w:rPr>
          <w:sz w:val="20"/>
          <w:szCs w:val="20"/>
          <w:color w:val="auto"/>
        </w:rPr>
      </w:pPr>
    </w:p>
    <w:tbl>
      <w:tblPr>
        <w:tblLayout w:type="fixed"/>
        <w:tblInd w:w="380" w:type="dxa"/>
        <w:tblCellMar>
          <w:top w:w="0" w:type="dxa"/>
          <w:left w:w="0" w:type="dxa"/>
          <w:bottom w:w="0" w:type="dxa"/>
          <w:right w:w="0" w:type="dxa"/>
        </w:tblCellMar>
      </w:tblPr>
      <w:tr>
        <w:trPr>
          <w:trHeight w:val="169"/>
        </w:trPr>
        <w:tc>
          <w:tcPr>
            <w:tcW w:w="45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50"/>
        </w:trPr>
        <w:tc>
          <w:tcPr>
            <w:tcW w:w="4520" w:type="dxa"/>
            <w:vAlign w:val="bottom"/>
            <w:tcBorders>
              <w:bottom w:val="single" w:sz="8" w:color="CCEEFF"/>
            </w:tcBorders>
          </w:tcPr>
          <w:p>
            <w:pPr>
              <w:spacing w:after="0"/>
              <w:rPr>
                <w:sz w:val="13"/>
                <w:szCs w:val="13"/>
                <w:color w:val="auto"/>
              </w:rPr>
            </w:pPr>
          </w:p>
        </w:tc>
        <w:tc>
          <w:tcPr>
            <w:tcW w:w="44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78"/>
              <w:spacing w:after="0" w:line="150"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76"/>
              <w:spacing w:after="0" w:line="150"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r>
      <w:tr>
        <w:trPr>
          <w:trHeight w:val="190"/>
        </w:trPr>
        <w:tc>
          <w:tcPr>
            <w:tcW w:w="4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Accrued expenses</w:t>
            </w:r>
          </w:p>
        </w:tc>
        <w:tc>
          <w:tcPr>
            <w:tcW w:w="44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3,569</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2,595</w:t>
            </w:r>
          </w:p>
        </w:tc>
        <w:tc>
          <w:tcPr>
            <w:tcW w:w="60" w:type="dxa"/>
            <w:vAlign w:val="bottom"/>
            <w:shd w:val="clear" w:color="auto" w:fill="CCEEFF"/>
          </w:tcPr>
          <w:p>
            <w:pPr>
              <w:spacing w:after="0"/>
              <w:rPr>
                <w:sz w:val="16"/>
                <w:szCs w:val="16"/>
                <w:color w:val="auto"/>
              </w:rPr>
            </w:pPr>
          </w:p>
        </w:tc>
      </w:tr>
      <w:tr>
        <w:trPr>
          <w:trHeight w:val="196"/>
        </w:trPr>
        <w:tc>
          <w:tcPr>
            <w:tcW w:w="4520" w:type="dxa"/>
            <w:vAlign w:val="bottom"/>
          </w:tcPr>
          <w:p>
            <w:pPr>
              <w:spacing w:after="0"/>
              <w:rPr>
                <w:sz w:val="20"/>
                <w:szCs w:val="20"/>
                <w:color w:val="auto"/>
              </w:rPr>
            </w:pPr>
            <w:r>
              <w:rPr>
                <w:rFonts w:ascii="Arial" w:cs="Arial" w:eastAsia="Arial" w:hAnsi="Arial"/>
                <w:sz w:val="17"/>
                <w:szCs w:val="17"/>
                <w:color w:val="auto"/>
              </w:rPr>
              <w:t>Clinical trials and research and development costs</w:t>
            </w:r>
          </w:p>
        </w:tc>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7"/>
                <w:szCs w:val="17"/>
                <w:color w:val="auto"/>
              </w:rPr>
              <w:t>3,239</w:t>
            </w:r>
          </w:p>
        </w:tc>
        <w:tc>
          <w:tcPr>
            <w:tcW w:w="10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4,844</w:t>
            </w:r>
          </w:p>
        </w:tc>
      </w:tr>
      <w:tr>
        <w:trPr>
          <w:trHeight w:val="196"/>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Personnel-related costs</w:t>
            </w:r>
          </w:p>
        </w:tc>
        <w:tc>
          <w:tcPr>
            <w:tcW w:w="4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3,784</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4,148</w:t>
            </w:r>
          </w:p>
        </w:tc>
      </w:tr>
      <w:tr>
        <w:trPr>
          <w:trHeight w:val="196"/>
        </w:trPr>
        <w:tc>
          <w:tcPr>
            <w:tcW w:w="4520" w:type="dxa"/>
            <w:vAlign w:val="bottom"/>
          </w:tcPr>
          <w:p>
            <w:pPr>
              <w:spacing w:after="0"/>
              <w:rPr>
                <w:sz w:val="20"/>
                <w:szCs w:val="20"/>
                <w:color w:val="auto"/>
              </w:rPr>
            </w:pPr>
            <w:r>
              <w:rPr>
                <w:rFonts w:ascii="Arial" w:cs="Arial" w:eastAsia="Arial" w:hAnsi="Arial"/>
                <w:sz w:val="17"/>
                <w:szCs w:val="17"/>
                <w:color w:val="auto"/>
              </w:rPr>
              <w:t>Manufacturing costs</w:t>
            </w:r>
          </w:p>
        </w:tc>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1,094</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2,416</w:t>
            </w:r>
          </w:p>
        </w:tc>
      </w:tr>
      <w:tr>
        <w:trPr>
          <w:trHeight w:val="26"/>
        </w:trPr>
        <w:tc>
          <w:tcPr>
            <w:tcW w:w="45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96"/>
        </w:trPr>
        <w:tc>
          <w:tcPr>
            <w:tcW w:w="4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accrued liabilities</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99"/>
              </w:rPr>
              <w:t>11,686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14,003</w:t>
            </w:r>
          </w:p>
        </w:tc>
      </w:tr>
      <w:tr>
        <w:trPr>
          <w:trHeight w:val="20"/>
        </w:trPr>
        <w:tc>
          <w:tcPr>
            <w:tcW w:w="45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6"/>
        </w:trPr>
        <w:tc>
          <w:tcPr>
            <w:tcW w:w="4520" w:type="dxa"/>
            <w:vAlign w:val="bottom"/>
          </w:tcPr>
          <w:p>
            <w:pPr>
              <w:spacing w:after="0"/>
              <w:rPr>
                <w:sz w:val="24"/>
                <w:szCs w:val="24"/>
                <w:color w:val="auto"/>
              </w:rPr>
            </w:pPr>
          </w:p>
        </w:tc>
        <w:tc>
          <w:tcPr>
            <w:tcW w:w="4560" w:type="dxa"/>
            <w:vAlign w:val="bottom"/>
            <w:gridSpan w:val="2"/>
          </w:tcPr>
          <w:p>
            <w:pPr>
              <w:jc w:val="right"/>
              <w:ind w:right="3473"/>
              <w:spacing w:after="0"/>
              <w:rPr>
                <w:sz w:val="20"/>
                <w:szCs w:val="20"/>
                <w:color w:val="auto"/>
              </w:rPr>
            </w:pPr>
            <w:r>
              <w:rPr>
                <w:rFonts w:ascii="Arial" w:cs="Arial" w:eastAsia="Arial" w:hAnsi="Arial"/>
                <w:sz w:val="17"/>
                <w:szCs w:val="17"/>
                <w:color w:val="auto"/>
              </w:rPr>
              <w:t>F-22</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60"/>
          </w:cols>
          <w:pgMar w:left="240" w:top="449" w:right="599" w:bottom="1440" w:gutter="0" w:footer="0" w:header="0"/>
        </w:sectPr>
      </w:pPr>
    </w:p>
    <w:bookmarkStart w:id="234" w:name="page235"/>
    <w:bookmarkEnd w:id="2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5" w:lineRule="exact"/>
        <w:rPr>
          <w:sz w:val="20"/>
          <w:szCs w:val="20"/>
          <w:color w:val="auto"/>
        </w:rPr>
      </w:pPr>
    </w:p>
    <w:p>
      <w:pPr>
        <w:ind w:left="380" w:right="6420" w:hanging="9"/>
        <w:spacing w:after="0" w:line="383" w:lineRule="auto"/>
        <w:tabs>
          <w:tab w:leader="none" w:pos="574" w:val="left"/>
        </w:tabs>
        <w:numPr>
          <w:ilvl w:val="0"/>
          <w:numId w:val="10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Research Collaboration and License Agreements </w:t>
      </w:r>
      <w:r>
        <w:rPr>
          <w:rFonts w:ascii="Arial" w:cs="Arial" w:eastAsia="Arial" w:hAnsi="Arial"/>
          <w:sz w:val="17"/>
          <w:szCs w:val="17"/>
          <w:b w:val="1"/>
          <w:bCs w:val="1"/>
          <w:i w:val="1"/>
          <w:iCs w:val="1"/>
          <w:color w:val="auto"/>
        </w:rPr>
        <w:t>Summary of Collaboration Revenue</w:t>
      </w:r>
    </w:p>
    <w:p>
      <w:pPr>
        <w:ind w:left="900"/>
        <w:spacing w:after="0"/>
        <w:rPr>
          <w:rFonts w:ascii="Arial" w:cs="Arial" w:eastAsia="Arial" w:hAnsi="Arial"/>
          <w:sz w:val="17"/>
          <w:szCs w:val="17"/>
          <w:b w:val="1"/>
          <w:bCs w:val="1"/>
          <w:color w:val="auto"/>
        </w:rPr>
      </w:pPr>
      <w:r>
        <w:rPr>
          <w:rFonts w:ascii="Arial" w:cs="Arial" w:eastAsia="Arial" w:hAnsi="Arial"/>
          <w:sz w:val="17"/>
          <w:szCs w:val="17"/>
          <w:color w:val="auto"/>
        </w:rPr>
        <w:t>The Company recognized revenue from its collaboration and license agreements as follows (in thousands):</w:t>
      </w:r>
    </w:p>
    <w:p>
      <w:pPr>
        <w:spacing w:after="0" w:line="222"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18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w:t>
            </w:r>
          </w:p>
        </w:tc>
      </w:tr>
      <w:tr>
        <w:trPr>
          <w:trHeight w:val="169"/>
        </w:trPr>
        <w:tc>
          <w:tcPr>
            <w:tcW w:w="8860" w:type="dxa"/>
            <w:vAlign w:val="bottom"/>
          </w:tcPr>
          <w:p>
            <w:pPr>
              <w:spacing w:after="0"/>
              <w:rPr>
                <w:sz w:val="14"/>
                <w:szCs w:val="14"/>
                <w:color w:val="auto"/>
              </w:rPr>
            </w:pPr>
          </w:p>
        </w:tc>
        <w:tc>
          <w:tcPr>
            <w:tcW w:w="18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50"/>
        </w:trPr>
        <w:tc>
          <w:tcPr>
            <w:tcW w:w="886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00"/>
              <w:spacing w:after="0" w:line="150"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36"/>
              <w:spacing w:after="0" w:line="150"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r>
      <w:tr>
        <w:trPr>
          <w:trHeight w:val="176"/>
        </w:trPr>
        <w:tc>
          <w:tcPr>
            <w:tcW w:w="886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Related party revenue</w:t>
            </w: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6"/>
        </w:trPr>
        <w:tc>
          <w:tcPr>
            <w:tcW w:w="8860" w:type="dxa"/>
            <w:vAlign w:val="bottom"/>
          </w:tcPr>
          <w:p>
            <w:pPr>
              <w:ind w:left="340"/>
              <w:spacing w:after="0"/>
              <w:rPr>
                <w:sz w:val="20"/>
                <w:szCs w:val="20"/>
                <w:color w:val="auto"/>
              </w:rPr>
            </w:pPr>
            <w:r>
              <w:rPr>
                <w:rFonts w:ascii="Arial" w:cs="Arial" w:eastAsia="Arial" w:hAnsi="Arial"/>
                <w:sz w:val="17"/>
                <w:szCs w:val="17"/>
                <w:color w:val="auto"/>
              </w:rPr>
              <w:t>Recognition of upfront fee</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$18,800</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18,800</w:t>
            </w:r>
          </w:p>
        </w:tc>
      </w:tr>
      <w:tr>
        <w:trPr>
          <w:trHeight w:val="196"/>
        </w:trPr>
        <w:tc>
          <w:tcPr>
            <w:tcW w:w="8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License revenue</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20,000</w:t>
            </w:r>
          </w:p>
        </w:tc>
      </w:tr>
      <w:tr>
        <w:trPr>
          <w:trHeight w:val="196"/>
        </w:trPr>
        <w:tc>
          <w:tcPr>
            <w:tcW w:w="8860" w:type="dxa"/>
            <w:vAlign w:val="bottom"/>
          </w:tcPr>
          <w:p>
            <w:pPr>
              <w:ind w:left="340"/>
              <w:spacing w:after="0"/>
              <w:rPr>
                <w:sz w:val="20"/>
                <w:szCs w:val="20"/>
                <w:color w:val="auto"/>
              </w:rPr>
            </w:pPr>
            <w:r>
              <w:rPr>
                <w:rFonts w:ascii="Arial" w:cs="Arial" w:eastAsia="Arial" w:hAnsi="Arial"/>
                <w:sz w:val="17"/>
                <w:szCs w:val="17"/>
                <w:color w:val="auto"/>
              </w:rPr>
              <w:t>Collaboration service revenue</w:t>
            </w:r>
          </w:p>
        </w:tc>
        <w:tc>
          <w:tcPr>
            <w:tcW w:w="660" w:type="dxa"/>
            <w:vAlign w:val="bottom"/>
          </w:tcPr>
          <w:p>
            <w:pPr>
              <w:jc w:val="right"/>
              <w:spacing w:after="0"/>
              <w:rPr>
                <w:sz w:val="20"/>
                <w:szCs w:val="20"/>
                <w:color w:val="auto"/>
              </w:rPr>
            </w:pPr>
            <w:r>
              <w:rPr>
                <w:rFonts w:ascii="Arial" w:cs="Arial" w:eastAsia="Arial" w:hAnsi="Arial"/>
                <w:sz w:val="17"/>
                <w:szCs w:val="17"/>
                <w:color w:val="auto"/>
              </w:rPr>
              <w:t>58,341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69,865</w:t>
            </w:r>
          </w:p>
        </w:tc>
      </w:tr>
      <w:tr>
        <w:trPr>
          <w:trHeight w:val="26"/>
        </w:trPr>
        <w:tc>
          <w:tcPr>
            <w:tcW w:w="88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96"/>
        </w:trPr>
        <w:tc>
          <w:tcPr>
            <w:tcW w:w="88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related party revenue</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77,141</w:t>
            </w:r>
          </w:p>
        </w:tc>
        <w:tc>
          <w:tcPr>
            <w:tcW w:w="1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108,665</w:t>
            </w:r>
          </w:p>
        </w:tc>
        <w:tc>
          <w:tcPr>
            <w:tcW w:w="60" w:type="dxa"/>
            <w:vAlign w:val="bottom"/>
            <w:shd w:val="clear" w:color="auto" w:fill="CCEEFF"/>
          </w:tcPr>
          <w:p>
            <w:pPr>
              <w:spacing w:after="0"/>
              <w:rPr>
                <w:sz w:val="17"/>
                <w:szCs w:val="17"/>
                <w:color w:val="auto"/>
              </w:rPr>
            </w:pPr>
          </w:p>
        </w:tc>
      </w:tr>
      <w:tr>
        <w:trPr>
          <w:trHeight w:val="20"/>
        </w:trPr>
        <w:tc>
          <w:tcPr>
            <w:tcW w:w="88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JDRF</w:t>
      </w:r>
    </w:p>
    <w:p>
      <w:pPr>
        <w:spacing w:after="0" w:line="126" w:lineRule="exact"/>
        <w:rPr>
          <w:sz w:val="20"/>
          <w:szCs w:val="20"/>
          <w:color w:val="auto"/>
        </w:rPr>
      </w:pPr>
    </w:p>
    <w:p>
      <w:pPr>
        <w:ind w:left="380" w:right="140" w:firstLine="534"/>
        <w:spacing w:after="0" w:line="245" w:lineRule="auto"/>
        <w:rPr>
          <w:sz w:val="20"/>
          <w:szCs w:val="20"/>
          <w:color w:val="auto"/>
        </w:rPr>
      </w:pPr>
      <w:r>
        <w:rPr>
          <w:rFonts w:ascii="Arial" w:cs="Arial" w:eastAsia="Arial" w:hAnsi="Arial"/>
          <w:sz w:val="17"/>
          <w:szCs w:val="17"/>
          <w:color w:val="auto"/>
        </w:rPr>
        <w:t>In September 2011, the Company entered into a Research, Development and Commercialization Agreement with JDRF International, or JDRF, to conduct a research program to discover potential therapeutics for the treatment of diabetes. Under the terms of the agreement, the Company was eligible to receive research funding of up to $1.8 million. This research funding has been recognized in the service period in which it was earned. During the years ended December 31, 2017 and 2018 the Company did not recognize any revenue from this agreement.</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Merck</w:t>
      </w:r>
    </w:p>
    <w:p>
      <w:pPr>
        <w:spacing w:after="0" w:line="126" w:lineRule="exact"/>
        <w:rPr>
          <w:sz w:val="20"/>
          <w:szCs w:val="20"/>
          <w:color w:val="auto"/>
        </w:rPr>
      </w:pPr>
    </w:p>
    <w:p>
      <w:pPr>
        <w:ind w:left="380" w:right="80" w:firstLine="534"/>
        <w:spacing w:after="0" w:line="242" w:lineRule="auto"/>
        <w:rPr>
          <w:sz w:val="20"/>
          <w:szCs w:val="20"/>
          <w:color w:val="auto"/>
        </w:rPr>
      </w:pPr>
      <w:r>
        <w:rPr>
          <w:rFonts w:ascii="Arial" w:cs="Arial" w:eastAsia="Arial" w:hAnsi="Arial"/>
          <w:sz w:val="17"/>
          <w:szCs w:val="17"/>
          <w:color w:val="auto"/>
        </w:rPr>
        <w:t>In February 2015, the Company entered into a research collaboration, product development and license agreement with Merck, covering the discovery, development and commercialization of novel therapies across a range of therapeutic areas (Merck Collaboration Agreement). The collaboration includes an exclusive worldwide license to the GDF15 program, comprising NGM386 and NGM395 and other GDF15 analogs. These compounds are being evaluated for the treatment of obesity. The collaboration also includes a broad, multi-year drug discovery and early development program financially supported by Merck but scientifically directed by the Company with input from Merck. For those compounds resulting from the research and development program that progress through human proof-of-concept studies, Merck has an exclusive option, at a cost of $20.0 million for each compound, to obtain an exclusive, worldwide license. If Merck exercises its option with respect to such a compound, the Company in turn has the right, at the start of the first Phase 3 clinical study for that compound, to elect to participate in a worldwide cost and profit share with Merck, as well as the option to co-detail the compound in the United States, or the Company can elect instead to receive milestones and royalties from Merck based on its further development and commercialization of the compound. If the Company elects to participate in the cost and profit share, subject to certain limitations, Merck will provide the Company with financial assistance in the form of advances of the Company’s share of the overall development costs, which Merck will recoup from the Company’s share of any profit ultimately resulting from sales of the compound or, if unsuccessful, other compounds that reach commercialization. If the Company does not opt in to the cost and profit sharing option, then the Company is eligible to receive milestone payments upon the achievement of specific clinical development or regulatory events with respect to the licensed compound indications in the United States, the European Union and Japan of up to an aggregate of $449.0 million.</w:t>
      </w:r>
    </w:p>
    <w:p>
      <w:pPr>
        <w:spacing w:after="0" w:line="13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1060"/>
          </w:cols>
          <w:pgMar w:left="240" w:top="449" w:right="599" w:bottom="1440" w:gutter="0" w:footer="0" w:header="0"/>
        </w:sectPr>
      </w:pPr>
    </w:p>
    <w:bookmarkStart w:id="235" w:name="page236"/>
    <w:bookmarkEnd w:id="2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7" w:lineRule="exact"/>
        <w:rPr>
          <w:sz w:val="20"/>
          <w:szCs w:val="20"/>
          <w:color w:val="auto"/>
        </w:rPr>
      </w:pPr>
    </w:p>
    <w:p>
      <w:pPr>
        <w:ind w:left="380" w:firstLine="534"/>
        <w:spacing w:after="0" w:line="245" w:lineRule="auto"/>
        <w:rPr>
          <w:sz w:val="20"/>
          <w:szCs w:val="20"/>
          <w:color w:val="auto"/>
        </w:rPr>
      </w:pPr>
      <w:r>
        <w:rPr>
          <w:rFonts w:ascii="Arial" w:cs="Arial" w:eastAsia="Arial" w:hAnsi="Arial"/>
          <w:sz w:val="17"/>
          <w:szCs w:val="17"/>
          <w:b w:val="1"/>
          <w:bCs w:val="1"/>
          <w:i w:val="1"/>
          <w:iCs w:val="1"/>
          <w:color w:val="auto"/>
        </w:rPr>
        <w:t xml:space="preserve">Research and Early Development Program. </w:t>
      </w:r>
      <w:r>
        <w:rPr>
          <w:rFonts w:ascii="Arial" w:cs="Arial" w:eastAsia="Arial" w:hAnsi="Arial"/>
          <w:sz w:val="17"/>
          <w:szCs w:val="17"/>
          <w:color w:val="auto"/>
        </w:rPr>
        <w:t>Pursuant to the collaboration agreement, the Company determines the scientific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direction and areas of therapeutic interest, with input from Merck, and is primarily responsible for the conduct of all research, preclinical and early clinical development activities, through human proof of concept. The Company makes the final determinations as to which compounds to advance into and through initial clinical studies, which to progress into human proof-of-concept studies and the design of any such studies, with input from Merck through various governance committees. The Company may terminate its participation in any of the governance committees by providing written notice to Merck of its intention to disband and no longer participate. Under the agreement, Merck reimburses the internal and external costs of the Company’s research and early development activities (research phase) in an amount up to $50.0 million per year, based on an estimated annual budget. If the Company exceeds this budget in a particular year, and if the program is such that the Company is performing IND-enabling studies at that time, Merck is required to elect either to reimburse up to an additional $25.0 million for use in funding IND-enabling or later-staged activities or will provide the Company with the equivalent value in in-kind services for preclinical and clinical development activities.</w:t>
      </w:r>
    </w:p>
    <w:p>
      <w:pPr>
        <w:spacing w:after="0" w:line="195" w:lineRule="exact"/>
        <w:rPr>
          <w:sz w:val="20"/>
          <w:szCs w:val="20"/>
          <w:color w:val="auto"/>
        </w:rPr>
      </w:pPr>
    </w:p>
    <w:p>
      <w:pPr>
        <w:ind w:left="380" w:right="20" w:firstLine="534"/>
        <w:spacing w:after="0" w:line="244" w:lineRule="auto"/>
        <w:rPr>
          <w:sz w:val="20"/>
          <w:szCs w:val="20"/>
          <w:color w:val="auto"/>
        </w:rPr>
      </w:pPr>
      <w:r>
        <w:rPr>
          <w:rFonts w:ascii="Arial" w:cs="Arial" w:eastAsia="Arial" w:hAnsi="Arial"/>
          <w:sz w:val="17"/>
          <w:szCs w:val="17"/>
          <w:color w:val="auto"/>
        </w:rPr>
        <w:t>Merck has the option to extend the initial five-year research phase for two additional two-year consecutive periods by paying a fee for each extension. Exercising the option for the first of the two-year periods is required to be communicated by Merck to the Company by March 17, 2019. The level of research funding during the research phase extensions will be negotiated at the time of the extension, subject to certain minimum and maximum funding limits based on a percentage of the then-existing funding. At the end of any research phase, Merck has the right to either require the Company to continue to conduct research and development activities with respect to certain of the then-existing programs for up to three years (tail period), by agreeing to pay all of the Company’s internal and external costs, or to take over such selected programs and conduct such research and development activities itself, at its own cost.</w:t>
      </w:r>
    </w:p>
    <w:p>
      <w:pPr>
        <w:spacing w:after="0" w:line="173" w:lineRule="exact"/>
        <w:rPr>
          <w:sz w:val="20"/>
          <w:szCs w:val="20"/>
          <w:color w:val="auto"/>
        </w:rPr>
      </w:pPr>
    </w:p>
    <w:p>
      <w:pPr>
        <w:ind w:left="380" w:right="40" w:firstLine="534"/>
        <w:spacing w:after="0" w:line="246" w:lineRule="auto"/>
        <w:rPr>
          <w:sz w:val="20"/>
          <w:szCs w:val="20"/>
          <w:color w:val="auto"/>
        </w:rPr>
      </w:pPr>
      <w:r>
        <w:rPr>
          <w:rFonts w:ascii="Arial" w:cs="Arial" w:eastAsia="Arial" w:hAnsi="Arial"/>
          <w:sz w:val="17"/>
          <w:szCs w:val="17"/>
          <w:b w:val="1"/>
          <w:bCs w:val="1"/>
          <w:i w:val="1"/>
          <w:iCs w:val="1"/>
          <w:color w:val="auto"/>
        </w:rPr>
        <w:t xml:space="preserve">Merck Option to License the Company’s Programs. </w:t>
      </w:r>
      <w:r>
        <w:rPr>
          <w:rFonts w:ascii="Arial" w:cs="Arial" w:eastAsia="Arial" w:hAnsi="Arial"/>
          <w:sz w:val="17"/>
          <w:szCs w:val="17"/>
          <w:color w:val="auto"/>
        </w:rPr>
        <w:t>Upon completion of a human proof-of-concept study for a particular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compound, regardless of the results of such study, Merck has the one-time option to obtain an exclusive, worldwide license, on specified terms, to that compound, as well as to other molecules that are directed against the same target in the same manner (Optioned Program). If Merck exercises its license option, Merck will be responsible, at its own cost, for any further development and commercialization activities for compounds within that Optioned Program, subject to the Company’s options to cost and profit share worldwide and to co-detail those compounds in the United States, as further described below. If Merck does not exercise its license option with respect to a particular compound within a limited period of time, the Company will retain all rights to research, develop and commercialize that compound and its related molecules on a worldwide basis at the Company’s expense, either alone or in partnership with a third party, subject to the payment to Merck of low single digit percentage royalties on any commercial sales of any resulting products.</w:t>
      </w:r>
    </w:p>
    <w:p>
      <w:pPr>
        <w:spacing w:after="0" w:line="174" w:lineRule="exact"/>
        <w:rPr>
          <w:sz w:val="20"/>
          <w:szCs w:val="20"/>
          <w:color w:val="auto"/>
        </w:rPr>
      </w:pPr>
    </w:p>
    <w:p>
      <w:pPr>
        <w:ind w:left="380" w:right="60" w:firstLine="534"/>
        <w:spacing w:after="0" w:line="248" w:lineRule="auto"/>
        <w:rPr>
          <w:sz w:val="20"/>
          <w:szCs w:val="20"/>
          <w:color w:val="auto"/>
        </w:rPr>
      </w:pPr>
      <w:r>
        <w:rPr>
          <w:rFonts w:ascii="Arial" w:cs="Arial" w:eastAsia="Arial" w:hAnsi="Arial"/>
          <w:sz w:val="17"/>
          <w:szCs w:val="17"/>
          <w:b w:val="1"/>
          <w:bCs w:val="1"/>
          <w:i w:val="1"/>
          <w:iCs w:val="1"/>
          <w:color w:val="auto"/>
        </w:rPr>
        <w:t xml:space="preserve">Company Option to Elect Cost and Profit Share and Merck Financial Assistance. </w:t>
      </w:r>
      <w:r>
        <w:rPr>
          <w:rFonts w:ascii="Arial" w:cs="Arial" w:eastAsia="Arial" w:hAnsi="Arial"/>
          <w:sz w:val="17"/>
          <w:szCs w:val="17"/>
          <w:color w:val="auto"/>
        </w:rPr>
        <w:t>If Merck exercises its license option, then,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the point where it has advanced the licensed compound to its first Phase 3 clinical study, the Company has the option for a limited period of time to share up to 50% of the costs and profits with Merck on that compound (NGM Optioned Products). As part of the Company’s election to exercise the option to cost and profit share, the Company will also select the percentage share, up to 50%, that it desires to fund of the total global costs of developing and, if approved, commercializing that NGM Optioned Product. The percentage of any profits the Company will receive from sales of the NGM Optioned Product will be the same as the percentage share the Company elects to contribute to the total global costs of developing the product. The Company’s right</w:t>
      </w:r>
    </w:p>
    <w:p>
      <w:pPr>
        <w:spacing w:after="0" w:line="12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1040"/>
          </w:cols>
          <w:pgMar w:left="240" w:top="449" w:right="619" w:bottom="1440" w:gutter="0" w:footer="0" w:header="0"/>
        </w:sectPr>
      </w:pPr>
    </w:p>
    <w:bookmarkStart w:id="236" w:name="page237"/>
    <w:bookmarkEnd w:id="2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7" w:lineRule="exact"/>
        <w:rPr>
          <w:sz w:val="20"/>
          <w:szCs w:val="20"/>
          <w:color w:val="auto"/>
        </w:rPr>
      </w:pPr>
    </w:p>
    <w:p>
      <w:pPr>
        <w:ind w:left="380"/>
        <w:spacing w:after="0" w:line="244" w:lineRule="auto"/>
        <w:rPr>
          <w:sz w:val="20"/>
          <w:szCs w:val="20"/>
          <w:color w:val="auto"/>
        </w:rPr>
      </w:pPr>
      <w:r>
        <w:rPr>
          <w:rFonts w:ascii="Arial" w:cs="Arial" w:eastAsia="Arial" w:hAnsi="Arial"/>
          <w:sz w:val="17"/>
          <w:szCs w:val="17"/>
          <w:color w:val="auto"/>
        </w:rPr>
        <w:t>to participate in cost and profit sharing for each of the compounds that Merck licenses is subject to the following limitation: if, at the point in time when the Company is able to exercise its option for a licensed compound, the actual costs the Company has incurred across all NGM Optioned Products, plus the prospective costs allocated to the Company across all NGM Optioned Products, plus the costs the Company is electing to incur if it exercises its option for the compound, reaches $1.0 billion (if the research phase ends in 2020), $1.4 billion (if the research phase is extended to 2022), or $1.8 billion (if the research phase is extended to 2024), then the Company will not be able to exercise its options on any further licensed compounds that Merck takes forward.</w:t>
      </w:r>
    </w:p>
    <w:p>
      <w:pPr>
        <w:spacing w:after="0" w:line="196" w:lineRule="exact"/>
        <w:rPr>
          <w:sz w:val="20"/>
          <w:szCs w:val="20"/>
          <w:color w:val="auto"/>
        </w:rPr>
      </w:pPr>
    </w:p>
    <w:p>
      <w:pPr>
        <w:ind w:left="380" w:firstLine="534"/>
        <w:spacing w:after="0" w:line="250" w:lineRule="auto"/>
        <w:rPr>
          <w:sz w:val="20"/>
          <w:szCs w:val="20"/>
          <w:color w:val="auto"/>
        </w:rPr>
      </w:pPr>
      <w:r>
        <w:rPr>
          <w:rFonts w:ascii="Arial" w:cs="Arial" w:eastAsia="Arial" w:hAnsi="Arial"/>
          <w:sz w:val="17"/>
          <w:szCs w:val="17"/>
          <w:color w:val="auto"/>
        </w:rPr>
        <w:t>Pursuant to the collaboration agreement, at the Company’s election to cost and profit share on a NGM Optioned Product, Merck will advance to the Company a specified portion of the expected global costs for that NGM Optioned Product. These advances are subject to an aggregate cap across all NGM Optioned Products over the term of the collaboration.</w:t>
      </w:r>
    </w:p>
    <w:p>
      <w:pPr>
        <w:spacing w:after="0" w:line="168" w:lineRule="exact"/>
        <w:rPr>
          <w:sz w:val="20"/>
          <w:szCs w:val="20"/>
          <w:color w:val="auto"/>
        </w:rPr>
      </w:pPr>
    </w:p>
    <w:p>
      <w:pPr>
        <w:ind w:left="380" w:right="20" w:firstLine="534"/>
        <w:spacing w:after="0" w:line="248" w:lineRule="auto"/>
        <w:rPr>
          <w:sz w:val="20"/>
          <w:szCs w:val="20"/>
          <w:color w:val="auto"/>
        </w:rPr>
      </w:pPr>
      <w:r>
        <w:rPr>
          <w:rFonts w:ascii="Arial" w:cs="Arial" w:eastAsia="Arial" w:hAnsi="Arial"/>
          <w:sz w:val="17"/>
          <w:szCs w:val="17"/>
          <w:b w:val="1"/>
          <w:bCs w:val="1"/>
          <w:i w:val="1"/>
          <w:iCs w:val="1"/>
          <w:color w:val="auto"/>
        </w:rPr>
        <w:t xml:space="preserve">Co-Detailing Rights in the United States. </w:t>
      </w:r>
      <w:r>
        <w:rPr>
          <w:rFonts w:ascii="Arial" w:cs="Arial" w:eastAsia="Arial" w:hAnsi="Arial"/>
          <w:sz w:val="17"/>
          <w:szCs w:val="17"/>
          <w:color w:val="auto"/>
        </w:rPr>
        <w:t>For each NGM Optioned Product, the Company also has the option to participate 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portion of the commercial promotion (co-detailing) to provide up to 25% of the total requisite details in the United States of the NGM Optioned Product by fielding its own commercial sales force. The Company will be required to make this election prior to receiving regulatory approval in the U.S. for the NGM Optioned Product. The specifics of the participation in co-detailing will be determined by the parties according to guidelines set out in the collaboration agreement. If the Company elects to co-detail with Merck, the Company’s costs are included in the overall shared commercialization costs, but it will not share in any greater portion of the profits than it otherwise would be entitled to for that NGM Optioned Product.</w:t>
      </w:r>
    </w:p>
    <w:p>
      <w:pPr>
        <w:spacing w:after="0" w:line="171" w:lineRule="exact"/>
        <w:rPr>
          <w:sz w:val="20"/>
          <w:szCs w:val="20"/>
          <w:color w:val="auto"/>
        </w:rPr>
      </w:pPr>
    </w:p>
    <w:p>
      <w:pPr>
        <w:ind w:left="380" w:right="120" w:firstLine="534"/>
        <w:spacing w:after="0" w:line="245" w:lineRule="auto"/>
        <w:rPr>
          <w:sz w:val="20"/>
          <w:szCs w:val="20"/>
          <w:color w:val="auto"/>
        </w:rPr>
      </w:pPr>
      <w:r>
        <w:rPr>
          <w:rFonts w:ascii="Arial" w:cs="Arial" w:eastAsia="Arial" w:hAnsi="Arial"/>
          <w:sz w:val="17"/>
          <w:szCs w:val="17"/>
          <w:b w:val="1"/>
          <w:bCs w:val="1"/>
          <w:i w:val="1"/>
          <w:iCs w:val="1"/>
          <w:color w:val="auto"/>
        </w:rPr>
        <w:t xml:space="preserve">Small Molecule Research and Development. </w:t>
      </w:r>
      <w:r>
        <w:rPr>
          <w:rFonts w:ascii="Arial" w:cs="Arial" w:eastAsia="Arial" w:hAnsi="Arial"/>
          <w:sz w:val="17"/>
          <w:szCs w:val="17"/>
          <w:color w:val="auto"/>
        </w:rPr>
        <w:t>Under the collaboration agreement, the Company also granted Merck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worldwide, exclusive right to conduct research and development on small molecule compounds generated by Merck that have specified activity against any target that the Company is researching or developing under the research phase and about which the Company has generated unique biological insights (Small Molecule Program). If Merck ultimately does not exercise its license option to the compound the Company has taken through a human proof-of-concept study that is directed to any such target, Merck’s research license for its own small molecule program will become non-exclusive, but it will retain an exclusive license to any small molecule compounds that it has, as of that time, identified and developed. Merck has sole responsibility for the research and development of any of these small molecule compounds, at its own cost. The Company is eligible to receive milestone and royalty payments on small molecule compounds that are developed by Merck under the Company’s license, in some cases at the same rates as those the Company is eligible to receive from Merck for a licensed program originating from the Company’s own research and development efforts, provided that, but for use of the Company’s proprietary information, Merck would not have discovered such small molecule compounds. However, the Company will not have the option to cost and profit share or the option to co-detail those small molecule products.</w:t>
      </w:r>
    </w:p>
    <w:p>
      <w:pPr>
        <w:spacing w:after="0" w:line="172" w:lineRule="exact"/>
        <w:rPr>
          <w:sz w:val="20"/>
          <w:szCs w:val="20"/>
          <w:color w:val="auto"/>
        </w:rPr>
      </w:pPr>
    </w:p>
    <w:p>
      <w:pPr>
        <w:ind w:left="380" w:right="140" w:firstLine="534"/>
        <w:spacing w:after="0" w:line="252" w:lineRule="auto"/>
        <w:rPr>
          <w:sz w:val="20"/>
          <w:szCs w:val="20"/>
          <w:color w:val="auto"/>
        </w:rPr>
      </w:pPr>
      <w:r>
        <w:rPr>
          <w:rFonts w:ascii="Arial" w:cs="Arial" w:eastAsia="Arial" w:hAnsi="Arial"/>
          <w:sz w:val="17"/>
          <w:szCs w:val="17"/>
          <w:b w:val="1"/>
          <w:bCs w:val="1"/>
          <w:i w:val="1"/>
          <w:iCs w:val="1"/>
          <w:color w:val="auto"/>
        </w:rPr>
        <w:t xml:space="preserve">Upfront payment; Series E Convertible Preferred Stock Purchase Agreement, Extension of Research Phases(s) and Private Placement. </w:t>
      </w:r>
      <w:r>
        <w:rPr>
          <w:rFonts w:ascii="Arial" w:cs="Arial" w:eastAsia="Arial" w:hAnsi="Arial"/>
          <w:sz w:val="17"/>
          <w:szCs w:val="17"/>
          <w:color w:val="auto"/>
        </w:rPr>
        <w:t>Under the terms of the collaboration agreement, the Company received an upfront payment of $94.0 million.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 Merck entered into a stock purchase agreement to purchase 8,833,333 shares of Series E convertible preferred stock at a price of $12.00 per share, resulting in net proceeds of approximately $105.9 million. In April 2015, the Company received the $94.0 million upfront payment.</w:t>
      </w:r>
    </w:p>
    <w:p>
      <w:pPr>
        <w:spacing w:after="0" w:line="32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1040"/>
          </w:cols>
          <w:pgMar w:left="240" w:top="449" w:right="619" w:bottom="1440" w:gutter="0" w:footer="0" w:header="0"/>
        </w:sectPr>
      </w:pPr>
    </w:p>
    <w:bookmarkStart w:id="237" w:name="page238"/>
    <w:bookmarkEnd w:id="2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7" w:lineRule="exact"/>
        <w:rPr>
          <w:sz w:val="20"/>
          <w:szCs w:val="20"/>
          <w:color w:val="auto"/>
        </w:rPr>
      </w:pPr>
    </w:p>
    <w:p>
      <w:pPr>
        <w:ind w:left="380" w:right="20" w:firstLine="534"/>
        <w:spacing w:after="0" w:line="243" w:lineRule="auto"/>
        <w:rPr>
          <w:sz w:val="20"/>
          <w:szCs w:val="20"/>
          <w:color w:val="auto"/>
        </w:rPr>
      </w:pPr>
      <w:r>
        <w:rPr>
          <w:rFonts w:ascii="Arial" w:cs="Arial" w:eastAsia="Arial" w:hAnsi="Arial"/>
          <w:sz w:val="17"/>
          <w:szCs w:val="17"/>
          <w:color w:val="auto"/>
        </w:rPr>
        <w:t>In connection with the Series E convertible preferred stock purchase agreement, the Company entered into a Side Letter Agreement whereby Merck has the irrevocable option to purchase or, if it does not, the Company has the irrevocable option to require Merck to purchase an additional amount of the Company’s common stock pursuant to a private placement conducted in parallel with its IPO, up to a limit of the number of shares that will result in Merck owning approximately 19.9% of the Company’s outstanding shares, at the same price per share as offered to the public. If Merck elects to extend the research phase of the collaboration until March 17, 2022, it has the option to purchase an additional $5.0 million of the Company’s common stock at a price per share equal to the last closing price of the Company’s shares on the date it notifies the Company of its desire to exercise such option and, if Merck elects again to extend the research phase to March 17, 2024, it has an option to purchase another $5.0 million of the Company’s common stock on the same terms; with both options subject to an overall cap on Merck’s ownership interest of 19.9%. Merck did not exercise a similar option in connection with its extension of the collaboration through 2022 in March 2019.</w:t>
      </w:r>
    </w:p>
    <w:p>
      <w:pPr>
        <w:spacing w:after="0" w:line="175" w:lineRule="exact"/>
        <w:rPr>
          <w:sz w:val="20"/>
          <w:szCs w:val="20"/>
          <w:color w:val="auto"/>
        </w:rPr>
      </w:pPr>
    </w:p>
    <w:p>
      <w:pPr>
        <w:ind w:left="380" w:firstLine="534"/>
        <w:spacing w:after="0" w:line="245" w:lineRule="auto"/>
        <w:rPr>
          <w:sz w:val="20"/>
          <w:szCs w:val="20"/>
          <w:color w:val="auto"/>
        </w:rPr>
      </w:pPr>
      <w:r>
        <w:rPr>
          <w:rFonts w:ascii="Arial" w:cs="Arial" w:eastAsia="Arial" w:hAnsi="Arial"/>
          <w:sz w:val="17"/>
          <w:szCs w:val="17"/>
          <w:b w:val="1"/>
          <w:bCs w:val="1"/>
          <w:i w:val="1"/>
          <w:iCs w:val="1"/>
          <w:color w:val="auto"/>
        </w:rPr>
        <w:t xml:space="preserve">Standstill, Lock-Up and Voting Agreements. </w:t>
      </w:r>
      <w:r>
        <w:rPr>
          <w:rFonts w:ascii="Arial" w:cs="Arial" w:eastAsia="Arial" w:hAnsi="Arial"/>
          <w:sz w:val="17"/>
          <w:szCs w:val="17"/>
          <w:color w:val="auto"/>
        </w:rPr>
        <w:t>The Side Letter Agreement also includes standstill provisions providing that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period ending on the earlier of the end of the initial five-year research term, the announcement of the Company’s intent to consummate a change in control transaction (subject to certain exceptions) or the termination of the collaboration agreement, neither Merck nor its representatives will, directly or indirectly, among other things: (i) acquire any of the Company’s securities to the extent it would result in Merck owning more than 19.9% of the Company’s shares, (ii) solicit proxies for the Company’s securities or (iii) participate in a business combination involving the Company, take any action that might result in the Company having to make a public announcement about (i) or</w:t>
      </w:r>
    </w:p>
    <w:p>
      <w:pPr>
        <w:spacing w:after="0" w:line="1" w:lineRule="exact"/>
        <w:rPr>
          <w:sz w:val="20"/>
          <w:szCs w:val="20"/>
          <w:color w:val="auto"/>
        </w:rPr>
      </w:pPr>
    </w:p>
    <w:p>
      <w:pPr>
        <w:ind w:left="380" w:right="20" w:hanging="9"/>
        <w:spacing w:after="0" w:line="243" w:lineRule="auto"/>
        <w:tabs>
          <w:tab w:leader="none" w:pos="622" w:val="left"/>
        </w:tabs>
        <w:numPr>
          <w:ilvl w:val="0"/>
          <w:numId w:val="104"/>
        </w:numPr>
        <w:rPr>
          <w:rFonts w:ascii="Arial" w:cs="Arial" w:eastAsia="Arial" w:hAnsi="Arial"/>
          <w:sz w:val="17"/>
          <w:szCs w:val="17"/>
          <w:color w:val="auto"/>
        </w:rPr>
      </w:pPr>
      <w:r>
        <w:rPr>
          <w:rFonts w:ascii="Arial" w:cs="Arial" w:eastAsia="Arial" w:hAnsi="Arial"/>
          <w:sz w:val="17"/>
          <w:szCs w:val="17"/>
          <w:color w:val="auto"/>
        </w:rPr>
        <w:t>or seek to influence the Company’s management or policies, except that Merck is not precluded from making confidential, non-public proposals to the Company or third parties with the Company’s express consent. In addition, during the period that ends on the earlier of the end of the initial five-year research term, the announcement of the Company’s intent to consummate a change in control transaction or the date on which Merck’s ownership of the Company’s securities drops below 5%, Merck has agreed to vote its shares in favor of the Company’s nominees to the board of directors, increases in the authorized capital stock of the company and amendments to the Company’s equity plans approved by the board of directors, in each case as recommended by the chairman the Company’s board of directors. Merck has also agreed, subject to specified exceptions and during the period of the initial five-year research phase, not to sell any of its shares of the Company’s capital stock (subject to certain limited exceptions).</w:t>
      </w:r>
    </w:p>
    <w:p>
      <w:pPr>
        <w:spacing w:after="0" w:line="198" w:lineRule="exact"/>
        <w:rPr>
          <w:sz w:val="20"/>
          <w:szCs w:val="20"/>
          <w:color w:val="auto"/>
        </w:rPr>
      </w:pPr>
    </w:p>
    <w:p>
      <w:pPr>
        <w:ind w:left="380" w:right="80" w:firstLine="534"/>
        <w:spacing w:after="0" w:line="243" w:lineRule="auto"/>
        <w:rPr>
          <w:sz w:val="20"/>
          <w:szCs w:val="20"/>
          <w:color w:val="auto"/>
        </w:rPr>
      </w:pPr>
      <w:r>
        <w:rPr>
          <w:rFonts w:ascii="Arial" w:cs="Arial" w:eastAsia="Arial" w:hAnsi="Arial"/>
          <w:sz w:val="17"/>
          <w:szCs w:val="17"/>
          <w:color w:val="auto"/>
        </w:rPr>
        <w:t>The Company identified several significant deliverables under the agreement, including the license and know-how to the GDF15 program, the license to a Small Molecule Program and research and development services to be performed by the Company on behalf of Merck, including research and early development activities up through human proof of concept. The Company concluded that the license to the GDF15 program and the license for the Small Molecule Program do not have stand-alone value to Merck apart from the related research and development services deliverables as there are no other vendors selling similar, competing products on a stand-alone basis and Merck is unable to use the license for its intended purpose without the Company’s performance of research and development services. Accordingly, the Company has accounted for the deliverables as one unit of accounting. As such, a total of $94.0 million of revenue is being recognized on a straight-line basis over the period over which the Company expects to fulfill its performance obligations (the performance period), which was determined to be five years. The Company evaluates the performance period at each reporting period.</w:t>
      </w:r>
    </w:p>
    <w:p>
      <w:pPr>
        <w:spacing w:after="0" w:line="392" w:lineRule="exact"/>
        <w:rPr>
          <w:sz w:val="20"/>
          <w:szCs w:val="20"/>
          <w:color w:val="auto"/>
        </w:rPr>
      </w:pPr>
    </w:p>
    <w:p>
      <w:pPr>
        <w:ind w:left="380" w:right="400" w:firstLine="534"/>
        <w:spacing w:after="0" w:line="258" w:lineRule="auto"/>
        <w:rPr>
          <w:sz w:val="20"/>
          <w:szCs w:val="20"/>
          <w:color w:val="auto"/>
        </w:rPr>
      </w:pPr>
      <w:r>
        <w:rPr>
          <w:rFonts w:ascii="Arial" w:cs="Arial" w:eastAsia="Arial" w:hAnsi="Arial"/>
          <w:sz w:val="17"/>
          <w:szCs w:val="17"/>
          <w:color w:val="auto"/>
        </w:rPr>
        <w:t>The Company is also eligible to receive additional payments specific to Merck opting into an Optioned Program. Except for the GDF15 program, each Optioned Program is eligible to receive a</w:t>
      </w:r>
    </w:p>
    <w:p>
      <w:pPr>
        <w:spacing w:after="0" w:line="1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1040"/>
          </w:cols>
          <w:pgMar w:left="240" w:top="449" w:right="619" w:bottom="1440" w:gutter="0" w:footer="0" w:header="0"/>
        </w:sectPr>
      </w:pPr>
    </w:p>
    <w:bookmarkStart w:id="238" w:name="page239"/>
    <w:bookmarkEnd w:id="2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7" w:lineRule="exact"/>
        <w:rPr>
          <w:sz w:val="20"/>
          <w:szCs w:val="20"/>
          <w:color w:val="auto"/>
        </w:rPr>
      </w:pPr>
    </w:p>
    <w:p>
      <w:pPr>
        <w:ind w:left="380" w:right="260"/>
        <w:spacing w:after="0" w:line="244" w:lineRule="auto"/>
        <w:rPr>
          <w:sz w:val="20"/>
          <w:szCs w:val="20"/>
          <w:color w:val="auto"/>
        </w:rPr>
      </w:pPr>
      <w:r>
        <w:rPr>
          <w:rFonts w:ascii="Arial" w:cs="Arial" w:eastAsia="Arial" w:hAnsi="Arial"/>
          <w:sz w:val="17"/>
          <w:szCs w:val="17"/>
          <w:color w:val="auto"/>
        </w:rPr>
        <w:t>one-time payment of $20.0 million upon Merck’s exercise of its one-time option to obtain an exclusive, worldwide license for a licensed compound following the completion of a human proof-of-concept study. In addition, if the Company does not opt in to the cost and profit sharing option, then the Company is eligible to receive an aggregate of $449.0 million in milestone payments, of which $77.7 million relates to the potential achievement of specific clinical development events and $371.3 million relates to the potential achievement of certain regulatory events with respect to the licensed compounds for the first three indications in the United States, the European Union and Japan.</w:t>
      </w:r>
    </w:p>
    <w:p>
      <w:pPr>
        <w:spacing w:after="0" w:line="196" w:lineRule="exact"/>
        <w:rPr>
          <w:sz w:val="20"/>
          <w:szCs w:val="20"/>
          <w:color w:val="auto"/>
        </w:rPr>
      </w:pPr>
    </w:p>
    <w:p>
      <w:pPr>
        <w:ind w:left="380" w:right="340" w:firstLine="534"/>
        <w:spacing w:after="0" w:line="258" w:lineRule="auto"/>
        <w:rPr>
          <w:sz w:val="20"/>
          <w:szCs w:val="20"/>
          <w:color w:val="auto"/>
        </w:rPr>
      </w:pPr>
      <w:r>
        <w:rPr>
          <w:rFonts w:ascii="Arial" w:cs="Arial" w:eastAsia="Arial" w:hAnsi="Arial"/>
          <w:sz w:val="17"/>
          <w:szCs w:val="17"/>
          <w:color w:val="auto"/>
        </w:rPr>
        <w:t>A break out of the milestone payments in connection with the potential achievement of certain clinical development events is as follows (in thousands):</w:t>
      </w:r>
    </w:p>
    <w:p>
      <w:pPr>
        <w:spacing w:after="0" w:line="19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First</w:t>
            </w: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Second</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Third</w:t>
            </w:r>
          </w:p>
        </w:tc>
      </w:tr>
      <w:tr>
        <w:trPr>
          <w:trHeight w:val="169"/>
        </w:trPr>
        <w:tc>
          <w:tcPr>
            <w:tcW w:w="7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Indication</w:t>
            </w: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Indication</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Indication</w:t>
            </w:r>
          </w:p>
        </w:tc>
      </w:tr>
      <w:tr>
        <w:trPr>
          <w:trHeight w:val="176"/>
        </w:trPr>
        <w:tc>
          <w:tcPr>
            <w:tcW w:w="768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Upon administration of an applicable product to the first patient in the first Phase 3 clinical trial for</w:t>
            </w:r>
          </w:p>
        </w:tc>
        <w:tc>
          <w:tcPr>
            <w:tcW w:w="2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197"/>
        </w:trPr>
        <w:tc>
          <w:tcPr>
            <w:tcW w:w="7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such product for the given indication</w:t>
            </w:r>
          </w:p>
        </w:tc>
        <w:tc>
          <w:tcPr>
            <w:tcW w:w="1240" w:type="dxa"/>
            <w:vAlign w:val="bottom"/>
            <w:gridSpan w:val="3"/>
            <w:shd w:val="clear" w:color="auto" w:fill="CCEEFF"/>
          </w:tcPr>
          <w:p>
            <w:pPr>
              <w:jc w:val="center"/>
              <w:ind w:right="160"/>
              <w:spacing w:after="0"/>
              <w:rPr>
                <w:sz w:val="20"/>
                <w:szCs w:val="20"/>
                <w:color w:val="auto"/>
              </w:rPr>
            </w:pPr>
            <w:r>
              <w:rPr>
                <w:rFonts w:ascii="Arial" w:cs="Arial" w:eastAsia="Arial" w:hAnsi="Arial"/>
                <w:sz w:val="17"/>
                <w:szCs w:val="17"/>
                <w:color w:val="auto"/>
              </w:rPr>
              <w:t>$ 35,000</w:t>
            </w:r>
          </w:p>
        </w:tc>
        <w:tc>
          <w:tcPr>
            <w:tcW w:w="1040" w:type="dxa"/>
            <w:vAlign w:val="bottom"/>
            <w:gridSpan w:val="2"/>
            <w:shd w:val="clear" w:color="auto" w:fill="CCEEFF"/>
          </w:tcPr>
          <w:p>
            <w:pPr>
              <w:jc w:val="center"/>
              <w:ind w:right="360"/>
              <w:spacing w:after="0"/>
              <w:rPr>
                <w:sz w:val="20"/>
                <w:szCs w:val="20"/>
                <w:color w:val="auto"/>
              </w:rPr>
            </w:pPr>
            <w:r>
              <w:rPr>
                <w:rFonts w:ascii="Arial" w:cs="Arial" w:eastAsia="Arial" w:hAnsi="Arial"/>
                <w:sz w:val="17"/>
                <w:szCs w:val="17"/>
                <w:color w:val="auto"/>
              </w:rPr>
              <w:t>$ 25,250</w:t>
            </w:r>
          </w:p>
        </w:tc>
        <w:tc>
          <w:tcPr>
            <w:tcW w:w="72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99"/>
              </w:rPr>
              <w:t>$ 17,500</w:t>
            </w:r>
          </w:p>
        </w:tc>
      </w:tr>
    </w:tbl>
    <w:p>
      <w:pPr>
        <w:spacing w:after="0" w:line="209" w:lineRule="exact"/>
        <w:rPr>
          <w:sz w:val="20"/>
          <w:szCs w:val="20"/>
          <w:color w:val="auto"/>
        </w:rPr>
      </w:pPr>
    </w:p>
    <w:p>
      <w:pPr>
        <w:ind w:left="380" w:right="440" w:firstLine="534"/>
        <w:spacing w:after="0" w:line="258" w:lineRule="auto"/>
        <w:rPr>
          <w:sz w:val="20"/>
          <w:szCs w:val="20"/>
          <w:color w:val="auto"/>
        </w:rPr>
      </w:pPr>
      <w:r>
        <w:rPr>
          <w:rFonts w:ascii="Arial" w:cs="Arial" w:eastAsia="Arial" w:hAnsi="Arial"/>
          <w:sz w:val="17"/>
          <w:szCs w:val="17"/>
          <w:color w:val="auto"/>
        </w:rPr>
        <w:t>A breakout of the milestone payments in connection with the potential achievement of certain regulatory events for each of the three indications, for each of the three geographic areas, is as follows (in thousands):</w:t>
      </w:r>
    </w:p>
    <w:p>
      <w:pPr>
        <w:spacing w:after="0" w:line="19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8"/>
              </w:rPr>
              <w:t>First</w:t>
            </w:r>
          </w:p>
        </w:tc>
        <w:tc>
          <w:tcPr>
            <w:tcW w:w="100" w:type="dxa"/>
            <w:vAlign w:val="bottom"/>
          </w:tcPr>
          <w:p>
            <w:pPr>
              <w:spacing w:after="0"/>
              <w:rPr>
                <w:sz w:val="14"/>
                <w:szCs w:val="14"/>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Second</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9"/>
              </w:rPr>
              <w:t>Indication</w:t>
            </w:r>
          </w:p>
        </w:tc>
        <w:tc>
          <w:tcPr>
            <w:tcW w:w="1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9"/>
              </w:rPr>
              <w:t>Indication</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Indication</w:t>
            </w:r>
          </w:p>
        </w:tc>
        <w:tc>
          <w:tcPr>
            <w:tcW w:w="18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190"/>
        </w:trPr>
        <w:tc>
          <w:tcPr>
            <w:tcW w:w="66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United States</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75,000</w:t>
            </w:r>
          </w:p>
        </w:tc>
        <w:tc>
          <w:tcPr>
            <w:tcW w:w="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56,250</w:t>
            </w:r>
          </w:p>
        </w:tc>
        <w:tc>
          <w:tcPr>
            <w:tcW w:w="3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9"/>
              </w:rPr>
              <w:t>$ 37,500</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$168,750</w:t>
            </w:r>
          </w:p>
        </w:tc>
        <w:tc>
          <w:tcPr>
            <w:tcW w:w="60" w:type="dxa"/>
            <w:vAlign w:val="bottom"/>
            <w:tcBorders>
              <w:top w:val="single" w:sz="8" w:color="CCEEFF"/>
            </w:tcBorders>
            <w:shd w:val="clear" w:color="auto" w:fill="CCEEFF"/>
          </w:tcPr>
          <w:p>
            <w:pPr>
              <w:spacing w:after="0"/>
              <w:rPr>
                <w:sz w:val="16"/>
                <w:szCs w:val="16"/>
                <w:color w:val="auto"/>
              </w:rPr>
            </w:pPr>
          </w:p>
        </w:tc>
      </w:tr>
      <w:tr>
        <w:trPr>
          <w:trHeight w:val="196"/>
        </w:trPr>
        <w:tc>
          <w:tcPr>
            <w:tcW w:w="6620" w:type="dxa"/>
            <w:vAlign w:val="bottom"/>
          </w:tcPr>
          <w:p>
            <w:pPr>
              <w:spacing w:after="0"/>
              <w:rPr>
                <w:sz w:val="20"/>
                <w:szCs w:val="20"/>
                <w:color w:val="auto"/>
              </w:rPr>
            </w:pPr>
            <w:r>
              <w:rPr>
                <w:rFonts w:ascii="Arial" w:cs="Arial" w:eastAsia="Arial" w:hAnsi="Arial"/>
                <w:sz w:val="17"/>
                <w:szCs w:val="17"/>
                <w:color w:val="auto"/>
              </w:rPr>
              <w:t>European Union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60,000</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7"/>
                <w:szCs w:val="17"/>
                <w:color w:val="auto"/>
              </w:rPr>
              <w:t>45,000</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30,000</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135,000</w:t>
            </w:r>
          </w:p>
        </w:tc>
        <w:tc>
          <w:tcPr>
            <w:tcW w:w="60" w:type="dxa"/>
            <w:vAlign w:val="bottom"/>
          </w:tcPr>
          <w:p>
            <w:pPr>
              <w:spacing w:after="0"/>
              <w:rPr>
                <w:sz w:val="17"/>
                <w:szCs w:val="17"/>
                <w:color w:val="auto"/>
              </w:rPr>
            </w:pPr>
          </w:p>
        </w:tc>
      </w:tr>
      <w:tr>
        <w:trPr>
          <w:trHeight w:val="196"/>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Japan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22,500</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67,500</w:t>
            </w: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66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4"/>
              </w:rPr>
              <w:t>$</w:t>
            </w: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165,000</w:t>
            </w:r>
          </w:p>
        </w:tc>
        <w:tc>
          <w:tcPr>
            <w:tcW w:w="3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7"/>
                <w:szCs w:val="17"/>
                <w:color w:val="auto"/>
              </w:rPr>
              <w:t>123,750</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$ 82,500</w:t>
            </w:r>
          </w:p>
        </w:tc>
        <w:tc>
          <w:tcPr>
            <w:tcW w:w="9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371,250</w:t>
            </w:r>
          </w:p>
        </w:tc>
        <w:tc>
          <w:tcPr>
            <w:tcW w:w="60" w:type="dxa"/>
            <w:vAlign w:val="bottom"/>
          </w:tcPr>
          <w:p>
            <w:pPr>
              <w:spacing w:after="0"/>
              <w:rPr>
                <w:sz w:val="17"/>
                <w:szCs w:val="17"/>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left="380" w:right="40" w:firstLine="534"/>
        <w:spacing w:after="0" w:line="250" w:lineRule="auto"/>
        <w:rPr>
          <w:sz w:val="20"/>
          <w:szCs w:val="20"/>
          <w:color w:val="auto"/>
        </w:rPr>
      </w:pPr>
      <w:r>
        <w:rPr>
          <w:rFonts w:ascii="Arial" w:cs="Arial" w:eastAsia="Arial" w:hAnsi="Arial"/>
          <w:sz w:val="17"/>
          <w:szCs w:val="17"/>
          <w:color w:val="auto"/>
        </w:rPr>
        <w:t>The Company is also eligible to receive commercial milestone payments of up to $125.0 million payable for each licensed product. In addition, the Company is eligible to receive royalties at ascending low-double digit to mid-teen percentage rates, depending on the level of net sales Merck achieves worldwide for each licensed compound.</w:t>
      </w:r>
    </w:p>
    <w:p>
      <w:pPr>
        <w:spacing w:after="0" w:line="188" w:lineRule="exact"/>
        <w:rPr>
          <w:sz w:val="20"/>
          <w:szCs w:val="20"/>
          <w:color w:val="auto"/>
        </w:rPr>
      </w:pPr>
    </w:p>
    <w:p>
      <w:pPr>
        <w:ind w:left="380" w:right="60" w:firstLine="534"/>
        <w:spacing w:after="0" w:line="242" w:lineRule="auto"/>
        <w:rPr>
          <w:sz w:val="20"/>
          <w:szCs w:val="20"/>
          <w:color w:val="auto"/>
        </w:rPr>
      </w:pPr>
      <w:r>
        <w:rPr>
          <w:rFonts w:ascii="Arial" w:cs="Arial" w:eastAsia="Arial" w:hAnsi="Arial"/>
          <w:sz w:val="17"/>
          <w:szCs w:val="17"/>
          <w:color w:val="auto"/>
        </w:rPr>
        <w:t>The Company has concluded that certain research, clinical development and regulatory milestones that may be received under the Merck Collaboration Agreement, if the Company is involved in future product research, development and commercialization, are substantive. Factors considered in the evaluation of the milestones included the degree of risk associated with performance of the milestone, the level of effort and investment required, whether the milestone consideration was reasonable relative to the deliverables, whether there are substantive uncertainties at the date the arrangement was entered into that the milestone will be achieved, whether the products and services are priced at a significant and incremental discount, whether the consideration relates solely to past performance and whether the milestone was earned at least in part based on the Company’s performance. Revenues from substantive milestones, if they are non-refundable, are recognized as revenue upon successful accomplishment of the milestones. Research, clinical and regulatory milestones are deemed non-substantive if they are based solely on the collaborator’s performance. Non-substantive milestones will be recognized when achieved to the extent the Company has no remaining performance obligations under the arrangement. Milestone payments earned upon achievement of commercial milestone events will be recognized when earned. In November 2018, Merck exercised its option to license NGM313 and, in December 2018, paid the Company $20.0 million.</w:t>
      </w:r>
    </w:p>
    <w:p>
      <w:pPr>
        <w:spacing w:after="0" w:line="13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060"/>
          </w:cols>
          <w:pgMar w:left="240" w:top="449" w:right="599" w:bottom="1440" w:gutter="0" w:footer="0" w:header="0"/>
        </w:sectPr>
      </w:pPr>
    </w:p>
    <w:bookmarkStart w:id="239" w:name="page240"/>
    <w:bookmarkEnd w:id="2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5"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6. Related Party Transactions</w:t>
      </w:r>
    </w:p>
    <w:p>
      <w:pPr>
        <w:spacing w:after="0" w:line="128"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Revenues from related parties refer to the collaboration agreement with Merck. The Company recognized related party revenue of $77.1 million and $108.7 million for the years ended December 31, 2017 and 2018, respectively. As of December 31, 2017, the Company had deferred revenue from related party collaboration agreements of $44.1 million, comprised of $41.5 million of amortized upfront payments and $2.6 million relating to advance payments for research and development activities. As of December 31, 2018, the Company had deferred revenue from related party collaboration agreements of $23.0 million, comprised of $22.7 million of unamortized upfront payments and $0.3 million relating to advance payments for research and development activities.</w:t>
      </w:r>
    </w:p>
    <w:p>
      <w:pPr>
        <w:spacing w:after="0" w:line="278" w:lineRule="exact"/>
        <w:rPr>
          <w:sz w:val="20"/>
          <w:szCs w:val="20"/>
          <w:color w:val="auto"/>
        </w:rPr>
      </w:pPr>
    </w:p>
    <w:p>
      <w:pPr>
        <w:jc w:val="center"/>
        <w:ind w:left="380" w:right="7460" w:hanging="9"/>
        <w:spacing w:after="0" w:line="383" w:lineRule="auto"/>
        <w:tabs>
          <w:tab w:leader="none" w:pos="574" w:val="left"/>
        </w:tabs>
        <w:numPr>
          <w:ilvl w:val="0"/>
          <w:numId w:val="10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Operating Lease and Lease Guarantee</w:t>
      </w:r>
    </w:p>
    <w:p>
      <w:pPr>
        <w:ind w:left="380" w:right="640" w:firstLine="534"/>
        <w:spacing w:after="0" w:line="241" w:lineRule="auto"/>
        <w:rPr>
          <w:sz w:val="20"/>
          <w:szCs w:val="20"/>
          <w:color w:val="auto"/>
        </w:rPr>
      </w:pPr>
      <w:r>
        <w:rPr>
          <w:rFonts w:ascii="Arial" w:cs="Arial" w:eastAsia="Arial" w:hAnsi="Arial"/>
          <w:sz w:val="17"/>
          <w:szCs w:val="17"/>
          <w:color w:val="auto"/>
        </w:rPr>
        <w:t>In September 2009, the Company entered into an operating lease for a corporate office space and laboratory facility at 630 Gateway Blvd, in South San Francisco, California (630 Gateway) for approximately 50,000 square feet, as amended in June 2014</w:t>
      </w:r>
    </w:p>
    <w:p>
      <w:pPr>
        <w:ind w:left="380"/>
        <w:spacing w:after="0" w:line="250" w:lineRule="auto"/>
        <w:rPr>
          <w:sz w:val="20"/>
          <w:szCs w:val="20"/>
          <w:color w:val="auto"/>
        </w:rPr>
      </w:pPr>
      <w:r>
        <w:rPr>
          <w:rFonts w:ascii="Arial" w:cs="Arial" w:eastAsia="Arial" w:hAnsi="Arial"/>
          <w:sz w:val="17"/>
          <w:szCs w:val="17"/>
          <w:color w:val="auto"/>
        </w:rPr>
        <w:t>(2014 Lease Amendment), which expires in November 2020. The 2014 Lease Amendment provided for tenant improvement allowances of $0.8 million. The 2014 Lease Amendment contains scheduled rent increases over the lease term and has an option for the Company to extend the lease for an additional three-year term.</w:t>
      </w:r>
    </w:p>
    <w:p>
      <w:pPr>
        <w:spacing w:after="0" w:line="188" w:lineRule="exact"/>
        <w:rPr>
          <w:sz w:val="20"/>
          <w:szCs w:val="20"/>
          <w:color w:val="auto"/>
        </w:rPr>
      </w:pPr>
    </w:p>
    <w:p>
      <w:pPr>
        <w:ind w:left="380" w:right="60" w:firstLine="534"/>
        <w:spacing w:after="0" w:line="258" w:lineRule="auto"/>
        <w:rPr>
          <w:sz w:val="20"/>
          <w:szCs w:val="20"/>
          <w:color w:val="auto"/>
        </w:rPr>
      </w:pPr>
      <w:r>
        <w:rPr>
          <w:rFonts w:ascii="Arial" w:cs="Arial" w:eastAsia="Arial" w:hAnsi="Arial"/>
          <w:sz w:val="17"/>
          <w:szCs w:val="17"/>
          <w:color w:val="auto"/>
        </w:rPr>
        <w:t>In June 2015, the Company entered into an operating lease for additional office space for its corporate office at 600 Gateway Blvd, in South San Francisco, California (600 Gateway) for approximately 7,900 square feet that expired in November 2016.</w:t>
      </w:r>
    </w:p>
    <w:p>
      <w:pPr>
        <w:spacing w:after="0" w:line="182" w:lineRule="exact"/>
        <w:rPr>
          <w:sz w:val="20"/>
          <w:szCs w:val="20"/>
          <w:color w:val="auto"/>
        </w:rPr>
      </w:pPr>
    </w:p>
    <w:p>
      <w:pPr>
        <w:ind w:left="380" w:right="180" w:firstLine="534"/>
        <w:spacing w:after="0" w:line="247" w:lineRule="auto"/>
        <w:rPr>
          <w:sz w:val="20"/>
          <w:szCs w:val="20"/>
          <w:color w:val="auto"/>
        </w:rPr>
      </w:pPr>
      <w:r>
        <w:rPr>
          <w:rFonts w:ascii="Arial" w:cs="Arial" w:eastAsia="Arial" w:hAnsi="Arial"/>
          <w:sz w:val="17"/>
          <w:szCs w:val="17"/>
          <w:color w:val="auto"/>
        </w:rPr>
        <w:t>In December 2015, the Company entered into a new operating lease for its corporate office space and laboratory facility at 333 Oyster Point Blvd, South San Francisco, California (333 Oyster Point) for approximately 122,000 square feet that expires in December 2023. The lease provided a tenant improvement allowance of $15.2 million that the Company used in 2016 towards $22.3 million in total leasehold improvements that are amortized over the lease term of seven years.</w:t>
      </w:r>
    </w:p>
    <w:p>
      <w:pPr>
        <w:spacing w:after="0" w:line="190" w:lineRule="exact"/>
        <w:rPr>
          <w:sz w:val="20"/>
          <w:szCs w:val="20"/>
          <w:color w:val="auto"/>
        </w:rPr>
      </w:pPr>
    </w:p>
    <w:p>
      <w:pPr>
        <w:ind w:left="380" w:right="80" w:firstLine="534"/>
        <w:spacing w:after="0" w:line="250" w:lineRule="auto"/>
        <w:rPr>
          <w:sz w:val="20"/>
          <w:szCs w:val="20"/>
          <w:color w:val="auto"/>
        </w:rPr>
      </w:pPr>
      <w:r>
        <w:rPr>
          <w:rFonts w:ascii="Arial" w:cs="Arial" w:eastAsia="Arial" w:hAnsi="Arial"/>
          <w:sz w:val="17"/>
          <w:szCs w:val="17"/>
          <w:color w:val="auto"/>
        </w:rPr>
        <w:t>The lease agreement requires a letter of credit in the amount of $2.3 million as a security deposit to the lease, which the Company has recorded as long-term restricted cash. The Company has the right to reduce the letter of credit amount by $0.4 million on each the 3rd anniversary and 4th anniversary of rent commencement date, respectively.</w:t>
      </w:r>
    </w:p>
    <w:p>
      <w:pPr>
        <w:spacing w:after="0" w:line="188" w:lineRule="exact"/>
        <w:rPr>
          <w:sz w:val="20"/>
          <w:szCs w:val="20"/>
          <w:color w:val="auto"/>
        </w:rPr>
      </w:pPr>
    </w:p>
    <w:p>
      <w:pPr>
        <w:ind w:left="380" w:right="140" w:firstLine="534"/>
        <w:spacing w:after="0" w:line="243" w:lineRule="auto"/>
        <w:rPr>
          <w:sz w:val="20"/>
          <w:szCs w:val="20"/>
          <w:color w:val="auto"/>
        </w:rPr>
      </w:pPr>
      <w:r>
        <w:rPr>
          <w:rFonts w:ascii="Arial" w:cs="Arial" w:eastAsia="Arial" w:hAnsi="Arial"/>
          <w:sz w:val="17"/>
          <w:szCs w:val="17"/>
          <w:color w:val="auto"/>
        </w:rPr>
        <w:t>In July 2016, the Company assigned its operating lease of 630 Gateway to Merck, as part of the Company’s relocation to 333 Oyster Point. As part of the assignment of the lease, the Company is liable to the lessor if Merck defaults on its lease obligations. Therefore, in substance, the Company has guaranteed the lease payments for 630 Gateway, including lease-related expenses such as utilities, property tax, and common area maintenance without any limitations. The Company assessed the need for a potential guarantee liability on the assigned lease, and concluded that the value of the guarantee was insignificant as of December 31, 2018 because of the short duration of the remaining lease term through November 2020, and Merck’s credit rating of AA/A1 and subsequent investment in tenant improvements to the facility. As of December 31, 2017 and 2018, the remaining lease payment obligations that are due for 630 Gateway were approximately $5.7 million and $3.9 million, respectively, of which are to be paid directly from Merck to the lessor in their entirety.</w:t>
      </w:r>
    </w:p>
    <w:p>
      <w:pPr>
        <w:spacing w:after="0" w:line="3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1020"/>
          </w:cols>
          <w:pgMar w:left="240" w:top="449" w:right="639" w:bottom="1440" w:gutter="0" w:footer="0" w:header="0"/>
        </w:sectPr>
      </w:pPr>
    </w:p>
    <w:bookmarkStart w:id="240" w:name="page241"/>
    <w:bookmarkEnd w:id="2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7" w:lineRule="exact"/>
        <w:rPr>
          <w:sz w:val="20"/>
          <w:szCs w:val="20"/>
          <w:color w:val="auto"/>
        </w:rPr>
      </w:pPr>
    </w:p>
    <w:p>
      <w:pPr>
        <w:ind w:left="380" w:right="100" w:firstLine="534"/>
        <w:spacing w:after="0" w:line="247" w:lineRule="auto"/>
        <w:rPr>
          <w:sz w:val="20"/>
          <w:szCs w:val="20"/>
          <w:color w:val="auto"/>
        </w:rPr>
      </w:pPr>
      <w:r>
        <w:rPr>
          <w:rFonts w:ascii="Arial" w:cs="Arial" w:eastAsia="Arial" w:hAnsi="Arial"/>
          <w:sz w:val="17"/>
          <w:szCs w:val="17"/>
          <w:color w:val="auto"/>
        </w:rPr>
        <w:t>The Company recognizes rent expense on a straight-line basis over the lease period with the difference recorded as deferred rent. In addition, tenant improvement allowances recorded are amortized as a reduction to rent expense on a straight-line basis over the lease term. Rent expense under these facility operating leases was approximately $2.2 million for the years ended December 31, 2017 and 2018, respectively.</w:t>
      </w:r>
    </w:p>
    <w:p>
      <w:pPr>
        <w:spacing w:after="0" w:line="190" w:lineRule="exact"/>
        <w:rPr>
          <w:sz w:val="20"/>
          <w:szCs w:val="20"/>
          <w:color w:val="auto"/>
        </w:rPr>
      </w:pPr>
    </w:p>
    <w:p>
      <w:pPr>
        <w:ind w:left="380" w:right="320" w:firstLine="534"/>
        <w:spacing w:after="0" w:line="258" w:lineRule="auto"/>
        <w:rPr>
          <w:sz w:val="20"/>
          <w:szCs w:val="20"/>
          <w:color w:val="auto"/>
        </w:rPr>
      </w:pPr>
      <w:r>
        <w:rPr>
          <w:rFonts w:ascii="Arial" w:cs="Arial" w:eastAsia="Arial" w:hAnsi="Arial"/>
          <w:sz w:val="17"/>
          <w:szCs w:val="17"/>
          <w:color w:val="auto"/>
        </w:rPr>
        <w:t>Future minimum payments under the unassigned lease obligations described above are as follows as of December 31, 2018 (in thousands):</w:t>
      </w:r>
    </w:p>
    <w:p>
      <w:pPr>
        <w:spacing w:after="0" w:line="198" w:lineRule="exact"/>
        <w:rPr>
          <w:sz w:val="20"/>
          <w:szCs w:val="20"/>
          <w:color w:val="auto"/>
        </w:rPr>
      </w:pPr>
    </w:p>
    <w:tbl>
      <w:tblPr>
        <w:tblLayout w:type="fixed"/>
        <w:tblInd w:w="380" w:type="dxa"/>
        <w:tblCellMar>
          <w:top w:w="0" w:type="dxa"/>
          <w:left w:w="0" w:type="dxa"/>
          <w:bottom w:w="0" w:type="dxa"/>
          <w:right w:w="0" w:type="dxa"/>
        </w:tblCellMar>
      </w:tblPr>
      <w:tr>
        <w:trPr>
          <w:trHeight w:val="169"/>
        </w:trPr>
        <w:tc>
          <w:tcPr>
            <w:tcW w:w="99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96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960" w:type="dxa"/>
            <w:vAlign w:val="bottom"/>
          </w:tcPr>
          <w:p>
            <w:pPr>
              <w:spacing w:after="0"/>
              <w:rPr>
                <w:sz w:val="20"/>
                <w:szCs w:val="20"/>
                <w:color w:val="auto"/>
              </w:rPr>
            </w:pPr>
            <w:r>
              <w:rPr>
                <w:rFonts w:ascii="Arial" w:cs="Arial" w:eastAsia="Arial" w:hAnsi="Arial"/>
                <w:sz w:val="17"/>
                <w:szCs w:val="17"/>
                <w:color w:val="auto"/>
              </w:rPr>
              <w:t>2020</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4,995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96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5,141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960" w:type="dxa"/>
            <w:vAlign w:val="bottom"/>
          </w:tcPr>
          <w:p>
            <w:pPr>
              <w:spacing w:after="0"/>
              <w:rPr>
                <w:sz w:val="20"/>
                <w:szCs w:val="20"/>
                <w:color w:val="auto"/>
              </w:rPr>
            </w:pPr>
            <w:r>
              <w:rPr>
                <w:rFonts w:ascii="Arial" w:cs="Arial" w:eastAsia="Arial" w:hAnsi="Arial"/>
                <w:sz w:val="17"/>
                <w:szCs w:val="17"/>
                <w:color w:val="auto"/>
              </w:rPr>
              <w:t>2022 and thereafter</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10,749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9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9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25,734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Indemnification</w:t>
      </w:r>
    </w:p>
    <w:p>
      <w:pPr>
        <w:spacing w:after="0" w:line="126" w:lineRule="exact"/>
        <w:rPr>
          <w:sz w:val="20"/>
          <w:szCs w:val="20"/>
          <w:color w:val="auto"/>
        </w:rPr>
      </w:pPr>
    </w:p>
    <w:p>
      <w:pPr>
        <w:ind w:left="380" w:right="120" w:firstLine="534"/>
        <w:spacing w:after="0" w:line="250" w:lineRule="auto"/>
        <w:rPr>
          <w:sz w:val="20"/>
          <w:szCs w:val="20"/>
          <w:color w:val="auto"/>
        </w:rPr>
      </w:pPr>
      <w:r>
        <w:rPr>
          <w:rFonts w:ascii="Arial" w:cs="Arial" w:eastAsia="Arial" w:hAnsi="Arial"/>
          <w:sz w:val="17"/>
          <w:szCs w:val="17"/>
          <w:color w:val="auto"/>
        </w:rPr>
        <w:t>In the normal course of business, the Company enters into contracts and agreements that contain a variety of representations and warranties and may provide for indemnification of the counterparty. The Company’s exposure under these agreements is unknown because it involves claims that may be made against it in the future, but have not yet been made.</w:t>
      </w:r>
    </w:p>
    <w:p>
      <w:pPr>
        <w:spacing w:after="0" w:line="188" w:lineRule="exact"/>
        <w:rPr>
          <w:sz w:val="20"/>
          <w:szCs w:val="20"/>
          <w:color w:val="auto"/>
        </w:rPr>
      </w:pPr>
    </w:p>
    <w:p>
      <w:pPr>
        <w:ind w:left="380" w:right="100" w:firstLine="534"/>
        <w:spacing w:after="0" w:line="245" w:lineRule="auto"/>
        <w:rPr>
          <w:sz w:val="20"/>
          <w:szCs w:val="20"/>
          <w:color w:val="auto"/>
        </w:rPr>
      </w:pPr>
      <w:r>
        <w:rPr>
          <w:rFonts w:ascii="Arial" w:cs="Arial" w:eastAsia="Arial" w:hAnsi="Arial"/>
          <w:sz w:val="17"/>
          <w:szCs w:val="17"/>
          <w:color w:val="auto"/>
        </w:rPr>
        <w:t>In accordance with the Company’s amended and restated certificate of incorporation and its amended and restated bylaws, the Company has indemnification obligations to its officers and directors, subject to some limits, with respect to their service in such capacities. The Company has also entered into indemnification agreements with its directors and certain of its officers. To date, the Company has not been subject to any claims, and it maintains director and officer insurance that may enable it to recover a portion of any amounts paid for future potential claims.</w:t>
      </w:r>
    </w:p>
    <w:p>
      <w:pPr>
        <w:spacing w:after="0" w:line="194" w:lineRule="exact"/>
        <w:rPr>
          <w:sz w:val="20"/>
          <w:szCs w:val="20"/>
          <w:color w:val="auto"/>
        </w:rPr>
      </w:pPr>
    </w:p>
    <w:p>
      <w:pPr>
        <w:ind w:left="380" w:right="20" w:firstLine="534"/>
        <w:spacing w:after="0" w:line="250" w:lineRule="auto"/>
        <w:rPr>
          <w:sz w:val="20"/>
          <w:szCs w:val="20"/>
          <w:color w:val="auto"/>
        </w:rPr>
      </w:pPr>
      <w:r>
        <w:rPr>
          <w:rFonts w:ascii="Arial" w:cs="Arial" w:eastAsia="Arial" w:hAnsi="Arial"/>
          <w:sz w:val="17"/>
          <w:szCs w:val="17"/>
          <w:color w:val="auto"/>
        </w:rPr>
        <w:t>The Company’s exposure under these agreements is unknown because it involves claims that may be made against it in the future, but have not yet been made. The Company believes that the fair value of these indemnification obligations is minimal and, accordingly, it has not recognized any liabilities relating to these obligations for any period presented.</w:t>
      </w:r>
    </w:p>
    <w:p>
      <w:pPr>
        <w:spacing w:after="0" w:line="271" w:lineRule="exact"/>
        <w:rPr>
          <w:sz w:val="20"/>
          <w:szCs w:val="20"/>
          <w:color w:val="auto"/>
        </w:rPr>
      </w:pPr>
    </w:p>
    <w:p>
      <w:pPr>
        <w:ind w:left="380" w:right="8180" w:hanging="9"/>
        <w:spacing w:after="0" w:line="383" w:lineRule="auto"/>
        <w:tabs>
          <w:tab w:leader="none" w:pos="574" w:val="left"/>
        </w:tabs>
        <w:numPr>
          <w:ilvl w:val="0"/>
          <w:numId w:val="10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Convertible Preferred Stock </w:t>
      </w:r>
      <w:r>
        <w:rPr>
          <w:rFonts w:ascii="Arial" w:cs="Arial" w:eastAsia="Arial" w:hAnsi="Arial"/>
          <w:sz w:val="17"/>
          <w:szCs w:val="17"/>
          <w:b w:val="1"/>
          <w:bCs w:val="1"/>
          <w:i w:val="1"/>
          <w:iCs w:val="1"/>
          <w:color w:val="auto"/>
        </w:rPr>
        <w:t>Convertible Preferred Stock</w:t>
      </w:r>
    </w:p>
    <w:p>
      <w:pPr>
        <w:ind w:left="380" w:right="120" w:firstLine="534"/>
        <w:spacing w:after="0" w:line="244" w:lineRule="auto"/>
        <w:rPr>
          <w:sz w:val="20"/>
          <w:szCs w:val="20"/>
          <w:color w:val="auto"/>
        </w:rPr>
      </w:pPr>
      <w:r>
        <w:rPr>
          <w:rFonts w:ascii="Arial" w:cs="Arial" w:eastAsia="Arial" w:hAnsi="Arial"/>
          <w:sz w:val="17"/>
          <w:szCs w:val="17"/>
          <w:color w:val="auto"/>
        </w:rPr>
        <w:t>The Company has elected to follow the SEC staff’s guidance (included in ASC 480-10-S99, SEC Materials) when evaluating the classification for its shares within the consolidated balance sheets. A liquidation, winding up, change in control, or sale of substantially all assets of the Company could constitute a redemption event. Although the majority of the Company’s preferred stock is not mandatorily or currently redeemable, a liquidation or winding up of the Company could constitute an event outside its control. Therefore, all shares of convertible preferred stock have been presented outside the permanent equity for all periods presented due to being contingently redeemable.</w:t>
      </w:r>
    </w:p>
    <w:p>
      <w:pPr>
        <w:spacing w:after="0" w:line="13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1060"/>
          </w:cols>
          <w:pgMar w:left="240" w:top="449" w:right="599" w:bottom="1440" w:gutter="0" w:footer="0" w:header="0"/>
        </w:sectPr>
      </w:pPr>
    </w:p>
    <w:bookmarkStart w:id="241" w:name="page242"/>
    <w:bookmarkEnd w:id="2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Convertible preferred stock at December 31, 2017 and 2018, consisted of the following (in thousands):</w:t>
      </w:r>
    </w:p>
    <w:p>
      <w:pPr>
        <w:spacing w:after="0" w:line="222"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3"/>
            <w:vMerge w:val="restart"/>
          </w:tcPr>
          <w:p>
            <w:pPr>
              <w:jc w:val="right"/>
              <w:ind w:right="1200"/>
              <w:spacing w:after="0"/>
              <w:rPr>
                <w:sz w:val="20"/>
                <w:szCs w:val="20"/>
                <w:color w:val="auto"/>
              </w:rPr>
            </w:pPr>
            <w:r>
              <w:rPr>
                <w:rFonts w:ascii="Arial" w:cs="Arial" w:eastAsia="Arial" w:hAnsi="Arial"/>
                <w:sz w:val="14"/>
                <w:szCs w:val="14"/>
                <w:b w:val="1"/>
                <w:bCs w:val="1"/>
                <w:color w:val="auto"/>
                <w:w w:val="98"/>
              </w:rPr>
              <w:t>Shares</w:t>
            </w:r>
          </w:p>
        </w:tc>
        <w:tc>
          <w:tcPr>
            <w:tcW w:w="10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6"/>
              </w:rPr>
              <w:t>Issuance</w:t>
            </w:r>
          </w:p>
        </w:tc>
        <w:tc>
          <w:tcPr>
            <w:tcW w:w="9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Aggregate</w:t>
            </w:r>
          </w:p>
        </w:tc>
        <w:tc>
          <w:tcPr>
            <w:tcW w:w="220" w:type="dxa"/>
            <w:vAlign w:val="bottom"/>
          </w:tcPr>
          <w:p>
            <w:pPr>
              <w:spacing w:after="0"/>
              <w:rPr>
                <w:sz w:val="14"/>
                <w:szCs w:val="14"/>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77"/>
        </w:trPr>
        <w:tc>
          <w:tcPr>
            <w:tcW w:w="5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80" w:type="dxa"/>
            <w:vAlign w:val="bottom"/>
            <w:gridSpan w:val="3"/>
            <w:vMerge w:val="continue"/>
          </w:tcPr>
          <w:p>
            <w:pPr>
              <w:spacing w:after="0"/>
              <w:rPr>
                <w:sz w:val="6"/>
                <w:szCs w:val="6"/>
                <w:color w:val="auto"/>
              </w:rPr>
            </w:pPr>
          </w:p>
        </w:tc>
        <w:tc>
          <w:tcPr>
            <w:tcW w:w="1060" w:type="dxa"/>
            <w:vAlign w:val="bottom"/>
            <w:gridSpan w:val="3"/>
            <w:vMerge w:val="restart"/>
          </w:tcPr>
          <w:p>
            <w:pPr>
              <w:jc w:val="right"/>
              <w:ind w:right="460"/>
              <w:spacing w:after="0" w:line="157" w:lineRule="exact"/>
              <w:rPr>
                <w:sz w:val="20"/>
                <w:szCs w:val="20"/>
                <w:color w:val="auto"/>
              </w:rPr>
            </w:pPr>
            <w:r>
              <w:rPr>
                <w:rFonts w:ascii="Arial" w:cs="Arial" w:eastAsia="Arial" w:hAnsi="Arial"/>
                <w:sz w:val="14"/>
                <w:szCs w:val="14"/>
                <w:b w:val="1"/>
                <w:bCs w:val="1"/>
                <w:color w:val="auto"/>
                <w:w w:val="96"/>
              </w:rPr>
              <w:t>Price per</w:t>
            </w:r>
          </w:p>
        </w:tc>
        <w:tc>
          <w:tcPr>
            <w:tcW w:w="980" w:type="dxa"/>
            <w:vAlign w:val="bottom"/>
            <w:gridSpan w:val="3"/>
            <w:vMerge w:val="restart"/>
          </w:tcPr>
          <w:p>
            <w:pPr>
              <w:spacing w:after="0" w:line="157" w:lineRule="exact"/>
              <w:rPr>
                <w:sz w:val="20"/>
                <w:szCs w:val="20"/>
                <w:color w:val="auto"/>
              </w:rPr>
            </w:pPr>
            <w:r>
              <w:rPr>
                <w:rFonts w:ascii="Arial" w:cs="Arial" w:eastAsia="Arial" w:hAnsi="Arial"/>
                <w:sz w:val="14"/>
                <w:szCs w:val="14"/>
                <w:b w:val="1"/>
                <w:bCs w:val="1"/>
                <w:color w:val="auto"/>
              </w:rPr>
              <w:t>Liquidation</w:t>
            </w:r>
          </w:p>
        </w:tc>
        <w:tc>
          <w:tcPr>
            <w:tcW w:w="220" w:type="dxa"/>
            <w:vAlign w:val="bottom"/>
          </w:tcPr>
          <w:p>
            <w:pPr>
              <w:spacing w:after="0"/>
              <w:rPr>
                <w:sz w:val="6"/>
                <w:szCs w:val="6"/>
                <w:color w:val="auto"/>
              </w:rPr>
            </w:pPr>
          </w:p>
        </w:tc>
        <w:tc>
          <w:tcPr>
            <w:tcW w:w="800" w:type="dxa"/>
            <w:vAlign w:val="bottom"/>
            <w:gridSpan w:val="3"/>
            <w:vMerge w:val="restart"/>
          </w:tcPr>
          <w:p>
            <w:pPr>
              <w:jc w:val="center"/>
              <w:ind w:right="60"/>
              <w:spacing w:after="0" w:line="157"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60"/>
        </w:trPr>
        <w:tc>
          <w:tcPr>
            <w:tcW w:w="518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Authorized</w:t>
            </w:r>
          </w:p>
        </w:tc>
        <w:tc>
          <w:tcPr>
            <w:tcW w:w="42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Outstanding</w:t>
            </w:r>
          </w:p>
        </w:tc>
        <w:tc>
          <w:tcPr>
            <w:tcW w:w="100" w:type="dxa"/>
            <w:vAlign w:val="bottom"/>
          </w:tcPr>
          <w:p>
            <w:pPr>
              <w:spacing w:after="0"/>
              <w:rPr>
                <w:sz w:val="14"/>
                <w:szCs w:val="14"/>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7"/>
              </w:rPr>
              <w:t>Share</w:t>
            </w:r>
          </w:p>
        </w:tc>
        <w:tc>
          <w:tcPr>
            <w:tcW w:w="1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0"/>
        </w:trPr>
        <w:tc>
          <w:tcPr>
            <w:tcW w:w="51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Series A</w:t>
            </w:r>
          </w:p>
        </w:tc>
        <w:tc>
          <w:tcPr>
            <w:tcW w:w="7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13,295</w:t>
            </w:r>
          </w:p>
        </w:tc>
        <w:tc>
          <w:tcPr>
            <w:tcW w:w="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13,275</w:t>
            </w: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2.00</w:t>
            </w: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26,550</w:t>
            </w: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26,462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80" w:type="dxa"/>
            <w:vAlign w:val="bottom"/>
          </w:tcPr>
          <w:p>
            <w:pPr>
              <w:spacing w:after="0"/>
              <w:rPr>
                <w:sz w:val="20"/>
                <w:szCs w:val="20"/>
                <w:color w:val="auto"/>
              </w:rPr>
            </w:pPr>
            <w:r>
              <w:rPr>
                <w:rFonts w:ascii="Arial" w:cs="Arial" w:eastAsia="Arial" w:hAnsi="Arial"/>
                <w:sz w:val="17"/>
                <w:szCs w:val="17"/>
                <w:color w:val="auto"/>
              </w:rPr>
              <w:t>Series B</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11,078</w:t>
            </w:r>
          </w:p>
        </w:tc>
        <w:tc>
          <w:tcPr>
            <w:tcW w:w="1680" w:type="dxa"/>
            <w:vAlign w:val="bottom"/>
            <w:gridSpan w:val="3"/>
          </w:tcPr>
          <w:p>
            <w:pPr>
              <w:jc w:val="right"/>
              <w:ind w:right="440"/>
              <w:spacing w:after="0"/>
              <w:rPr>
                <w:sz w:val="20"/>
                <w:szCs w:val="20"/>
                <w:color w:val="auto"/>
              </w:rPr>
            </w:pPr>
            <w:r>
              <w:rPr>
                <w:rFonts w:ascii="Arial" w:cs="Arial" w:eastAsia="Arial" w:hAnsi="Arial"/>
                <w:sz w:val="17"/>
                <w:szCs w:val="17"/>
                <w:color w:val="auto"/>
              </w:rPr>
              <w:t>11,078</w:t>
            </w:r>
          </w:p>
        </w:tc>
        <w:tc>
          <w:tcPr>
            <w:tcW w:w="100" w:type="dxa"/>
            <w:vAlign w:val="bottom"/>
          </w:tcPr>
          <w:p>
            <w:pPr>
              <w:spacing w:after="0"/>
              <w:rPr>
                <w:sz w:val="17"/>
                <w:szCs w:val="17"/>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7"/>
                <w:szCs w:val="17"/>
                <w:color w:val="auto"/>
              </w:rPr>
              <w:t>5.00</w:t>
            </w: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55,389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55,148</w:t>
            </w:r>
          </w:p>
        </w:tc>
        <w:tc>
          <w:tcPr>
            <w:tcW w:w="0" w:type="dxa"/>
            <w:vAlign w:val="bottom"/>
          </w:tcPr>
          <w:p>
            <w:pPr>
              <w:spacing w:after="0"/>
              <w:rPr>
                <w:sz w:val="1"/>
                <w:szCs w:val="1"/>
                <w:color w:val="auto"/>
              </w:rPr>
            </w:pPr>
          </w:p>
        </w:tc>
      </w:tr>
      <w:tr>
        <w:trPr>
          <w:trHeight w:val="196"/>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Series C</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8,328</w:t>
            </w:r>
          </w:p>
        </w:tc>
        <w:tc>
          <w:tcPr>
            <w:tcW w:w="168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8,328</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6.00</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49,970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49,887</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20"/>
                <w:szCs w:val="20"/>
                <w:color w:val="auto"/>
              </w:rPr>
            </w:pPr>
            <w:r>
              <w:rPr>
                <w:rFonts w:ascii="Arial" w:cs="Arial" w:eastAsia="Arial" w:hAnsi="Arial"/>
                <w:sz w:val="17"/>
                <w:szCs w:val="17"/>
                <w:color w:val="auto"/>
              </w:rPr>
              <w:t>Series D</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6,600</w:t>
            </w:r>
          </w:p>
        </w:tc>
        <w:tc>
          <w:tcPr>
            <w:tcW w:w="1680" w:type="dxa"/>
            <w:vAlign w:val="bottom"/>
            <w:gridSpan w:val="3"/>
          </w:tcPr>
          <w:p>
            <w:pPr>
              <w:jc w:val="right"/>
              <w:ind w:right="440"/>
              <w:spacing w:after="0"/>
              <w:rPr>
                <w:sz w:val="20"/>
                <w:szCs w:val="20"/>
                <w:color w:val="auto"/>
              </w:rPr>
            </w:pPr>
            <w:r>
              <w:rPr>
                <w:rFonts w:ascii="Arial" w:cs="Arial" w:eastAsia="Arial" w:hAnsi="Arial"/>
                <w:sz w:val="17"/>
                <w:szCs w:val="17"/>
                <w:color w:val="auto"/>
              </w:rPr>
              <w:t>5,753</w:t>
            </w:r>
          </w:p>
        </w:tc>
        <w:tc>
          <w:tcPr>
            <w:tcW w:w="100" w:type="dxa"/>
            <w:vAlign w:val="bottom"/>
          </w:tcPr>
          <w:p>
            <w:pPr>
              <w:spacing w:after="0"/>
              <w:rPr>
                <w:sz w:val="17"/>
                <w:szCs w:val="17"/>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57,530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57,461</w:t>
            </w:r>
          </w:p>
        </w:tc>
        <w:tc>
          <w:tcPr>
            <w:tcW w:w="0" w:type="dxa"/>
            <w:vAlign w:val="bottom"/>
          </w:tcPr>
          <w:p>
            <w:pPr>
              <w:spacing w:after="0"/>
              <w:rPr>
                <w:sz w:val="1"/>
                <w:szCs w:val="1"/>
                <w:color w:val="auto"/>
              </w:rPr>
            </w:pPr>
          </w:p>
        </w:tc>
      </w:tr>
      <w:tr>
        <w:trPr>
          <w:trHeight w:val="196"/>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Series E</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8,833</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8,833</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12.00</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88,335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105,916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48,134</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7"/>
                <w:szCs w:val="17"/>
                <w:color w:val="auto"/>
              </w:rPr>
              <w:t>47,267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277,774</w:t>
            </w:r>
          </w:p>
        </w:tc>
        <w:tc>
          <w:tcPr>
            <w:tcW w:w="22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294,874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Amended and Restated Certificate of Incorporation</w:t>
      </w:r>
    </w:p>
    <w:p>
      <w:pPr>
        <w:spacing w:after="0" w:line="126" w:lineRule="exact"/>
        <w:rPr>
          <w:sz w:val="20"/>
          <w:szCs w:val="20"/>
          <w:color w:val="auto"/>
        </w:rPr>
      </w:pPr>
    </w:p>
    <w:p>
      <w:pPr>
        <w:ind w:left="380" w:right="160" w:firstLine="534"/>
        <w:spacing w:after="0" w:line="250" w:lineRule="auto"/>
        <w:rPr>
          <w:sz w:val="20"/>
          <w:szCs w:val="20"/>
          <w:color w:val="auto"/>
        </w:rPr>
      </w:pPr>
      <w:r>
        <w:rPr>
          <w:rFonts w:ascii="Arial" w:cs="Arial" w:eastAsia="Arial" w:hAnsi="Arial"/>
          <w:sz w:val="17"/>
          <w:szCs w:val="17"/>
          <w:color w:val="auto"/>
        </w:rPr>
        <w:t>In March 2015, the Company amended and restated its certificate of incorporation in conjunction with the Series E convertible preferred stock offering. The significant rights and obligations of the Company’s convertible preferred stock as of December 31, 2017 are as follows:</w:t>
      </w:r>
    </w:p>
    <w:p>
      <w:pPr>
        <w:spacing w:after="0" w:line="168" w:lineRule="exact"/>
        <w:rPr>
          <w:sz w:val="20"/>
          <w:szCs w:val="20"/>
          <w:color w:val="auto"/>
        </w:rPr>
      </w:pPr>
    </w:p>
    <w:p>
      <w:pPr>
        <w:jc w:val="both"/>
        <w:ind w:left="380" w:right="400" w:firstLine="534"/>
        <w:spacing w:after="0" w:line="255" w:lineRule="auto"/>
        <w:rPr>
          <w:sz w:val="20"/>
          <w:szCs w:val="20"/>
          <w:color w:val="auto"/>
        </w:rPr>
      </w:pPr>
      <w:r>
        <w:rPr>
          <w:rFonts w:ascii="Arial" w:cs="Arial" w:eastAsia="Arial" w:hAnsi="Arial"/>
          <w:sz w:val="17"/>
          <w:szCs w:val="17"/>
          <w:b w:val="1"/>
          <w:bCs w:val="1"/>
          <w:i w:val="1"/>
          <w:iCs w:val="1"/>
          <w:color w:val="auto"/>
        </w:rPr>
        <w:t>Voting Rights</w:t>
      </w:r>
      <w:r>
        <w:rPr>
          <w:rFonts w:ascii="Arial" w:cs="Arial" w:eastAsia="Arial" w:hAnsi="Arial"/>
          <w:sz w:val="17"/>
          <w:szCs w:val="17"/>
          <w:color w:val="auto"/>
        </w:rPr>
        <w:t>: Each holder of convertible preferred stock is entitled to the number of votes equal to the number of shares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into which such shares of convertible preferred stock are convertible. In the event the preferred stockholders control a majority of the Board of Directors through direct representation on the Board of Directors or through other rights, the stockholders can approve redemption of the preferred stock.</w:t>
      </w:r>
    </w:p>
    <w:p>
      <w:pPr>
        <w:spacing w:after="0" w:line="164" w:lineRule="exact"/>
        <w:rPr>
          <w:sz w:val="20"/>
          <w:szCs w:val="20"/>
          <w:color w:val="auto"/>
        </w:rPr>
      </w:pPr>
    </w:p>
    <w:p>
      <w:pPr>
        <w:jc w:val="both"/>
        <w:ind w:left="380" w:right="20" w:firstLine="534"/>
        <w:spacing w:after="0" w:line="262" w:lineRule="auto"/>
        <w:rPr>
          <w:sz w:val="20"/>
          <w:szCs w:val="20"/>
          <w:color w:val="auto"/>
        </w:rPr>
      </w:pPr>
      <w:r>
        <w:rPr>
          <w:rFonts w:ascii="Arial" w:cs="Arial" w:eastAsia="Arial" w:hAnsi="Arial"/>
          <w:sz w:val="17"/>
          <w:szCs w:val="17"/>
          <w:b w:val="1"/>
          <w:bCs w:val="1"/>
          <w:i w:val="1"/>
          <w:iCs w:val="1"/>
          <w:color w:val="auto"/>
        </w:rPr>
        <w:t>Dividends</w:t>
      </w:r>
      <w:r>
        <w:rPr>
          <w:rFonts w:ascii="Arial" w:cs="Arial" w:eastAsia="Arial" w:hAnsi="Arial"/>
          <w:sz w:val="17"/>
          <w:szCs w:val="17"/>
          <w:color w:val="auto"/>
        </w:rPr>
        <w:t>: Each holder of convertible preferred stock is entitled to receive non-cumulative dividends at the rate of 8% per annum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each share of convertible preferred stock outstanding, when, as and if declared by the Board of Directors. These dividends are payable in preference to common stock dividends. To date, the Company has not declared or paid any dividends.</w:t>
      </w:r>
    </w:p>
    <w:p>
      <w:pPr>
        <w:spacing w:after="0" w:line="159" w:lineRule="exact"/>
        <w:rPr>
          <w:sz w:val="20"/>
          <w:szCs w:val="20"/>
          <w:color w:val="auto"/>
        </w:rPr>
      </w:pPr>
    </w:p>
    <w:p>
      <w:pPr>
        <w:ind w:left="380" w:right="80" w:firstLine="534"/>
        <w:spacing w:after="0" w:line="245" w:lineRule="auto"/>
        <w:rPr>
          <w:sz w:val="20"/>
          <w:szCs w:val="20"/>
          <w:color w:val="auto"/>
        </w:rPr>
      </w:pPr>
      <w:r>
        <w:rPr>
          <w:rFonts w:ascii="Arial" w:cs="Arial" w:eastAsia="Arial" w:hAnsi="Arial"/>
          <w:sz w:val="17"/>
          <w:szCs w:val="17"/>
          <w:b w:val="1"/>
          <w:bCs w:val="1"/>
          <w:i w:val="1"/>
          <w:iCs w:val="1"/>
          <w:color w:val="auto"/>
        </w:rPr>
        <w:t xml:space="preserve">Liquidation: </w:t>
      </w:r>
      <w:r>
        <w:rPr>
          <w:rFonts w:ascii="Arial" w:cs="Arial" w:eastAsia="Arial" w:hAnsi="Arial"/>
          <w:sz w:val="17"/>
          <w:szCs w:val="17"/>
          <w:color w:val="auto"/>
        </w:rPr>
        <w:t>In the event of any liquidation, dissolution or winding-up of the Company, each holder of convertible preferred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entitled to receive payment out of the assets of the Company legally available for distribution for each share of convertible preferred stock held by the holder of an amount per share of preferred stock equal to the original issue price plus all declared and unpaid dividends on the convertible preferred stock, with the exception that the holder of the Series E convertible preferred stock will only be eligible to receive an amount equal to $10.00 per share plus all declared and unpaid dividends on the convertible preferred stock. In the event that the available funds and assets are insufficient for full payment to the holders of convertible preferred stock on a per-share basis as outlined above, the entire assets and funds of the Company legally available for distribution shall be distributed ratably among the holders of convertible preferred stock in proportion to the full amount to which they would otherwise be respectively entitled. Upon completion of the distribution of assets as set forth above, all of the remaining assets, if any, shall be distributed ratably among the holders of common stock.</w:t>
      </w:r>
    </w:p>
    <w:p>
      <w:pPr>
        <w:spacing w:after="0" w:line="378" w:lineRule="exact"/>
        <w:rPr>
          <w:sz w:val="20"/>
          <w:szCs w:val="20"/>
          <w:color w:val="auto"/>
        </w:rPr>
      </w:pPr>
    </w:p>
    <w:p>
      <w:pPr>
        <w:ind w:left="380" w:right="140" w:firstLine="534"/>
        <w:spacing w:after="0" w:line="262" w:lineRule="auto"/>
        <w:rPr>
          <w:sz w:val="20"/>
          <w:szCs w:val="20"/>
          <w:color w:val="auto"/>
        </w:rPr>
      </w:pPr>
      <w:r>
        <w:rPr>
          <w:rFonts w:ascii="Arial" w:cs="Arial" w:eastAsia="Arial" w:hAnsi="Arial"/>
          <w:sz w:val="17"/>
          <w:szCs w:val="17"/>
          <w:b w:val="1"/>
          <w:bCs w:val="1"/>
          <w:i w:val="1"/>
          <w:iCs w:val="1"/>
          <w:color w:val="auto"/>
        </w:rPr>
        <w:t xml:space="preserve">Conversion: </w:t>
      </w:r>
      <w:r>
        <w:rPr>
          <w:rFonts w:ascii="Arial" w:cs="Arial" w:eastAsia="Arial" w:hAnsi="Arial"/>
          <w:sz w:val="17"/>
          <w:szCs w:val="17"/>
          <w:color w:val="auto"/>
        </w:rPr>
        <w:t>Each share of convertible preferred stock is convertible at the option of the holder into the number of fully paid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non-assessable shares of common stock that result from dividing the original issue price by the conversion price of the convertible preferred stock. The conversion ratio for each series of convertible preferred stock is 1:1.</w:t>
      </w:r>
    </w:p>
    <w:p>
      <w:pPr>
        <w:spacing w:after="0" w:line="11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1060"/>
          </w:cols>
          <w:pgMar w:left="240" w:top="449" w:right="599" w:bottom="1440" w:gutter="0" w:footer="0" w:header="0"/>
        </w:sectPr>
      </w:pPr>
    </w:p>
    <w:bookmarkStart w:id="242" w:name="page243"/>
    <w:bookmarkEnd w:id="2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7" w:lineRule="exact"/>
        <w:rPr>
          <w:sz w:val="20"/>
          <w:szCs w:val="20"/>
          <w:color w:val="auto"/>
        </w:rPr>
      </w:pPr>
    </w:p>
    <w:p>
      <w:pPr>
        <w:jc w:val="both"/>
        <w:ind w:left="380" w:right="260" w:firstLine="534"/>
        <w:spacing w:after="0" w:line="250" w:lineRule="auto"/>
        <w:rPr>
          <w:sz w:val="20"/>
          <w:szCs w:val="20"/>
          <w:color w:val="auto"/>
        </w:rPr>
      </w:pPr>
      <w:r>
        <w:rPr>
          <w:rFonts w:ascii="Arial" w:cs="Arial" w:eastAsia="Arial" w:hAnsi="Arial"/>
          <w:sz w:val="17"/>
          <w:szCs w:val="17"/>
          <w:color w:val="auto"/>
        </w:rPr>
        <w:t>Conversion of each series of convertible preferred stock into common stock is automatic upon the earlier of: (a) the closing of an initial public offering of the Company’s common stock, registered under the Securities Act of 1933, which results in aggregate proceeds equal to or exceeding $30.0 million to the Company; or (b) at any time upon the affirmative election of the holders.</w:t>
      </w:r>
    </w:p>
    <w:p>
      <w:pPr>
        <w:spacing w:after="0" w:line="27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9. Convertible Preferred Stock Warrant</w:t>
      </w:r>
    </w:p>
    <w:p>
      <w:pPr>
        <w:spacing w:after="0" w:line="128"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During 2009, the Company entered into a $ 1.7 million loan and security agreement with one lender. On June 29, 2010, the Company paid off the loan. In conjunction with the debt facility, the Company issued to the lender a warrant to acquire a total of 19,637 shares of Series A convertible preferred stock exercisable at $2.00 per share and that automatically net exercises to Series A preferred stock on February 3, 2019. The warrant was valued at approximately $1.44 per share, as calculated using the Black-Scholes option-pricing model using a Series A preferred stock estimated fair value of $2.00 per share, a volatility of 60%, a risk-free interest rate of 3.59%, an expected life of ten years and no dividends. The estimated warrant fair value was initially calculated as approximately $28,000 and was recorded as a discount to the debt. At each subsequent reporting date, the estimated fair value of the warrant is remeasured (Note 3) to adjust the liability for changes in fair value until the earlier of the exercise or expiration of the warrants, or the completion of a deemed liquidation event. At that time, the convertible preferred stock warrant liability will be reclassified to convertible preferred stock or additional paid-in-capital, as applicable.</w:t>
      </w:r>
    </w:p>
    <w:p>
      <w:pPr>
        <w:spacing w:after="0" w:line="200" w:lineRule="exact"/>
        <w:rPr>
          <w:sz w:val="20"/>
          <w:szCs w:val="20"/>
          <w:color w:val="auto"/>
        </w:rPr>
      </w:pPr>
    </w:p>
    <w:p>
      <w:pPr>
        <w:spacing w:after="0" w:line="275" w:lineRule="exact"/>
        <w:rPr>
          <w:sz w:val="20"/>
          <w:szCs w:val="20"/>
          <w:color w:val="auto"/>
        </w:rPr>
      </w:pPr>
    </w:p>
    <w:p>
      <w:pPr>
        <w:ind w:left="380" w:right="8660" w:hanging="9"/>
        <w:spacing w:after="0" w:line="383" w:lineRule="auto"/>
        <w:tabs>
          <w:tab w:leader="none" w:pos="671" w:val="left"/>
        </w:tabs>
        <w:numPr>
          <w:ilvl w:val="0"/>
          <w:numId w:val="10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Deficit </w:t>
      </w:r>
      <w:r>
        <w:rPr>
          <w:rFonts w:ascii="Arial" w:cs="Arial" w:eastAsia="Arial" w:hAnsi="Arial"/>
          <w:sz w:val="17"/>
          <w:szCs w:val="17"/>
          <w:b w:val="1"/>
          <w:bCs w:val="1"/>
          <w:i w:val="1"/>
          <w:iCs w:val="1"/>
          <w:color w:val="auto"/>
        </w:rPr>
        <w:t>Common Stock</w:t>
      </w:r>
    </w:p>
    <w:p>
      <w:pPr>
        <w:ind w:left="380" w:right="100" w:firstLine="534"/>
        <w:spacing w:after="0" w:line="247" w:lineRule="auto"/>
        <w:rPr>
          <w:sz w:val="20"/>
          <w:szCs w:val="20"/>
          <w:color w:val="auto"/>
        </w:rPr>
      </w:pPr>
      <w:r>
        <w:rPr>
          <w:rFonts w:ascii="Arial" w:cs="Arial" w:eastAsia="Arial" w:hAnsi="Arial"/>
          <w:sz w:val="17"/>
          <w:szCs w:val="17"/>
          <w:color w:val="auto"/>
        </w:rPr>
        <w:t>As of December 31, 2017 and 2018, the Company had 6,218,806 and 6,937,890 shares of common stock outstanding, respectively, which includes shares subject to repurchase of 113,827 and 205,108, respectively, as a result of early exercise of stock options not yet vested. As of December 31, 2017 and 2018, the Company reserved shares of common stock, on an as-if-converted basis, for issuance as follows:</w:t>
      </w:r>
    </w:p>
    <w:p>
      <w:pPr>
        <w:spacing w:after="0" w:line="206" w:lineRule="exact"/>
        <w:rPr>
          <w:sz w:val="20"/>
          <w:szCs w:val="20"/>
          <w:color w:val="auto"/>
        </w:rPr>
      </w:pPr>
    </w:p>
    <w:tbl>
      <w:tblPr>
        <w:tblLayout w:type="fixed"/>
        <w:tblInd w:w="380" w:type="dxa"/>
        <w:tblCellMar>
          <w:top w:w="0" w:type="dxa"/>
          <w:left w:w="0" w:type="dxa"/>
          <w:bottom w:w="0" w:type="dxa"/>
          <w:right w:w="0" w:type="dxa"/>
        </w:tblCellMar>
      </w:tblPr>
      <w:tr>
        <w:trPr>
          <w:trHeight w:val="169"/>
        </w:trPr>
        <w:tc>
          <w:tcPr>
            <w:tcW w:w="8320" w:type="dxa"/>
            <w:vAlign w:val="bottom"/>
          </w:tcPr>
          <w:p>
            <w:pPr>
              <w:spacing w:after="0"/>
              <w:rPr>
                <w:sz w:val="14"/>
                <w:szCs w:val="14"/>
                <w:color w:val="auto"/>
              </w:rPr>
            </w:pPr>
          </w:p>
        </w:tc>
        <w:tc>
          <w:tcPr>
            <w:tcW w:w="2360" w:type="dxa"/>
            <w:vAlign w:val="bottom"/>
            <w:gridSpan w:val="4"/>
          </w:tcPr>
          <w:p>
            <w:pPr>
              <w:ind w:left="700"/>
              <w:spacing w:after="0"/>
              <w:rPr>
                <w:sz w:val="20"/>
                <w:szCs w:val="20"/>
                <w:color w:val="auto"/>
              </w:rPr>
            </w:pPr>
            <w:r>
              <w:rPr>
                <w:rFonts w:ascii="Arial" w:cs="Arial" w:eastAsia="Arial" w:hAnsi="Arial"/>
                <w:sz w:val="14"/>
                <w:szCs w:val="14"/>
                <w:b w:val="1"/>
                <w:bCs w:val="1"/>
                <w:color w:val="auto"/>
              </w:rPr>
              <w:t>December 31,</w:t>
            </w:r>
          </w:p>
        </w:tc>
      </w:tr>
      <w:tr>
        <w:trPr>
          <w:trHeight w:val="150"/>
        </w:trPr>
        <w:tc>
          <w:tcPr>
            <w:tcW w:w="8320" w:type="dxa"/>
            <w:vAlign w:val="bottom"/>
            <w:tcBorders>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57"/>
              <w:spacing w:after="0" w:line="150"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75"/>
              <w:spacing w:after="0" w:line="150"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r>
      <w:tr>
        <w:trPr>
          <w:trHeight w:val="190"/>
        </w:trPr>
        <w:tc>
          <w:tcPr>
            <w:tcW w:w="8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Conversion of convertible preferred stock</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47,267,466</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47,267,466</w:t>
            </w:r>
          </w:p>
        </w:tc>
        <w:tc>
          <w:tcPr>
            <w:tcW w:w="60" w:type="dxa"/>
            <w:vAlign w:val="bottom"/>
            <w:shd w:val="clear" w:color="auto" w:fill="CCEEFF"/>
          </w:tcPr>
          <w:p>
            <w:pPr>
              <w:spacing w:after="0"/>
              <w:rPr>
                <w:sz w:val="16"/>
                <w:szCs w:val="16"/>
                <w:color w:val="auto"/>
              </w:rPr>
            </w:pPr>
          </w:p>
        </w:tc>
      </w:tr>
      <w:tr>
        <w:trPr>
          <w:trHeight w:val="196"/>
        </w:trPr>
        <w:tc>
          <w:tcPr>
            <w:tcW w:w="8320" w:type="dxa"/>
            <w:vAlign w:val="bottom"/>
          </w:tcPr>
          <w:p>
            <w:pPr>
              <w:spacing w:after="0"/>
              <w:rPr>
                <w:sz w:val="20"/>
                <w:szCs w:val="20"/>
                <w:color w:val="auto"/>
              </w:rPr>
            </w:pPr>
            <w:r>
              <w:rPr>
                <w:rFonts w:ascii="Arial" w:cs="Arial" w:eastAsia="Arial" w:hAnsi="Arial"/>
                <w:sz w:val="17"/>
                <w:szCs w:val="17"/>
                <w:color w:val="auto"/>
              </w:rPr>
              <w:t>Common stock options outstanding</w:t>
            </w: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8,354,874</w:t>
            </w: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9,806,689</w:t>
            </w:r>
          </w:p>
        </w:tc>
      </w:tr>
      <w:tr>
        <w:trPr>
          <w:trHeight w:val="196"/>
        </w:trPr>
        <w:tc>
          <w:tcPr>
            <w:tcW w:w="8320" w:type="dxa"/>
            <w:vAlign w:val="bottom"/>
            <w:shd w:val="clear" w:color="auto" w:fill="CCEEFF"/>
          </w:tcPr>
          <w:p>
            <w:pPr>
              <w:spacing w:after="0"/>
              <w:rPr>
                <w:sz w:val="20"/>
                <w:szCs w:val="20"/>
                <w:color w:val="auto"/>
              </w:rPr>
            </w:pPr>
            <w:r>
              <w:rPr>
                <w:rFonts w:ascii="Arial" w:cs="Arial" w:eastAsia="Arial" w:hAnsi="Arial"/>
                <w:sz w:val="17"/>
                <w:szCs w:val="17"/>
                <w:color w:val="auto"/>
              </w:rPr>
              <w:t>Common stock options available for grant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612,604</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2,125,875</w:t>
            </w:r>
          </w:p>
        </w:tc>
      </w:tr>
      <w:tr>
        <w:trPr>
          <w:trHeight w:val="196"/>
        </w:trPr>
        <w:tc>
          <w:tcPr>
            <w:tcW w:w="8320" w:type="dxa"/>
            <w:vAlign w:val="bottom"/>
          </w:tcPr>
          <w:p>
            <w:pPr>
              <w:spacing w:after="0"/>
              <w:rPr>
                <w:sz w:val="20"/>
                <w:szCs w:val="20"/>
                <w:color w:val="auto"/>
              </w:rPr>
            </w:pPr>
            <w:r>
              <w:rPr>
                <w:rFonts w:ascii="Arial" w:cs="Arial" w:eastAsia="Arial" w:hAnsi="Arial"/>
                <w:sz w:val="17"/>
                <w:szCs w:val="17"/>
                <w:color w:val="auto"/>
              </w:rPr>
              <w:t>Warrant to purchase convertible preferred stock</w:t>
            </w: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19,637</w:t>
            </w: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19,637</w:t>
            </w:r>
          </w:p>
        </w:tc>
      </w:tr>
      <w:tr>
        <w:trPr>
          <w:trHeight w:val="196"/>
        </w:trPr>
        <w:tc>
          <w:tcPr>
            <w:tcW w:w="8320" w:type="dxa"/>
            <w:vAlign w:val="bottom"/>
            <w:shd w:val="clear" w:color="auto" w:fill="CCEEFF"/>
          </w:tcPr>
          <w:p>
            <w:pPr>
              <w:spacing w:after="0"/>
              <w:rPr>
                <w:sz w:val="20"/>
                <w:szCs w:val="20"/>
                <w:color w:val="auto"/>
              </w:rPr>
            </w:pPr>
            <w:r>
              <w:rPr>
                <w:rFonts w:ascii="Arial" w:cs="Arial" w:eastAsia="Arial" w:hAnsi="Arial"/>
                <w:sz w:val="17"/>
                <w:szCs w:val="17"/>
                <w:color w:val="auto"/>
              </w:rPr>
              <w:t>401(k) Matching Plan</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47,975</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36,751</w:t>
            </w:r>
          </w:p>
        </w:tc>
      </w:tr>
      <w:tr>
        <w:trPr>
          <w:trHeight w:val="203"/>
        </w:trPr>
        <w:tc>
          <w:tcPr>
            <w:tcW w:w="8320" w:type="dxa"/>
            <w:vAlign w:val="bottom"/>
          </w:tcPr>
          <w:p>
            <w:pPr>
              <w:spacing w:after="0"/>
              <w:rPr>
                <w:sz w:val="20"/>
                <w:szCs w:val="20"/>
                <w:color w:val="auto"/>
              </w:rPr>
            </w:pPr>
            <w:r>
              <w:rPr>
                <w:rFonts w:ascii="Arial" w:cs="Arial" w:eastAsia="Arial" w:hAnsi="Arial"/>
                <w:sz w:val="17"/>
                <w:szCs w:val="17"/>
                <w:color w:val="auto"/>
              </w:rPr>
              <w:t>Total</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56,302,556</w:t>
            </w:r>
          </w:p>
        </w:tc>
        <w:tc>
          <w:tcPr>
            <w:tcW w:w="26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59,256,418</w:t>
            </w:r>
          </w:p>
        </w:tc>
        <w:tc>
          <w:tcPr>
            <w:tcW w:w="60" w:type="dxa"/>
            <w:vAlign w:val="bottom"/>
          </w:tcPr>
          <w:p>
            <w:pPr>
              <w:spacing w:after="0"/>
              <w:rPr>
                <w:sz w:val="17"/>
                <w:szCs w:val="17"/>
                <w:color w:val="auto"/>
              </w:rPr>
            </w:pPr>
          </w:p>
        </w:tc>
      </w:tr>
      <w:tr>
        <w:trPr>
          <w:trHeight w:val="20"/>
        </w:trPr>
        <w:tc>
          <w:tcPr>
            <w:tcW w:w="8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Stock Option Plan</w:t>
      </w:r>
    </w:p>
    <w:p>
      <w:pPr>
        <w:spacing w:after="0" w:line="126" w:lineRule="exact"/>
        <w:rPr>
          <w:sz w:val="20"/>
          <w:szCs w:val="20"/>
          <w:color w:val="auto"/>
        </w:rPr>
      </w:pPr>
    </w:p>
    <w:p>
      <w:pPr>
        <w:ind w:left="380" w:right="20" w:firstLine="534"/>
        <w:spacing w:after="0" w:line="244" w:lineRule="auto"/>
        <w:rPr>
          <w:sz w:val="20"/>
          <w:szCs w:val="20"/>
          <w:color w:val="auto"/>
        </w:rPr>
      </w:pPr>
      <w:r>
        <w:rPr>
          <w:rFonts w:ascii="Arial" w:cs="Arial" w:eastAsia="Arial" w:hAnsi="Arial"/>
          <w:sz w:val="17"/>
          <w:szCs w:val="17"/>
          <w:color w:val="auto"/>
        </w:rPr>
        <w:t>In 2018, the Company adopted the 2018 Equity Incentive Plan (the 2018 Plan) for eligible employees, officers, directors, advisors and consultants, which provides for the grant of incentive and non-statutory stock options, restricted stock awards and stock appreciation rights. The terms of the stock option agreements, including vesting requirements, are determined by the Board of Directors, subject to the provisions of the 2018 Plan. Options granted by the Company generally vest within four years and are exercisable from the grant date until ten years after the date of grant. Vesting of certain employee options may be accelerated in the event of a change in control of the Company. As of</w:t>
      </w:r>
    </w:p>
    <w:p>
      <w:pPr>
        <w:spacing w:after="0" w:line="329"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F-31</w:t>
      </w:r>
    </w:p>
    <w:p>
      <w:pPr>
        <w:sectPr>
          <w:pgSz w:w="11900" w:h="16838" w:orient="portrait"/>
          <w:cols w:equalWidth="0" w:num="1">
            <w:col w:w="11060"/>
          </w:cols>
          <w:pgMar w:left="240" w:top="449" w:right="599" w:bottom="1440" w:gutter="0" w:footer="0" w:header="0"/>
        </w:sectPr>
      </w:pPr>
    </w:p>
    <w:bookmarkStart w:id="243" w:name="page244"/>
    <w:bookmarkEnd w:id="2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7" w:lineRule="exact"/>
        <w:rPr>
          <w:sz w:val="20"/>
          <w:szCs w:val="20"/>
          <w:color w:val="auto"/>
        </w:rPr>
      </w:pPr>
    </w:p>
    <w:p>
      <w:pPr>
        <w:ind w:left="380" w:right="160"/>
        <w:spacing w:after="0" w:line="258" w:lineRule="auto"/>
        <w:rPr>
          <w:sz w:val="20"/>
          <w:szCs w:val="20"/>
          <w:color w:val="auto"/>
        </w:rPr>
      </w:pPr>
      <w:r>
        <w:rPr>
          <w:rFonts w:ascii="Arial" w:cs="Arial" w:eastAsia="Arial" w:hAnsi="Arial"/>
          <w:sz w:val="17"/>
          <w:szCs w:val="17"/>
          <w:color w:val="auto"/>
        </w:rPr>
        <w:t>December 31, 2018, 12,681,305 shares of common stock have been authorized for issuance under the 2018 Plan. The Company’s 2008 Equity Incentive Plan (the 2008 Plan) expired at the beginning of 2018.</w:t>
      </w:r>
    </w:p>
    <w:p>
      <w:pPr>
        <w:spacing w:after="0" w:line="182" w:lineRule="exact"/>
        <w:rPr>
          <w:sz w:val="20"/>
          <w:szCs w:val="20"/>
          <w:color w:val="auto"/>
        </w:rPr>
      </w:pPr>
    </w:p>
    <w:p>
      <w:pPr>
        <w:ind w:left="380" w:right="60" w:firstLine="534"/>
        <w:spacing w:after="0" w:line="244" w:lineRule="auto"/>
        <w:rPr>
          <w:sz w:val="20"/>
          <w:szCs w:val="20"/>
          <w:color w:val="auto"/>
        </w:rPr>
      </w:pPr>
      <w:r>
        <w:rPr>
          <w:rFonts w:ascii="Arial" w:cs="Arial" w:eastAsia="Arial" w:hAnsi="Arial"/>
          <w:sz w:val="17"/>
          <w:szCs w:val="17"/>
          <w:color w:val="auto"/>
        </w:rPr>
        <w:t>Stock options are governed by stock option agreements between the Company and recipients of stock options. The Board of Directors determined the fair value of common stock using valuations prepared by an unrelated third-party valuation firm. The exercise price of each option shall not be less than 100% of the fair market value of the common stock subject to the option on the date the option is granted. A 10% or greater stockholder shall not be granted an incentive stock option unless the exercise price of such option is at least 110% of the fair value of the common stock on the date of grant and the option is not exercisable after the expiration of five years from the grant date. Options become exercisable and expire as determined by the Compensation Committee, provided that the term of incentive stock options may not exceed ten years from the date of grant for options granted to those other than 10% stockholders.</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Stock Option Activity</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 summary of the outstanding stock options is as follows:</w:t>
      </w:r>
    </w:p>
    <w:p>
      <w:pPr>
        <w:spacing w:after="0" w:line="226" w:lineRule="exact"/>
        <w:rPr>
          <w:sz w:val="20"/>
          <w:szCs w:val="20"/>
          <w:color w:val="auto"/>
        </w:rPr>
      </w:pPr>
    </w:p>
    <w:tbl>
      <w:tblPr>
        <w:tblLayout w:type="fixed"/>
        <w:tblInd w:w="380" w:type="dxa"/>
        <w:tblCellMar>
          <w:top w:w="0" w:type="dxa"/>
          <w:left w:w="0" w:type="dxa"/>
          <w:bottom w:w="0" w:type="dxa"/>
          <w:right w:w="0" w:type="dxa"/>
        </w:tblCellMar>
      </w:tblPr>
      <w:tr>
        <w:trPr>
          <w:trHeight w:val="169"/>
        </w:trPr>
        <w:tc>
          <w:tcPr>
            <w:tcW w:w="4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40" w:type="dxa"/>
            <w:vAlign w:val="bottom"/>
            <w:gridSpan w:val="7"/>
          </w:tcPr>
          <w:p>
            <w:pPr>
              <w:ind w:left="260"/>
              <w:spacing w:after="0"/>
              <w:rPr>
                <w:sz w:val="20"/>
                <w:szCs w:val="20"/>
                <w:color w:val="auto"/>
              </w:rPr>
            </w:pPr>
            <w:r>
              <w:rPr>
                <w:rFonts w:ascii="Arial" w:cs="Arial" w:eastAsia="Arial" w:hAnsi="Arial"/>
                <w:sz w:val="14"/>
                <w:szCs w:val="14"/>
                <w:b w:val="1"/>
                <w:bCs w:val="1"/>
                <w:color w:val="auto"/>
              </w:rPr>
              <w:t>Outstanding Options</w:t>
            </w: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Weighted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4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Weighted</w:t>
            </w:r>
          </w:p>
        </w:tc>
        <w:tc>
          <w:tcPr>
            <w:tcW w:w="128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w w:val="97"/>
              </w:rPr>
              <w:t>Average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57"/>
        </w:trPr>
        <w:tc>
          <w:tcPr>
            <w:tcW w:w="4460" w:type="dxa"/>
            <w:vAlign w:val="bottom"/>
          </w:tcPr>
          <w:p>
            <w:pPr>
              <w:spacing w:after="0"/>
              <w:rPr>
                <w:sz w:val="13"/>
                <w:szCs w:val="13"/>
                <w:color w:val="auto"/>
              </w:rPr>
            </w:pPr>
          </w:p>
        </w:tc>
        <w:tc>
          <w:tcPr>
            <w:tcW w:w="1380" w:type="dxa"/>
            <w:vAlign w:val="bottom"/>
            <w:gridSpan w:val="2"/>
          </w:tcPr>
          <w:p>
            <w:pPr>
              <w:jc w:val="right"/>
              <w:ind w:right="660"/>
              <w:spacing w:after="0" w:line="157" w:lineRule="exact"/>
              <w:rPr>
                <w:sz w:val="20"/>
                <w:szCs w:val="20"/>
                <w:color w:val="auto"/>
              </w:rPr>
            </w:pPr>
            <w:r>
              <w:rPr>
                <w:rFonts w:ascii="Arial" w:cs="Arial" w:eastAsia="Arial" w:hAnsi="Arial"/>
                <w:sz w:val="14"/>
                <w:szCs w:val="14"/>
                <w:b w:val="1"/>
                <w:bCs w:val="1"/>
                <w:color w:val="auto"/>
              </w:rPr>
              <w:t>Options</w:t>
            </w: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3"/>
          </w:tcPr>
          <w:p>
            <w:pPr>
              <w:jc w:val="center"/>
              <w:ind w:right="420"/>
              <w:spacing w:after="0" w:line="157" w:lineRule="exact"/>
              <w:rPr>
                <w:sz w:val="20"/>
                <w:szCs w:val="20"/>
                <w:color w:val="auto"/>
              </w:rPr>
            </w:pPr>
            <w:r>
              <w:rPr>
                <w:rFonts w:ascii="Arial" w:cs="Arial" w:eastAsia="Arial" w:hAnsi="Arial"/>
                <w:sz w:val="14"/>
                <w:szCs w:val="14"/>
                <w:b w:val="1"/>
                <w:bCs w:val="1"/>
                <w:color w:val="auto"/>
                <w:w w:val="97"/>
              </w:rPr>
              <w:t>Average</w:t>
            </w:r>
          </w:p>
        </w:tc>
        <w:tc>
          <w:tcPr>
            <w:tcW w:w="128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w w:val="97"/>
              </w:rPr>
              <w:t>Remaining</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57"/>
        </w:trPr>
        <w:tc>
          <w:tcPr>
            <w:tcW w:w="4460" w:type="dxa"/>
            <w:vAlign w:val="bottom"/>
          </w:tcPr>
          <w:p>
            <w:pPr>
              <w:spacing w:after="0"/>
              <w:rPr>
                <w:sz w:val="13"/>
                <w:szCs w:val="13"/>
                <w:color w:val="auto"/>
              </w:rPr>
            </w:pPr>
          </w:p>
        </w:tc>
        <w:tc>
          <w:tcPr>
            <w:tcW w:w="1380" w:type="dxa"/>
            <w:vAlign w:val="bottom"/>
            <w:gridSpan w:val="2"/>
          </w:tcPr>
          <w:p>
            <w:pPr>
              <w:jc w:val="right"/>
              <w:ind w:right="620"/>
              <w:spacing w:after="0" w:line="157" w:lineRule="exact"/>
              <w:rPr>
                <w:sz w:val="20"/>
                <w:szCs w:val="20"/>
                <w:color w:val="auto"/>
              </w:rPr>
            </w:pPr>
            <w:r>
              <w:rPr>
                <w:rFonts w:ascii="Arial" w:cs="Arial" w:eastAsia="Arial" w:hAnsi="Arial"/>
                <w:sz w:val="14"/>
                <w:szCs w:val="14"/>
                <w:b w:val="1"/>
                <w:bCs w:val="1"/>
                <w:color w:val="auto"/>
              </w:rPr>
              <w:t>Available</w:t>
            </w:r>
          </w:p>
        </w:tc>
        <w:tc>
          <w:tcPr>
            <w:tcW w:w="1100" w:type="dxa"/>
            <w:vAlign w:val="bottom"/>
            <w:gridSpan w:val="3"/>
          </w:tcPr>
          <w:p>
            <w:pPr>
              <w:ind w:left="60"/>
              <w:spacing w:after="0" w:line="157" w:lineRule="exact"/>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3"/>
                <w:szCs w:val="13"/>
                <w:color w:val="auto"/>
              </w:rPr>
            </w:pPr>
          </w:p>
        </w:tc>
        <w:tc>
          <w:tcPr>
            <w:tcW w:w="1040" w:type="dxa"/>
            <w:vAlign w:val="bottom"/>
            <w:gridSpan w:val="3"/>
          </w:tcPr>
          <w:p>
            <w:pPr>
              <w:jc w:val="center"/>
              <w:ind w:right="420"/>
              <w:spacing w:after="0" w:line="157" w:lineRule="exact"/>
              <w:rPr>
                <w:sz w:val="20"/>
                <w:szCs w:val="20"/>
                <w:color w:val="auto"/>
              </w:rPr>
            </w:pPr>
            <w:r>
              <w:rPr>
                <w:rFonts w:ascii="Arial" w:cs="Arial" w:eastAsia="Arial" w:hAnsi="Arial"/>
                <w:sz w:val="14"/>
                <w:szCs w:val="14"/>
                <w:b w:val="1"/>
                <w:bCs w:val="1"/>
                <w:color w:val="auto"/>
              </w:rPr>
              <w:t>Exercise</w:t>
            </w:r>
          </w:p>
        </w:tc>
        <w:tc>
          <w:tcPr>
            <w:tcW w:w="128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w w:val="99"/>
              </w:rPr>
              <w:t>Contractual Life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for Grant</w:t>
            </w:r>
          </w:p>
        </w:tc>
        <w:tc>
          <w:tcPr>
            <w:tcW w:w="1100" w:type="dxa"/>
            <w:vAlign w:val="bottom"/>
            <w:gridSpan w:val="3"/>
          </w:tcPr>
          <w:p>
            <w:pPr>
              <w:ind w:left="140"/>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9"/>
              </w:rPr>
              <w:t>Price</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(in Years)</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0"/>
        </w:trPr>
        <w:tc>
          <w:tcPr>
            <w:tcW w:w="44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Balances at December 31, 2016</w:t>
            </w: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2,209,595</w:t>
            </w:r>
          </w:p>
        </w:tc>
        <w:tc>
          <w:tcPr>
            <w:tcW w:w="4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7"/>
                <w:szCs w:val="17"/>
                <w:color w:val="auto"/>
                <w:w w:val="97"/>
              </w:rPr>
              <w:t>6,873,061</w:t>
            </w: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500" w:type="dxa"/>
            <w:vAlign w:val="bottom"/>
            <w:tcBorders>
              <w:top w:val="single" w:sz="8" w:color="auto"/>
            </w:tcBorders>
            <w:shd w:val="clear" w:color="auto" w:fill="CCEEFF"/>
          </w:tcPr>
          <w:p>
            <w:pPr>
              <w:ind w:left="180"/>
              <w:spacing w:after="0" w:line="189" w:lineRule="exact"/>
              <w:rPr>
                <w:sz w:val="20"/>
                <w:szCs w:val="20"/>
                <w:color w:val="auto"/>
              </w:rPr>
            </w:pPr>
            <w:r>
              <w:rPr>
                <w:rFonts w:ascii="Arial" w:cs="Arial" w:eastAsia="Arial" w:hAnsi="Arial"/>
                <w:sz w:val="17"/>
                <w:szCs w:val="17"/>
                <w:color w:val="auto"/>
                <w:w w:val="90"/>
              </w:rPr>
              <w:t>4.08</w:t>
            </w:r>
          </w:p>
        </w:tc>
        <w:tc>
          <w:tcPr>
            <w:tcW w:w="42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ind w:left="720"/>
              <w:spacing w:after="0" w:line="189" w:lineRule="exact"/>
              <w:rPr>
                <w:sz w:val="20"/>
                <w:szCs w:val="20"/>
                <w:color w:val="auto"/>
              </w:rPr>
            </w:pPr>
            <w:r>
              <w:rPr>
                <w:rFonts w:ascii="Arial" w:cs="Arial" w:eastAsia="Arial" w:hAnsi="Arial"/>
                <w:sz w:val="17"/>
                <w:szCs w:val="17"/>
                <w:color w:val="auto"/>
                <w:w w:val="96"/>
              </w:rPr>
              <w:t>7.16</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75,895</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60" w:type="dxa"/>
            <w:vAlign w:val="bottom"/>
          </w:tcPr>
          <w:p>
            <w:pPr>
              <w:spacing w:after="0"/>
              <w:rPr>
                <w:sz w:val="20"/>
                <w:szCs w:val="20"/>
                <w:color w:val="auto"/>
              </w:rPr>
            </w:pPr>
            <w:r>
              <w:rPr>
                <w:rFonts w:ascii="Arial" w:cs="Arial" w:eastAsia="Arial" w:hAnsi="Arial"/>
                <w:sz w:val="17"/>
                <w:szCs w:val="17"/>
                <w:color w:val="auto"/>
              </w:rPr>
              <w:t>Options granted</w:t>
            </w:r>
          </w:p>
        </w:tc>
        <w:tc>
          <w:tcPr>
            <w:tcW w:w="1380" w:type="dxa"/>
            <w:vAlign w:val="bottom"/>
            <w:gridSpan w:val="2"/>
          </w:tcPr>
          <w:p>
            <w:pPr>
              <w:jc w:val="right"/>
              <w:ind w:right="420"/>
              <w:spacing w:after="0"/>
              <w:rPr>
                <w:sz w:val="20"/>
                <w:szCs w:val="20"/>
                <w:color w:val="auto"/>
              </w:rPr>
            </w:pPr>
            <w:r>
              <w:rPr>
                <w:rFonts w:ascii="Arial" w:cs="Arial" w:eastAsia="Arial" w:hAnsi="Arial"/>
                <w:sz w:val="17"/>
                <w:szCs w:val="17"/>
                <w:color w:val="auto"/>
              </w:rPr>
              <w:t>(1,888,625)</w:t>
            </w:r>
          </w:p>
        </w:tc>
        <w:tc>
          <w:tcPr>
            <w:tcW w:w="840" w:type="dxa"/>
            <w:vAlign w:val="bottom"/>
            <w:gridSpan w:val="2"/>
          </w:tcPr>
          <w:p>
            <w:pPr>
              <w:ind w:left="60"/>
              <w:spacing w:after="0"/>
              <w:rPr>
                <w:sz w:val="20"/>
                <w:szCs w:val="20"/>
                <w:color w:val="auto"/>
              </w:rPr>
            </w:pPr>
            <w:r>
              <w:rPr>
                <w:rFonts w:ascii="Arial" w:cs="Arial" w:eastAsia="Arial" w:hAnsi="Arial"/>
                <w:sz w:val="17"/>
                <w:szCs w:val="17"/>
                <w:color w:val="auto"/>
              </w:rPr>
              <w:t>1,888,625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180"/>
              <w:spacing w:after="0"/>
              <w:rPr>
                <w:sz w:val="20"/>
                <w:szCs w:val="20"/>
                <w:color w:val="auto"/>
              </w:rPr>
            </w:pPr>
            <w:r>
              <w:rPr>
                <w:rFonts w:ascii="Arial" w:cs="Arial" w:eastAsia="Arial" w:hAnsi="Arial"/>
                <w:sz w:val="17"/>
                <w:szCs w:val="17"/>
                <w:color w:val="auto"/>
              </w:rPr>
              <w:t>7.70</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Options exercised</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(117,398)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3.62</w:t>
            </w: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60" w:type="dxa"/>
            <w:vAlign w:val="bottom"/>
          </w:tcPr>
          <w:p>
            <w:pPr>
              <w:spacing w:after="0"/>
              <w:rPr>
                <w:sz w:val="20"/>
                <w:szCs w:val="20"/>
                <w:color w:val="auto"/>
              </w:rPr>
            </w:pPr>
            <w:r>
              <w:rPr>
                <w:rFonts w:ascii="Arial" w:cs="Arial" w:eastAsia="Arial" w:hAnsi="Arial"/>
                <w:sz w:val="17"/>
                <w:szCs w:val="17"/>
                <w:color w:val="auto"/>
              </w:rPr>
              <w:t>Options cancelled</w:t>
            </w:r>
          </w:p>
        </w:tc>
        <w:tc>
          <w:tcPr>
            <w:tcW w:w="1380" w:type="dxa"/>
            <w:vAlign w:val="bottom"/>
            <w:gridSpan w:val="2"/>
          </w:tcPr>
          <w:p>
            <w:pPr>
              <w:jc w:val="right"/>
              <w:ind w:right="480"/>
              <w:spacing w:after="0"/>
              <w:rPr>
                <w:sz w:val="20"/>
                <w:szCs w:val="20"/>
                <w:color w:val="auto"/>
              </w:rPr>
            </w:pPr>
            <w:r>
              <w:rPr>
                <w:rFonts w:ascii="Arial" w:cs="Arial" w:eastAsia="Arial" w:hAnsi="Arial"/>
                <w:sz w:val="17"/>
                <w:szCs w:val="17"/>
                <w:color w:val="auto"/>
              </w:rPr>
              <w:t>289,414</w:t>
            </w:r>
          </w:p>
        </w:tc>
        <w:tc>
          <w:tcPr>
            <w:tcW w:w="1100" w:type="dxa"/>
            <w:vAlign w:val="bottom"/>
            <w:gridSpan w:val="3"/>
          </w:tcPr>
          <w:p>
            <w:pPr>
              <w:jc w:val="right"/>
              <w:ind w:right="220"/>
              <w:spacing w:after="0"/>
              <w:rPr>
                <w:sz w:val="20"/>
                <w:szCs w:val="20"/>
                <w:color w:val="auto"/>
              </w:rPr>
            </w:pPr>
            <w:r>
              <w:rPr>
                <w:rFonts w:ascii="Arial" w:cs="Arial" w:eastAsia="Arial" w:hAnsi="Arial"/>
                <w:sz w:val="17"/>
                <w:szCs w:val="17"/>
                <w:color w:val="auto"/>
              </w:rPr>
              <w:t>(289,414)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180"/>
              <w:spacing w:after="0"/>
              <w:rPr>
                <w:sz w:val="20"/>
                <w:szCs w:val="20"/>
                <w:color w:val="auto"/>
              </w:rPr>
            </w:pPr>
            <w:r>
              <w:rPr>
                <w:rFonts w:ascii="Arial" w:cs="Arial" w:eastAsia="Arial" w:hAnsi="Arial"/>
                <w:sz w:val="17"/>
                <w:szCs w:val="17"/>
                <w:color w:val="auto"/>
              </w:rPr>
              <w:t>6.84</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Options repurchased</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2,220</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3.72</w:t>
            </w: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tcPr>
          <w:p>
            <w:pPr>
              <w:spacing w:after="0"/>
              <w:rPr>
                <w:sz w:val="20"/>
                <w:szCs w:val="20"/>
                <w:color w:val="auto"/>
              </w:rPr>
            </w:pPr>
            <w:r>
              <w:rPr>
                <w:rFonts w:ascii="Arial" w:cs="Arial" w:eastAsia="Arial" w:hAnsi="Arial"/>
                <w:sz w:val="17"/>
                <w:szCs w:val="17"/>
                <w:color w:val="auto"/>
              </w:rPr>
              <w:t>Balances at December 31, 2017</w:t>
            </w:r>
          </w:p>
        </w:tc>
        <w:tc>
          <w:tcPr>
            <w:tcW w:w="1380" w:type="dxa"/>
            <w:vAlign w:val="bottom"/>
            <w:gridSpan w:val="2"/>
          </w:tcPr>
          <w:p>
            <w:pPr>
              <w:jc w:val="right"/>
              <w:ind w:right="480"/>
              <w:spacing w:after="0"/>
              <w:rPr>
                <w:sz w:val="20"/>
                <w:szCs w:val="20"/>
                <w:color w:val="auto"/>
              </w:rPr>
            </w:pPr>
            <w:r>
              <w:rPr>
                <w:rFonts w:ascii="Arial" w:cs="Arial" w:eastAsia="Arial" w:hAnsi="Arial"/>
                <w:sz w:val="17"/>
                <w:szCs w:val="17"/>
                <w:color w:val="auto"/>
              </w:rPr>
              <w:t>612,604</w:t>
            </w:r>
          </w:p>
        </w:tc>
        <w:tc>
          <w:tcPr>
            <w:tcW w:w="840" w:type="dxa"/>
            <w:vAlign w:val="bottom"/>
            <w:gridSpan w:val="2"/>
          </w:tcPr>
          <w:p>
            <w:pPr>
              <w:ind w:left="60"/>
              <w:spacing w:after="0"/>
              <w:rPr>
                <w:sz w:val="20"/>
                <w:szCs w:val="20"/>
                <w:color w:val="auto"/>
              </w:rPr>
            </w:pPr>
            <w:r>
              <w:rPr>
                <w:rFonts w:ascii="Arial" w:cs="Arial" w:eastAsia="Arial" w:hAnsi="Arial"/>
                <w:sz w:val="17"/>
                <w:szCs w:val="17"/>
                <w:color w:val="auto"/>
              </w:rPr>
              <w:t>8,354,874</w:t>
            </w:r>
          </w:p>
        </w:tc>
        <w:tc>
          <w:tcPr>
            <w:tcW w:w="260" w:type="dxa"/>
            <w:vAlign w:val="bottom"/>
          </w:tcPr>
          <w:p>
            <w:pPr>
              <w:spacing w:after="0"/>
              <w:rPr>
                <w:sz w:val="17"/>
                <w:szCs w:val="17"/>
                <w:color w:val="auto"/>
              </w:rPr>
            </w:pPr>
          </w:p>
        </w:tc>
        <w:tc>
          <w:tcPr>
            <w:tcW w:w="3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920" w:type="dxa"/>
            <w:vAlign w:val="bottom"/>
            <w:gridSpan w:val="2"/>
          </w:tcPr>
          <w:p>
            <w:pPr>
              <w:ind w:left="180"/>
              <w:spacing w:after="0"/>
              <w:rPr>
                <w:sz w:val="20"/>
                <w:szCs w:val="20"/>
                <w:color w:val="auto"/>
              </w:rPr>
            </w:pPr>
            <w:r>
              <w:rPr>
                <w:rFonts w:ascii="Arial" w:cs="Arial" w:eastAsia="Arial" w:hAnsi="Arial"/>
                <w:sz w:val="17"/>
                <w:szCs w:val="17"/>
                <w:color w:val="auto"/>
              </w:rPr>
              <w:t>4.82</w:t>
            </w:r>
          </w:p>
        </w:tc>
        <w:tc>
          <w:tcPr>
            <w:tcW w:w="1280" w:type="dxa"/>
            <w:vAlign w:val="bottom"/>
            <w:gridSpan w:val="2"/>
          </w:tcPr>
          <w:p>
            <w:pPr>
              <w:ind w:left="720"/>
              <w:spacing w:after="0"/>
              <w:rPr>
                <w:sz w:val="20"/>
                <w:szCs w:val="20"/>
                <w:color w:val="auto"/>
              </w:rPr>
            </w:pPr>
            <w:r>
              <w:rPr>
                <w:rFonts w:ascii="Arial" w:cs="Arial" w:eastAsia="Arial" w:hAnsi="Arial"/>
                <w:sz w:val="17"/>
                <w:szCs w:val="17"/>
                <w:color w:val="auto"/>
              </w:rPr>
              <w:t>6.79</w:t>
            </w:r>
          </w:p>
        </w:tc>
        <w:tc>
          <w:tcPr>
            <w:tcW w:w="3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89,094</w:t>
            </w:r>
          </w:p>
        </w:tc>
        <w:tc>
          <w:tcPr>
            <w:tcW w:w="0" w:type="dxa"/>
            <w:vAlign w:val="bottom"/>
          </w:tcPr>
          <w:p>
            <w:pPr>
              <w:spacing w:after="0"/>
              <w:rPr>
                <w:sz w:val="1"/>
                <w:szCs w:val="1"/>
                <w:color w:val="auto"/>
              </w:rPr>
            </w:pPr>
          </w:p>
        </w:tc>
      </w:tr>
      <w:tr>
        <w:trPr>
          <w:trHeight w:val="19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Additional shares reserved</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3,695,698</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60" w:type="dxa"/>
            <w:vAlign w:val="bottom"/>
          </w:tcPr>
          <w:p>
            <w:pPr>
              <w:spacing w:after="0"/>
              <w:rPr>
                <w:sz w:val="20"/>
                <w:szCs w:val="20"/>
                <w:color w:val="auto"/>
              </w:rPr>
            </w:pPr>
            <w:r>
              <w:rPr>
                <w:rFonts w:ascii="Arial" w:cs="Arial" w:eastAsia="Arial" w:hAnsi="Arial"/>
                <w:sz w:val="17"/>
                <w:szCs w:val="17"/>
                <w:color w:val="auto"/>
              </w:rPr>
              <w:t>Options granted</w:t>
            </w:r>
          </w:p>
        </w:tc>
        <w:tc>
          <w:tcPr>
            <w:tcW w:w="1380" w:type="dxa"/>
            <w:vAlign w:val="bottom"/>
            <w:gridSpan w:val="2"/>
          </w:tcPr>
          <w:p>
            <w:pPr>
              <w:jc w:val="right"/>
              <w:ind w:right="420"/>
              <w:spacing w:after="0"/>
              <w:rPr>
                <w:sz w:val="20"/>
                <w:szCs w:val="20"/>
                <w:color w:val="auto"/>
              </w:rPr>
            </w:pPr>
            <w:r>
              <w:rPr>
                <w:rFonts w:ascii="Arial" w:cs="Arial" w:eastAsia="Arial" w:hAnsi="Arial"/>
                <w:sz w:val="17"/>
                <w:szCs w:val="17"/>
                <w:color w:val="auto"/>
              </w:rPr>
              <w:t>(2,781,900)</w:t>
            </w:r>
          </w:p>
        </w:tc>
        <w:tc>
          <w:tcPr>
            <w:tcW w:w="840" w:type="dxa"/>
            <w:vAlign w:val="bottom"/>
            <w:gridSpan w:val="2"/>
          </w:tcPr>
          <w:p>
            <w:pPr>
              <w:ind w:left="60"/>
              <w:spacing w:after="0"/>
              <w:rPr>
                <w:sz w:val="20"/>
                <w:szCs w:val="20"/>
                <w:color w:val="auto"/>
              </w:rPr>
            </w:pPr>
            <w:r>
              <w:rPr>
                <w:rFonts w:ascii="Arial" w:cs="Arial" w:eastAsia="Arial" w:hAnsi="Arial"/>
                <w:sz w:val="17"/>
                <w:szCs w:val="17"/>
                <w:color w:val="auto"/>
              </w:rPr>
              <w:t>2,781,900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180"/>
              <w:spacing w:after="0"/>
              <w:rPr>
                <w:sz w:val="20"/>
                <w:szCs w:val="20"/>
                <w:color w:val="auto"/>
              </w:rPr>
            </w:pPr>
            <w:r>
              <w:rPr>
                <w:rFonts w:ascii="Arial" w:cs="Arial" w:eastAsia="Arial" w:hAnsi="Arial"/>
                <w:sz w:val="17"/>
                <w:szCs w:val="17"/>
                <w:color w:val="auto"/>
              </w:rPr>
              <w:t>9.34</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Options exercised</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(730,956)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6.18</w:t>
            </w: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60" w:type="dxa"/>
            <w:vAlign w:val="bottom"/>
          </w:tcPr>
          <w:p>
            <w:pPr>
              <w:spacing w:after="0"/>
              <w:rPr>
                <w:sz w:val="20"/>
                <w:szCs w:val="20"/>
                <w:color w:val="auto"/>
              </w:rPr>
            </w:pPr>
            <w:r>
              <w:rPr>
                <w:rFonts w:ascii="Arial" w:cs="Arial" w:eastAsia="Arial" w:hAnsi="Arial"/>
                <w:sz w:val="17"/>
                <w:szCs w:val="17"/>
                <w:color w:val="auto"/>
              </w:rPr>
              <w:t>Options cancelled</w:t>
            </w:r>
          </w:p>
        </w:tc>
        <w:tc>
          <w:tcPr>
            <w:tcW w:w="1380" w:type="dxa"/>
            <w:vAlign w:val="bottom"/>
            <w:gridSpan w:val="2"/>
          </w:tcPr>
          <w:p>
            <w:pPr>
              <w:jc w:val="right"/>
              <w:ind w:right="480"/>
              <w:spacing w:after="0"/>
              <w:rPr>
                <w:sz w:val="20"/>
                <w:szCs w:val="20"/>
                <w:color w:val="auto"/>
              </w:rPr>
            </w:pPr>
            <w:r>
              <w:rPr>
                <w:rFonts w:ascii="Arial" w:cs="Arial" w:eastAsia="Arial" w:hAnsi="Arial"/>
                <w:sz w:val="17"/>
                <w:szCs w:val="17"/>
                <w:color w:val="auto"/>
              </w:rPr>
              <w:t>599,129</w:t>
            </w:r>
          </w:p>
        </w:tc>
        <w:tc>
          <w:tcPr>
            <w:tcW w:w="1100" w:type="dxa"/>
            <w:vAlign w:val="bottom"/>
            <w:gridSpan w:val="3"/>
          </w:tcPr>
          <w:p>
            <w:pPr>
              <w:jc w:val="right"/>
              <w:ind w:right="220"/>
              <w:spacing w:after="0"/>
              <w:rPr>
                <w:sz w:val="20"/>
                <w:szCs w:val="20"/>
                <w:color w:val="auto"/>
              </w:rPr>
            </w:pPr>
            <w:r>
              <w:rPr>
                <w:rFonts w:ascii="Arial" w:cs="Arial" w:eastAsia="Arial" w:hAnsi="Arial"/>
                <w:sz w:val="17"/>
                <w:szCs w:val="17"/>
                <w:color w:val="auto"/>
              </w:rPr>
              <w:t>(599,129)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180"/>
              <w:spacing w:after="0"/>
              <w:rPr>
                <w:sz w:val="20"/>
                <w:szCs w:val="20"/>
                <w:color w:val="auto"/>
              </w:rPr>
            </w:pPr>
            <w:r>
              <w:rPr>
                <w:rFonts w:ascii="Arial" w:cs="Arial" w:eastAsia="Arial" w:hAnsi="Arial"/>
                <w:sz w:val="17"/>
                <w:szCs w:val="17"/>
                <w:color w:val="auto"/>
              </w:rPr>
              <w:t>7.00</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Options repurchased</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344</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6.02</w:t>
            </w: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tcPr>
          <w:p>
            <w:pPr>
              <w:spacing w:after="0"/>
              <w:rPr>
                <w:sz w:val="20"/>
                <w:szCs w:val="20"/>
                <w:color w:val="auto"/>
              </w:rPr>
            </w:pPr>
            <w:r>
              <w:rPr>
                <w:rFonts w:ascii="Arial" w:cs="Arial" w:eastAsia="Arial" w:hAnsi="Arial"/>
                <w:sz w:val="17"/>
                <w:szCs w:val="17"/>
                <w:color w:val="auto"/>
              </w:rPr>
              <w:t>Balances at December 31, 2018</w:t>
            </w:r>
          </w:p>
        </w:tc>
        <w:tc>
          <w:tcPr>
            <w:tcW w:w="1380" w:type="dxa"/>
            <w:vAlign w:val="bottom"/>
            <w:gridSpan w:val="2"/>
          </w:tcPr>
          <w:p>
            <w:pPr>
              <w:jc w:val="right"/>
              <w:ind w:right="480"/>
              <w:spacing w:after="0"/>
              <w:rPr>
                <w:sz w:val="20"/>
                <w:szCs w:val="20"/>
                <w:color w:val="auto"/>
              </w:rPr>
            </w:pPr>
            <w:r>
              <w:rPr>
                <w:rFonts w:ascii="Arial" w:cs="Arial" w:eastAsia="Arial" w:hAnsi="Arial"/>
                <w:sz w:val="17"/>
                <w:szCs w:val="17"/>
                <w:color w:val="auto"/>
              </w:rPr>
              <w:t>2,125,875</w:t>
            </w:r>
          </w:p>
        </w:tc>
        <w:tc>
          <w:tcPr>
            <w:tcW w:w="840" w:type="dxa"/>
            <w:vAlign w:val="bottom"/>
            <w:gridSpan w:val="2"/>
          </w:tcPr>
          <w:p>
            <w:pPr>
              <w:ind w:left="60"/>
              <w:spacing w:after="0"/>
              <w:rPr>
                <w:sz w:val="20"/>
                <w:szCs w:val="20"/>
                <w:color w:val="auto"/>
              </w:rPr>
            </w:pPr>
            <w:r>
              <w:rPr>
                <w:rFonts w:ascii="Arial" w:cs="Arial" w:eastAsia="Arial" w:hAnsi="Arial"/>
                <w:sz w:val="17"/>
                <w:szCs w:val="17"/>
                <w:color w:val="auto"/>
              </w:rPr>
              <w:t>9,806,689</w:t>
            </w:r>
          </w:p>
        </w:tc>
        <w:tc>
          <w:tcPr>
            <w:tcW w:w="260" w:type="dxa"/>
            <w:vAlign w:val="bottom"/>
          </w:tcPr>
          <w:p>
            <w:pPr>
              <w:spacing w:after="0"/>
              <w:rPr>
                <w:sz w:val="17"/>
                <w:szCs w:val="17"/>
                <w:color w:val="auto"/>
              </w:rPr>
            </w:pPr>
          </w:p>
        </w:tc>
        <w:tc>
          <w:tcPr>
            <w:tcW w:w="3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920" w:type="dxa"/>
            <w:vAlign w:val="bottom"/>
            <w:gridSpan w:val="2"/>
          </w:tcPr>
          <w:p>
            <w:pPr>
              <w:ind w:left="180"/>
              <w:spacing w:after="0"/>
              <w:rPr>
                <w:sz w:val="20"/>
                <w:szCs w:val="20"/>
                <w:color w:val="auto"/>
              </w:rPr>
            </w:pPr>
            <w:r>
              <w:rPr>
                <w:rFonts w:ascii="Arial" w:cs="Arial" w:eastAsia="Arial" w:hAnsi="Arial"/>
                <w:sz w:val="17"/>
                <w:szCs w:val="17"/>
                <w:color w:val="auto"/>
              </w:rPr>
              <w:t>5.86</w:t>
            </w:r>
          </w:p>
        </w:tc>
        <w:tc>
          <w:tcPr>
            <w:tcW w:w="1280" w:type="dxa"/>
            <w:vAlign w:val="bottom"/>
            <w:gridSpan w:val="2"/>
          </w:tcPr>
          <w:p>
            <w:pPr>
              <w:ind w:left="720"/>
              <w:spacing w:after="0"/>
              <w:rPr>
                <w:sz w:val="20"/>
                <w:szCs w:val="20"/>
                <w:color w:val="auto"/>
              </w:rPr>
            </w:pPr>
            <w:r>
              <w:rPr>
                <w:rFonts w:ascii="Arial" w:cs="Arial" w:eastAsia="Arial" w:hAnsi="Arial"/>
                <w:sz w:val="17"/>
                <w:szCs w:val="17"/>
                <w:color w:val="auto"/>
              </w:rPr>
              <w:t>6.62</w:t>
            </w:r>
          </w:p>
        </w:tc>
        <w:tc>
          <w:tcPr>
            <w:tcW w:w="3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105,226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Vested and expected to vest at December 31, 2018</w:t>
            </w:r>
          </w:p>
        </w:tc>
        <w:tc>
          <w:tcPr>
            <w:tcW w:w="9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60"/>
              <w:spacing w:after="0" w:line="189" w:lineRule="exact"/>
              <w:rPr>
                <w:sz w:val="20"/>
                <w:szCs w:val="20"/>
                <w:color w:val="auto"/>
              </w:rPr>
            </w:pPr>
            <w:r>
              <w:rPr>
                <w:rFonts w:ascii="Arial" w:cs="Arial" w:eastAsia="Arial" w:hAnsi="Arial"/>
                <w:sz w:val="17"/>
                <w:szCs w:val="17"/>
                <w:color w:val="auto"/>
              </w:rPr>
              <w:t>9,454,737</w:t>
            </w:r>
          </w:p>
        </w:tc>
        <w:tc>
          <w:tcPr>
            <w:tcW w:w="2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7"/>
                <w:szCs w:val="17"/>
                <w:color w:val="auto"/>
              </w:rPr>
              <w:t>5.76</w:t>
            </w:r>
          </w:p>
        </w:tc>
        <w:tc>
          <w:tcPr>
            <w:tcW w:w="1280" w:type="dxa"/>
            <w:vAlign w:val="bottom"/>
            <w:gridSpan w:val="2"/>
            <w:shd w:val="clear" w:color="auto" w:fill="CCEEFF"/>
          </w:tcPr>
          <w:p>
            <w:pPr>
              <w:ind w:left="720"/>
              <w:spacing w:after="0" w:line="189" w:lineRule="exact"/>
              <w:rPr>
                <w:sz w:val="20"/>
                <w:szCs w:val="20"/>
                <w:color w:val="auto"/>
              </w:rPr>
            </w:pPr>
            <w:r>
              <w:rPr>
                <w:rFonts w:ascii="Arial" w:cs="Arial" w:eastAsia="Arial" w:hAnsi="Arial"/>
                <w:sz w:val="17"/>
                <w:szCs w:val="17"/>
                <w:color w:val="auto"/>
              </w:rPr>
              <w:t>6.54</w:t>
            </w:r>
          </w:p>
        </w:tc>
        <w:tc>
          <w:tcPr>
            <w:tcW w:w="32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101,547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7"/>
                <w:szCs w:val="17"/>
                <w:color w:val="auto"/>
              </w:rPr>
              <w:t>Outstanding and exercisable as of December 31,</w:t>
            </w: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46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460" w:type="dxa"/>
            <w:vAlign w:val="bottom"/>
          </w:tcPr>
          <w:p>
            <w:pPr>
              <w:ind w:left="160"/>
              <w:spacing w:after="0"/>
              <w:rPr>
                <w:sz w:val="20"/>
                <w:szCs w:val="20"/>
                <w:color w:val="auto"/>
              </w:rPr>
            </w:pPr>
            <w:r>
              <w:rPr>
                <w:rFonts w:ascii="Arial" w:cs="Arial" w:eastAsia="Arial" w:hAnsi="Arial"/>
                <w:sz w:val="17"/>
                <w:szCs w:val="17"/>
                <w:color w:val="auto"/>
              </w:rPr>
              <w:t>2018</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Arial" w:cs="Arial" w:eastAsia="Arial" w:hAnsi="Arial"/>
                <w:sz w:val="17"/>
                <w:szCs w:val="17"/>
                <w:color w:val="auto"/>
              </w:rPr>
              <w:t>9,806,689</w:t>
            </w:r>
          </w:p>
        </w:tc>
        <w:tc>
          <w:tcPr>
            <w:tcW w:w="260" w:type="dxa"/>
            <w:vAlign w:val="bottom"/>
          </w:tcPr>
          <w:p>
            <w:pPr>
              <w:spacing w:after="0"/>
              <w:rPr>
                <w:sz w:val="17"/>
                <w:szCs w:val="17"/>
                <w:color w:val="auto"/>
              </w:rPr>
            </w:pPr>
          </w:p>
        </w:tc>
        <w:tc>
          <w:tcPr>
            <w:tcW w:w="3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920" w:type="dxa"/>
            <w:vAlign w:val="bottom"/>
            <w:gridSpan w:val="2"/>
          </w:tcPr>
          <w:p>
            <w:pPr>
              <w:ind w:left="180"/>
              <w:spacing w:after="0"/>
              <w:rPr>
                <w:sz w:val="20"/>
                <w:szCs w:val="20"/>
                <w:color w:val="auto"/>
              </w:rPr>
            </w:pPr>
            <w:r>
              <w:rPr>
                <w:rFonts w:ascii="Arial" w:cs="Arial" w:eastAsia="Arial" w:hAnsi="Arial"/>
                <w:sz w:val="17"/>
                <w:szCs w:val="17"/>
                <w:color w:val="auto"/>
              </w:rPr>
              <w:t>5.86</w:t>
            </w:r>
          </w:p>
        </w:tc>
        <w:tc>
          <w:tcPr>
            <w:tcW w:w="1280" w:type="dxa"/>
            <w:vAlign w:val="bottom"/>
            <w:gridSpan w:val="2"/>
          </w:tcPr>
          <w:p>
            <w:pPr>
              <w:ind w:left="720"/>
              <w:spacing w:after="0"/>
              <w:rPr>
                <w:sz w:val="20"/>
                <w:szCs w:val="20"/>
                <w:color w:val="auto"/>
              </w:rPr>
            </w:pPr>
            <w:r>
              <w:rPr>
                <w:rFonts w:ascii="Arial" w:cs="Arial" w:eastAsia="Arial" w:hAnsi="Arial"/>
                <w:sz w:val="17"/>
                <w:szCs w:val="17"/>
                <w:color w:val="auto"/>
              </w:rPr>
              <w:t>6.62</w:t>
            </w:r>
          </w:p>
        </w:tc>
        <w:tc>
          <w:tcPr>
            <w:tcW w:w="3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105,226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left="380" w:right="220" w:firstLine="534"/>
        <w:spacing w:after="0" w:line="250" w:lineRule="auto"/>
        <w:rPr>
          <w:sz w:val="20"/>
          <w:szCs w:val="20"/>
          <w:color w:val="auto"/>
        </w:rPr>
      </w:pPr>
      <w:r>
        <w:rPr>
          <w:rFonts w:ascii="Arial" w:cs="Arial" w:eastAsia="Arial" w:hAnsi="Arial"/>
          <w:sz w:val="17"/>
          <w:szCs w:val="17"/>
          <w:color w:val="auto"/>
        </w:rPr>
        <w:t>The aggregate intrinsic values of options outstanding, exercisable, vested and expected to vest were calculated as the difference between the exercise price of the options and the estimated fair value of the Company’s common stock, as determined by the Board of Directors.</w:t>
      </w:r>
    </w:p>
    <w:p>
      <w:pPr>
        <w:spacing w:after="0" w:line="188" w:lineRule="exact"/>
        <w:rPr>
          <w:sz w:val="20"/>
          <w:szCs w:val="20"/>
          <w:color w:val="auto"/>
        </w:rPr>
      </w:pPr>
    </w:p>
    <w:p>
      <w:pPr>
        <w:ind w:left="380" w:right="380" w:firstLine="534"/>
        <w:spacing w:after="0" w:line="258" w:lineRule="auto"/>
        <w:rPr>
          <w:sz w:val="20"/>
          <w:szCs w:val="20"/>
          <w:color w:val="auto"/>
        </w:rPr>
      </w:pPr>
      <w:r>
        <w:rPr>
          <w:rFonts w:ascii="Arial" w:cs="Arial" w:eastAsia="Arial" w:hAnsi="Arial"/>
          <w:sz w:val="17"/>
          <w:szCs w:val="17"/>
          <w:color w:val="auto"/>
        </w:rPr>
        <w:t>The weighted-average grant date fair value of stock options granted during the years ended December 31, 2017 and 2018 was $7.70 and $9.34 per share, respectively. The intrinsic value of stock</w:t>
      </w:r>
    </w:p>
    <w:p>
      <w:pPr>
        <w:spacing w:after="0" w:line="11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1060"/>
          </w:cols>
          <w:pgMar w:left="240" w:top="449" w:right="599" w:bottom="1440" w:gutter="0" w:footer="0" w:header="0"/>
        </w:sectPr>
      </w:pPr>
    </w:p>
    <w:bookmarkStart w:id="244" w:name="page245"/>
    <w:bookmarkEnd w:id="2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7" w:lineRule="exact"/>
        <w:rPr>
          <w:sz w:val="20"/>
          <w:szCs w:val="20"/>
          <w:color w:val="auto"/>
        </w:rPr>
      </w:pPr>
    </w:p>
    <w:p>
      <w:pPr>
        <w:ind w:left="380" w:right="420"/>
        <w:spacing w:after="0" w:line="250" w:lineRule="auto"/>
        <w:rPr>
          <w:sz w:val="20"/>
          <w:szCs w:val="20"/>
          <w:color w:val="auto"/>
        </w:rPr>
      </w:pPr>
      <w:r>
        <w:rPr>
          <w:rFonts w:ascii="Arial" w:cs="Arial" w:eastAsia="Arial" w:hAnsi="Arial"/>
          <w:sz w:val="17"/>
          <w:szCs w:val="17"/>
          <w:color w:val="auto"/>
        </w:rPr>
        <w:t>options exercised was $0.5 million and $1.9 million for the years ended December 31, 2017 and 2018, respectively. Because of the Company’s net operating losses, the Company did not realize any tax benefits from stock-based payment arrangements for the years ended December 31, 2017 and 2018.</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Early Exercise of Stock Options</w:t>
      </w:r>
    </w:p>
    <w:p>
      <w:pPr>
        <w:spacing w:after="0" w:line="124" w:lineRule="exact"/>
        <w:rPr>
          <w:sz w:val="20"/>
          <w:szCs w:val="20"/>
          <w:color w:val="auto"/>
        </w:rPr>
      </w:pPr>
    </w:p>
    <w:p>
      <w:pPr>
        <w:ind w:left="380" w:right="20" w:firstLine="534"/>
        <w:spacing w:after="0" w:line="244" w:lineRule="auto"/>
        <w:rPr>
          <w:sz w:val="20"/>
          <w:szCs w:val="20"/>
          <w:color w:val="auto"/>
        </w:rPr>
      </w:pPr>
      <w:r>
        <w:rPr>
          <w:rFonts w:ascii="Arial" w:cs="Arial" w:eastAsia="Arial" w:hAnsi="Arial"/>
          <w:sz w:val="17"/>
          <w:szCs w:val="17"/>
          <w:color w:val="auto"/>
        </w:rPr>
        <w:t>The 2018 Plan allows for the granting of options that may be exercised before the options have vested. Shares issued as a result of early exercise that have not vested are subject to repurchase by the Company upon termination of the purchaser’s employment or services, at the price paid by the purchaser, and are not deemed to be issued for accounting purposes until those related shares vest. The amounts received in exchange for these shares have been recorded as a liability on the consolidated balance sheets and will be reclassified into common stock and additional paid-in-capital as the shares vest. The Company’s right to repurchase these shares generally lapses in equal installments over four years beginning from the original vesting commencement date.</w:t>
      </w:r>
    </w:p>
    <w:p>
      <w:pPr>
        <w:spacing w:after="0" w:line="196" w:lineRule="exact"/>
        <w:rPr>
          <w:sz w:val="20"/>
          <w:szCs w:val="20"/>
          <w:color w:val="auto"/>
        </w:rPr>
      </w:pPr>
    </w:p>
    <w:p>
      <w:pPr>
        <w:ind w:left="380" w:right="60" w:firstLine="534"/>
        <w:spacing w:after="0" w:line="245" w:lineRule="auto"/>
        <w:rPr>
          <w:sz w:val="20"/>
          <w:szCs w:val="20"/>
          <w:color w:val="auto"/>
        </w:rPr>
      </w:pPr>
      <w:r>
        <w:rPr>
          <w:rFonts w:ascii="Arial" w:cs="Arial" w:eastAsia="Arial" w:hAnsi="Arial"/>
          <w:sz w:val="17"/>
          <w:szCs w:val="17"/>
          <w:color w:val="auto"/>
        </w:rPr>
        <w:t>At December 31, 2017 there were 113,827 shares of common stock outstanding, subject to the Company’s right of repurchase at prices ranging from $2.16 to $7.64 per share. At December 31, 2018, there were 205,108 shares of common stock outstanding, subject to the Company’s right of repurchase at prices ranging from $4.00 to $8.14 per share. At December 31, 2017 and 2018, the Company recorded $0.4 million and $1.6 million, respectively, as early exercise stock option liabilities associated with shares issued with repurchase rights.</w:t>
      </w:r>
    </w:p>
    <w:p>
      <w:pPr>
        <w:spacing w:after="0" w:line="200" w:lineRule="exact"/>
        <w:rPr>
          <w:sz w:val="20"/>
          <w:szCs w:val="20"/>
          <w:color w:val="auto"/>
        </w:rPr>
      </w:pPr>
    </w:p>
    <w:p>
      <w:pPr>
        <w:spacing w:after="0" w:line="280"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Employee Stock-Based Compensation Expense</w:t>
      </w:r>
    </w:p>
    <w:p>
      <w:pPr>
        <w:spacing w:after="0" w:line="124" w:lineRule="exact"/>
        <w:rPr>
          <w:sz w:val="20"/>
          <w:szCs w:val="20"/>
          <w:color w:val="auto"/>
        </w:rPr>
      </w:pPr>
    </w:p>
    <w:p>
      <w:pPr>
        <w:ind w:left="380" w:right="60" w:firstLine="534"/>
        <w:spacing w:after="0" w:line="247" w:lineRule="auto"/>
        <w:rPr>
          <w:sz w:val="20"/>
          <w:szCs w:val="20"/>
          <w:color w:val="auto"/>
        </w:rPr>
      </w:pPr>
      <w:r>
        <w:rPr>
          <w:rFonts w:ascii="Arial" w:cs="Arial" w:eastAsia="Arial" w:hAnsi="Arial"/>
          <w:sz w:val="17"/>
          <w:szCs w:val="17"/>
          <w:color w:val="auto"/>
        </w:rPr>
        <w:t>Employee and director stock-based compensation expense for the years ended December 31, 2017 and 2018, was calculated based on awards ultimately expected to vest and has been reduced for estimated forfeitures. The following table summarizes stock-based compensation expense related to stock-based payment awards to employees and directors for the years ended December 31, 2017 and 2018, which was allocated as follows (in thousands):</w:t>
      </w:r>
    </w:p>
    <w:p>
      <w:pPr>
        <w:spacing w:after="0" w:line="202"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Year Ended</w:t>
            </w:r>
          </w:p>
        </w:tc>
      </w:tr>
      <w:tr>
        <w:trPr>
          <w:trHeight w:val="169"/>
        </w:trPr>
        <w:tc>
          <w:tcPr>
            <w:tcW w:w="56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December 31,</w:t>
            </w:r>
          </w:p>
        </w:tc>
      </w:tr>
      <w:tr>
        <w:trPr>
          <w:trHeight w:val="150"/>
        </w:trPr>
        <w:tc>
          <w:tcPr>
            <w:tcW w:w="56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540" w:type="dxa"/>
            <w:vAlign w:val="bottom"/>
            <w:tcBorders>
              <w:top w:val="single" w:sz="8" w:color="auto"/>
            </w:tcBorders>
          </w:tcPr>
          <w:p>
            <w:pPr>
              <w:jc w:val="center"/>
              <w:spacing w:after="0" w:line="150"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jc w:val="right"/>
              <w:ind w:right="33"/>
              <w:spacing w:after="0" w:line="150"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90"/>
        </w:trPr>
        <w:tc>
          <w:tcPr>
            <w:tcW w:w="56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Research and development</w:t>
            </w:r>
          </w:p>
        </w:tc>
        <w:tc>
          <w:tcPr>
            <w:tcW w:w="35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rPr>
              <w:t>$4,473</w:t>
            </w: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9"/>
              </w:rPr>
              <w:t>$5,232</w:t>
            </w:r>
          </w:p>
        </w:tc>
        <w:tc>
          <w:tcPr>
            <w:tcW w:w="60" w:type="dxa"/>
            <w:vAlign w:val="bottom"/>
            <w:tcBorders>
              <w:top w:val="single" w:sz="8" w:color="CCEEFF"/>
            </w:tcBorders>
            <w:shd w:val="clear" w:color="auto" w:fill="CCEEFF"/>
          </w:tcPr>
          <w:p>
            <w:pPr>
              <w:spacing w:after="0"/>
              <w:rPr>
                <w:sz w:val="16"/>
                <w:szCs w:val="16"/>
                <w:color w:val="auto"/>
              </w:rPr>
            </w:pPr>
          </w:p>
        </w:tc>
      </w:tr>
      <w:tr>
        <w:trPr>
          <w:trHeight w:val="196"/>
        </w:trPr>
        <w:tc>
          <w:tcPr>
            <w:tcW w:w="564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35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2,994</w:t>
            </w:r>
          </w:p>
        </w:tc>
        <w:tc>
          <w:tcPr>
            <w:tcW w:w="780" w:type="dxa"/>
            <w:vAlign w:val="bottom"/>
            <w:gridSpan w:val="3"/>
          </w:tcPr>
          <w:p>
            <w:pPr>
              <w:jc w:val="right"/>
              <w:ind w:right="60"/>
              <w:spacing w:after="0"/>
              <w:rPr>
                <w:sz w:val="20"/>
                <w:szCs w:val="20"/>
                <w:color w:val="auto"/>
              </w:rPr>
            </w:pPr>
            <w:r>
              <w:rPr>
                <w:rFonts w:ascii="Arial" w:cs="Arial" w:eastAsia="Arial" w:hAnsi="Arial"/>
                <w:sz w:val="17"/>
                <w:szCs w:val="17"/>
                <w:color w:val="auto"/>
              </w:rPr>
              <w:t>4,524</w:t>
            </w:r>
          </w:p>
        </w:tc>
      </w:tr>
      <w:tr>
        <w:trPr>
          <w:trHeight w:val="26"/>
        </w:trPr>
        <w:tc>
          <w:tcPr>
            <w:tcW w:w="56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96"/>
        </w:trPr>
        <w:tc>
          <w:tcPr>
            <w:tcW w:w="5640" w:type="dxa"/>
            <w:vAlign w:val="bottom"/>
            <w:shd w:val="clear" w:color="auto" w:fill="CCEEFF"/>
          </w:tcPr>
          <w:p>
            <w:pPr>
              <w:spacing w:after="0"/>
              <w:rPr>
                <w:sz w:val="17"/>
                <w:szCs w:val="17"/>
                <w:color w:val="auto"/>
              </w:rPr>
            </w:pPr>
          </w:p>
        </w:tc>
        <w:tc>
          <w:tcPr>
            <w:tcW w:w="4260" w:type="dxa"/>
            <w:vAlign w:val="bottom"/>
            <w:gridSpan w:val="3"/>
            <w:shd w:val="clear" w:color="auto" w:fill="CCEEFF"/>
          </w:tcPr>
          <w:p>
            <w:pPr>
              <w:jc w:val="center"/>
              <w:ind w:left="3233"/>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7,467</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9,756</w:t>
            </w:r>
          </w:p>
        </w:tc>
      </w:tr>
      <w:tr>
        <w:trPr>
          <w:trHeight w:val="20"/>
        </w:trPr>
        <w:tc>
          <w:tcPr>
            <w:tcW w:w="56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9"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Valuation Assumptions</w:t>
      </w:r>
    </w:p>
    <w:p>
      <w:pPr>
        <w:spacing w:after="0" w:line="124" w:lineRule="exact"/>
        <w:rPr>
          <w:sz w:val="20"/>
          <w:szCs w:val="20"/>
          <w:color w:val="auto"/>
        </w:rPr>
      </w:pPr>
    </w:p>
    <w:p>
      <w:pPr>
        <w:ind w:left="380" w:right="120" w:firstLine="534"/>
        <w:spacing w:after="0" w:line="247" w:lineRule="auto"/>
        <w:rPr>
          <w:sz w:val="20"/>
          <w:szCs w:val="20"/>
          <w:color w:val="auto"/>
        </w:rPr>
      </w:pPr>
      <w:r>
        <w:rPr>
          <w:rFonts w:ascii="Arial" w:cs="Arial" w:eastAsia="Arial" w:hAnsi="Arial"/>
          <w:sz w:val="17"/>
          <w:szCs w:val="17"/>
          <w:color w:val="auto"/>
        </w:rPr>
        <w:t>The Company uses the Black-Scholes option-pricing model to estimate the fair value of stock options at the grant date. The Black-Scholes option -pricing model requires the Company to make certain estimates and assumptions, including assumptions related to the expected price volatility of the Company’s stock, the period during which the options will be outstanding, the rate of return on risk-free investments and the expected dividend yield for the Company’s stock.</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F-33</w:t>
      </w:r>
    </w:p>
    <w:p>
      <w:pPr>
        <w:sectPr>
          <w:pgSz w:w="11900" w:h="16838" w:orient="portrait"/>
          <w:cols w:equalWidth="0" w:num="1">
            <w:col w:w="11060"/>
          </w:cols>
          <w:pgMar w:left="240" w:top="449" w:right="599" w:bottom="1440" w:gutter="0" w:footer="0" w:header="0"/>
        </w:sectPr>
      </w:pPr>
    </w:p>
    <w:bookmarkStart w:id="245" w:name="page246"/>
    <w:bookmarkEnd w:id="2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7" w:lineRule="exact"/>
        <w:rPr>
          <w:sz w:val="20"/>
          <w:szCs w:val="20"/>
          <w:color w:val="auto"/>
        </w:rPr>
      </w:pPr>
    </w:p>
    <w:p>
      <w:pPr>
        <w:ind w:left="380" w:right="40" w:firstLine="534"/>
        <w:spacing w:after="0" w:line="258" w:lineRule="auto"/>
        <w:rPr>
          <w:sz w:val="20"/>
          <w:szCs w:val="20"/>
          <w:color w:val="auto"/>
        </w:rPr>
      </w:pPr>
      <w:r>
        <w:rPr>
          <w:rFonts w:ascii="Arial" w:cs="Arial" w:eastAsia="Arial" w:hAnsi="Arial"/>
          <w:sz w:val="17"/>
          <w:szCs w:val="17"/>
          <w:color w:val="auto"/>
        </w:rPr>
        <w:t>The fair value of stock option awards granted to employees was estimated at the date of grant using a Black-Scholes option-pricing model with the following weighted-average valuation assumptions:</w:t>
      </w:r>
    </w:p>
    <w:p>
      <w:pPr>
        <w:spacing w:after="0" w:line="19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8960" w:type="dxa"/>
            <w:vAlign w:val="bottom"/>
          </w:tcPr>
          <w:p>
            <w:pPr>
              <w:spacing w:after="0"/>
              <w:rPr>
                <w:sz w:val="14"/>
                <w:szCs w:val="14"/>
                <w:color w:val="auto"/>
              </w:rPr>
            </w:pPr>
          </w:p>
        </w:tc>
        <w:tc>
          <w:tcPr>
            <w:tcW w:w="17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Year Ended</w:t>
            </w:r>
          </w:p>
        </w:tc>
      </w:tr>
      <w:tr>
        <w:trPr>
          <w:trHeight w:val="169"/>
        </w:trPr>
        <w:tc>
          <w:tcPr>
            <w:tcW w:w="8960" w:type="dxa"/>
            <w:vAlign w:val="bottom"/>
          </w:tcPr>
          <w:p>
            <w:pPr>
              <w:spacing w:after="0"/>
              <w:rPr>
                <w:sz w:val="14"/>
                <w:szCs w:val="14"/>
                <w:color w:val="auto"/>
              </w:rPr>
            </w:pPr>
          </w:p>
        </w:tc>
        <w:tc>
          <w:tcPr>
            <w:tcW w:w="17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December 31,</w:t>
            </w:r>
          </w:p>
        </w:tc>
      </w:tr>
      <w:tr>
        <w:trPr>
          <w:trHeight w:val="150"/>
        </w:trPr>
        <w:tc>
          <w:tcPr>
            <w:tcW w:w="896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20"/>
              <w:spacing w:after="0" w:line="150"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top w:val="single" w:sz="8" w:color="auto"/>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3"/>
                <w:szCs w:val="13"/>
                <w:color w:val="auto"/>
              </w:rPr>
            </w:pPr>
          </w:p>
        </w:tc>
      </w:tr>
      <w:tr>
        <w:trPr>
          <w:trHeight w:val="190"/>
        </w:trPr>
        <w:tc>
          <w:tcPr>
            <w:tcW w:w="8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Risk-free interest rate</w:t>
            </w:r>
          </w:p>
        </w:tc>
        <w:tc>
          <w:tcPr>
            <w:tcW w:w="100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1.73%</w:t>
            </w:r>
          </w:p>
        </w:tc>
        <w:tc>
          <w:tcPr>
            <w:tcW w:w="7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2.59%</w:t>
            </w:r>
          </w:p>
        </w:tc>
      </w:tr>
      <w:tr>
        <w:trPr>
          <w:trHeight w:val="196"/>
        </w:trPr>
        <w:tc>
          <w:tcPr>
            <w:tcW w:w="8960" w:type="dxa"/>
            <w:vAlign w:val="bottom"/>
          </w:tcPr>
          <w:p>
            <w:pPr>
              <w:spacing w:after="0"/>
              <w:rPr>
                <w:sz w:val="20"/>
                <w:szCs w:val="20"/>
                <w:color w:val="auto"/>
              </w:rPr>
            </w:pPr>
            <w:r>
              <w:rPr>
                <w:rFonts w:ascii="Arial" w:cs="Arial" w:eastAsia="Arial" w:hAnsi="Arial"/>
                <w:sz w:val="17"/>
                <w:szCs w:val="17"/>
                <w:color w:val="auto"/>
              </w:rPr>
              <w:t>Expected term of options (in years)</w:t>
            </w:r>
          </w:p>
        </w:tc>
        <w:tc>
          <w:tcPr>
            <w:tcW w:w="1000" w:type="dxa"/>
            <w:vAlign w:val="bottom"/>
            <w:gridSpan w:val="2"/>
          </w:tcPr>
          <w:p>
            <w:pPr>
              <w:jc w:val="right"/>
              <w:ind w:right="500"/>
              <w:spacing w:after="0"/>
              <w:rPr>
                <w:sz w:val="20"/>
                <w:szCs w:val="20"/>
                <w:color w:val="auto"/>
              </w:rPr>
            </w:pPr>
            <w:r>
              <w:rPr>
                <w:rFonts w:ascii="Arial" w:cs="Arial" w:eastAsia="Arial" w:hAnsi="Arial"/>
                <w:sz w:val="17"/>
                <w:szCs w:val="17"/>
                <w:color w:val="auto"/>
              </w:rPr>
              <w:t>6.25</w:t>
            </w: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5.98</w:t>
            </w:r>
          </w:p>
        </w:tc>
      </w:tr>
      <w:tr>
        <w:trPr>
          <w:trHeight w:val="196"/>
        </w:trPr>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Expected stock price volatility</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75.48%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64.60%</w:t>
            </w:r>
          </w:p>
        </w:tc>
      </w:tr>
      <w:tr>
        <w:trPr>
          <w:trHeight w:val="210"/>
        </w:trPr>
        <w:tc>
          <w:tcPr>
            <w:tcW w:w="8960" w:type="dxa"/>
            <w:vAlign w:val="bottom"/>
          </w:tcPr>
          <w:p>
            <w:pPr>
              <w:spacing w:after="0"/>
              <w:rPr>
                <w:sz w:val="20"/>
                <w:szCs w:val="20"/>
                <w:color w:val="auto"/>
              </w:rPr>
            </w:pPr>
            <w:r>
              <w:rPr>
                <w:rFonts w:ascii="Arial" w:cs="Arial" w:eastAsia="Arial" w:hAnsi="Arial"/>
                <w:sz w:val="17"/>
                <w:szCs w:val="17"/>
                <w:color w:val="auto"/>
              </w:rPr>
              <w:t>Expected Dividends</w:t>
            </w:r>
          </w:p>
        </w:tc>
        <w:tc>
          <w:tcPr>
            <w:tcW w:w="100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r>
    </w:tbl>
    <w:p>
      <w:pPr>
        <w:spacing w:after="0" w:line="19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weighted-average valuation assumptions were determined as follows:</w:t>
      </w:r>
    </w:p>
    <w:p>
      <w:pPr>
        <w:spacing w:after="0" w:line="86" w:lineRule="exact"/>
        <w:rPr>
          <w:sz w:val="20"/>
          <w:szCs w:val="20"/>
          <w:color w:val="auto"/>
        </w:rPr>
      </w:pPr>
    </w:p>
    <w:p>
      <w:pPr>
        <w:ind w:left="900" w:right="220"/>
        <w:spacing w:after="0" w:line="283" w:lineRule="auto"/>
        <w:rPr>
          <w:sz w:val="20"/>
          <w:szCs w:val="20"/>
          <w:color w:val="auto"/>
        </w:rPr>
      </w:pPr>
      <w:r>
        <w:rPr>
          <w:rFonts w:ascii="Arial" w:cs="Arial" w:eastAsia="Arial" w:hAnsi="Arial"/>
          <w:sz w:val="17"/>
          <w:szCs w:val="17"/>
          <w:b w:val="1"/>
          <w:bCs w:val="1"/>
          <w:i w:val="1"/>
          <w:iCs w:val="1"/>
          <w:color w:val="auto"/>
        </w:rPr>
        <w:t xml:space="preserve">Expected Stock Price Volatility: </w:t>
      </w:r>
      <w:r>
        <w:rPr>
          <w:rFonts w:ascii="Arial" w:cs="Arial" w:eastAsia="Arial" w:hAnsi="Arial"/>
          <w:sz w:val="17"/>
          <w:szCs w:val="17"/>
          <w:color w:val="auto"/>
        </w:rPr>
        <w:t>The expected volatility is based on the historical volatility of the stock of similar entities within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Company’s industry over periods commensurate with the Company’s expected term assumption.</w:t>
      </w:r>
    </w:p>
    <w:p>
      <w:pPr>
        <w:spacing w:after="0" w:line="37" w:lineRule="exact"/>
        <w:rPr>
          <w:sz w:val="20"/>
          <w:szCs w:val="20"/>
          <w:color w:val="auto"/>
        </w:rPr>
      </w:pPr>
    </w:p>
    <w:p>
      <w:pPr>
        <w:ind w:left="900" w:right="100"/>
        <w:spacing w:after="0" w:line="262" w:lineRule="auto"/>
        <w:rPr>
          <w:sz w:val="20"/>
          <w:szCs w:val="20"/>
          <w:color w:val="auto"/>
        </w:rPr>
      </w:pPr>
      <w:r>
        <w:rPr>
          <w:rFonts w:ascii="Arial" w:cs="Arial" w:eastAsia="Arial" w:hAnsi="Arial"/>
          <w:sz w:val="17"/>
          <w:szCs w:val="17"/>
          <w:b w:val="1"/>
          <w:bCs w:val="1"/>
          <w:i w:val="1"/>
          <w:iCs w:val="1"/>
          <w:color w:val="auto"/>
        </w:rPr>
        <w:t xml:space="preserve">Expected Term of Options: </w:t>
      </w:r>
      <w:r>
        <w:rPr>
          <w:rFonts w:ascii="Arial" w:cs="Arial" w:eastAsia="Arial" w:hAnsi="Arial"/>
          <w:sz w:val="17"/>
          <w:szCs w:val="17"/>
          <w:color w:val="auto"/>
        </w:rPr>
        <w:t>The expected term of options represents the period of time options are expected to be outstanding.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expected term of the options granted is derived using the “simplified” method (that is, estimating the expected term as the midpoint between the vesting date and the end of the contractual term for each option).</w:t>
      </w:r>
    </w:p>
    <w:p>
      <w:pPr>
        <w:spacing w:after="0" w:line="54" w:lineRule="exact"/>
        <w:rPr>
          <w:sz w:val="20"/>
          <w:szCs w:val="20"/>
          <w:color w:val="auto"/>
        </w:rPr>
      </w:pPr>
    </w:p>
    <w:p>
      <w:pPr>
        <w:ind w:left="900" w:right="140"/>
        <w:spacing w:after="0" w:line="283" w:lineRule="auto"/>
        <w:rPr>
          <w:sz w:val="20"/>
          <w:szCs w:val="20"/>
          <w:color w:val="auto"/>
        </w:rPr>
      </w:pPr>
      <w:r>
        <w:rPr>
          <w:rFonts w:ascii="Arial" w:cs="Arial" w:eastAsia="Arial" w:hAnsi="Arial"/>
          <w:sz w:val="17"/>
          <w:szCs w:val="17"/>
          <w:b w:val="1"/>
          <w:bCs w:val="1"/>
          <w:i w:val="1"/>
          <w:iCs w:val="1"/>
          <w:color w:val="auto"/>
        </w:rPr>
        <w:t xml:space="preserve">Risk-Free Interest Rate: </w:t>
      </w:r>
      <w:r>
        <w:rPr>
          <w:rFonts w:ascii="Arial" w:cs="Arial" w:eastAsia="Arial" w:hAnsi="Arial"/>
          <w:sz w:val="17"/>
          <w:szCs w:val="17"/>
          <w:color w:val="auto"/>
        </w:rPr>
        <w:t>The Company bases the risk-free interest rate on the interest rate payable on U.S. Treasury securities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effect at the time of grant for a period that is commensurate with the assumed expected option term.</w:t>
      </w:r>
    </w:p>
    <w:p>
      <w:pPr>
        <w:spacing w:after="0" w:line="37" w:lineRule="exact"/>
        <w:rPr>
          <w:sz w:val="20"/>
          <w:szCs w:val="20"/>
          <w:color w:val="auto"/>
        </w:rPr>
      </w:pPr>
    </w:p>
    <w:p>
      <w:pPr>
        <w:ind w:left="900" w:right="280"/>
        <w:spacing w:after="0" w:line="283" w:lineRule="auto"/>
        <w:rPr>
          <w:sz w:val="20"/>
          <w:szCs w:val="20"/>
          <w:color w:val="auto"/>
        </w:rPr>
      </w:pPr>
      <w:r>
        <w:rPr>
          <w:rFonts w:ascii="Arial" w:cs="Arial" w:eastAsia="Arial" w:hAnsi="Arial"/>
          <w:sz w:val="17"/>
          <w:szCs w:val="17"/>
          <w:b w:val="1"/>
          <w:bCs w:val="1"/>
          <w:i w:val="1"/>
          <w:iCs w:val="1"/>
          <w:color w:val="auto"/>
        </w:rPr>
        <w:t xml:space="preserve">Expected Annual Dividends: </w:t>
      </w:r>
      <w:r>
        <w:rPr>
          <w:rFonts w:ascii="Arial" w:cs="Arial" w:eastAsia="Arial" w:hAnsi="Arial"/>
          <w:sz w:val="17"/>
          <w:szCs w:val="17"/>
          <w:color w:val="auto"/>
        </w:rPr>
        <w:t>The Company has not historically paid, and does not expect for the foreseeable future to pay,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dividend.</w:t>
      </w:r>
    </w:p>
    <w:p>
      <w:pPr>
        <w:spacing w:after="0" w:line="161" w:lineRule="exact"/>
        <w:rPr>
          <w:sz w:val="20"/>
          <w:szCs w:val="20"/>
          <w:color w:val="auto"/>
        </w:rPr>
      </w:pPr>
    </w:p>
    <w:p>
      <w:pPr>
        <w:ind w:left="380" w:right="220" w:firstLine="534"/>
        <w:spacing w:after="0" w:line="250" w:lineRule="auto"/>
        <w:rPr>
          <w:sz w:val="20"/>
          <w:szCs w:val="20"/>
          <w:color w:val="auto"/>
        </w:rPr>
      </w:pPr>
      <w:r>
        <w:rPr>
          <w:rFonts w:ascii="Arial" w:cs="Arial" w:eastAsia="Arial" w:hAnsi="Arial"/>
          <w:sz w:val="17"/>
          <w:szCs w:val="17"/>
          <w:color w:val="auto"/>
        </w:rPr>
        <w:t>As of December 31, 2018, there was approximately $16.7 million in total unrecognized compensation expense, net of estimated forfeitures, related to unvested options granted to employees and directors under the 2008 and 2018 Plans. The expense is expected to be recognized over a weighted-average period of 2.79 years.</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Stock Options Granted to Non-employees</w:t>
      </w:r>
    </w:p>
    <w:p>
      <w:pPr>
        <w:spacing w:after="0" w:line="126" w:lineRule="exact"/>
        <w:rPr>
          <w:sz w:val="20"/>
          <w:szCs w:val="20"/>
          <w:color w:val="auto"/>
        </w:rPr>
      </w:pPr>
    </w:p>
    <w:p>
      <w:pPr>
        <w:ind w:left="380" w:right="20" w:firstLine="534"/>
        <w:spacing w:after="0" w:line="247" w:lineRule="auto"/>
        <w:rPr>
          <w:sz w:val="20"/>
          <w:szCs w:val="20"/>
          <w:color w:val="auto"/>
        </w:rPr>
      </w:pPr>
      <w:r>
        <w:rPr>
          <w:rFonts w:ascii="Arial" w:cs="Arial" w:eastAsia="Arial" w:hAnsi="Arial"/>
          <w:sz w:val="17"/>
          <w:szCs w:val="17"/>
          <w:color w:val="auto"/>
        </w:rPr>
        <w:t>The Company grants stock options to non-employees in exchange for services performed for the Company. During the years ended December 31, 2017 and 2018, the Company did not grant any options to purchase shares of common stock to non-employees. The following table summarizes stock-based compensation expense related to stock-based payment awards to non-employees for the years ended December 31, 2017 and 2018, which was allocated as follows (in thousands):</w:t>
      </w:r>
    </w:p>
    <w:p>
      <w:pPr>
        <w:spacing w:after="0" w:line="202"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2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Year Ended</w:t>
            </w:r>
          </w:p>
        </w:tc>
      </w:tr>
      <w:tr>
        <w:trPr>
          <w:trHeight w:val="169"/>
        </w:trPr>
        <w:tc>
          <w:tcPr>
            <w:tcW w:w="364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2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December 31,</w:t>
            </w:r>
          </w:p>
        </w:tc>
      </w:tr>
      <w:tr>
        <w:trPr>
          <w:trHeight w:val="150"/>
        </w:trPr>
        <w:tc>
          <w:tcPr>
            <w:tcW w:w="364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420" w:type="dxa"/>
            <w:vAlign w:val="bottom"/>
            <w:tcBorders>
              <w:top w:val="single" w:sz="8" w:color="auto"/>
            </w:tcBorders>
          </w:tcPr>
          <w:p>
            <w:pPr>
              <w:jc w:val="right"/>
              <w:spacing w:after="0" w:line="150" w:lineRule="exact"/>
              <w:rPr>
                <w:sz w:val="20"/>
                <w:szCs w:val="20"/>
                <w:color w:val="auto"/>
              </w:rPr>
            </w:pPr>
            <w:r>
              <w:rPr>
                <w:rFonts w:ascii="Arial" w:cs="Arial" w:eastAsia="Arial" w:hAnsi="Arial"/>
                <w:sz w:val="14"/>
                <w:szCs w:val="14"/>
                <w:b w:val="1"/>
                <w:bCs w:val="1"/>
                <w:color w:val="auto"/>
              </w:rPr>
              <w:t>2017</w:t>
            </w:r>
          </w:p>
        </w:tc>
        <w:tc>
          <w:tcPr>
            <w:tcW w:w="760" w:type="dxa"/>
            <w:vAlign w:val="bottom"/>
            <w:tcBorders>
              <w:top w:val="single" w:sz="8" w:color="auto"/>
            </w:tcBorders>
            <w:gridSpan w:val="2"/>
          </w:tcPr>
          <w:p>
            <w:pPr>
              <w:jc w:val="right"/>
              <w:spacing w:after="0" w:line="150"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90"/>
        </w:trPr>
        <w:tc>
          <w:tcPr>
            <w:tcW w:w="36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Research and development</w:t>
            </w:r>
          </w:p>
        </w:tc>
        <w:tc>
          <w:tcPr>
            <w:tcW w:w="58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$250</w:t>
            </w:r>
          </w:p>
        </w:tc>
        <w:tc>
          <w:tcPr>
            <w:tcW w:w="3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$103</w:t>
            </w:r>
          </w:p>
        </w:tc>
        <w:tc>
          <w:tcPr>
            <w:tcW w:w="60" w:type="dxa"/>
            <w:vAlign w:val="bottom"/>
            <w:tcBorders>
              <w:top w:val="single" w:sz="8" w:color="CCEEFF"/>
            </w:tcBorders>
            <w:shd w:val="clear" w:color="auto" w:fill="CCEEFF"/>
          </w:tcPr>
          <w:p>
            <w:pPr>
              <w:spacing w:after="0"/>
              <w:rPr>
                <w:sz w:val="16"/>
                <w:szCs w:val="16"/>
                <w:color w:val="auto"/>
              </w:rPr>
            </w:pPr>
          </w:p>
        </w:tc>
      </w:tr>
      <w:tr>
        <w:trPr>
          <w:trHeight w:val="196"/>
        </w:trPr>
        <w:tc>
          <w:tcPr>
            <w:tcW w:w="364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5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6"/>
        </w:trPr>
        <w:tc>
          <w:tcPr>
            <w:tcW w:w="364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96"/>
        </w:trPr>
        <w:tc>
          <w:tcPr>
            <w:tcW w:w="3640" w:type="dxa"/>
            <w:vAlign w:val="bottom"/>
            <w:shd w:val="clear" w:color="auto" w:fill="CCEEFF"/>
          </w:tcPr>
          <w:p>
            <w:pPr>
              <w:spacing w:after="0"/>
              <w:rPr>
                <w:sz w:val="17"/>
                <w:szCs w:val="17"/>
                <w:color w:val="auto"/>
              </w:rPr>
            </w:pPr>
          </w:p>
        </w:tc>
        <w:tc>
          <w:tcPr>
            <w:tcW w:w="58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250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103</w:t>
            </w:r>
          </w:p>
        </w:tc>
        <w:tc>
          <w:tcPr>
            <w:tcW w:w="60" w:type="dxa"/>
            <w:vAlign w:val="bottom"/>
            <w:shd w:val="clear" w:color="auto" w:fill="CCEEFF"/>
          </w:tcPr>
          <w:p>
            <w:pPr>
              <w:spacing w:after="0"/>
              <w:rPr>
                <w:sz w:val="17"/>
                <w:szCs w:val="17"/>
                <w:color w:val="auto"/>
              </w:rPr>
            </w:pPr>
          </w:p>
        </w:tc>
      </w:tr>
      <w:tr>
        <w:trPr>
          <w:trHeight w:val="20"/>
        </w:trPr>
        <w:tc>
          <w:tcPr>
            <w:tcW w:w="36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6"/>
        </w:trPr>
        <w:tc>
          <w:tcPr>
            <w:tcW w:w="3640" w:type="dxa"/>
            <w:vAlign w:val="bottom"/>
          </w:tcPr>
          <w:p>
            <w:pPr>
              <w:spacing w:after="0"/>
              <w:rPr>
                <w:sz w:val="24"/>
                <w:szCs w:val="24"/>
                <w:color w:val="auto"/>
              </w:rPr>
            </w:pPr>
          </w:p>
        </w:tc>
        <w:tc>
          <w:tcPr>
            <w:tcW w:w="6220" w:type="dxa"/>
            <w:vAlign w:val="bottom"/>
            <w:gridSpan w:val="2"/>
          </w:tcPr>
          <w:p>
            <w:pPr>
              <w:jc w:val="right"/>
              <w:ind w:right="4261"/>
              <w:spacing w:after="0"/>
              <w:rPr>
                <w:sz w:val="20"/>
                <w:szCs w:val="20"/>
                <w:color w:val="auto"/>
              </w:rPr>
            </w:pPr>
            <w:r>
              <w:rPr>
                <w:rFonts w:ascii="Arial" w:cs="Arial" w:eastAsia="Arial" w:hAnsi="Arial"/>
                <w:sz w:val="17"/>
                <w:szCs w:val="17"/>
                <w:color w:val="auto"/>
              </w:rPr>
              <w:t>F-34</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60"/>
          </w:cols>
          <w:pgMar w:left="240" w:top="450" w:right="599" w:bottom="1440" w:gutter="0" w:footer="0" w:header="0"/>
        </w:sectPr>
      </w:pPr>
    </w:p>
    <w:bookmarkStart w:id="246" w:name="page247"/>
    <w:bookmarkEnd w:id="2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7" w:lineRule="exact"/>
        <w:rPr>
          <w:sz w:val="20"/>
          <w:szCs w:val="20"/>
          <w:color w:val="auto"/>
        </w:rPr>
      </w:pPr>
    </w:p>
    <w:p>
      <w:pPr>
        <w:ind w:left="380" w:right="60" w:firstLine="534"/>
        <w:spacing w:after="0" w:line="258" w:lineRule="auto"/>
        <w:rPr>
          <w:sz w:val="20"/>
          <w:szCs w:val="20"/>
          <w:color w:val="auto"/>
        </w:rPr>
      </w:pPr>
      <w:r>
        <w:rPr>
          <w:rFonts w:ascii="Arial" w:cs="Arial" w:eastAsia="Arial" w:hAnsi="Arial"/>
          <w:sz w:val="17"/>
          <w:szCs w:val="17"/>
          <w:color w:val="auto"/>
        </w:rPr>
        <w:t>The fair value of stock option awards granted to non-employees was estimated at the date of grant using the Black-Scholes option-pricing model with the following weighted-average valuation assumptions:</w:t>
      </w:r>
    </w:p>
    <w:p>
      <w:pPr>
        <w:spacing w:after="0" w:line="19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4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Year Ended</w:t>
            </w:r>
          </w:p>
        </w:tc>
      </w:tr>
      <w:tr>
        <w:trPr>
          <w:trHeight w:val="169"/>
        </w:trPr>
        <w:tc>
          <w:tcPr>
            <w:tcW w:w="9280" w:type="dxa"/>
            <w:vAlign w:val="bottom"/>
          </w:tcPr>
          <w:p>
            <w:pPr>
              <w:spacing w:after="0"/>
              <w:rPr>
                <w:sz w:val="14"/>
                <w:szCs w:val="14"/>
                <w:color w:val="auto"/>
              </w:rPr>
            </w:pPr>
          </w:p>
        </w:tc>
        <w:tc>
          <w:tcPr>
            <w:tcW w:w="14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December 31,</w:t>
            </w:r>
          </w:p>
        </w:tc>
      </w:tr>
      <w:tr>
        <w:trPr>
          <w:trHeight w:val="150"/>
        </w:trPr>
        <w:tc>
          <w:tcPr>
            <w:tcW w:w="928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Borders>
              <w:bottom w:val="single" w:sz="8" w:color="CCEEFF"/>
            </w:tcBorders>
          </w:tcPr>
          <w:p>
            <w:pPr>
              <w:spacing w:after="0"/>
              <w:rPr>
                <w:sz w:val="13"/>
                <w:szCs w:val="13"/>
                <w:color w:val="auto"/>
              </w:rPr>
            </w:pPr>
          </w:p>
        </w:tc>
      </w:tr>
      <w:tr>
        <w:trPr>
          <w:trHeight w:val="190"/>
        </w:trPr>
        <w:tc>
          <w:tcPr>
            <w:tcW w:w="9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Risk-free interest rate</w:t>
            </w:r>
          </w:p>
        </w:tc>
        <w:tc>
          <w:tcPr>
            <w:tcW w:w="102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2.48%</w:t>
            </w: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r>
      <w:tr>
        <w:trPr>
          <w:trHeight w:val="196"/>
        </w:trPr>
        <w:tc>
          <w:tcPr>
            <w:tcW w:w="9280" w:type="dxa"/>
            <w:vAlign w:val="bottom"/>
          </w:tcPr>
          <w:p>
            <w:pPr>
              <w:spacing w:after="0"/>
              <w:rPr>
                <w:sz w:val="20"/>
                <w:szCs w:val="20"/>
                <w:color w:val="auto"/>
              </w:rPr>
            </w:pPr>
            <w:r>
              <w:rPr>
                <w:rFonts w:ascii="Arial" w:cs="Arial" w:eastAsia="Arial" w:hAnsi="Arial"/>
                <w:sz w:val="17"/>
                <w:szCs w:val="17"/>
                <w:color w:val="auto"/>
              </w:rPr>
              <w:t>Term of options (in years)</w:t>
            </w:r>
          </w:p>
        </w:tc>
        <w:tc>
          <w:tcPr>
            <w:tcW w:w="1020" w:type="dxa"/>
            <w:vAlign w:val="bottom"/>
            <w:gridSpan w:val="2"/>
          </w:tcPr>
          <w:p>
            <w:pPr>
              <w:jc w:val="right"/>
              <w:ind w:right="520"/>
              <w:spacing w:after="0"/>
              <w:rPr>
                <w:sz w:val="20"/>
                <w:szCs w:val="20"/>
                <w:color w:val="auto"/>
              </w:rPr>
            </w:pPr>
            <w:r>
              <w:rPr>
                <w:rFonts w:ascii="Arial" w:cs="Arial" w:eastAsia="Arial" w:hAnsi="Arial"/>
                <w:sz w:val="17"/>
                <w:szCs w:val="17"/>
                <w:color w:val="auto"/>
              </w:rPr>
              <w:t>6.95</w:t>
            </w: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196"/>
        </w:trPr>
        <w:tc>
          <w:tcPr>
            <w:tcW w:w="9280" w:type="dxa"/>
            <w:vAlign w:val="bottom"/>
            <w:shd w:val="clear" w:color="auto" w:fill="CCEEFF"/>
          </w:tcPr>
          <w:p>
            <w:pPr>
              <w:spacing w:after="0"/>
              <w:rPr>
                <w:sz w:val="20"/>
                <w:szCs w:val="20"/>
                <w:color w:val="auto"/>
              </w:rPr>
            </w:pPr>
            <w:r>
              <w:rPr>
                <w:rFonts w:ascii="Arial" w:cs="Arial" w:eastAsia="Arial" w:hAnsi="Arial"/>
                <w:sz w:val="17"/>
                <w:szCs w:val="17"/>
                <w:color w:val="auto"/>
              </w:rPr>
              <w:t>Expected stock price volatility</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64.93%</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10"/>
        </w:trPr>
        <w:tc>
          <w:tcPr>
            <w:tcW w:w="9280" w:type="dxa"/>
            <w:vAlign w:val="bottom"/>
          </w:tcPr>
          <w:p>
            <w:pPr>
              <w:spacing w:after="0"/>
              <w:rPr>
                <w:sz w:val="20"/>
                <w:szCs w:val="20"/>
                <w:color w:val="auto"/>
              </w:rPr>
            </w:pPr>
            <w:r>
              <w:rPr>
                <w:rFonts w:ascii="Arial" w:cs="Arial" w:eastAsia="Arial" w:hAnsi="Arial"/>
                <w:sz w:val="17"/>
                <w:szCs w:val="17"/>
                <w:color w:val="auto"/>
              </w:rPr>
              <w:t>Expected Dividends</w:t>
            </w:r>
          </w:p>
        </w:tc>
        <w:tc>
          <w:tcPr>
            <w:tcW w:w="102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bl>
    <w:p>
      <w:pPr>
        <w:spacing w:after="0" w:line="195" w:lineRule="exact"/>
        <w:rPr>
          <w:sz w:val="20"/>
          <w:szCs w:val="20"/>
          <w:color w:val="auto"/>
        </w:rPr>
      </w:pPr>
    </w:p>
    <w:p>
      <w:pPr>
        <w:ind w:left="380" w:right="140" w:firstLine="534"/>
        <w:spacing w:after="0" w:line="247" w:lineRule="auto"/>
        <w:rPr>
          <w:sz w:val="20"/>
          <w:szCs w:val="20"/>
          <w:color w:val="auto"/>
        </w:rPr>
      </w:pPr>
      <w:r>
        <w:rPr>
          <w:rFonts w:ascii="Arial" w:cs="Arial" w:eastAsia="Arial" w:hAnsi="Arial"/>
          <w:sz w:val="17"/>
          <w:szCs w:val="17"/>
          <w:color w:val="auto"/>
        </w:rPr>
        <w:t>In general, the options vest over the contractual periods of the respective non-employee arrangement. The Company revalues the options each reporting period and, accordingly, adjusts the compensation expense related to these options over the remaining vesting periods. As of December 31, 2017 and 2018, non-employee stock options to purchase 31,876 and 16,042 shares, respectively, remain unvested. There were no options granted to non-employees during the year ended December 31, 2018.</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11. Income Taxes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Tax Cuts and Jobs Act of 2017</w:t>
      </w:r>
    </w:p>
    <w:p>
      <w:pPr>
        <w:spacing w:after="0" w:line="126" w:lineRule="exact"/>
        <w:rPr>
          <w:sz w:val="20"/>
          <w:szCs w:val="20"/>
          <w:color w:val="auto"/>
        </w:rPr>
      </w:pPr>
    </w:p>
    <w:p>
      <w:pPr>
        <w:ind w:left="380" w:right="40" w:firstLine="534"/>
        <w:spacing w:after="0" w:line="243" w:lineRule="auto"/>
        <w:rPr>
          <w:sz w:val="20"/>
          <w:szCs w:val="20"/>
          <w:color w:val="auto"/>
        </w:rPr>
      </w:pPr>
      <w:r>
        <w:rPr>
          <w:rFonts w:ascii="Arial" w:cs="Arial" w:eastAsia="Arial" w:hAnsi="Arial"/>
          <w:sz w:val="17"/>
          <w:szCs w:val="17"/>
          <w:color w:val="auto"/>
        </w:rPr>
        <w:t>In December 2017, the 2017 Tax Cuts and Jobs Act (the “2017 Tax Act”) was enacted and includes a broad range of provisions, many of which differ significantly from those contained in previous U.S. tax law. The Company accounts for changes in tax law in accordance with ASC 740 which requires companies to recognize the effect of such changes in the period of enactment. However, the SEC staff issued Staff Accounting Bulletin 118 which will allow companies to record provisional amounts during a measurement period that is similar to the measurement period used when accounting for business combinations. Accordingly, the Company adjusted its deferred taxes and related valuation allowances on a provisional basis to reflect the reduction in U.S. federal corporate tax rate from 35% to 21%, based on current understanding of the new law. As of December 31, 2018, the Company has completed its analysis of the income effects of the 2017 Tax Act. There was no material impact on the Company’s consolidated financial statements as a result of the analysis.</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Income Taxes</w:t>
      </w:r>
    </w:p>
    <w:p>
      <w:pPr>
        <w:spacing w:after="0" w:line="126" w:lineRule="exact"/>
        <w:rPr>
          <w:sz w:val="20"/>
          <w:szCs w:val="20"/>
          <w:color w:val="auto"/>
        </w:rPr>
      </w:pPr>
    </w:p>
    <w:p>
      <w:pPr>
        <w:ind w:left="380" w:right="520" w:firstLine="534"/>
        <w:spacing w:after="0" w:line="258" w:lineRule="auto"/>
        <w:rPr>
          <w:sz w:val="20"/>
          <w:szCs w:val="20"/>
          <w:color w:val="auto"/>
        </w:rPr>
      </w:pPr>
      <w:r>
        <w:rPr>
          <w:rFonts w:ascii="Arial" w:cs="Arial" w:eastAsia="Arial" w:hAnsi="Arial"/>
          <w:sz w:val="17"/>
          <w:szCs w:val="17"/>
          <w:color w:val="auto"/>
        </w:rPr>
        <w:t>The benefit from income taxes was $1.0 million for the year ended December 31, 2017, related to the receivable for refund of Company’s AMT carryovers. There was no provision or benefit for the year ended December 31, 2018.</w:t>
      </w:r>
    </w:p>
    <w:p>
      <w:pPr>
        <w:spacing w:after="0" w:line="11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1060"/>
          </w:cols>
          <w:pgMar w:left="240" w:top="449" w:right="599" w:bottom="1440" w:gutter="0" w:footer="0" w:header="0"/>
        </w:sectPr>
      </w:pPr>
    </w:p>
    <w:bookmarkStart w:id="247" w:name="page248"/>
    <w:bookmarkEnd w:id="2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components of the Company’s losses before income taxes were as follows (in thousands):</w:t>
      </w:r>
    </w:p>
    <w:p>
      <w:pPr>
        <w:spacing w:after="0" w:line="222"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9"/>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9"/>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60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Domestic</w:t>
            </w:r>
          </w:p>
        </w:tc>
        <w:tc>
          <w:tcPr>
            <w:tcW w:w="2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(8,974)</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$ 5,502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tcPr>
          <w:p>
            <w:pPr>
              <w:spacing w:after="0"/>
              <w:rPr>
                <w:sz w:val="20"/>
                <w:szCs w:val="20"/>
                <w:color w:val="auto"/>
              </w:rPr>
            </w:pPr>
            <w:r>
              <w:rPr>
                <w:rFonts w:ascii="Arial" w:cs="Arial" w:eastAsia="Arial" w:hAnsi="Arial"/>
                <w:sz w:val="17"/>
                <w:szCs w:val="17"/>
                <w:color w:val="auto"/>
              </w:rPr>
              <w:t>Foreign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7"/>
                <w:szCs w:val="17"/>
                <w:color w:val="auto"/>
              </w:rPr>
              <w:t>(6,245)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7"/>
                <w:szCs w:val="17"/>
                <w:color w:val="auto"/>
              </w:rPr>
              <w:t>(5,995)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100" w:type="dxa"/>
            <w:vAlign w:val="bottom"/>
            <w:gridSpan w:val="5"/>
            <w:shd w:val="clear" w:color="auto" w:fill="CCEEFF"/>
          </w:tcPr>
          <w:p>
            <w:pPr>
              <w:jc w:val="right"/>
              <w:ind w:right="1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(15,219)</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vMerge w:val="restart"/>
          </w:tcPr>
          <w:p>
            <w:pPr>
              <w:ind w:left="500"/>
              <w:spacing w:after="0"/>
              <w:rPr>
                <w:sz w:val="20"/>
                <w:szCs w:val="20"/>
                <w:color w:val="auto"/>
              </w:rPr>
            </w:pPr>
            <w:r>
              <w:rPr>
                <w:rFonts w:ascii="Arial" w:cs="Arial" w:eastAsia="Arial" w:hAnsi="Arial"/>
                <w:sz w:val="17"/>
                <w:szCs w:val="17"/>
                <w:color w:val="auto"/>
              </w:rPr>
              <w:t>A reconciliation of the statutory U.S. federal rate to the Company’s effective tax rate is as follows:</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8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60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gridSpan w:val="3"/>
          </w:tcPr>
          <w:p>
            <w:pPr>
              <w:jc w:val="right"/>
              <w:ind w:right="34"/>
              <w:spacing w:after="0" w:line="150"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U.S. federal tax at statutory rate</w:t>
            </w:r>
          </w:p>
        </w:tc>
        <w:tc>
          <w:tcPr>
            <w:tcW w:w="2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34.0%</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w w:val="99"/>
              </w:rPr>
              <w:t>21.0%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tcPr>
          <w:p>
            <w:pPr>
              <w:spacing w:after="0"/>
              <w:rPr>
                <w:sz w:val="20"/>
                <w:szCs w:val="20"/>
                <w:color w:val="auto"/>
              </w:rPr>
            </w:pPr>
            <w:r>
              <w:rPr>
                <w:rFonts w:ascii="Arial" w:cs="Arial" w:eastAsia="Arial" w:hAnsi="Arial"/>
                <w:sz w:val="17"/>
                <w:szCs w:val="17"/>
                <w:color w:val="auto"/>
              </w:rPr>
              <w:t>Foreign rate differential</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(1.6)</w:t>
            </w:r>
          </w:p>
        </w:tc>
        <w:tc>
          <w:tcPr>
            <w:tcW w:w="200" w:type="dxa"/>
            <w:vAlign w:val="bottom"/>
          </w:tcPr>
          <w:p>
            <w:pPr>
              <w:spacing w:after="0"/>
              <w:rPr>
                <w:sz w:val="17"/>
                <w:szCs w:val="17"/>
                <w:color w:val="auto"/>
              </w:rPr>
            </w:pPr>
          </w:p>
        </w:tc>
        <w:tc>
          <w:tcPr>
            <w:tcW w:w="840" w:type="dxa"/>
            <w:vAlign w:val="bottom"/>
            <w:gridSpan w:val="5"/>
          </w:tcPr>
          <w:p>
            <w:pPr>
              <w:jc w:val="right"/>
              <w:ind w:right="140"/>
              <w:spacing w:after="0"/>
              <w:rPr>
                <w:sz w:val="20"/>
                <w:szCs w:val="20"/>
                <w:color w:val="auto"/>
              </w:rPr>
            </w:pPr>
            <w:r>
              <w:rPr>
                <w:rFonts w:ascii="Arial" w:cs="Arial" w:eastAsia="Arial" w:hAnsi="Arial"/>
                <w:sz w:val="17"/>
                <w:szCs w:val="17"/>
                <w:color w:val="auto"/>
              </w:rPr>
              <w:t>109.5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7"/>
                <w:szCs w:val="17"/>
                <w:color w:val="auto"/>
              </w:rPr>
              <w:t>State tax, net of federal benefit</w:t>
            </w: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(14.5)</w:t>
            </w:r>
          </w:p>
        </w:tc>
        <w:tc>
          <w:tcPr>
            <w:tcW w:w="200" w:type="dxa"/>
            <w:vAlign w:val="bottom"/>
          </w:tcPr>
          <w:p>
            <w:pPr>
              <w:spacing w:after="0"/>
              <w:rPr>
                <w:sz w:val="17"/>
                <w:szCs w:val="17"/>
                <w:color w:val="auto"/>
              </w:rPr>
            </w:pPr>
          </w:p>
        </w:tc>
        <w:tc>
          <w:tcPr>
            <w:tcW w:w="840" w:type="dxa"/>
            <w:vAlign w:val="bottom"/>
            <w:gridSpan w:val="5"/>
          </w:tcPr>
          <w:p>
            <w:pPr>
              <w:jc w:val="right"/>
              <w:ind w:right="80"/>
              <w:spacing w:after="0"/>
              <w:rPr>
                <w:sz w:val="20"/>
                <w:szCs w:val="20"/>
                <w:color w:val="auto"/>
              </w:rPr>
            </w:pPr>
            <w:r>
              <w:rPr>
                <w:rFonts w:ascii="Arial" w:cs="Arial" w:eastAsia="Arial" w:hAnsi="Arial"/>
                <w:sz w:val="17"/>
                <w:szCs w:val="17"/>
                <w:color w:val="auto"/>
              </w:rPr>
              <w:t>(93.1)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7"/>
                <w:szCs w:val="17"/>
                <w:color w:val="auto"/>
              </w:rPr>
              <w:t>Change in Valuation Allowance</w:t>
            </w: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68.7</w:t>
            </w:r>
          </w:p>
        </w:tc>
        <w:tc>
          <w:tcPr>
            <w:tcW w:w="200" w:type="dxa"/>
            <w:vAlign w:val="bottom"/>
            <w:shd w:val="clear" w:color="auto" w:fill="CCEEFF"/>
          </w:tcPr>
          <w:p>
            <w:pPr>
              <w:spacing w:after="0"/>
              <w:rPr>
                <w:sz w:val="17"/>
                <w:szCs w:val="17"/>
                <w:color w:val="auto"/>
              </w:rPr>
            </w:pPr>
          </w:p>
        </w:tc>
        <w:tc>
          <w:tcPr>
            <w:tcW w:w="840" w:type="dxa"/>
            <w:vAlign w:val="bottom"/>
            <w:gridSpan w:val="5"/>
            <w:shd w:val="clear" w:color="auto" w:fill="CCEEFF"/>
          </w:tcPr>
          <w:p>
            <w:pPr>
              <w:jc w:val="right"/>
              <w:ind w:right="140"/>
              <w:spacing w:after="0"/>
              <w:rPr>
                <w:sz w:val="20"/>
                <w:szCs w:val="20"/>
                <w:color w:val="auto"/>
              </w:rPr>
            </w:pPr>
            <w:r>
              <w:rPr>
                <w:rFonts w:ascii="Arial" w:cs="Arial" w:eastAsia="Arial" w:hAnsi="Arial"/>
                <w:sz w:val="17"/>
                <w:szCs w:val="17"/>
                <w:color w:val="auto"/>
              </w:rPr>
              <w:t>401.6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tcPr>
          <w:p>
            <w:pPr>
              <w:spacing w:after="0"/>
              <w:rPr>
                <w:sz w:val="20"/>
                <w:szCs w:val="20"/>
                <w:color w:val="auto"/>
              </w:rPr>
            </w:pPr>
            <w:r>
              <w:rPr>
                <w:rFonts w:ascii="Arial" w:cs="Arial" w:eastAsia="Arial" w:hAnsi="Arial"/>
                <w:sz w:val="17"/>
                <w:szCs w:val="17"/>
                <w:color w:val="auto"/>
              </w:rPr>
              <w:t>Remeasurement of deferred taxes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(85.0)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7"/>
                <w:szCs w:val="17"/>
                <w:color w:val="auto"/>
              </w:rPr>
              <w:t>Other permanent differences</w:t>
            </w: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4.0</w:t>
            </w:r>
          </w:p>
        </w:tc>
        <w:tc>
          <w:tcPr>
            <w:tcW w:w="2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80"/>
              <w:spacing w:after="0"/>
              <w:rPr>
                <w:sz w:val="20"/>
                <w:szCs w:val="20"/>
                <w:color w:val="auto"/>
              </w:rPr>
            </w:pPr>
            <w:r>
              <w:rPr>
                <w:rFonts w:ascii="Arial" w:cs="Arial" w:eastAsia="Arial" w:hAnsi="Arial"/>
                <w:sz w:val="17"/>
                <w:szCs w:val="17"/>
                <w:color w:val="auto"/>
              </w:rPr>
              <w:t>(434.7)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20" w:type="dxa"/>
            <w:vAlign w:val="bottom"/>
            <w:gridSpan w:val="2"/>
          </w:tcPr>
          <w:p>
            <w:pPr>
              <w:spacing w:after="0"/>
              <w:rPr>
                <w:sz w:val="20"/>
                <w:szCs w:val="20"/>
                <w:color w:val="auto"/>
              </w:rPr>
            </w:pPr>
            <w:r>
              <w:rPr>
                <w:rFonts w:ascii="Arial" w:cs="Arial" w:eastAsia="Arial" w:hAnsi="Arial"/>
                <w:sz w:val="17"/>
                <w:szCs w:val="17"/>
                <w:color w:val="auto"/>
              </w:rPr>
              <w:t>Total</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6.9%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vMerge w:val="restart"/>
          </w:tcPr>
          <w:p>
            <w:pPr>
              <w:ind w:left="500"/>
              <w:spacing w:after="0"/>
              <w:rPr>
                <w:sz w:val="20"/>
                <w:szCs w:val="20"/>
                <w:color w:val="auto"/>
              </w:rPr>
            </w:pPr>
            <w:r>
              <w:rPr>
                <w:rFonts w:ascii="Arial" w:cs="Arial" w:eastAsia="Arial" w:hAnsi="Arial"/>
                <w:sz w:val="17"/>
                <w:szCs w:val="17"/>
                <w:color w:val="auto"/>
              </w:rPr>
              <w:t>The components of the net deferred tax assets are as follows (in thousands):</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8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600" w:type="dxa"/>
            <w:vAlign w:val="bottom"/>
          </w:tcPr>
          <w:p>
            <w:pPr>
              <w:spacing w:after="0"/>
              <w:rPr>
                <w:sz w:val="13"/>
                <w:szCs w:val="13"/>
                <w:color w:val="auto"/>
              </w:rPr>
            </w:pPr>
          </w:p>
        </w:tc>
        <w:tc>
          <w:tcPr>
            <w:tcW w:w="700" w:type="dxa"/>
            <w:vAlign w:val="bottom"/>
            <w:gridSpan w:val="3"/>
          </w:tcPr>
          <w:p>
            <w:pPr>
              <w:ind w:left="200"/>
              <w:spacing w:after="0" w:line="150"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4"/>
          </w:tcPr>
          <w:p>
            <w:pPr>
              <w:jc w:val="right"/>
              <w:spacing w:after="0" w:line="150"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Deferred tax assets:</w:t>
            </w:r>
          </w:p>
        </w:tc>
        <w:tc>
          <w:tcPr>
            <w:tcW w:w="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right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left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tcPr>
          <w:p>
            <w:pPr>
              <w:spacing w:after="0"/>
              <w:rPr>
                <w:sz w:val="20"/>
                <w:szCs w:val="20"/>
                <w:color w:val="auto"/>
              </w:rPr>
            </w:pPr>
            <w:r>
              <w:rPr>
                <w:rFonts w:ascii="Arial" w:cs="Arial" w:eastAsia="Arial" w:hAnsi="Arial"/>
                <w:sz w:val="17"/>
                <w:szCs w:val="17"/>
                <w:color w:val="auto"/>
              </w:rPr>
              <w:t>Net operating loss carryforwards</w:t>
            </w:r>
          </w:p>
        </w:tc>
        <w:tc>
          <w:tcPr>
            <w:tcW w:w="700" w:type="dxa"/>
            <w:vAlign w:val="bottom"/>
            <w:gridSpan w:val="3"/>
          </w:tcPr>
          <w:p>
            <w:pPr>
              <w:jc w:val="right"/>
              <w:spacing w:after="0"/>
              <w:rPr>
                <w:sz w:val="20"/>
                <w:szCs w:val="20"/>
                <w:color w:val="auto"/>
              </w:rPr>
            </w:pPr>
            <w:r>
              <w:rPr>
                <w:rFonts w:ascii="Arial" w:cs="Arial" w:eastAsia="Arial" w:hAnsi="Arial"/>
                <w:sz w:val="17"/>
                <w:szCs w:val="17"/>
                <w:color w:val="auto"/>
              </w:rPr>
              <w:t>$ 22,964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6"/>
          </w:tcPr>
          <w:p>
            <w:pPr>
              <w:jc w:val="right"/>
              <w:ind w:right="120"/>
              <w:spacing w:after="0"/>
              <w:rPr>
                <w:sz w:val="20"/>
                <w:szCs w:val="20"/>
                <w:color w:val="auto"/>
              </w:rPr>
            </w:pPr>
            <w:r>
              <w:rPr>
                <w:rFonts w:ascii="Arial" w:cs="Arial" w:eastAsia="Arial" w:hAnsi="Arial"/>
                <w:sz w:val="17"/>
                <w:szCs w:val="17"/>
                <w:color w:val="auto"/>
              </w:rPr>
              <w:t>$ 26,545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credit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4,957</w:t>
            </w:r>
          </w:p>
        </w:tc>
        <w:tc>
          <w:tcPr>
            <w:tcW w:w="20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2,918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tcPr>
          <w:p>
            <w:pPr>
              <w:spacing w:after="0"/>
              <w:rPr>
                <w:sz w:val="20"/>
                <w:szCs w:val="20"/>
                <w:color w:val="auto"/>
              </w:rPr>
            </w:pPr>
            <w:r>
              <w:rPr>
                <w:rFonts w:ascii="Arial" w:cs="Arial" w:eastAsia="Arial" w:hAnsi="Arial"/>
                <w:sz w:val="17"/>
                <w:szCs w:val="17"/>
                <w:color w:val="auto"/>
              </w:rPr>
              <w:t>Deferred revenue</w:t>
            </w:r>
          </w:p>
        </w:tc>
        <w:tc>
          <w:tcPr>
            <w:tcW w:w="700" w:type="dxa"/>
            <w:vAlign w:val="bottom"/>
            <w:gridSpan w:val="3"/>
          </w:tcPr>
          <w:p>
            <w:pPr>
              <w:jc w:val="right"/>
              <w:spacing w:after="0"/>
              <w:rPr>
                <w:sz w:val="20"/>
                <w:szCs w:val="20"/>
                <w:color w:val="auto"/>
              </w:rPr>
            </w:pPr>
            <w:r>
              <w:rPr>
                <w:rFonts w:ascii="Arial" w:cs="Arial" w:eastAsia="Arial" w:hAnsi="Arial"/>
                <w:sz w:val="17"/>
                <w:szCs w:val="17"/>
                <w:color w:val="auto"/>
              </w:rPr>
              <w:t>8,819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7"/>
                <w:szCs w:val="17"/>
                <w:color w:val="auto"/>
              </w:rPr>
              <w:t>4,838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7"/>
                <w:szCs w:val="17"/>
                <w:color w:val="auto"/>
              </w:rPr>
              <w:t>Other temporary differences</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3,234</w:t>
            </w:r>
          </w:p>
        </w:tc>
        <w:tc>
          <w:tcPr>
            <w:tcW w:w="20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3,350</w:t>
            </w:r>
          </w:p>
        </w:tc>
        <w:tc>
          <w:tcPr>
            <w:tcW w:w="0" w:type="dxa"/>
            <w:vAlign w:val="bottom"/>
          </w:tcPr>
          <w:p>
            <w:pPr>
              <w:spacing w:after="0"/>
              <w:rPr>
                <w:sz w:val="1"/>
                <w:szCs w:val="1"/>
                <w:color w:val="auto"/>
              </w:rPr>
            </w:pPr>
          </w:p>
        </w:tc>
      </w:tr>
      <w:tr>
        <w:trPr>
          <w:trHeight w:val="20"/>
        </w:trPr>
        <w:tc>
          <w:tcPr>
            <w:tcW w:w="8620" w:type="dxa"/>
            <w:vAlign w:val="bottom"/>
            <w:gridSpan w:val="2"/>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20" w:type="dxa"/>
            <w:vAlign w:val="bottom"/>
            <w:gridSpan w:val="2"/>
          </w:tcPr>
          <w:p>
            <w:pPr>
              <w:spacing w:after="0"/>
              <w:rPr>
                <w:sz w:val="20"/>
                <w:szCs w:val="20"/>
                <w:color w:val="auto"/>
              </w:rPr>
            </w:pPr>
            <w:r>
              <w:rPr>
                <w:rFonts w:ascii="Arial" w:cs="Arial" w:eastAsia="Arial" w:hAnsi="Arial"/>
                <w:sz w:val="17"/>
                <w:szCs w:val="17"/>
                <w:color w:val="auto"/>
              </w:rPr>
              <w:t>Total gross deferred tax assets</w:t>
            </w:r>
          </w:p>
        </w:tc>
        <w:tc>
          <w:tcPr>
            <w:tcW w:w="700" w:type="dxa"/>
            <w:vAlign w:val="bottom"/>
            <w:gridSpan w:val="3"/>
          </w:tcPr>
          <w:p>
            <w:pPr>
              <w:jc w:val="right"/>
              <w:spacing w:after="0"/>
              <w:rPr>
                <w:sz w:val="20"/>
                <w:szCs w:val="20"/>
                <w:color w:val="auto"/>
              </w:rPr>
            </w:pPr>
            <w:r>
              <w:rPr>
                <w:rFonts w:ascii="Arial" w:cs="Arial" w:eastAsia="Arial" w:hAnsi="Arial"/>
                <w:sz w:val="17"/>
                <w:szCs w:val="17"/>
                <w:color w:val="auto"/>
              </w:rPr>
              <w:t>39,974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6"/>
          </w:tcPr>
          <w:p>
            <w:pPr>
              <w:jc w:val="right"/>
              <w:ind w:right="120"/>
              <w:spacing w:after="0"/>
              <w:rPr>
                <w:sz w:val="20"/>
                <w:szCs w:val="20"/>
                <w:color w:val="auto"/>
              </w:rPr>
            </w:pPr>
            <w:r>
              <w:rPr>
                <w:rFonts w:ascii="Arial" w:cs="Arial" w:eastAsia="Arial" w:hAnsi="Arial"/>
                <w:sz w:val="17"/>
                <w:szCs w:val="17"/>
                <w:color w:val="auto"/>
              </w:rPr>
              <w:t>37,651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900" w:type="dxa"/>
            <w:vAlign w:val="bottom"/>
            <w:gridSpan w:val="4"/>
          </w:tcPr>
          <w:p>
            <w:pPr>
              <w:jc w:val="right"/>
              <w:ind w:right="140"/>
              <w:spacing w:after="0"/>
              <w:rPr>
                <w:sz w:val="20"/>
                <w:szCs w:val="20"/>
                <w:color w:val="auto"/>
              </w:rPr>
            </w:pPr>
            <w:r>
              <w:rPr>
                <w:rFonts w:ascii="Arial" w:cs="Arial" w:eastAsia="Arial" w:hAnsi="Arial"/>
                <w:sz w:val="17"/>
                <w:szCs w:val="17"/>
                <w:color w:val="auto"/>
              </w:rPr>
              <w:t>(1,218)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7"/>
                <w:szCs w:val="17"/>
                <w:color w:val="auto"/>
              </w:rPr>
              <w:t>(1,368)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7"/>
                <w:szCs w:val="17"/>
                <w:color w:val="auto"/>
              </w:rPr>
              <w:t>Non-qualified stock options with 83(b) election</w:t>
            </w: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
        </w:trPr>
        <w:tc>
          <w:tcPr>
            <w:tcW w:w="8620" w:type="dxa"/>
            <w:vAlign w:val="bottom"/>
            <w:gridSpan w:val="2"/>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20" w:type="dxa"/>
            <w:vAlign w:val="bottom"/>
            <w:gridSpan w:val="2"/>
          </w:tcPr>
          <w:p>
            <w:pPr>
              <w:spacing w:after="0"/>
              <w:rPr>
                <w:sz w:val="20"/>
                <w:szCs w:val="20"/>
                <w:color w:val="auto"/>
              </w:rPr>
            </w:pPr>
            <w:r>
              <w:rPr>
                <w:rFonts w:ascii="Arial" w:cs="Arial" w:eastAsia="Arial" w:hAnsi="Arial"/>
                <w:sz w:val="17"/>
                <w:szCs w:val="17"/>
                <w:color w:val="auto"/>
              </w:rPr>
              <w:t>Total gross deferred tax liabilities</w:t>
            </w:r>
          </w:p>
        </w:tc>
        <w:tc>
          <w:tcPr>
            <w:tcW w:w="900" w:type="dxa"/>
            <w:vAlign w:val="bottom"/>
            <w:gridSpan w:val="4"/>
          </w:tcPr>
          <w:p>
            <w:pPr>
              <w:jc w:val="right"/>
              <w:ind w:right="140"/>
              <w:spacing w:after="0"/>
              <w:rPr>
                <w:sz w:val="20"/>
                <w:szCs w:val="20"/>
                <w:color w:val="auto"/>
              </w:rPr>
            </w:pPr>
            <w:r>
              <w:rPr>
                <w:rFonts w:ascii="Arial" w:cs="Arial" w:eastAsia="Arial" w:hAnsi="Arial"/>
                <w:sz w:val="17"/>
                <w:szCs w:val="17"/>
                <w:color w:val="auto"/>
              </w:rPr>
              <w:t>(1,563)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7"/>
                <w:szCs w:val="17"/>
                <w:color w:val="auto"/>
              </w:rPr>
              <w:t>(1,422)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7"/>
                <w:szCs w:val="17"/>
                <w:color w:val="auto"/>
              </w:rPr>
              <w:t>Net deferred tax assets before valuation allowance</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38,411</w:t>
            </w:r>
          </w:p>
        </w:tc>
        <w:tc>
          <w:tcPr>
            <w:tcW w:w="20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6"/>
            <w:shd w:val="clear" w:color="auto" w:fill="CCEEFF"/>
          </w:tcPr>
          <w:p>
            <w:pPr>
              <w:jc w:val="right"/>
              <w:ind w:right="120"/>
              <w:spacing w:after="0"/>
              <w:rPr>
                <w:sz w:val="20"/>
                <w:szCs w:val="20"/>
                <w:color w:val="auto"/>
              </w:rPr>
            </w:pPr>
            <w:r>
              <w:rPr>
                <w:rFonts w:ascii="Arial" w:cs="Arial" w:eastAsia="Arial" w:hAnsi="Arial"/>
                <w:sz w:val="17"/>
                <w:szCs w:val="17"/>
                <w:color w:val="auto"/>
              </w:rPr>
              <w:t>36,229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tcPr>
          <w:p>
            <w:pPr>
              <w:spacing w:after="0"/>
              <w:rPr>
                <w:sz w:val="20"/>
                <w:szCs w:val="20"/>
                <w:color w:val="auto"/>
              </w:rPr>
            </w:pPr>
            <w:r>
              <w:rPr>
                <w:rFonts w:ascii="Arial" w:cs="Arial" w:eastAsia="Arial" w:hAnsi="Arial"/>
                <w:sz w:val="17"/>
                <w:szCs w:val="17"/>
                <w:color w:val="auto"/>
              </w:rPr>
              <w:t>Deferred tax asset valuation allowance</w:t>
            </w:r>
          </w:p>
        </w:tc>
        <w:tc>
          <w:tcPr>
            <w:tcW w:w="900" w:type="dxa"/>
            <w:vAlign w:val="bottom"/>
            <w:gridSpan w:val="4"/>
          </w:tcPr>
          <w:p>
            <w:pPr>
              <w:jc w:val="right"/>
              <w:ind w:right="140"/>
              <w:spacing w:after="0"/>
              <w:rPr>
                <w:sz w:val="20"/>
                <w:szCs w:val="20"/>
                <w:color w:val="auto"/>
              </w:rPr>
            </w:pPr>
            <w:r>
              <w:rPr>
                <w:rFonts w:ascii="Arial" w:cs="Arial" w:eastAsia="Arial" w:hAnsi="Arial"/>
                <w:sz w:val="17"/>
                <w:szCs w:val="17"/>
                <w:color w:val="auto"/>
              </w:rPr>
              <w:t>(38,411)</w:t>
            </w:r>
          </w:p>
        </w:tc>
        <w:tc>
          <w:tcPr>
            <w:tcW w:w="200" w:type="dxa"/>
            <w:vAlign w:val="bottom"/>
          </w:tcPr>
          <w:p>
            <w:pPr>
              <w:spacing w:after="0"/>
              <w:rPr>
                <w:sz w:val="17"/>
                <w:szCs w:val="17"/>
                <w:color w:val="auto"/>
              </w:rPr>
            </w:pPr>
          </w:p>
        </w:tc>
        <w:tc>
          <w:tcPr>
            <w:tcW w:w="960" w:type="dxa"/>
            <w:vAlign w:val="bottom"/>
            <w:gridSpan w:val="6"/>
          </w:tcPr>
          <w:p>
            <w:pPr>
              <w:jc w:val="right"/>
              <w:ind w:right="60"/>
              <w:spacing w:after="0"/>
              <w:rPr>
                <w:sz w:val="20"/>
                <w:szCs w:val="20"/>
                <w:color w:val="auto"/>
              </w:rPr>
            </w:pPr>
            <w:r>
              <w:rPr>
                <w:rFonts w:ascii="Arial" w:cs="Arial" w:eastAsia="Arial" w:hAnsi="Arial"/>
                <w:sz w:val="17"/>
                <w:szCs w:val="17"/>
                <w:color w:val="auto"/>
              </w:rPr>
              <w:t>(36,229)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7"/>
                <w:szCs w:val="17"/>
                <w:color w:val="auto"/>
              </w:rPr>
              <w:t>Net deferred tax assets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380" w:right="100" w:firstLine="534"/>
        <w:spacing w:after="0" w:line="247" w:lineRule="auto"/>
        <w:rPr>
          <w:sz w:val="20"/>
          <w:szCs w:val="20"/>
          <w:color w:val="auto"/>
        </w:rPr>
      </w:pPr>
      <w:r>
        <w:rPr>
          <w:rFonts w:ascii="Arial" w:cs="Arial" w:eastAsia="Arial" w:hAnsi="Arial"/>
          <w:sz w:val="17"/>
          <w:szCs w:val="17"/>
          <w:color w:val="auto"/>
        </w:rPr>
        <w:t>ASC 740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management believes that recognition of the deferred tax assets arising</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1060"/>
          </w:cols>
          <w:pgMar w:left="240" w:top="449" w:right="599" w:bottom="1440" w:gutter="0" w:footer="0" w:header="0"/>
        </w:sectPr>
      </w:pPr>
    </w:p>
    <w:bookmarkStart w:id="248" w:name="page249"/>
    <w:bookmarkEnd w:id="2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from the above-mentioned future tax benefits is currently not likely to be realized and, accordingly, has provided a valuation allowance.</w:t>
      </w:r>
    </w:p>
    <w:p>
      <w:pPr>
        <w:spacing w:after="0" w:line="210" w:lineRule="exact"/>
        <w:rPr>
          <w:sz w:val="20"/>
          <w:szCs w:val="20"/>
          <w:color w:val="auto"/>
        </w:rPr>
      </w:pPr>
    </w:p>
    <w:p>
      <w:pPr>
        <w:ind w:left="380" w:right="740" w:firstLine="534"/>
        <w:spacing w:after="0" w:line="250" w:lineRule="auto"/>
        <w:rPr>
          <w:sz w:val="20"/>
          <w:szCs w:val="20"/>
          <w:color w:val="auto"/>
        </w:rPr>
      </w:pPr>
      <w:r>
        <w:rPr>
          <w:rFonts w:ascii="Arial" w:cs="Arial" w:eastAsia="Arial" w:hAnsi="Arial"/>
          <w:sz w:val="17"/>
          <w:szCs w:val="17"/>
          <w:color w:val="auto"/>
        </w:rPr>
        <w:t>Realization of deferred tax assets is dependent upon future earnings, if any, the timing and amount of which are uncertain. Accordingly, the net deferred tax assets have been fully offset by a valuation allowance. The valuation allowance decreased by approximately $2.2 million and $1.3 million during the years ended December 31, 2017 and 2018, respectively.</w:t>
      </w:r>
    </w:p>
    <w:p>
      <w:pPr>
        <w:spacing w:after="0" w:line="188" w:lineRule="exact"/>
        <w:rPr>
          <w:sz w:val="20"/>
          <w:szCs w:val="20"/>
          <w:color w:val="auto"/>
        </w:rPr>
      </w:pPr>
    </w:p>
    <w:p>
      <w:pPr>
        <w:ind w:left="380" w:right="80" w:firstLine="534"/>
        <w:spacing w:after="0" w:line="245" w:lineRule="auto"/>
        <w:rPr>
          <w:sz w:val="20"/>
          <w:szCs w:val="20"/>
          <w:color w:val="auto"/>
        </w:rPr>
      </w:pPr>
      <w:r>
        <w:rPr>
          <w:rFonts w:ascii="Arial" w:cs="Arial" w:eastAsia="Arial" w:hAnsi="Arial"/>
          <w:sz w:val="17"/>
          <w:szCs w:val="17"/>
          <w:color w:val="auto"/>
        </w:rPr>
        <w:t>As of December 31, 2017 and 2018, the Company had approximately $60.2 million and $69.8 million, respectively, in federal net operating loss carryforwards and had approximately $71.8 million and $71.9 million, respectively, in state net operating loss carryforwards to reduce future taxable income. The federal and state net operating loss carryforwards will begin to expire in the years 2028 through 2037, if not utilized. Federal NOL carryforwards generated after December 31, 2017 do not expire as per the Tax Cuts and Jobs Act (the Act), and can be carried forward indefinitely. California does not conform to these provisions.</w:t>
      </w:r>
    </w:p>
    <w:p>
      <w:pPr>
        <w:spacing w:after="0" w:line="19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As of December 31, 2017 and 2018, the Company had approximately $3.1 million and $3.1 million, respectively, in federal, and</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$4.0 million and $4.0 million, respectively, in state research and development tax credits. The federal research credits will begin to expire</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the years 2028 through 2037, if not utilized, and the state research and development credits have no expiration date.</w:t>
      </w:r>
    </w:p>
    <w:p>
      <w:pPr>
        <w:spacing w:after="0" w:line="210" w:lineRule="exact"/>
        <w:rPr>
          <w:sz w:val="20"/>
          <w:szCs w:val="20"/>
          <w:color w:val="auto"/>
        </w:rPr>
      </w:pPr>
    </w:p>
    <w:p>
      <w:pPr>
        <w:ind w:left="380" w:right="120" w:firstLine="534"/>
        <w:spacing w:after="0" w:line="258" w:lineRule="auto"/>
        <w:rPr>
          <w:sz w:val="20"/>
          <w:szCs w:val="20"/>
          <w:color w:val="auto"/>
        </w:rPr>
      </w:pPr>
      <w:r>
        <w:rPr>
          <w:rFonts w:ascii="Arial" w:cs="Arial" w:eastAsia="Arial" w:hAnsi="Arial"/>
          <w:sz w:val="17"/>
          <w:szCs w:val="17"/>
          <w:color w:val="auto"/>
        </w:rPr>
        <w:t>As of December 31, 2017 and 2018, the Company had foreign net operating loss carryforwards of approximately $17.3 million and $22.9 million, which have no expiration date.</w:t>
      </w:r>
    </w:p>
    <w:p>
      <w:pPr>
        <w:spacing w:after="0" w:line="182" w:lineRule="exact"/>
        <w:rPr>
          <w:sz w:val="20"/>
          <w:szCs w:val="20"/>
          <w:color w:val="auto"/>
        </w:rPr>
      </w:pPr>
    </w:p>
    <w:p>
      <w:pPr>
        <w:jc w:val="both"/>
        <w:ind w:left="380" w:right="40" w:firstLine="534"/>
        <w:spacing w:after="0" w:line="250" w:lineRule="auto"/>
        <w:rPr>
          <w:sz w:val="20"/>
          <w:szCs w:val="20"/>
          <w:color w:val="auto"/>
        </w:rPr>
      </w:pPr>
      <w:r>
        <w:rPr>
          <w:rFonts w:ascii="Arial" w:cs="Arial" w:eastAsia="Arial" w:hAnsi="Arial"/>
          <w:sz w:val="17"/>
          <w:szCs w:val="17"/>
          <w:color w:val="auto"/>
        </w:rPr>
        <w:t>Utilization of the Company’s net operating losses and credits may be subject to a substantial annual limitation due to the “change in ownership” provisions of the Internal Revenue Code of 1986, as amended, and similar state provisions. The annual limitation may result in the expiration of net operating losses and credits before utilization.</w:t>
      </w:r>
    </w:p>
    <w:p>
      <w:pPr>
        <w:spacing w:after="0" w:line="188" w:lineRule="exact"/>
        <w:rPr>
          <w:sz w:val="20"/>
          <w:szCs w:val="20"/>
          <w:color w:val="auto"/>
        </w:rPr>
      </w:pPr>
    </w:p>
    <w:p>
      <w:pPr>
        <w:ind w:left="380" w:right="380" w:firstLine="534"/>
        <w:spacing w:after="0" w:line="258" w:lineRule="auto"/>
        <w:rPr>
          <w:sz w:val="20"/>
          <w:szCs w:val="20"/>
          <w:color w:val="auto"/>
        </w:rPr>
      </w:pPr>
      <w:r>
        <w:rPr>
          <w:rFonts w:ascii="Arial" w:cs="Arial" w:eastAsia="Arial" w:hAnsi="Arial"/>
          <w:sz w:val="17"/>
          <w:szCs w:val="17"/>
          <w:color w:val="auto"/>
        </w:rPr>
        <w:t>A reconciliation of the Company’s unrecognized tax benefits for the years ended December 31, 2017 and 2018 is as follows (in thousands):</w:t>
      </w:r>
    </w:p>
    <w:p>
      <w:pPr>
        <w:spacing w:after="0" w:line="198" w:lineRule="exact"/>
        <w:rPr>
          <w:sz w:val="20"/>
          <w:szCs w:val="20"/>
          <w:color w:val="auto"/>
        </w:rPr>
      </w:pPr>
    </w:p>
    <w:tbl>
      <w:tblPr>
        <w:tblLayout w:type="fixed"/>
        <w:tblInd w:w="3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540" w:type="dxa"/>
            <w:vAlign w:val="bottom"/>
            <w:tcBorders>
              <w:top w:val="single" w:sz="8" w:color="auto"/>
            </w:tcBorders>
          </w:tcPr>
          <w:p>
            <w:pPr>
              <w:jc w:val="center"/>
              <w:spacing w:after="0" w:line="150"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jc w:val="right"/>
              <w:ind w:right="33"/>
              <w:spacing w:after="0" w:line="150"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Balance at beginning of year</w:t>
            </w:r>
          </w:p>
        </w:tc>
        <w:tc>
          <w:tcPr>
            <w:tcW w:w="21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rPr>
              <w:t>$1,528</w:t>
            </w: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9"/>
              </w:rPr>
              <w:t>$1,528</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tcPr>
          <w:p>
            <w:pPr>
              <w:spacing w:after="0"/>
              <w:rPr>
                <w:sz w:val="20"/>
                <w:szCs w:val="20"/>
                <w:color w:val="auto"/>
              </w:rPr>
            </w:pPr>
            <w:r>
              <w:rPr>
                <w:rFonts w:ascii="Arial" w:cs="Arial" w:eastAsia="Arial" w:hAnsi="Arial"/>
                <w:sz w:val="17"/>
                <w:szCs w:val="17"/>
                <w:color w:val="auto"/>
              </w:rPr>
              <w:t>Additions (deletions) based on tax positions related to prior year</w:t>
            </w:r>
          </w:p>
        </w:tc>
        <w:tc>
          <w:tcPr>
            <w:tcW w:w="2120" w:type="dxa"/>
            <w:vAlign w:val="bottom"/>
          </w:tcPr>
          <w:p>
            <w:pPr>
              <w:spacing w:after="0"/>
              <w:rPr>
                <w:sz w:val="17"/>
                <w:szCs w:val="17"/>
                <w:color w:val="auto"/>
              </w:rPr>
            </w:pPr>
          </w:p>
        </w:tc>
        <w:tc>
          <w:tcPr>
            <w:tcW w:w="74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7"/>
                <w:szCs w:val="17"/>
                <w:color w:val="auto"/>
              </w:rPr>
              <w:t>2,291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Balance at end of year</w:t>
            </w:r>
          </w:p>
        </w:tc>
        <w:tc>
          <w:tcPr>
            <w:tcW w:w="2860" w:type="dxa"/>
            <w:vAlign w:val="bottom"/>
            <w:gridSpan w:val="3"/>
            <w:shd w:val="clear" w:color="auto" w:fill="CCEEFF"/>
          </w:tcPr>
          <w:p>
            <w:pPr>
              <w:jc w:val="center"/>
              <w:ind w:left="1833"/>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1,528</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3,819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380" w:right="180" w:firstLine="534"/>
        <w:spacing w:after="0" w:line="250" w:lineRule="auto"/>
        <w:rPr>
          <w:sz w:val="20"/>
          <w:szCs w:val="20"/>
          <w:color w:val="auto"/>
        </w:rPr>
      </w:pPr>
      <w:r>
        <w:rPr>
          <w:rFonts w:ascii="Arial" w:cs="Arial" w:eastAsia="Arial" w:hAnsi="Arial"/>
          <w:sz w:val="17"/>
          <w:szCs w:val="17"/>
          <w:color w:val="auto"/>
        </w:rPr>
        <w:t>There is approximately $3.8 million of unrecognized tax benefits included in the balance sheet that would, if recognized, affect the effective tax rate before consideration of valuation allowance. The Company does not believe that its unrecognized tax benefits will significantly change within the next 12 months.</w:t>
      </w:r>
    </w:p>
    <w:p>
      <w:pPr>
        <w:spacing w:after="0" w:line="188" w:lineRule="exact"/>
        <w:rPr>
          <w:sz w:val="20"/>
          <w:szCs w:val="20"/>
          <w:color w:val="auto"/>
        </w:rPr>
      </w:pPr>
    </w:p>
    <w:p>
      <w:pPr>
        <w:ind w:left="380" w:right="720" w:firstLine="534"/>
        <w:spacing w:after="0" w:line="258" w:lineRule="auto"/>
        <w:rPr>
          <w:sz w:val="20"/>
          <w:szCs w:val="20"/>
          <w:color w:val="auto"/>
        </w:rPr>
      </w:pPr>
      <w:r>
        <w:rPr>
          <w:rFonts w:ascii="Arial" w:cs="Arial" w:eastAsia="Arial" w:hAnsi="Arial"/>
          <w:sz w:val="17"/>
          <w:szCs w:val="17"/>
          <w:color w:val="auto"/>
        </w:rPr>
        <w:t>It is the Company’s practice to recognize interest and penalties related to income tax matters in income tax expense. As of December 31, 2017 and 2018, the Company had no accrued interest and penalties related to uncertain tax positions.</w:t>
      </w:r>
    </w:p>
    <w:p>
      <w:pPr>
        <w:spacing w:after="0" w:line="182" w:lineRule="exact"/>
        <w:rPr>
          <w:sz w:val="20"/>
          <w:szCs w:val="20"/>
          <w:color w:val="auto"/>
        </w:rPr>
      </w:pPr>
    </w:p>
    <w:p>
      <w:pPr>
        <w:ind w:left="380" w:right="60" w:firstLine="534"/>
        <w:spacing w:after="0" w:line="258" w:lineRule="auto"/>
        <w:rPr>
          <w:sz w:val="20"/>
          <w:szCs w:val="20"/>
          <w:color w:val="auto"/>
        </w:rPr>
      </w:pPr>
      <w:r>
        <w:rPr>
          <w:rFonts w:ascii="Arial" w:cs="Arial" w:eastAsia="Arial" w:hAnsi="Arial"/>
          <w:sz w:val="17"/>
          <w:szCs w:val="17"/>
          <w:color w:val="auto"/>
        </w:rPr>
        <w:t>The Company files federal, state, and foreign income tax returns with varying statutes of limitations. The tax years from inception in 2008 forward remain open to examination due to the carryover of unused net operating losses and tax credits.</w:t>
      </w:r>
    </w:p>
    <w:p>
      <w:pPr>
        <w:spacing w:after="0" w:line="11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F-37</w:t>
      </w:r>
    </w:p>
    <w:p>
      <w:pPr>
        <w:sectPr>
          <w:pgSz w:w="11900" w:h="16838" w:orient="portrait"/>
          <w:cols w:equalWidth="0" w:num="1">
            <w:col w:w="11060"/>
          </w:cols>
          <w:pgMar w:left="240" w:top="449" w:right="599" w:bottom="1440" w:gutter="0" w:footer="0" w:header="0"/>
        </w:sectPr>
      </w:pPr>
    </w:p>
    <w:bookmarkStart w:id="249" w:name="page250"/>
    <w:bookmarkEnd w:id="2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NGM BIOPHARMACEUTICALS, INC.</w:t>
      </w:r>
    </w:p>
    <w:p>
      <w:pPr>
        <w:spacing w:after="0" w:line="23"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5"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12. Employee Benefit Plan</w:t>
      </w:r>
    </w:p>
    <w:p>
      <w:pPr>
        <w:spacing w:after="0" w:line="128" w:lineRule="exact"/>
        <w:rPr>
          <w:sz w:val="20"/>
          <w:szCs w:val="20"/>
          <w:color w:val="auto"/>
        </w:rPr>
      </w:pPr>
    </w:p>
    <w:p>
      <w:pPr>
        <w:ind w:left="380" w:firstLine="534"/>
        <w:spacing w:after="0" w:line="244" w:lineRule="auto"/>
        <w:rPr>
          <w:sz w:val="20"/>
          <w:szCs w:val="20"/>
          <w:color w:val="auto"/>
        </w:rPr>
      </w:pPr>
      <w:r>
        <w:rPr>
          <w:rFonts w:ascii="Arial" w:cs="Arial" w:eastAsia="Arial" w:hAnsi="Arial"/>
          <w:sz w:val="17"/>
          <w:szCs w:val="17"/>
          <w:color w:val="auto"/>
        </w:rPr>
        <w:t>The Company sponsors a 401(k) defined contribution plan for its employees. Employee contributions are voluntary. In December 2011, the Company adopted the 401(k) Matching Plan, whereby the Company will make matching contributions in the form of common stock at a rate of $1.00 for each $2.00 of employee contributions up to a maximum $1,500 of common stock per year. As of December 31, 2017 and 2018, the Company had reserved 47,975 and 36,751 shares of common stock for issuance pursuant to the 401(k) Matching Plan, respectively. Matching contributions of 10,660 and 11,223 shares, or $93,000 and $103,000 were issued for the years ended December 31, 2017 and 2018, respectively.</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13. Subsequent Events</w:t>
      </w:r>
    </w:p>
    <w:p>
      <w:pPr>
        <w:spacing w:after="0" w:line="128" w:lineRule="exact"/>
        <w:rPr>
          <w:sz w:val="20"/>
          <w:szCs w:val="20"/>
          <w:color w:val="auto"/>
        </w:rPr>
      </w:pPr>
    </w:p>
    <w:p>
      <w:pPr>
        <w:ind w:left="380" w:right="280" w:firstLine="534"/>
        <w:spacing w:after="0" w:line="258" w:lineRule="auto"/>
        <w:rPr>
          <w:sz w:val="20"/>
          <w:szCs w:val="20"/>
          <w:color w:val="auto"/>
        </w:rPr>
      </w:pPr>
      <w:r>
        <w:rPr>
          <w:rFonts w:ascii="Arial" w:cs="Arial" w:eastAsia="Arial" w:hAnsi="Arial"/>
          <w:sz w:val="17"/>
          <w:szCs w:val="17"/>
          <w:color w:val="auto"/>
        </w:rPr>
        <w:t>For the consolidated financial statements as of the years ended December 31, 2017 and 2018, the Company has reviewed and evaluated material subsequent events through the consolidated financial statements’ issuance date of March 25, 2019.</w:t>
      </w:r>
    </w:p>
    <w:p>
      <w:pPr>
        <w:spacing w:after="0" w:line="182" w:lineRule="exact"/>
        <w:rPr>
          <w:sz w:val="20"/>
          <w:szCs w:val="20"/>
          <w:color w:val="auto"/>
        </w:rPr>
      </w:pPr>
    </w:p>
    <w:p>
      <w:pPr>
        <w:ind w:left="380" w:right="600" w:firstLine="534"/>
        <w:spacing w:after="0" w:line="258" w:lineRule="auto"/>
        <w:rPr>
          <w:sz w:val="20"/>
          <w:szCs w:val="20"/>
          <w:color w:val="auto"/>
        </w:rPr>
      </w:pPr>
      <w:r>
        <w:rPr>
          <w:rFonts w:ascii="Arial" w:cs="Arial" w:eastAsia="Arial" w:hAnsi="Arial"/>
          <w:sz w:val="17"/>
          <w:szCs w:val="17"/>
          <w:color w:val="auto"/>
        </w:rPr>
        <w:t>On February 3, 2019, all warrants for preferred stock automatically net exercised into 16,380 shares of Series A convertible preferred stock.</w:t>
      </w:r>
    </w:p>
    <w:p>
      <w:pPr>
        <w:spacing w:after="0" w:line="182" w:lineRule="exact"/>
        <w:rPr>
          <w:sz w:val="20"/>
          <w:szCs w:val="20"/>
          <w:color w:val="auto"/>
        </w:rPr>
      </w:pPr>
    </w:p>
    <w:p>
      <w:pPr>
        <w:ind w:left="380" w:right="160" w:firstLine="534"/>
        <w:spacing w:after="0" w:line="247" w:lineRule="auto"/>
        <w:rPr>
          <w:sz w:val="20"/>
          <w:szCs w:val="20"/>
          <w:color w:val="auto"/>
        </w:rPr>
      </w:pPr>
      <w:r>
        <w:rPr>
          <w:rFonts w:ascii="Arial" w:cs="Arial" w:eastAsia="Arial" w:hAnsi="Arial"/>
          <w:sz w:val="17"/>
          <w:szCs w:val="17"/>
          <w:color w:val="auto"/>
        </w:rPr>
        <w:t>On March 1, 2019, Merck notified the Company of its intent to terminate its license to the GDF15 receptor agonist program, effective May 31, 2019. Upon termination of the license, the Company will regain full rights to the program, which includes NGM386 and NGM395. The Company expects to decide whether to advance NGM386 and/or NGM395 following an analysis of the results of the NGM386 Phase 1 study.</w:t>
      </w:r>
    </w:p>
    <w:p>
      <w:pPr>
        <w:spacing w:after="0" w:line="190" w:lineRule="exact"/>
        <w:rPr>
          <w:sz w:val="20"/>
          <w:szCs w:val="20"/>
          <w:color w:val="auto"/>
        </w:rPr>
      </w:pPr>
    </w:p>
    <w:p>
      <w:pPr>
        <w:ind w:left="380" w:right="100" w:firstLine="534"/>
        <w:spacing w:after="0" w:line="250" w:lineRule="auto"/>
        <w:rPr>
          <w:sz w:val="20"/>
          <w:szCs w:val="20"/>
          <w:color w:val="auto"/>
        </w:rPr>
      </w:pPr>
      <w:r>
        <w:rPr>
          <w:rFonts w:ascii="Arial" w:cs="Arial" w:eastAsia="Arial" w:hAnsi="Arial"/>
          <w:sz w:val="17"/>
          <w:szCs w:val="17"/>
          <w:color w:val="auto"/>
        </w:rPr>
        <w:t>On March 15, 2019, Merck exercised its option to extend the collaboration through March 17, 2022. In lieu of a $20.0 million extension fee payable to NGM, during such two year extension period Merck will make additional payments totaling up to $20.0 million in support of NGM’s research and development activities across 2021 and the first quarter of 2022.</w:t>
      </w:r>
    </w:p>
    <w:p>
      <w:pPr>
        <w:spacing w:after="0" w:line="188" w:lineRule="exact"/>
        <w:rPr>
          <w:sz w:val="20"/>
          <w:szCs w:val="20"/>
          <w:color w:val="auto"/>
        </w:rPr>
      </w:pPr>
    </w:p>
    <w:p>
      <w:pPr>
        <w:ind w:left="380" w:right="20" w:firstLine="534"/>
        <w:spacing w:after="0" w:line="258" w:lineRule="auto"/>
        <w:rPr>
          <w:sz w:val="20"/>
          <w:szCs w:val="20"/>
          <w:color w:val="auto"/>
        </w:rPr>
      </w:pPr>
      <w:r>
        <w:rPr>
          <w:rFonts w:ascii="Arial" w:cs="Arial" w:eastAsia="Arial" w:hAnsi="Arial"/>
          <w:sz w:val="17"/>
          <w:szCs w:val="17"/>
          <w:color w:val="auto"/>
        </w:rPr>
        <w:t>On March 22, 2019, the Company effected a one-for-two reverse stock split of its outstanding capital stock, as described in Note 2, “Summary of Significant Accounting Policies.”</w:t>
      </w:r>
    </w:p>
    <w:p>
      <w:pPr>
        <w:spacing w:after="0" w:line="11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1000"/>
          </w:cols>
          <w:pgMar w:left="240" w:top="449" w:right="659" w:bottom="1440" w:gutter="0" w:footer="0" w:header="0"/>
        </w:sectPr>
      </w:pPr>
    </w:p>
    <w:bookmarkStart w:id="250" w:name="page251"/>
    <w:bookmarkEnd w:id="2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219710</wp:posOffset>
            </wp:positionV>
            <wp:extent cx="6784975" cy="247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784975" cy="24765"/>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278130</wp:posOffset>
            </wp:positionV>
            <wp:extent cx="678497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784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79"/>
        <w:spacing w:after="0"/>
        <w:rPr>
          <w:sz w:val="20"/>
          <w:szCs w:val="20"/>
          <w:color w:val="auto"/>
        </w:rPr>
      </w:pPr>
      <w:r>
        <w:rPr>
          <w:rFonts w:ascii="Arial" w:cs="Arial" w:eastAsia="Arial" w:hAnsi="Arial"/>
          <w:sz w:val="24"/>
          <w:szCs w:val="24"/>
          <w:color w:val="auto"/>
        </w:rPr>
        <w:t>6,666,667 Shares</w:t>
      </w:r>
    </w:p>
    <w:p>
      <w:pPr>
        <w:spacing w:after="0" w:line="200" w:lineRule="exact"/>
        <w:rPr>
          <w:sz w:val="20"/>
          <w:szCs w:val="20"/>
          <w:color w:val="auto"/>
        </w:rPr>
      </w:pPr>
    </w:p>
    <w:p>
      <w:pPr>
        <w:spacing w:after="0" w:line="231" w:lineRule="exact"/>
        <w:rPr>
          <w:sz w:val="20"/>
          <w:szCs w:val="20"/>
          <w:color w:val="auto"/>
        </w:rPr>
      </w:pPr>
    </w:p>
    <w:p>
      <w:pPr>
        <w:jc w:val="center"/>
        <w:ind w:right="-379"/>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1611630</wp:posOffset>
            </wp:positionV>
            <wp:extent cx="101473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014730" cy="8255"/>
                    </a:xfrm>
                    <a:prstGeom prst="rect">
                      <a:avLst/>
                    </a:prstGeom>
                    <a:noFill/>
                  </pic:spPr>
                </pic:pic>
              </a:graphicData>
            </a:graphic>
          </wp:anchor>
        </w:drawing>
        <w:drawing>
          <wp:anchor simplePos="0" relativeHeight="251657728" behindDoc="1" locked="0" layoutInCell="0" allowOverlap="1">
            <wp:simplePos x="0" y="0"/>
            <wp:positionH relativeFrom="column">
              <wp:posOffset>3121025</wp:posOffset>
            </wp:positionH>
            <wp:positionV relativeFrom="paragraph">
              <wp:posOffset>3366135</wp:posOffset>
            </wp:positionV>
            <wp:extent cx="101473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014730" cy="8255"/>
                    </a:xfrm>
                    <a:prstGeom prst="rect">
                      <a:avLst/>
                    </a:prstGeom>
                    <a:noFill/>
                  </pic:spPr>
                </pic:pic>
              </a:graphicData>
            </a:graphic>
          </wp:anchor>
        </w:drawing>
        <w:drawing>
          <wp:anchor simplePos="0" relativeHeight="251657728" behindDoc="1" locked="0" layoutInCell="0" allowOverlap="1">
            <wp:simplePos x="0" y="0"/>
            <wp:positionH relativeFrom="column">
              <wp:posOffset>2531110</wp:posOffset>
            </wp:positionH>
            <wp:positionV relativeFrom="paragraph">
              <wp:posOffset>1869440</wp:posOffset>
            </wp:positionV>
            <wp:extent cx="2203450" cy="12058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203450" cy="1205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80"/>
        <w:spacing w:after="0"/>
        <w:tabs>
          <w:tab w:leader="none" w:pos="6460" w:val="left"/>
          <w:tab w:leader="none" w:pos="10120" w:val="left"/>
        </w:tabs>
        <w:rPr>
          <w:sz w:val="20"/>
          <w:szCs w:val="20"/>
          <w:color w:val="auto"/>
        </w:rPr>
      </w:pPr>
      <w:r>
        <w:rPr>
          <w:rFonts w:ascii="Arial" w:cs="Arial" w:eastAsia="Arial" w:hAnsi="Arial"/>
          <w:sz w:val="28"/>
          <w:szCs w:val="28"/>
          <w:b w:val="1"/>
          <w:bCs w:val="1"/>
          <w:color w:val="auto"/>
        </w:rPr>
        <w:t>Goldman Sachs &amp; Co. LLC</w:t>
      </w:r>
      <w:r>
        <w:rPr>
          <w:sz w:val="20"/>
          <w:szCs w:val="20"/>
          <w:color w:val="auto"/>
        </w:rPr>
        <w:tab/>
      </w:r>
      <w:r>
        <w:rPr>
          <w:rFonts w:ascii="Arial" w:cs="Arial" w:eastAsia="Arial" w:hAnsi="Arial"/>
          <w:sz w:val="28"/>
          <w:szCs w:val="28"/>
          <w:b w:val="1"/>
          <w:bCs w:val="1"/>
          <w:color w:val="auto"/>
        </w:rPr>
        <w:t>Citigroup</w:t>
      </w:r>
      <w:r>
        <w:rPr>
          <w:sz w:val="20"/>
          <w:szCs w:val="20"/>
          <w:color w:val="auto"/>
        </w:rPr>
        <w:tab/>
      </w:r>
      <w:r>
        <w:rPr>
          <w:rFonts w:ascii="Arial" w:cs="Arial" w:eastAsia="Arial" w:hAnsi="Arial"/>
          <w:sz w:val="28"/>
          <w:szCs w:val="28"/>
          <w:b w:val="1"/>
          <w:bCs w:val="1"/>
          <w:color w:val="auto"/>
        </w:rPr>
        <w:t>Cowen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80" w:right="40" w:firstLine="534"/>
        <w:spacing w:after="0" w:line="258" w:lineRule="auto"/>
        <w:rPr>
          <w:sz w:val="20"/>
          <w:szCs w:val="20"/>
          <w:color w:val="auto"/>
        </w:rPr>
      </w:pPr>
      <w:r>
        <w:rPr>
          <w:rFonts w:ascii="Arial" w:cs="Arial" w:eastAsia="Arial" w:hAnsi="Arial"/>
          <w:sz w:val="17"/>
          <w:szCs w:val="17"/>
          <w:b w:val="1"/>
          <w:bCs w:val="1"/>
          <w:color w:val="auto"/>
        </w:rPr>
        <w:t>Through and including , 2019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271145</wp:posOffset>
            </wp:positionV>
            <wp:extent cx="678497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784975" cy="8255"/>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329565</wp:posOffset>
            </wp:positionV>
            <wp:extent cx="6784975" cy="247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784975" cy="24765"/>
                    </a:xfrm>
                    <a:prstGeom prst="rect">
                      <a:avLst/>
                    </a:prstGeom>
                    <a:noFill/>
                  </pic:spPr>
                </pic:pic>
              </a:graphicData>
            </a:graphic>
          </wp:anchor>
        </w:drawing>
      </w:r>
    </w:p>
    <w:p>
      <w:pPr>
        <w:sectPr>
          <w:pgSz w:w="11900" w:h="16838" w:orient="portrait"/>
          <w:cols w:equalWidth="0" w:num="1">
            <w:col w:w="11060"/>
          </w:cols>
          <w:pgMar w:left="240" w:top="449" w:right="599" w:bottom="1440" w:gutter="0" w:footer="0" w:header="0"/>
        </w:sectPr>
      </w:pPr>
    </w:p>
    <w:bookmarkStart w:id="251" w:name="page252"/>
    <w:bookmarkEnd w:id="2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PART II</w:t>
      </w:r>
    </w:p>
    <w:p>
      <w:pPr>
        <w:spacing w:after="0" w:line="210"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Item 13. Other Expenses of Issuance and Distribution</w:t>
      </w:r>
    </w:p>
    <w:p>
      <w:pPr>
        <w:spacing w:after="0" w:line="126" w:lineRule="exact"/>
        <w:rPr>
          <w:sz w:val="20"/>
          <w:szCs w:val="20"/>
          <w:color w:val="auto"/>
        </w:rPr>
      </w:pPr>
    </w:p>
    <w:p>
      <w:pPr>
        <w:ind w:left="380" w:right="120" w:firstLine="534"/>
        <w:spacing w:after="0" w:line="250" w:lineRule="auto"/>
        <w:rPr>
          <w:sz w:val="20"/>
          <w:szCs w:val="20"/>
          <w:color w:val="auto"/>
        </w:rPr>
      </w:pPr>
      <w:r>
        <w:rPr>
          <w:rFonts w:ascii="Arial" w:cs="Arial" w:eastAsia="Arial" w:hAnsi="Arial"/>
          <w:sz w:val="17"/>
          <w:szCs w:val="17"/>
          <w:color w:val="auto"/>
        </w:rPr>
        <w:t>The following table sets forth all expenses, other than the underwriting discounts and commissions, payable by the registrant in connection with the sale of the common stock being registered. All the amounts shown are estimates except the SEC registration fee, the FINRA filing fee and the Nasdaq Global Select Market listing fees.</w:t>
      </w:r>
    </w:p>
    <w:p>
      <w:pPr>
        <w:spacing w:after="0" w:line="214" w:lineRule="exact"/>
        <w:rPr>
          <w:sz w:val="20"/>
          <w:szCs w:val="20"/>
          <w:color w:val="auto"/>
        </w:rPr>
      </w:pPr>
    </w:p>
    <w:tbl>
      <w:tblPr>
        <w:tblLayout w:type="fixed"/>
        <w:tblInd w:w="38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SEC registration fee</w:t>
            </w:r>
          </w:p>
        </w:tc>
        <w:tc>
          <w:tcPr>
            <w:tcW w:w="3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14,868</w:t>
            </w:r>
          </w:p>
        </w:tc>
      </w:tr>
      <w:tr>
        <w:trPr>
          <w:trHeight w:val="196"/>
        </w:trPr>
        <w:tc>
          <w:tcPr>
            <w:tcW w:w="20" w:type="dxa"/>
            <w:vAlign w:val="bottom"/>
          </w:tcPr>
          <w:p>
            <w:pPr>
              <w:spacing w:after="0"/>
              <w:rPr>
                <w:sz w:val="17"/>
                <w:szCs w:val="17"/>
                <w:color w:val="auto"/>
              </w:rPr>
            </w:pPr>
          </w:p>
        </w:tc>
        <w:tc>
          <w:tcPr>
            <w:tcW w:w="6660" w:type="dxa"/>
            <w:vAlign w:val="bottom"/>
          </w:tcPr>
          <w:p>
            <w:pPr>
              <w:spacing w:after="0"/>
              <w:rPr>
                <w:sz w:val="20"/>
                <w:szCs w:val="20"/>
                <w:color w:val="auto"/>
              </w:rPr>
            </w:pPr>
            <w:r>
              <w:rPr>
                <w:rFonts w:ascii="Arial" w:cs="Arial" w:eastAsia="Arial" w:hAnsi="Arial"/>
                <w:sz w:val="17"/>
                <w:szCs w:val="17"/>
                <w:color w:val="auto"/>
              </w:rPr>
              <w:t>FINRA filing fee</w:t>
            </w:r>
          </w:p>
        </w:tc>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18,900</w:t>
            </w: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Nasdaq initial listing fee</w:t>
            </w: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25,000</w:t>
            </w:r>
          </w:p>
        </w:tc>
      </w:tr>
      <w:tr>
        <w:trPr>
          <w:trHeight w:val="196"/>
        </w:trPr>
        <w:tc>
          <w:tcPr>
            <w:tcW w:w="20" w:type="dxa"/>
            <w:vAlign w:val="bottom"/>
          </w:tcPr>
          <w:p>
            <w:pPr>
              <w:spacing w:after="0"/>
              <w:rPr>
                <w:sz w:val="17"/>
                <w:szCs w:val="17"/>
                <w:color w:val="auto"/>
              </w:rPr>
            </w:pPr>
          </w:p>
        </w:tc>
        <w:tc>
          <w:tcPr>
            <w:tcW w:w="6660" w:type="dxa"/>
            <w:vAlign w:val="bottom"/>
          </w:tcPr>
          <w:p>
            <w:pPr>
              <w:spacing w:after="0"/>
              <w:rPr>
                <w:sz w:val="20"/>
                <w:szCs w:val="20"/>
                <w:color w:val="auto"/>
              </w:rPr>
            </w:pPr>
            <w:r>
              <w:rPr>
                <w:rFonts w:ascii="Arial" w:cs="Arial" w:eastAsia="Arial" w:hAnsi="Arial"/>
                <w:sz w:val="17"/>
                <w:szCs w:val="17"/>
                <w:color w:val="auto"/>
              </w:rPr>
              <w:t>Legal fees and expenses</w:t>
            </w:r>
          </w:p>
        </w:tc>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1,500,000</w:t>
            </w: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Accounting fees and expenses</w:t>
            </w: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1,400,000</w:t>
            </w:r>
          </w:p>
        </w:tc>
      </w:tr>
      <w:tr>
        <w:trPr>
          <w:trHeight w:val="196"/>
        </w:trPr>
        <w:tc>
          <w:tcPr>
            <w:tcW w:w="20" w:type="dxa"/>
            <w:vAlign w:val="bottom"/>
          </w:tcPr>
          <w:p>
            <w:pPr>
              <w:spacing w:after="0"/>
              <w:rPr>
                <w:sz w:val="17"/>
                <w:szCs w:val="17"/>
                <w:color w:val="auto"/>
              </w:rPr>
            </w:pPr>
          </w:p>
        </w:tc>
        <w:tc>
          <w:tcPr>
            <w:tcW w:w="6660" w:type="dxa"/>
            <w:vAlign w:val="bottom"/>
          </w:tcPr>
          <w:p>
            <w:pPr>
              <w:spacing w:after="0"/>
              <w:rPr>
                <w:sz w:val="20"/>
                <w:szCs w:val="20"/>
                <w:color w:val="auto"/>
              </w:rPr>
            </w:pPr>
            <w:r>
              <w:rPr>
                <w:rFonts w:ascii="Arial" w:cs="Arial" w:eastAsia="Arial" w:hAnsi="Arial"/>
                <w:sz w:val="17"/>
                <w:szCs w:val="17"/>
                <w:color w:val="auto"/>
              </w:rPr>
              <w:t>Printing and engraving expenses</w:t>
            </w:r>
          </w:p>
        </w:tc>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200,000</w:t>
            </w: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Transfer agent and registrar fees and expenses</w:t>
            </w: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26,687</w:t>
            </w:r>
          </w:p>
        </w:tc>
      </w:tr>
      <w:tr>
        <w:trPr>
          <w:trHeight w:val="203"/>
        </w:trPr>
        <w:tc>
          <w:tcPr>
            <w:tcW w:w="20" w:type="dxa"/>
            <w:vAlign w:val="bottom"/>
          </w:tcPr>
          <w:p>
            <w:pPr>
              <w:spacing w:after="0"/>
              <w:rPr>
                <w:sz w:val="17"/>
                <w:szCs w:val="17"/>
                <w:color w:val="auto"/>
              </w:rPr>
            </w:pPr>
          </w:p>
        </w:tc>
        <w:tc>
          <w:tcPr>
            <w:tcW w:w="6660" w:type="dxa"/>
            <w:vAlign w:val="bottom"/>
          </w:tcPr>
          <w:p>
            <w:pPr>
              <w:spacing w:after="0"/>
              <w:rPr>
                <w:sz w:val="20"/>
                <w:szCs w:val="20"/>
                <w:color w:val="auto"/>
              </w:rPr>
            </w:pPr>
            <w:r>
              <w:rPr>
                <w:rFonts w:ascii="Arial" w:cs="Arial" w:eastAsia="Arial" w:hAnsi="Arial"/>
                <w:sz w:val="17"/>
                <w:szCs w:val="17"/>
                <w:color w:val="auto"/>
              </w:rPr>
              <w:t>Miscellaneous fees and expenses</w:t>
            </w:r>
          </w:p>
        </w:tc>
        <w:tc>
          <w:tcPr>
            <w:tcW w:w="30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314,545</w:t>
            </w:r>
          </w:p>
        </w:tc>
        <w:tc>
          <w:tcPr>
            <w:tcW w:w="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3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3,500,000</w:t>
            </w: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Item 14. Indemnification of Officers and Directors</w:t>
      </w:r>
    </w:p>
    <w:p>
      <w:pPr>
        <w:spacing w:after="0" w:line="126" w:lineRule="exact"/>
        <w:rPr>
          <w:sz w:val="20"/>
          <w:szCs w:val="20"/>
          <w:color w:val="auto"/>
        </w:rPr>
      </w:pPr>
    </w:p>
    <w:p>
      <w:pPr>
        <w:ind w:left="380" w:right="20" w:firstLine="534"/>
        <w:spacing w:after="0" w:line="242" w:lineRule="auto"/>
        <w:rPr>
          <w:sz w:val="20"/>
          <w:szCs w:val="20"/>
          <w:color w:val="auto"/>
        </w:rPr>
      </w:pPr>
      <w:r>
        <w:rPr>
          <w:rFonts w:ascii="Arial" w:cs="Arial" w:eastAsia="Arial" w:hAnsi="Arial"/>
          <w:sz w:val="17"/>
          <w:szCs w:val="17"/>
          <w:color w:val="auto"/>
        </w:rPr>
        <w:t>Section 145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a court of competent jurisdiction shall determine that such indemnity is proper.</w:t>
      </w:r>
    </w:p>
    <w:p>
      <w:pPr>
        <w:spacing w:after="0" w:line="200" w:lineRule="exact"/>
        <w:rPr>
          <w:sz w:val="20"/>
          <w:szCs w:val="20"/>
          <w:color w:val="auto"/>
        </w:rPr>
      </w:pPr>
    </w:p>
    <w:p>
      <w:pPr>
        <w:ind w:left="380" w:right="260" w:firstLine="534"/>
        <w:spacing w:after="0" w:line="250" w:lineRule="auto"/>
        <w:rPr>
          <w:sz w:val="20"/>
          <w:szCs w:val="20"/>
          <w:color w:val="auto"/>
        </w:rPr>
      </w:pPr>
      <w:r>
        <w:rPr>
          <w:rFonts w:ascii="Arial" w:cs="Arial" w:eastAsia="Arial" w:hAnsi="Arial"/>
          <w:sz w:val="17"/>
          <w:szCs w:val="17"/>
          <w:color w:val="auto"/>
        </w:rPr>
        <w:t>Section 145(g) of the Delaware General Corporation Law provides that a corporation shall have the power to purchase and maintain insurance on behalf of its officers, directors, employees and agents, against any liability asserted against and incurred by such persons in any such capacity.</w:t>
      </w:r>
    </w:p>
    <w:p>
      <w:pPr>
        <w:spacing w:after="0" w:line="188" w:lineRule="exact"/>
        <w:rPr>
          <w:sz w:val="20"/>
          <w:szCs w:val="20"/>
          <w:color w:val="auto"/>
        </w:rPr>
      </w:pPr>
    </w:p>
    <w:p>
      <w:pPr>
        <w:ind w:left="380" w:right="300" w:firstLine="534"/>
        <w:spacing w:after="0" w:line="247" w:lineRule="auto"/>
        <w:rPr>
          <w:sz w:val="20"/>
          <w:szCs w:val="20"/>
          <w:color w:val="auto"/>
        </w:rPr>
      </w:pPr>
      <w:r>
        <w:rPr>
          <w:rFonts w:ascii="Arial" w:cs="Arial" w:eastAsia="Arial" w:hAnsi="Arial"/>
          <w:sz w:val="17"/>
          <w:szCs w:val="17"/>
          <w:color w:val="auto"/>
        </w:rPr>
        <w:t>Section 102(b)(7) of the General Corporation Law of the State of Delaware provides that a corporation may eliminate or limit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1060"/>
          </w:cols>
          <w:pgMar w:left="240" w:top="449" w:right="599" w:bottom="1440" w:gutter="0" w:footer="0" w:header="0"/>
        </w:sectPr>
      </w:pPr>
    </w:p>
    <w:bookmarkStart w:id="252" w:name="page253"/>
    <w:bookmarkEnd w:id="2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intentional misconduct or a knowing violation of law, (iii) under Section 174 of the General Corporation Law of the State of Delaware or</w:t>
      </w:r>
    </w:p>
    <w:p>
      <w:pPr>
        <w:spacing w:after="0" w:line="1" w:lineRule="exact"/>
        <w:rPr>
          <w:sz w:val="20"/>
          <w:szCs w:val="20"/>
          <w:color w:val="auto"/>
        </w:rPr>
      </w:pPr>
    </w:p>
    <w:p>
      <w:pPr>
        <w:ind w:left="380" w:right="160" w:hanging="9"/>
        <w:spacing w:after="0" w:line="258" w:lineRule="auto"/>
        <w:tabs>
          <w:tab w:leader="none" w:pos="671" w:val="left"/>
        </w:tabs>
        <w:numPr>
          <w:ilvl w:val="0"/>
          <w:numId w:val="108"/>
        </w:numPr>
        <w:rPr>
          <w:rFonts w:ascii="Arial" w:cs="Arial" w:eastAsia="Arial" w:hAnsi="Arial"/>
          <w:sz w:val="17"/>
          <w:szCs w:val="17"/>
          <w:color w:val="auto"/>
        </w:rPr>
      </w:pPr>
      <w:r>
        <w:rPr>
          <w:rFonts w:ascii="Arial" w:cs="Arial" w:eastAsia="Arial" w:hAnsi="Arial"/>
          <w:sz w:val="17"/>
          <w:szCs w:val="17"/>
          <w:color w:val="auto"/>
        </w:rPr>
        <w:t>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182" w:lineRule="exact"/>
        <w:rPr>
          <w:sz w:val="20"/>
          <w:szCs w:val="20"/>
          <w:color w:val="auto"/>
        </w:rPr>
      </w:pPr>
    </w:p>
    <w:p>
      <w:pPr>
        <w:ind w:left="380" w:right="20" w:firstLine="534"/>
        <w:spacing w:after="0" w:line="242" w:lineRule="auto"/>
        <w:rPr>
          <w:sz w:val="20"/>
          <w:szCs w:val="20"/>
          <w:color w:val="auto"/>
        </w:rPr>
      </w:pPr>
      <w:r>
        <w:rPr>
          <w:rFonts w:ascii="Arial" w:cs="Arial" w:eastAsia="Arial" w:hAnsi="Arial"/>
          <w:sz w:val="17"/>
          <w:szCs w:val="17"/>
          <w:color w:val="auto"/>
        </w:rPr>
        <w:t>Our amended and restated certificate of incorporation provides that our directors shall not be liable to us or our stockholders for monetary damages for breach of fiduciary duty as a director, except to the extent that the exculpation from liabilities is not permitted under the Delaware General Corporation Law as in effect at the time such liability is determined. In addition, our amended and restated certificate of incorporation provides that we may indemnify our directors, officers and other agents of the company to the fullest extent permitted by the laws of the State of Delaware and our amended and restated bylaws provide that we are required to indemnify our directors and executive officers to the fullest extent not prohibited by Delaware General Corporate Law. We have entered into indemnification agreements with each of our directors and officers. These indemnification agreements provide, among other things, that we will indemnify our directors and officers for certain expenses, including damages, judgments, fines, penalties, settlements and costs and attorneys’ fees and disbursements, incurred by a director or officer in any claim, action or proceeding arising in his or her capacity as a director or officer of our company or in connection with service at our request for another corporation or entity. The indemnification agreements also provide for procedures that will apply in the event that a director or officer makes a claim for indemnification. We expect to enter into a similar agreement with any new directors or officers.</w:t>
      </w:r>
    </w:p>
    <w:p>
      <w:pPr>
        <w:spacing w:after="0" w:line="201" w:lineRule="exact"/>
        <w:rPr>
          <w:sz w:val="20"/>
          <w:szCs w:val="20"/>
          <w:color w:val="auto"/>
        </w:rPr>
      </w:pPr>
    </w:p>
    <w:p>
      <w:pPr>
        <w:ind w:left="380" w:firstLine="534"/>
        <w:spacing w:after="0" w:line="247" w:lineRule="auto"/>
        <w:rPr>
          <w:sz w:val="20"/>
          <w:szCs w:val="20"/>
          <w:color w:val="auto"/>
        </w:rPr>
      </w:pPr>
      <w:r>
        <w:rPr>
          <w:rFonts w:ascii="Arial" w:cs="Arial" w:eastAsia="Arial" w:hAnsi="Arial"/>
          <w:sz w:val="17"/>
          <w:szCs w:val="17"/>
          <w:color w:val="auto"/>
        </w:rPr>
        <w:t>Our amended and restated bylaws provide that we may purchase and maintain insurance policies on behalf of our directors and officers against specified liabilities for actions taken in their capacities as such, including liabilities under the Securities Act. We have obtained directors’ and officers’ liability insurance to cover liabilities our directors and officers may incur in connection with their services to us, and plan to expand such coverage to include matters arising under the securities laws prior to the completion of this offering.</w:t>
      </w:r>
    </w:p>
    <w:p>
      <w:pPr>
        <w:spacing w:after="0" w:line="190" w:lineRule="exact"/>
        <w:rPr>
          <w:sz w:val="20"/>
          <w:szCs w:val="20"/>
          <w:color w:val="auto"/>
        </w:rPr>
      </w:pPr>
    </w:p>
    <w:p>
      <w:pPr>
        <w:ind w:left="380" w:right="280" w:firstLine="534"/>
        <w:spacing w:after="0" w:line="247" w:lineRule="auto"/>
        <w:rPr>
          <w:sz w:val="20"/>
          <w:szCs w:val="20"/>
          <w:color w:val="auto"/>
        </w:rPr>
      </w:pPr>
      <w:r>
        <w:rPr>
          <w:rFonts w:ascii="Arial" w:cs="Arial" w:eastAsia="Arial" w:hAnsi="Arial"/>
          <w:sz w:val="17"/>
          <w:szCs w:val="17"/>
          <w:color w:val="auto"/>
        </w:rPr>
        <w:t>In addition, the underwriting agreement related to this offering will provide for indemnification by the underwriters of us and our officers and directors for certain liabilities arising under the Securities Act or otherwise. Our amended and restated investors’ rights agreement with certain stockholders also provides for cross-indemnification in connection with the registration of our common stock on behalf of such investors.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Item 15. Recent Sales of Unregistered Securities</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following list sets forth information regarding all unregistered securities issued by us since January 1, 2016:</w:t>
      </w:r>
    </w:p>
    <w:p>
      <w:pPr>
        <w:spacing w:after="0" w:line="119" w:lineRule="exact"/>
        <w:rPr>
          <w:sz w:val="20"/>
          <w:szCs w:val="20"/>
          <w:color w:val="auto"/>
        </w:rPr>
      </w:pPr>
    </w:p>
    <w:p>
      <w:pPr>
        <w:ind w:left="1420" w:right="300" w:hanging="525"/>
        <w:spacing w:after="0" w:line="250" w:lineRule="auto"/>
        <w:tabs>
          <w:tab w:leader="none" w:pos="14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From January 1, 2016 to date, we granted to our directors, officers, employees and consultants options to purchase an aggregate of 8,278,025 shares of common stock under our 2008 Equity Incentive Plan and 2018 Equity Incentive Plan at exercise prices ranging from $7.64 to $12.06 per share.</w:t>
      </w:r>
    </w:p>
    <w:p>
      <w:pPr>
        <w:spacing w:after="0" w:line="96" w:lineRule="exact"/>
        <w:rPr>
          <w:rFonts w:ascii="Arial" w:cs="Arial" w:eastAsia="Arial" w:hAnsi="Arial"/>
          <w:sz w:val="17"/>
          <w:szCs w:val="17"/>
          <w:color w:val="auto"/>
        </w:rPr>
      </w:pPr>
    </w:p>
    <w:p>
      <w:pPr>
        <w:ind w:left="1420" w:hanging="525"/>
        <w:spacing w:after="0" w:line="245" w:lineRule="auto"/>
        <w:tabs>
          <w:tab w:leader="none" w:pos="14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From January 1, 2016 to date, we issued and sold to our directors, officers, employees and consultants an aggregate of 1,123,367 shares of common stock upon the exercise of options under our 2008 Equity Incentive Plan at exercise prices ranging from $0.20 to $7.70 per share, for aggregate consideration of $5.3 million and an aggregate of 9,037 shares of common stock upon the exercise of options under our 2018 Equity Incentive Plan at an exercise price of $8.14 per share, for aggregate consideration of $0.1 million.</w:t>
      </w:r>
    </w:p>
    <w:p>
      <w:pPr>
        <w:spacing w:after="0" w:line="102" w:lineRule="exact"/>
        <w:rPr>
          <w:rFonts w:ascii="Arial" w:cs="Arial" w:eastAsia="Arial" w:hAnsi="Arial"/>
          <w:sz w:val="17"/>
          <w:szCs w:val="17"/>
          <w:color w:val="auto"/>
        </w:rPr>
      </w:pPr>
    </w:p>
    <w:p>
      <w:pPr>
        <w:ind w:left="1420" w:right="600" w:hanging="525"/>
        <w:spacing w:after="0" w:line="258" w:lineRule="auto"/>
        <w:tabs>
          <w:tab w:leader="none" w:pos="14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From January 1, 2016 to date, we issued and sold 38,934 shares of our common stock to the trustee under the NGM Biopharmaceuticals Matching Plan for aggregate consideration of $0.3 million.</w:t>
      </w:r>
    </w:p>
    <w:p>
      <w:pPr>
        <w:spacing w:after="0" w:line="11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1020"/>
          </w:cols>
          <w:pgMar w:left="240" w:top="449" w:right="639" w:bottom="1440" w:gutter="0" w:footer="0" w:header="0"/>
        </w:sectPr>
      </w:pPr>
    </w:p>
    <w:bookmarkStart w:id="253" w:name="page254"/>
    <w:bookmarkEnd w:id="2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1420" w:right="240" w:hanging="525"/>
        <w:spacing w:after="0" w:line="258" w:lineRule="auto"/>
        <w:tabs>
          <w:tab w:leader="none" w:pos="14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On February 3, 2019, we issued shares of Series A convertible preferred stock (convertible into 16,380 shares of common stock) upon the automatic net exercise of our Series A convertible preferred stock warrant.</w:t>
      </w:r>
    </w:p>
    <w:p>
      <w:pPr>
        <w:spacing w:after="0" w:line="182" w:lineRule="exact"/>
        <w:rPr>
          <w:sz w:val="20"/>
          <w:szCs w:val="20"/>
          <w:color w:val="auto"/>
        </w:rPr>
      </w:pPr>
    </w:p>
    <w:p>
      <w:pPr>
        <w:ind w:left="380" w:right="20" w:firstLine="534"/>
        <w:spacing w:after="0" w:line="243" w:lineRule="auto"/>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Item 16. Exhibits and Financial Statement Schedules</w:t>
      </w:r>
    </w:p>
    <w:p>
      <w:pPr>
        <w:spacing w:after="0" w:line="126" w:lineRule="exact"/>
        <w:rPr>
          <w:sz w:val="20"/>
          <w:szCs w:val="20"/>
          <w:color w:val="auto"/>
        </w:rPr>
      </w:pPr>
    </w:p>
    <w:tbl>
      <w:tblPr>
        <w:tblLayout w:type="fixed"/>
        <w:tblInd w:w="380" w:type="dxa"/>
        <w:tblCellMar>
          <w:top w:w="0" w:type="dxa"/>
          <w:left w:w="0" w:type="dxa"/>
          <w:bottom w:w="0" w:type="dxa"/>
          <w:right w:w="0" w:type="dxa"/>
        </w:tblCellMar>
      </w:tblPr>
      <w:tr>
        <w:trPr>
          <w:trHeight w:val="210"/>
        </w:trPr>
        <w:tc>
          <w:tcPr>
            <w:tcW w:w="520" w:type="dxa"/>
            <w:vAlign w:val="bottom"/>
          </w:tcPr>
          <w:p>
            <w:pPr>
              <w:spacing w:after="0"/>
              <w:rPr>
                <w:sz w:val="18"/>
                <w:szCs w:val="18"/>
                <w:color w:val="auto"/>
              </w:rPr>
            </w:pPr>
          </w:p>
        </w:tc>
        <w:tc>
          <w:tcPr>
            <w:tcW w:w="10160" w:type="dxa"/>
            <w:vAlign w:val="bottom"/>
            <w:gridSpan w:val="21"/>
          </w:tcPr>
          <w:p>
            <w:pPr>
              <w:spacing w:after="0"/>
              <w:rPr>
                <w:sz w:val="20"/>
                <w:szCs w:val="20"/>
                <w:color w:val="auto"/>
              </w:rPr>
            </w:pPr>
            <w:r>
              <w:rPr>
                <w:rFonts w:ascii="Arial" w:cs="Arial" w:eastAsia="Arial" w:hAnsi="Arial"/>
                <w:sz w:val="17"/>
                <w:szCs w:val="17"/>
                <w:color w:val="auto"/>
              </w:rPr>
              <w:t>(a) Exhibits</w:t>
            </w:r>
          </w:p>
        </w:tc>
      </w:tr>
      <w:tr>
        <w:trPr>
          <w:trHeight w:val="406"/>
        </w:trPr>
        <w:tc>
          <w:tcPr>
            <w:tcW w:w="520" w:type="dxa"/>
            <w:vAlign w:val="bottom"/>
          </w:tcPr>
          <w:p>
            <w:pPr>
              <w:spacing w:after="0"/>
              <w:rPr>
                <w:sz w:val="24"/>
                <w:szCs w:val="24"/>
                <w:color w:val="auto"/>
              </w:rPr>
            </w:pPr>
          </w:p>
        </w:tc>
        <w:tc>
          <w:tcPr>
            <w:tcW w:w="10160" w:type="dxa"/>
            <w:vAlign w:val="bottom"/>
            <w:gridSpan w:val="21"/>
          </w:tcPr>
          <w:p>
            <w:pPr>
              <w:spacing w:after="0"/>
              <w:rPr>
                <w:sz w:val="20"/>
                <w:szCs w:val="20"/>
                <w:color w:val="auto"/>
              </w:rPr>
            </w:pPr>
            <w:r>
              <w:rPr>
                <w:rFonts w:ascii="Arial" w:cs="Arial" w:eastAsia="Arial" w:hAnsi="Arial"/>
                <w:sz w:val="17"/>
                <w:szCs w:val="17"/>
                <w:color w:val="auto"/>
              </w:rPr>
              <w:t>The following exhibits are filed as part of this Registration Statement:</w:t>
            </w:r>
          </w:p>
        </w:tc>
      </w:tr>
      <w:tr>
        <w:trPr>
          <w:trHeight w:val="369"/>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9"/>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number</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260" w:type="dxa"/>
            <w:vAlign w:val="bottom"/>
            <w:tcBorders>
              <w:bottom w:val="single" w:sz="8" w:color="auto"/>
            </w:tcBorders>
            <w:gridSpan w:val="11"/>
          </w:tcPr>
          <w:p>
            <w:pPr>
              <w:ind w:left="820"/>
              <w:spacing w:after="0"/>
              <w:rPr>
                <w:sz w:val="20"/>
                <w:szCs w:val="20"/>
                <w:color w:val="auto"/>
              </w:rPr>
            </w:pPr>
            <w:r>
              <w:rPr>
                <w:rFonts w:ascii="Arial" w:cs="Arial" w:eastAsia="Arial" w:hAnsi="Arial"/>
                <w:sz w:val="14"/>
                <w:szCs w:val="14"/>
                <w:b w:val="1"/>
                <w:bCs w:val="1"/>
                <w:color w:val="auto"/>
              </w:rPr>
              <w:t>Description of exhibit</w:t>
            </w:r>
          </w:p>
        </w:tc>
      </w:tr>
      <w:tr>
        <w:trPr>
          <w:trHeight w:val="156"/>
        </w:trPr>
        <w:tc>
          <w:tcPr>
            <w:tcW w:w="520" w:type="dxa"/>
            <w:vAlign w:val="bottom"/>
          </w:tcPr>
          <w:p>
            <w:pPr>
              <w:jc w:val="right"/>
              <w:ind w:right="95"/>
              <w:spacing w:after="0" w:line="157" w:lineRule="exact"/>
              <w:rPr>
                <w:sz w:val="20"/>
                <w:szCs w:val="20"/>
                <w:color w:val="auto"/>
              </w:rPr>
            </w:pPr>
            <w:r>
              <w:rPr>
                <w:rFonts w:ascii="Arial" w:cs="Arial" w:eastAsia="Arial" w:hAnsi="Arial"/>
                <w:sz w:val="17"/>
                <w:szCs w:val="17"/>
                <w:color w:val="auto"/>
              </w:rPr>
              <w:t>1.1</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gridSpan w:val="19"/>
          </w:tcPr>
          <w:p>
            <w:pPr>
              <w:spacing w:after="0" w:line="157" w:lineRule="exact"/>
              <w:rPr>
                <w:sz w:val="20"/>
                <w:szCs w:val="20"/>
                <w:color w:val="auto"/>
              </w:rPr>
            </w:pPr>
            <w:r>
              <w:rPr>
                <w:rFonts w:ascii="Arial" w:cs="Arial" w:eastAsia="Arial" w:hAnsi="Arial"/>
                <w:sz w:val="17"/>
                <w:szCs w:val="17"/>
                <w:color w:val="0000EE"/>
              </w:rPr>
              <w:t>Form of Underwriting Agreement.</w:t>
            </w:r>
          </w:p>
        </w:tc>
      </w:tr>
      <w:tr>
        <w:trPr>
          <w:trHeight w:val="20"/>
        </w:trPr>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81"/>
        </w:trPr>
        <w:tc>
          <w:tcPr>
            <w:tcW w:w="520" w:type="dxa"/>
            <w:vAlign w:val="bottom"/>
          </w:tcPr>
          <w:p>
            <w:pPr>
              <w:jc w:val="right"/>
              <w:ind w:right="35"/>
              <w:spacing w:after="0"/>
              <w:rPr>
                <w:sz w:val="20"/>
                <w:szCs w:val="20"/>
                <w:color w:val="auto"/>
              </w:rPr>
            </w:pPr>
            <w:r>
              <w:rPr>
                <w:rFonts w:ascii="Arial" w:cs="Arial" w:eastAsia="Arial" w:hAnsi="Arial"/>
                <w:sz w:val="17"/>
                <w:szCs w:val="17"/>
                <w:color w:val="auto"/>
              </w:rPr>
              <w:t>3.1*</w:t>
            </w:r>
          </w:p>
        </w:tc>
        <w:tc>
          <w:tcPr>
            <w:tcW w:w="720" w:type="dxa"/>
            <w:vAlign w:val="bottom"/>
          </w:tcPr>
          <w:p>
            <w:pPr>
              <w:spacing w:after="0"/>
              <w:rPr>
                <w:sz w:val="24"/>
                <w:szCs w:val="24"/>
                <w:color w:val="auto"/>
              </w:rPr>
            </w:pPr>
          </w:p>
        </w:tc>
        <w:tc>
          <w:tcPr>
            <w:tcW w:w="9440" w:type="dxa"/>
            <w:vAlign w:val="bottom"/>
            <w:gridSpan w:val="20"/>
          </w:tcPr>
          <w:p>
            <w:pPr>
              <w:spacing w:after="0"/>
              <w:rPr>
                <w:rFonts w:ascii="Arial" w:cs="Arial" w:eastAsia="Arial" w:hAnsi="Arial"/>
                <w:sz w:val="17"/>
                <w:szCs w:val="17"/>
                <w:color w:val="0000EE"/>
              </w:rPr>
            </w:pPr>
            <w:hyperlink r:id="rId337">
              <w:r>
                <w:rPr>
                  <w:rFonts w:ascii="Arial" w:cs="Arial" w:eastAsia="Arial" w:hAnsi="Arial"/>
                  <w:sz w:val="17"/>
                  <w:szCs w:val="17"/>
                  <w:color w:val="0000EE"/>
                </w:rPr>
                <w:t>Amended and Restated Certificate of Incorporation of NGM Biopharmaceuticals, Inc., as currently in effect.</w:t>
              </w:r>
            </w:hyperlink>
          </w:p>
        </w:tc>
      </w:tr>
      <w:tr>
        <w:trPr>
          <w:trHeight w:val="20"/>
        </w:trPr>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81"/>
        </w:trPr>
        <w:tc>
          <w:tcPr>
            <w:tcW w:w="520" w:type="dxa"/>
            <w:vAlign w:val="bottom"/>
          </w:tcPr>
          <w:p>
            <w:pPr>
              <w:jc w:val="right"/>
              <w:ind w:right="95"/>
              <w:spacing w:after="0"/>
              <w:rPr>
                <w:sz w:val="20"/>
                <w:szCs w:val="20"/>
                <w:color w:val="auto"/>
              </w:rPr>
            </w:pPr>
            <w:r>
              <w:rPr>
                <w:rFonts w:ascii="Arial" w:cs="Arial" w:eastAsia="Arial" w:hAnsi="Arial"/>
                <w:sz w:val="17"/>
                <w:szCs w:val="17"/>
                <w:color w:val="auto"/>
              </w:rPr>
              <w:t>3.2</w:t>
            </w:r>
          </w:p>
        </w:tc>
        <w:tc>
          <w:tcPr>
            <w:tcW w:w="720" w:type="dxa"/>
            <w:vAlign w:val="bottom"/>
          </w:tcPr>
          <w:p>
            <w:pPr>
              <w:spacing w:after="0"/>
              <w:rPr>
                <w:sz w:val="24"/>
                <w:szCs w:val="24"/>
                <w:color w:val="auto"/>
              </w:rPr>
            </w:pPr>
          </w:p>
        </w:tc>
        <w:tc>
          <w:tcPr>
            <w:tcW w:w="9440" w:type="dxa"/>
            <w:vAlign w:val="bottom"/>
            <w:gridSpan w:val="20"/>
          </w:tcPr>
          <w:p>
            <w:pPr>
              <w:spacing w:after="0"/>
              <w:rPr>
                <w:sz w:val="20"/>
                <w:szCs w:val="20"/>
                <w:color w:val="auto"/>
              </w:rPr>
            </w:pPr>
            <w:r>
              <w:rPr>
                <w:rFonts w:ascii="Arial" w:cs="Arial" w:eastAsia="Arial" w:hAnsi="Arial"/>
                <w:sz w:val="17"/>
                <w:szCs w:val="17"/>
                <w:color w:val="0000EE"/>
              </w:rPr>
              <w:t>Certificate of Amendment of the Amended and Restated Certificate of Incorporation of NGM Biopharmaceuticals, Inc., as</w:t>
            </w:r>
          </w:p>
        </w:tc>
      </w:tr>
      <w:tr>
        <w:trPr>
          <w:trHeight w:val="176"/>
        </w:trPr>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320" w:type="dxa"/>
            <w:vAlign w:val="bottom"/>
            <w:tcBorders>
              <w:top w:val="single" w:sz="8" w:color="0000EE"/>
            </w:tcBorders>
            <w:gridSpan w:val="19"/>
          </w:tcPr>
          <w:p>
            <w:pPr>
              <w:spacing w:after="0" w:line="176" w:lineRule="exact"/>
              <w:rPr>
                <w:sz w:val="20"/>
                <w:szCs w:val="20"/>
                <w:color w:val="auto"/>
              </w:rPr>
            </w:pPr>
            <w:r>
              <w:rPr>
                <w:rFonts w:ascii="Arial" w:cs="Arial" w:eastAsia="Arial" w:hAnsi="Arial"/>
                <w:sz w:val="17"/>
                <w:szCs w:val="17"/>
                <w:color w:val="0000EE"/>
              </w:rPr>
              <w:t>currently in effect.</w:t>
            </w:r>
          </w:p>
        </w:tc>
        <w:tc>
          <w:tcPr>
            <w:tcW w:w="120" w:type="dxa"/>
            <w:vAlign w:val="bottom"/>
          </w:tcPr>
          <w:p>
            <w:pPr>
              <w:spacing w:after="0"/>
              <w:rPr>
                <w:sz w:val="15"/>
                <w:szCs w:val="15"/>
                <w:color w:val="auto"/>
              </w:rPr>
            </w:pPr>
          </w:p>
        </w:tc>
      </w:tr>
      <w:tr>
        <w:trPr>
          <w:trHeight w:val="20"/>
        </w:trPr>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281"/>
        </w:trPr>
        <w:tc>
          <w:tcPr>
            <w:tcW w:w="520" w:type="dxa"/>
            <w:vAlign w:val="bottom"/>
          </w:tcPr>
          <w:p>
            <w:pPr>
              <w:jc w:val="right"/>
              <w:ind w:right="95"/>
              <w:spacing w:after="0"/>
              <w:rPr>
                <w:sz w:val="20"/>
                <w:szCs w:val="20"/>
                <w:color w:val="auto"/>
              </w:rPr>
            </w:pPr>
            <w:r>
              <w:rPr>
                <w:rFonts w:ascii="Arial" w:cs="Arial" w:eastAsia="Arial" w:hAnsi="Arial"/>
                <w:sz w:val="17"/>
                <w:szCs w:val="17"/>
                <w:color w:val="auto"/>
              </w:rPr>
              <w:t>3.3</w:t>
            </w:r>
          </w:p>
        </w:tc>
        <w:tc>
          <w:tcPr>
            <w:tcW w:w="720" w:type="dxa"/>
            <w:vAlign w:val="bottom"/>
          </w:tcPr>
          <w:p>
            <w:pPr>
              <w:spacing w:after="0"/>
              <w:rPr>
                <w:sz w:val="24"/>
                <w:szCs w:val="24"/>
                <w:color w:val="auto"/>
              </w:rPr>
            </w:pPr>
          </w:p>
        </w:tc>
        <w:tc>
          <w:tcPr>
            <w:tcW w:w="9440" w:type="dxa"/>
            <w:vAlign w:val="bottom"/>
            <w:gridSpan w:val="20"/>
          </w:tcPr>
          <w:p>
            <w:pPr>
              <w:spacing w:after="0"/>
              <w:rPr>
                <w:sz w:val="20"/>
                <w:szCs w:val="20"/>
                <w:color w:val="auto"/>
              </w:rPr>
            </w:pPr>
            <w:r>
              <w:rPr>
                <w:rFonts w:ascii="Arial" w:cs="Arial" w:eastAsia="Arial" w:hAnsi="Arial"/>
                <w:sz w:val="17"/>
                <w:szCs w:val="17"/>
                <w:color w:val="0000EE"/>
              </w:rPr>
              <w:t>Form of Amended and Restated Certificate of Incorporation of NGM Biopharmaceuticals, Inc., to be in effect upon</w:t>
            </w:r>
          </w:p>
        </w:tc>
      </w:tr>
      <w:tr>
        <w:trPr>
          <w:trHeight w:val="176"/>
        </w:trPr>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760" w:type="dxa"/>
            <w:vAlign w:val="bottom"/>
            <w:tcBorders>
              <w:top w:val="single" w:sz="8" w:color="0000EE"/>
            </w:tcBorders>
            <w:gridSpan w:val="16"/>
          </w:tcPr>
          <w:p>
            <w:pPr>
              <w:spacing w:after="0" w:line="176" w:lineRule="exact"/>
              <w:rPr>
                <w:sz w:val="20"/>
                <w:szCs w:val="20"/>
                <w:color w:val="auto"/>
              </w:rPr>
            </w:pPr>
            <w:r>
              <w:rPr>
                <w:rFonts w:ascii="Arial" w:cs="Arial" w:eastAsia="Arial" w:hAnsi="Arial"/>
                <w:sz w:val="17"/>
                <w:szCs w:val="17"/>
                <w:color w:val="0000EE"/>
              </w:rPr>
              <w:t>completion of this offering.</w:t>
            </w:r>
          </w:p>
        </w:tc>
        <w:tc>
          <w:tcPr>
            <w:tcW w:w="680" w:type="dxa"/>
            <w:vAlign w:val="bottom"/>
            <w:gridSpan w:val="4"/>
          </w:tcPr>
          <w:p>
            <w:pPr>
              <w:spacing w:after="0"/>
              <w:rPr>
                <w:sz w:val="15"/>
                <w:szCs w:val="15"/>
                <w:color w:val="auto"/>
              </w:rPr>
            </w:pPr>
          </w:p>
        </w:tc>
      </w:tr>
      <w:tr>
        <w:trPr>
          <w:trHeight w:val="20"/>
        </w:trPr>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281"/>
        </w:trPr>
        <w:tc>
          <w:tcPr>
            <w:tcW w:w="520" w:type="dxa"/>
            <w:vAlign w:val="bottom"/>
          </w:tcPr>
          <w:p>
            <w:pPr>
              <w:jc w:val="right"/>
              <w:ind w:right="35"/>
              <w:spacing w:after="0"/>
              <w:rPr>
                <w:sz w:val="20"/>
                <w:szCs w:val="20"/>
                <w:color w:val="auto"/>
              </w:rPr>
            </w:pPr>
            <w:r>
              <w:rPr>
                <w:rFonts w:ascii="Arial" w:cs="Arial" w:eastAsia="Arial" w:hAnsi="Arial"/>
                <w:sz w:val="17"/>
                <w:szCs w:val="17"/>
                <w:color w:val="auto"/>
              </w:rPr>
              <w:t>3.4*</w:t>
            </w:r>
          </w:p>
        </w:tc>
        <w:tc>
          <w:tcPr>
            <w:tcW w:w="720" w:type="dxa"/>
            <w:vAlign w:val="bottom"/>
          </w:tcPr>
          <w:p>
            <w:pPr>
              <w:spacing w:after="0"/>
              <w:rPr>
                <w:sz w:val="24"/>
                <w:szCs w:val="24"/>
                <w:color w:val="auto"/>
              </w:rPr>
            </w:pPr>
          </w:p>
        </w:tc>
        <w:tc>
          <w:tcPr>
            <w:tcW w:w="9440" w:type="dxa"/>
            <w:vAlign w:val="bottom"/>
            <w:gridSpan w:val="20"/>
          </w:tcPr>
          <w:p>
            <w:pPr>
              <w:spacing w:after="0"/>
              <w:rPr>
                <w:rFonts w:ascii="Arial" w:cs="Arial" w:eastAsia="Arial" w:hAnsi="Arial"/>
                <w:sz w:val="17"/>
                <w:szCs w:val="17"/>
                <w:color w:val="0000EE"/>
              </w:rPr>
            </w:pPr>
            <w:hyperlink r:id="rId338">
              <w:r>
                <w:rPr>
                  <w:rFonts w:ascii="Arial" w:cs="Arial" w:eastAsia="Arial" w:hAnsi="Arial"/>
                  <w:sz w:val="17"/>
                  <w:szCs w:val="17"/>
                  <w:color w:val="0000EE"/>
                </w:rPr>
                <w:t>Amended and Restated Bylaws of NGM Biopharmaceuticals, Inc., as currently in effect.</w:t>
              </w:r>
            </w:hyperlink>
          </w:p>
        </w:tc>
      </w:tr>
      <w:tr>
        <w:trPr>
          <w:trHeight w:val="20"/>
        </w:trPr>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281"/>
        </w:trPr>
        <w:tc>
          <w:tcPr>
            <w:tcW w:w="520" w:type="dxa"/>
            <w:vAlign w:val="bottom"/>
          </w:tcPr>
          <w:p>
            <w:pPr>
              <w:jc w:val="right"/>
              <w:ind w:right="35"/>
              <w:spacing w:after="0"/>
              <w:rPr>
                <w:sz w:val="20"/>
                <w:szCs w:val="20"/>
                <w:color w:val="auto"/>
              </w:rPr>
            </w:pPr>
            <w:r>
              <w:rPr>
                <w:rFonts w:ascii="Arial" w:cs="Arial" w:eastAsia="Arial" w:hAnsi="Arial"/>
                <w:sz w:val="17"/>
                <w:szCs w:val="17"/>
                <w:color w:val="auto"/>
              </w:rPr>
              <w:t>3.5*</w:t>
            </w:r>
          </w:p>
        </w:tc>
        <w:tc>
          <w:tcPr>
            <w:tcW w:w="720" w:type="dxa"/>
            <w:vAlign w:val="bottom"/>
          </w:tcPr>
          <w:p>
            <w:pPr>
              <w:spacing w:after="0"/>
              <w:rPr>
                <w:sz w:val="24"/>
                <w:szCs w:val="24"/>
                <w:color w:val="auto"/>
              </w:rPr>
            </w:pPr>
          </w:p>
        </w:tc>
        <w:tc>
          <w:tcPr>
            <w:tcW w:w="9440" w:type="dxa"/>
            <w:vAlign w:val="bottom"/>
            <w:gridSpan w:val="20"/>
          </w:tcPr>
          <w:p>
            <w:pPr>
              <w:spacing w:after="0"/>
              <w:rPr>
                <w:rFonts w:ascii="Arial" w:cs="Arial" w:eastAsia="Arial" w:hAnsi="Arial"/>
                <w:sz w:val="17"/>
                <w:szCs w:val="17"/>
                <w:color w:val="0000EE"/>
              </w:rPr>
            </w:pPr>
            <w:hyperlink r:id="rId339">
              <w:r>
                <w:rPr>
                  <w:rFonts w:ascii="Arial" w:cs="Arial" w:eastAsia="Arial" w:hAnsi="Arial"/>
                  <w:sz w:val="17"/>
                  <w:szCs w:val="17"/>
                  <w:color w:val="0000EE"/>
                </w:rPr>
                <w:t>Form of Amended and Restated Bylaws of the NGM Biopharmaceuticals, Inc. to be in effect upon completion of this</w:t>
              </w:r>
            </w:hyperlink>
          </w:p>
        </w:tc>
      </w:tr>
      <w:tr>
        <w:trPr>
          <w:trHeight w:val="176"/>
        </w:trPr>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Borders>
              <w:top w:val="single" w:sz="8" w:color="0000EE"/>
              <w:bottom w:val="single" w:sz="8" w:color="0000EE"/>
            </w:tcBorders>
            <w:gridSpan w:val="2"/>
          </w:tcPr>
          <w:p>
            <w:pPr>
              <w:spacing w:after="0" w:line="176" w:lineRule="exact"/>
              <w:rPr>
                <w:rFonts w:ascii="Arial" w:cs="Arial" w:eastAsia="Arial" w:hAnsi="Arial"/>
                <w:sz w:val="17"/>
                <w:szCs w:val="17"/>
                <w:color w:val="0000EE"/>
              </w:rPr>
            </w:pPr>
            <w:hyperlink r:id="rId339">
              <w:r>
                <w:rPr>
                  <w:rFonts w:ascii="Arial" w:cs="Arial" w:eastAsia="Arial" w:hAnsi="Arial"/>
                  <w:sz w:val="17"/>
                  <w:szCs w:val="17"/>
                  <w:color w:val="0000EE"/>
                </w:rPr>
                <w:t>offering.</w:t>
              </w:r>
            </w:hyperlink>
          </w:p>
        </w:tc>
        <w:tc>
          <w:tcPr>
            <w:tcW w:w="8280" w:type="dxa"/>
            <w:vAlign w:val="bottom"/>
            <w:tcBorders>
              <w:top w:val="single" w:sz="8" w:color="0000EE"/>
            </w:tcBorders>
            <w:gridSpan w:val="15"/>
          </w:tcPr>
          <w:p>
            <w:pPr>
              <w:spacing w:after="0"/>
              <w:rPr>
                <w:sz w:val="15"/>
                <w:szCs w:val="15"/>
                <w:color w:val="auto"/>
              </w:rPr>
            </w:pPr>
          </w:p>
        </w:tc>
        <w:tc>
          <w:tcPr>
            <w:tcW w:w="520" w:type="dxa"/>
            <w:vAlign w:val="bottom"/>
            <w:gridSpan w:val="3"/>
          </w:tcPr>
          <w:p>
            <w:pPr>
              <w:spacing w:after="0"/>
              <w:rPr>
                <w:sz w:val="15"/>
                <w:szCs w:val="15"/>
                <w:color w:val="auto"/>
              </w:rPr>
            </w:pPr>
          </w:p>
        </w:tc>
      </w:tr>
      <w:tr>
        <w:trPr>
          <w:trHeight w:val="281"/>
        </w:trPr>
        <w:tc>
          <w:tcPr>
            <w:tcW w:w="520" w:type="dxa"/>
            <w:vAlign w:val="bottom"/>
          </w:tcPr>
          <w:p>
            <w:pPr>
              <w:jc w:val="right"/>
              <w:ind w:right="35"/>
              <w:spacing w:after="0"/>
              <w:rPr>
                <w:sz w:val="20"/>
                <w:szCs w:val="20"/>
                <w:color w:val="auto"/>
              </w:rPr>
            </w:pPr>
            <w:r>
              <w:rPr>
                <w:rFonts w:ascii="Arial" w:cs="Arial" w:eastAsia="Arial" w:hAnsi="Arial"/>
                <w:sz w:val="17"/>
                <w:szCs w:val="17"/>
                <w:color w:val="auto"/>
              </w:rPr>
              <w:t>4.1*</w:t>
            </w:r>
          </w:p>
        </w:tc>
        <w:tc>
          <w:tcPr>
            <w:tcW w:w="720" w:type="dxa"/>
            <w:vAlign w:val="bottom"/>
          </w:tcPr>
          <w:p>
            <w:pPr>
              <w:spacing w:after="0"/>
              <w:rPr>
                <w:sz w:val="24"/>
                <w:szCs w:val="24"/>
                <w:color w:val="auto"/>
              </w:rPr>
            </w:pPr>
          </w:p>
        </w:tc>
        <w:tc>
          <w:tcPr>
            <w:tcW w:w="8700" w:type="dxa"/>
            <w:vAlign w:val="bottom"/>
            <w:tcBorders>
              <w:bottom w:val="single" w:sz="8" w:color="0000EE"/>
            </w:tcBorders>
            <w:gridSpan w:val="15"/>
          </w:tcPr>
          <w:p>
            <w:pPr>
              <w:spacing w:after="0"/>
              <w:rPr>
                <w:rFonts w:ascii="Arial" w:cs="Arial" w:eastAsia="Arial" w:hAnsi="Arial"/>
                <w:sz w:val="17"/>
                <w:szCs w:val="17"/>
                <w:color w:val="0000EE"/>
              </w:rPr>
            </w:pPr>
            <w:hyperlink r:id="rId340">
              <w:r>
                <w:rPr>
                  <w:rFonts w:ascii="Arial" w:cs="Arial" w:eastAsia="Arial" w:hAnsi="Arial"/>
                  <w:sz w:val="17"/>
                  <w:szCs w:val="17"/>
                  <w:color w:val="0000EE"/>
                </w:rPr>
                <w:t>Amended and Restated Investors’ Rights Agreement among the Registrant and certain of its stockholders, dated</w:t>
              </w:r>
            </w:hyperlink>
          </w:p>
        </w:tc>
        <w:tc>
          <w:tcPr>
            <w:tcW w:w="740" w:type="dxa"/>
            <w:vAlign w:val="bottom"/>
            <w:gridSpan w:val="5"/>
          </w:tcPr>
          <w:p>
            <w:pPr>
              <w:spacing w:after="0"/>
              <w:rPr>
                <w:sz w:val="24"/>
                <w:szCs w:val="24"/>
                <w:color w:val="auto"/>
              </w:rPr>
            </w:pPr>
          </w:p>
        </w:tc>
      </w:tr>
      <w:tr>
        <w:trPr>
          <w:trHeight w:val="176"/>
        </w:trPr>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40" w:type="dxa"/>
            <w:vAlign w:val="bottom"/>
            <w:gridSpan w:val="20"/>
          </w:tcPr>
          <w:p>
            <w:pPr>
              <w:spacing w:after="0" w:line="176" w:lineRule="exact"/>
              <w:rPr>
                <w:rFonts w:ascii="Arial" w:cs="Arial" w:eastAsia="Arial" w:hAnsi="Arial"/>
                <w:sz w:val="17"/>
                <w:szCs w:val="17"/>
                <w:color w:val="0000EE"/>
              </w:rPr>
            </w:pPr>
            <w:hyperlink r:id="rId340">
              <w:r>
                <w:rPr>
                  <w:rFonts w:ascii="Arial" w:cs="Arial" w:eastAsia="Arial" w:hAnsi="Arial"/>
                  <w:sz w:val="17"/>
                  <w:szCs w:val="17"/>
                  <w:color w:val="0000EE"/>
                </w:rPr>
                <w:t>March 20, 2015.</w:t>
              </w:r>
            </w:hyperlink>
          </w:p>
        </w:tc>
      </w:tr>
      <w:tr>
        <w:trPr>
          <w:trHeight w:val="20"/>
        </w:trPr>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281"/>
        </w:trPr>
        <w:tc>
          <w:tcPr>
            <w:tcW w:w="520" w:type="dxa"/>
            <w:vAlign w:val="bottom"/>
          </w:tcPr>
          <w:p>
            <w:pPr>
              <w:jc w:val="right"/>
              <w:ind w:right="95"/>
              <w:spacing w:after="0"/>
              <w:rPr>
                <w:sz w:val="20"/>
                <w:szCs w:val="20"/>
                <w:color w:val="auto"/>
              </w:rPr>
            </w:pPr>
            <w:r>
              <w:rPr>
                <w:rFonts w:ascii="Arial" w:cs="Arial" w:eastAsia="Arial" w:hAnsi="Arial"/>
                <w:sz w:val="17"/>
                <w:szCs w:val="17"/>
                <w:color w:val="auto"/>
              </w:rPr>
              <w:t>4.2</w:t>
            </w:r>
          </w:p>
        </w:tc>
        <w:tc>
          <w:tcPr>
            <w:tcW w:w="720" w:type="dxa"/>
            <w:vAlign w:val="bottom"/>
          </w:tcPr>
          <w:p>
            <w:pPr>
              <w:spacing w:after="0"/>
              <w:rPr>
                <w:sz w:val="24"/>
                <w:szCs w:val="24"/>
                <w:color w:val="auto"/>
              </w:rPr>
            </w:pPr>
          </w:p>
        </w:tc>
        <w:tc>
          <w:tcPr>
            <w:tcW w:w="2740" w:type="dxa"/>
            <w:vAlign w:val="bottom"/>
            <w:tcBorders>
              <w:bottom w:val="single" w:sz="8" w:color="0000EE"/>
            </w:tcBorders>
            <w:gridSpan w:val="8"/>
          </w:tcPr>
          <w:p>
            <w:pPr>
              <w:spacing w:after="0"/>
              <w:rPr>
                <w:sz w:val="20"/>
                <w:szCs w:val="20"/>
                <w:color w:val="auto"/>
              </w:rPr>
            </w:pPr>
            <w:r>
              <w:rPr>
                <w:rFonts w:ascii="Arial" w:cs="Arial" w:eastAsia="Arial" w:hAnsi="Arial"/>
                <w:sz w:val="17"/>
                <w:szCs w:val="17"/>
                <w:color w:val="0000EE"/>
              </w:rPr>
              <w:t>Form of Common Stock Certificate.</w:t>
            </w:r>
          </w:p>
        </w:tc>
        <w:tc>
          <w:tcPr>
            <w:tcW w:w="6700" w:type="dxa"/>
            <w:vAlign w:val="bottom"/>
            <w:gridSpan w:val="12"/>
          </w:tcPr>
          <w:p>
            <w:pPr>
              <w:spacing w:after="0"/>
              <w:rPr>
                <w:sz w:val="24"/>
                <w:szCs w:val="24"/>
                <w:color w:val="auto"/>
              </w:rPr>
            </w:pPr>
          </w:p>
        </w:tc>
      </w:tr>
      <w:tr>
        <w:trPr>
          <w:trHeight w:val="281"/>
        </w:trPr>
        <w:tc>
          <w:tcPr>
            <w:tcW w:w="520" w:type="dxa"/>
            <w:vAlign w:val="bottom"/>
          </w:tcPr>
          <w:p>
            <w:pPr>
              <w:jc w:val="right"/>
              <w:ind w:right="95"/>
              <w:spacing w:after="0"/>
              <w:rPr>
                <w:sz w:val="20"/>
                <w:szCs w:val="20"/>
                <w:color w:val="auto"/>
              </w:rPr>
            </w:pPr>
            <w:r>
              <w:rPr>
                <w:rFonts w:ascii="Arial" w:cs="Arial" w:eastAsia="Arial" w:hAnsi="Arial"/>
                <w:sz w:val="17"/>
                <w:szCs w:val="17"/>
                <w:color w:val="auto"/>
              </w:rPr>
              <w:t>5.1</w:t>
            </w:r>
          </w:p>
        </w:tc>
        <w:tc>
          <w:tcPr>
            <w:tcW w:w="720" w:type="dxa"/>
            <w:vAlign w:val="bottom"/>
          </w:tcPr>
          <w:p>
            <w:pPr>
              <w:spacing w:after="0"/>
              <w:rPr>
                <w:sz w:val="24"/>
                <w:szCs w:val="24"/>
                <w:color w:val="auto"/>
              </w:rPr>
            </w:pPr>
          </w:p>
        </w:tc>
        <w:tc>
          <w:tcPr>
            <w:tcW w:w="9440" w:type="dxa"/>
            <w:vAlign w:val="bottom"/>
            <w:gridSpan w:val="20"/>
          </w:tcPr>
          <w:p>
            <w:pPr>
              <w:spacing w:after="0"/>
              <w:rPr>
                <w:sz w:val="20"/>
                <w:szCs w:val="20"/>
                <w:color w:val="auto"/>
              </w:rPr>
            </w:pPr>
            <w:r>
              <w:rPr>
                <w:rFonts w:ascii="Arial" w:cs="Arial" w:eastAsia="Arial" w:hAnsi="Arial"/>
                <w:sz w:val="17"/>
                <w:szCs w:val="17"/>
                <w:color w:val="0000EE"/>
              </w:rPr>
              <w:t>Opinion of Cooley LLP.</w:t>
            </w:r>
          </w:p>
        </w:tc>
      </w:tr>
      <w:tr>
        <w:trPr>
          <w:trHeight w:val="20"/>
        </w:trPr>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80" w:type="dxa"/>
            <w:vAlign w:val="bottom"/>
            <w:gridSpan w:val="5"/>
            <w:shd w:val="clear" w:color="auto" w:fill="0000EE"/>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281"/>
        </w:trPr>
        <w:tc>
          <w:tcPr>
            <w:tcW w:w="520" w:type="dxa"/>
            <w:vAlign w:val="bottom"/>
          </w:tcPr>
          <w:p>
            <w:pPr>
              <w:jc w:val="right"/>
              <w:ind w:right="35"/>
              <w:spacing w:after="0"/>
              <w:rPr>
                <w:sz w:val="20"/>
                <w:szCs w:val="20"/>
                <w:color w:val="auto"/>
              </w:rPr>
            </w:pPr>
            <w:r>
              <w:rPr>
                <w:rFonts w:ascii="Arial" w:cs="Arial" w:eastAsia="Arial" w:hAnsi="Arial"/>
                <w:sz w:val="17"/>
                <w:szCs w:val="17"/>
                <w:color w:val="auto"/>
                <w:w w:val="95"/>
              </w:rPr>
              <w:t>10.1*</w:t>
            </w:r>
          </w:p>
        </w:tc>
        <w:tc>
          <w:tcPr>
            <w:tcW w:w="720" w:type="dxa"/>
            <w:vAlign w:val="bottom"/>
          </w:tcPr>
          <w:p>
            <w:pPr>
              <w:spacing w:after="0"/>
              <w:rPr>
                <w:sz w:val="24"/>
                <w:szCs w:val="24"/>
                <w:color w:val="auto"/>
              </w:rPr>
            </w:pPr>
          </w:p>
        </w:tc>
        <w:tc>
          <w:tcPr>
            <w:tcW w:w="9440" w:type="dxa"/>
            <w:vAlign w:val="bottom"/>
            <w:gridSpan w:val="20"/>
          </w:tcPr>
          <w:p>
            <w:pPr>
              <w:spacing w:after="0"/>
              <w:rPr>
                <w:rFonts w:ascii="Arial" w:cs="Arial" w:eastAsia="Arial" w:hAnsi="Arial"/>
                <w:sz w:val="17"/>
                <w:szCs w:val="17"/>
                <w:color w:val="0000EE"/>
              </w:rPr>
            </w:pPr>
            <w:hyperlink r:id="rId341">
              <w:r>
                <w:rPr>
                  <w:rFonts w:ascii="Arial" w:cs="Arial" w:eastAsia="Arial" w:hAnsi="Arial"/>
                  <w:sz w:val="17"/>
                  <w:szCs w:val="17"/>
                  <w:color w:val="0000EE"/>
                </w:rPr>
                <w:t>2008 Equity Incentive Plan, as amended.</w:t>
              </w:r>
            </w:hyperlink>
          </w:p>
        </w:tc>
      </w:tr>
      <w:tr>
        <w:trPr>
          <w:trHeight w:val="20"/>
        </w:trPr>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80" w:type="dxa"/>
            <w:vAlign w:val="bottom"/>
            <w:gridSpan w:val="9"/>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281"/>
        </w:trPr>
        <w:tc>
          <w:tcPr>
            <w:tcW w:w="520" w:type="dxa"/>
            <w:vAlign w:val="bottom"/>
          </w:tcPr>
          <w:p>
            <w:pPr>
              <w:jc w:val="right"/>
              <w:ind w:right="35"/>
              <w:spacing w:after="0"/>
              <w:rPr>
                <w:sz w:val="20"/>
                <w:szCs w:val="20"/>
                <w:color w:val="auto"/>
              </w:rPr>
            </w:pPr>
            <w:r>
              <w:rPr>
                <w:rFonts w:ascii="Arial" w:cs="Arial" w:eastAsia="Arial" w:hAnsi="Arial"/>
                <w:sz w:val="17"/>
                <w:szCs w:val="17"/>
                <w:color w:val="auto"/>
                <w:w w:val="95"/>
              </w:rPr>
              <w:t>10.2*</w:t>
            </w:r>
          </w:p>
        </w:tc>
        <w:tc>
          <w:tcPr>
            <w:tcW w:w="720" w:type="dxa"/>
            <w:vAlign w:val="bottom"/>
          </w:tcPr>
          <w:p>
            <w:pPr>
              <w:spacing w:after="0"/>
              <w:rPr>
                <w:sz w:val="24"/>
                <w:szCs w:val="24"/>
                <w:color w:val="auto"/>
              </w:rPr>
            </w:pPr>
          </w:p>
        </w:tc>
        <w:tc>
          <w:tcPr>
            <w:tcW w:w="9440" w:type="dxa"/>
            <w:vAlign w:val="bottom"/>
            <w:gridSpan w:val="20"/>
          </w:tcPr>
          <w:p>
            <w:pPr>
              <w:spacing w:after="0"/>
              <w:rPr>
                <w:rFonts w:ascii="Arial" w:cs="Arial" w:eastAsia="Arial" w:hAnsi="Arial"/>
                <w:sz w:val="17"/>
                <w:szCs w:val="17"/>
                <w:color w:val="0000EE"/>
              </w:rPr>
            </w:pPr>
            <w:hyperlink r:id="rId342">
              <w:r>
                <w:rPr>
                  <w:rFonts w:ascii="Arial" w:cs="Arial" w:eastAsia="Arial" w:hAnsi="Arial"/>
                  <w:sz w:val="17"/>
                  <w:szCs w:val="17"/>
                  <w:color w:val="0000EE"/>
                </w:rPr>
                <w:t>Form of Stock Option Agreement and Stock Option Grant Notice under the 2008 Equity Incentive Plan.</w:t>
              </w:r>
            </w:hyperlink>
          </w:p>
        </w:tc>
      </w:tr>
      <w:tr>
        <w:trPr>
          <w:trHeight w:val="281"/>
        </w:trPr>
        <w:tc>
          <w:tcPr>
            <w:tcW w:w="520" w:type="dxa"/>
            <w:vAlign w:val="bottom"/>
          </w:tcPr>
          <w:p>
            <w:pPr>
              <w:jc w:val="right"/>
              <w:ind w:right="95"/>
              <w:spacing w:after="0"/>
              <w:rPr>
                <w:sz w:val="20"/>
                <w:szCs w:val="20"/>
                <w:color w:val="auto"/>
              </w:rPr>
            </w:pPr>
            <w:r>
              <w:rPr>
                <w:rFonts w:ascii="Arial" w:cs="Arial" w:eastAsia="Arial" w:hAnsi="Arial"/>
                <w:sz w:val="17"/>
                <w:szCs w:val="17"/>
                <w:color w:val="auto"/>
                <w:w w:val="96"/>
              </w:rPr>
              <w:t>10.3</w:t>
            </w:r>
          </w:p>
        </w:tc>
        <w:tc>
          <w:tcPr>
            <w:tcW w:w="720" w:type="dxa"/>
            <w:vAlign w:val="bottom"/>
          </w:tcPr>
          <w:p>
            <w:pPr>
              <w:spacing w:after="0"/>
              <w:rPr>
                <w:sz w:val="24"/>
                <w:szCs w:val="24"/>
                <w:color w:val="auto"/>
              </w:rPr>
            </w:pPr>
          </w:p>
        </w:tc>
        <w:tc>
          <w:tcPr>
            <w:tcW w:w="7920" w:type="dxa"/>
            <w:vAlign w:val="bottom"/>
            <w:tcBorders>
              <w:top w:val="single" w:sz="8" w:color="0000EE"/>
            </w:tcBorders>
            <w:gridSpan w:val="13"/>
          </w:tcPr>
          <w:p>
            <w:pPr>
              <w:spacing w:after="0"/>
              <w:rPr>
                <w:sz w:val="20"/>
                <w:szCs w:val="20"/>
                <w:color w:val="auto"/>
              </w:rPr>
            </w:pPr>
            <w:r>
              <w:rPr>
                <w:rFonts w:ascii="Arial" w:cs="Arial" w:eastAsia="Arial" w:hAnsi="Arial"/>
                <w:sz w:val="17"/>
                <w:szCs w:val="17"/>
                <w:color w:val="0000EE"/>
              </w:rPr>
              <w:t>Amended and Restated 2018 Equity Incentive Plan, to be in effect upon the completion of this offering.</w:t>
            </w:r>
          </w:p>
        </w:tc>
        <w:tc>
          <w:tcPr>
            <w:tcW w:w="1520" w:type="dxa"/>
            <w:vAlign w:val="bottom"/>
            <w:gridSpan w:val="7"/>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60" w:type="dxa"/>
            <w:vAlign w:val="bottom"/>
            <w:gridSpan w:val="10"/>
            <w:shd w:val="clear" w:color="auto" w:fill="0000EE"/>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281"/>
        </w:trPr>
        <w:tc>
          <w:tcPr>
            <w:tcW w:w="520" w:type="dxa"/>
            <w:vAlign w:val="bottom"/>
          </w:tcPr>
          <w:p>
            <w:pPr>
              <w:jc w:val="right"/>
              <w:ind w:right="95"/>
              <w:spacing w:after="0"/>
              <w:rPr>
                <w:sz w:val="20"/>
                <w:szCs w:val="20"/>
                <w:color w:val="auto"/>
              </w:rPr>
            </w:pPr>
            <w:r>
              <w:rPr>
                <w:rFonts w:ascii="Arial" w:cs="Arial" w:eastAsia="Arial" w:hAnsi="Arial"/>
                <w:sz w:val="17"/>
                <w:szCs w:val="17"/>
                <w:color w:val="auto"/>
                <w:w w:val="96"/>
              </w:rPr>
              <w:t>10.4</w:t>
            </w:r>
          </w:p>
        </w:tc>
        <w:tc>
          <w:tcPr>
            <w:tcW w:w="720" w:type="dxa"/>
            <w:vAlign w:val="bottom"/>
          </w:tcPr>
          <w:p>
            <w:pPr>
              <w:spacing w:after="0"/>
              <w:rPr>
                <w:sz w:val="24"/>
                <w:szCs w:val="24"/>
                <w:color w:val="auto"/>
              </w:rPr>
            </w:pPr>
          </w:p>
        </w:tc>
        <w:tc>
          <w:tcPr>
            <w:tcW w:w="9440" w:type="dxa"/>
            <w:vAlign w:val="bottom"/>
            <w:gridSpan w:val="20"/>
          </w:tcPr>
          <w:p>
            <w:pPr>
              <w:spacing w:after="0"/>
              <w:rPr>
                <w:sz w:val="20"/>
                <w:szCs w:val="20"/>
                <w:color w:val="auto"/>
              </w:rPr>
            </w:pPr>
            <w:r>
              <w:rPr>
                <w:rFonts w:ascii="Arial" w:cs="Arial" w:eastAsia="Arial" w:hAnsi="Arial"/>
                <w:sz w:val="17"/>
                <w:szCs w:val="17"/>
                <w:color w:val="0000EE"/>
              </w:rPr>
              <w:t>Forms of Stock Option Agreement and Notice of Grant of Stock Option under the Amended and Restated 2018 Equity</w:t>
            </w:r>
          </w:p>
        </w:tc>
      </w:tr>
      <w:tr>
        <w:trPr>
          <w:trHeight w:val="176"/>
        </w:trPr>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60" w:type="dxa"/>
            <w:vAlign w:val="bottom"/>
            <w:tcBorders>
              <w:top w:val="single" w:sz="8" w:color="0000EE"/>
              <w:bottom w:val="single" w:sz="8" w:color="0000EE"/>
            </w:tcBorders>
            <w:gridSpan w:val="10"/>
          </w:tcPr>
          <w:p>
            <w:pPr>
              <w:spacing w:after="0" w:line="176" w:lineRule="exact"/>
              <w:rPr>
                <w:sz w:val="20"/>
                <w:szCs w:val="20"/>
                <w:color w:val="auto"/>
              </w:rPr>
            </w:pPr>
            <w:r>
              <w:rPr>
                <w:rFonts w:ascii="Arial" w:cs="Arial" w:eastAsia="Arial" w:hAnsi="Arial"/>
                <w:sz w:val="17"/>
                <w:szCs w:val="17"/>
                <w:color w:val="0000EE"/>
              </w:rPr>
              <w:t>Incentive Plan, to be in effect upon the completion of this offering.</w:t>
            </w:r>
          </w:p>
        </w:tc>
        <w:tc>
          <w:tcPr>
            <w:tcW w:w="4020" w:type="dxa"/>
            <w:vAlign w:val="bottom"/>
            <w:tcBorders>
              <w:top w:val="single" w:sz="8" w:color="0000EE"/>
            </w:tcBorders>
            <w:gridSpan w:val="8"/>
          </w:tcPr>
          <w:p>
            <w:pPr>
              <w:spacing w:after="0"/>
              <w:rPr>
                <w:sz w:val="15"/>
                <w:szCs w:val="15"/>
                <w:color w:val="auto"/>
              </w:rPr>
            </w:pPr>
          </w:p>
        </w:tc>
        <w:tc>
          <w:tcPr>
            <w:tcW w:w="360" w:type="dxa"/>
            <w:vAlign w:val="bottom"/>
            <w:gridSpan w:val="2"/>
          </w:tcPr>
          <w:p>
            <w:pPr>
              <w:spacing w:after="0"/>
              <w:rPr>
                <w:sz w:val="15"/>
                <w:szCs w:val="15"/>
                <w:color w:val="auto"/>
              </w:rPr>
            </w:pPr>
          </w:p>
        </w:tc>
      </w:tr>
    </w:tbl>
    <w:p>
      <w:pPr>
        <w:spacing w:after="0" w:line="15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11060"/>
          </w:cols>
          <w:pgMar w:left="240" w:top="449" w:right="599" w:bottom="1440" w:gutter="0" w:footer="0" w:header="0"/>
        </w:sectPr>
      </w:pPr>
    </w:p>
    <w:bookmarkStart w:id="254" w:name="page255"/>
    <w:bookmarkEnd w:id="2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6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580" w:type="dxa"/>
            <w:vAlign w:val="bottom"/>
            <w:tcBorders>
              <w:bottom w:val="single" w:sz="8" w:color="auto"/>
            </w:tcBorders>
            <w:gridSpan w:val="19"/>
          </w:tcPr>
          <w:p>
            <w:pPr>
              <w:ind w:left="120"/>
              <w:spacing w:after="0"/>
              <w:rPr>
                <w:sz w:val="20"/>
                <w:szCs w:val="20"/>
                <w:color w:val="auto"/>
              </w:rPr>
            </w:pPr>
            <w:r>
              <w:rPr>
                <w:rFonts w:ascii="Arial" w:cs="Arial" w:eastAsia="Arial" w:hAnsi="Arial"/>
                <w:sz w:val="14"/>
                <w:szCs w:val="14"/>
                <w:b w:val="1"/>
                <w:bCs w:val="1"/>
                <w:color w:val="auto"/>
              </w:rPr>
              <w:t>Description of exhibit</w:t>
            </w:r>
          </w:p>
        </w:tc>
      </w:tr>
      <w:tr>
        <w:trPr>
          <w:trHeight w:val="262"/>
        </w:trPr>
        <w:tc>
          <w:tcPr>
            <w:tcW w:w="540" w:type="dxa"/>
            <w:vAlign w:val="bottom"/>
            <w:gridSpan w:val="2"/>
          </w:tcPr>
          <w:p>
            <w:pPr>
              <w:spacing w:after="0"/>
              <w:rPr>
                <w:sz w:val="20"/>
                <w:szCs w:val="20"/>
                <w:color w:val="auto"/>
              </w:rPr>
            </w:pPr>
            <w:r>
              <w:rPr>
                <w:rFonts w:ascii="Arial" w:cs="Arial" w:eastAsia="Arial" w:hAnsi="Arial"/>
                <w:sz w:val="17"/>
                <w:szCs w:val="17"/>
                <w:color w:val="auto"/>
              </w:rPr>
              <w:t>10.5</w:t>
            </w:r>
          </w:p>
        </w:tc>
        <w:tc>
          <w:tcPr>
            <w:tcW w:w="640" w:type="dxa"/>
            <w:vAlign w:val="bottom"/>
          </w:tcPr>
          <w:p>
            <w:pPr>
              <w:spacing w:after="0"/>
              <w:rPr>
                <w:sz w:val="22"/>
                <w:szCs w:val="22"/>
                <w:color w:val="auto"/>
              </w:rPr>
            </w:pPr>
          </w:p>
        </w:tc>
        <w:tc>
          <w:tcPr>
            <w:tcW w:w="9380" w:type="dxa"/>
            <w:vAlign w:val="bottom"/>
            <w:tcBorders>
              <w:bottom w:val="single" w:sz="8" w:color="0000EE"/>
            </w:tcBorders>
            <w:gridSpan w:val="23"/>
          </w:tcPr>
          <w:p>
            <w:pPr>
              <w:spacing w:after="0"/>
              <w:rPr>
                <w:sz w:val="20"/>
                <w:szCs w:val="20"/>
                <w:color w:val="auto"/>
              </w:rPr>
            </w:pPr>
            <w:r>
              <w:rPr>
                <w:rFonts w:ascii="Arial" w:cs="Arial" w:eastAsia="Arial" w:hAnsi="Arial"/>
                <w:sz w:val="17"/>
                <w:szCs w:val="17"/>
                <w:color w:val="0000EE"/>
              </w:rPr>
              <w:t>Forms of Restricted Stock Unit Agreement and Notice of Grant of Restricted Stock Unit under the Amended and Restated</w:t>
            </w:r>
          </w:p>
        </w:tc>
        <w:tc>
          <w:tcPr>
            <w:tcW w:w="120" w:type="dxa"/>
            <w:vAlign w:val="bottom"/>
          </w:tcPr>
          <w:p>
            <w:pPr>
              <w:spacing w:after="0"/>
              <w:rPr>
                <w:sz w:val="22"/>
                <w:szCs w:val="22"/>
                <w:color w:val="auto"/>
              </w:rPr>
            </w:pPr>
          </w:p>
        </w:tc>
      </w:tr>
      <w:tr>
        <w:trPr>
          <w:trHeight w:val="176"/>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500" w:type="dxa"/>
            <w:vAlign w:val="bottom"/>
            <w:gridSpan w:val="24"/>
          </w:tcPr>
          <w:p>
            <w:pPr>
              <w:spacing w:after="0" w:line="176" w:lineRule="exact"/>
              <w:rPr>
                <w:sz w:val="20"/>
                <w:szCs w:val="20"/>
                <w:color w:val="auto"/>
              </w:rPr>
            </w:pPr>
            <w:r>
              <w:rPr>
                <w:rFonts w:ascii="Arial" w:cs="Arial" w:eastAsia="Arial" w:hAnsi="Arial"/>
                <w:sz w:val="17"/>
                <w:szCs w:val="17"/>
                <w:color w:val="0000EE"/>
              </w:rPr>
              <w:t>2018 Equity Incentive Plan, to be in effect upon the completion of this offering.</w:t>
            </w:r>
          </w:p>
        </w:tc>
      </w:tr>
      <w:tr>
        <w:trPr>
          <w:trHeight w:val="20"/>
        </w:trPr>
        <w:tc>
          <w:tcPr>
            <w:tcW w:w="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281"/>
        </w:trPr>
        <w:tc>
          <w:tcPr>
            <w:tcW w:w="540" w:type="dxa"/>
            <w:vAlign w:val="bottom"/>
            <w:gridSpan w:val="2"/>
          </w:tcPr>
          <w:p>
            <w:pPr>
              <w:spacing w:after="0"/>
              <w:rPr>
                <w:sz w:val="20"/>
                <w:szCs w:val="20"/>
                <w:color w:val="auto"/>
              </w:rPr>
            </w:pPr>
            <w:r>
              <w:rPr>
                <w:rFonts w:ascii="Arial" w:cs="Arial" w:eastAsia="Arial" w:hAnsi="Arial"/>
                <w:sz w:val="17"/>
                <w:szCs w:val="17"/>
                <w:color w:val="auto"/>
              </w:rPr>
              <w:t>10.6</w:t>
            </w:r>
          </w:p>
        </w:tc>
        <w:tc>
          <w:tcPr>
            <w:tcW w:w="640" w:type="dxa"/>
            <w:vAlign w:val="bottom"/>
          </w:tcPr>
          <w:p>
            <w:pPr>
              <w:spacing w:after="0"/>
              <w:rPr>
                <w:sz w:val="24"/>
                <w:szCs w:val="24"/>
                <w:color w:val="auto"/>
              </w:rPr>
            </w:pPr>
          </w:p>
        </w:tc>
        <w:tc>
          <w:tcPr>
            <w:tcW w:w="9500" w:type="dxa"/>
            <w:vAlign w:val="bottom"/>
            <w:gridSpan w:val="24"/>
          </w:tcPr>
          <w:p>
            <w:pPr>
              <w:spacing w:after="0"/>
              <w:rPr>
                <w:sz w:val="20"/>
                <w:szCs w:val="20"/>
                <w:color w:val="auto"/>
              </w:rPr>
            </w:pPr>
            <w:r>
              <w:rPr>
                <w:rFonts w:ascii="Arial" w:cs="Arial" w:eastAsia="Arial" w:hAnsi="Arial"/>
                <w:sz w:val="17"/>
                <w:szCs w:val="17"/>
                <w:color w:val="0000EE"/>
              </w:rPr>
              <w:t>2019 Employee Stock Purchase Plan, to be in effect upon completion of this offering.</w:t>
            </w:r>
          </w:p>
        </w:tc>
      </w:tr>
      <w:tr>
        <w:trPr>
          <w:trHeight w:val="20"/>
        </w:trPr>
        <w:tc>
          <w:tcPr>
            <w:tcW w:w="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281"/>
        </w:trPr>
        <w:tc>
          <w:tcPr>
            <w:tcW w:w="540" w:type="dxa"/>
            <w:vAlign w:val="bottom"/>
            <w:gridSpan w:val="2"/>
          </w:tcPr>
          <w:p>
            <w:pPr>
              <w:spacing w:after="0"/>
              <w:rPr>
                <w:sz w:val="20"/>
                <w:szCs w:val="20"/>
                <w:color w:val="auto"/>
              </w:rPr>
            </w:pPr>
            <w:r>
              <w:rPr>
                <w:rFonts w:ascii="Arial" w:cs="Arial" w:eastAsia="Arial" w:hAnsi="Arial"/>
                <w:sz w:val="17"/>
                <w:szCs w:val="17"/>
                <w:color w:val="auto"/>
              </w:rPr>
              <w:t>10.7*</w:t>
            </w:r>
          </w:p>
        </w:tc>
        <w:tc>
          <w:tcPr>
            <w:tcW w:w="640" w:type="dxa"/>
            <w:vAlign w:val="bottom"/>
          </w:tcPr>
          <w:p>
            <w:pPr>
              <w:spacing w:after="0"/>
              <w:rPr>
                <w:sz w:val="24"/>
                <w:szCs w:val="24"/>
                <w:color w:val="auto"/>
              </w:rPr>
            </w:pPr>
          </w:p>
        </w:tc>
        <w:tc>
          <w:tcPr>
            <w:tcW w:w="9500" w:type="dxa"/>
            <w:vAlign w:val="bottom"/>
            <w:tcBorders>
              <w:bottom w:val="single" w:sz="8" w:color="0000EE"/>
            </w:tcBorders>
            <w:gridSpan w:val="24"/>
          </w:tcPr>
          <w:p>
            <w:pPr>
              <w:spacing w:after="0"/>
              <w:rPr>
                <w:rFonts w:ascii="Arial" w:cs="Arial" w:eastAsia="Arial" w:hAnsi="Arial"/>
                <w:sz w:val="17"/>
                <w:szCs w:val="17"/>
                <w:color w:val="0000EE"/>
              </w:rPr>
            </w:pPr>
            <w:hyperlink r:id="rId344">
              <w:r>
                <w:rPr>
                  <w:rFonts w:ascii="Arial" w:cs="Arial" w:eastAsia="Arial" w:hAnsi="Arial"/>
                  <w:sz w:val="17"/>
                  <w:szCs w:val="17"/>
                  <w:color w:val="0000EE"/>
                </w:rPr>
                <w:t>Form of Indemnification Agreement, by and between NGM Biopharmaceuticals, Inc. and each of its directors and executive</w:t>
              </w:r>
            </w:hyperlink>
          </w:p>
        </w:tc>
      </w:tr>
      <w:tr>
        <w:trPr>
          <w:trHeight w:val="176"/>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Borders>
              <w:bottom w:val="single" w:sz="8" w:color="0000EE"/>
            </w:tcBorders>
          </w:tcPr>
          <w:p>
            <w:pPr>
              <w:spacing w:after="0" w:line="176" w:lineRule="exact"/>
              <w:rPr>
                <w:rFonts w:ascii="Arial" w:cs="Arial" w:eastAsia="Arial" w:hAnsi="Arial"/>
                <w:sz w:val="17"/>
                <w:szCs w:val="17"/>
                <w:color w:val="0000EE"/>
              </w:rPr>
            </w:pPr>
            <w:hyperlink r:id="rId344">
              <w:r>
                <w:rPr>
                  <w:rFonts w:ascii="Arial" w:cs="Arial" w:eastAsia="Arial" w:hAnsi="Arial"/>
                  <w:sz w:val="17"/>
                  <w:szCs w:val="17"/>
                  <w:color w:val="0000EE"/>
                </w:rPr>
                <w:t>officers.</w:t>
              </w:r>
            </w:hyperlink>
          </w:p>
        </w:tc>
        <w:tc>
          <w:tcPr>
            <w:tcW w:w="8880" w:type="dxa"/>
            <w:vAlign w:val="bottom"/>
            <w:gridSpan w:val="23"/>
          </w:tcPr>
          <w:p>
            <w:pPr>
              <w:spacing w:after="0"/>
              <w:rPr>
                <w:sz w:val="15"/>
                <w:szCs w:val="15"/>
                <w:color w:val="auto"/>
              </w:rPr>
            </w:pPr>
          </w:p>
        </w:tc>
      </w:tr>
      <w:tr>
        <w:trPr>
          <w:trHeight w:val="281"/>
        </w:trPr>
        <w:tc>
          <w:tcPr>
            <w:tcW w:w="540" w:type="dxa"/>
            <w:vAlign w:val="bottom"/>
            <w:gridSpan w:val="2"/>
          </w:tcPr>
          <w:p>
            <w:pPr>
              <w:spacing w:after="0"/>
              <w:rPr>
                <w:sz w:val="20"/>
                <w:szCs w:val="20"/>
                <w:color w:val="auto"/>
              </w:rPr>
            </w:pPr>
            <w:r>
              <w:rPr>
                <w:rFonts w:ascii="Arial" w:cs="Arial" w:eastAsia="Arial" w:hAnsi="Arial"/>
                <w:sz w:val="17"/>
                <w:szCs w:val="17"/>
                <w:color w:val="auto"/>
              </w:rPr>
              <w:t>10.8</w:t>
            </w:r>
          </w:p>
        </w:tc>
        <w:tc>
          <w:tcPr>
            <w:tcW w:w="640" w:type="dxa"/>
            <w:vAlign w:val="bottom"/>
          </w:tcPr>
          <w:p>
            <w:pPr>
              <w:spacing w:after="0"/>
              <w:rPr>
                <w:sz w:val="24"/>
                <w:szCs w:val="24"/>
                <w:color w:val="auto"/>
              </w:rPr>
            </w:pPr>
          </w:p>
        </w:tc>
        <w:tc>
          <w:tcPr>
            <w:tcW w:w="9500" w:type="dxa"/>
            <w:vAlign w:val="bottom"/>
            <w:gridSpan w:val="24"/>
          </w:tcPr>
          <w:p>
            <w:pPr>
              <w:spacing w:after="0"/>
              <w:rPr>
                <w:sz w:val="20"/>
                <w:szCs w:val="20"/>
                <w:color w:val="auto"/>
              </w:rPr>
            </w:pPr>
            <w:r>
              <w:rPr>
                <w:rFonts w:ascii="Arial" w:cs="Arial" w:eastAsia="Arial" w:hAnsi="Arial"/>
                <w:sz w:val="17"/>
                <w:szCs w:val="17"/>
                <w:color w:val="0000EE"/>
              </w:rPr>
              <w:t>NGM Biopharmaceuticals, Inc. Non-Employee Director Compensation Policy.</w:t>
            </w:r>
          </w:p>
        </w:tc>
      </w:tr>
      <w:tr>
        <w:trPr>
          <w:trHeight w:val="20"/>
        </w:trPr>
        <w:tc>
          <w:tcPr>
            <w:tcW w:w="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281"/>
        </w:trPr>
        <w:tc>
          <w:tcPr>
            <w:tcW w:w="540" w:type="dxa"/>
            <w:vAlign w:val="bottom"/>
            <w:gridSpan w:val="2"/>
          </w:tcPr>
          <w:p>
            <w:pPr>
              <w:spacing w:after="0"/>
              <w:rPr>
                <w:sz w:val="20"/>
                <w:szCs w:val="20"/>
                <w:color w:val="auto"/>
              </w:rPr>
            </w:pPr>
            <w:r>
              <w:rPr>
                <w:rFonts w:ascii="Arial" w:cs="Arial" w:eastAsia="Arial" w:hAnsi="Arial"/>
                <w:sz w:val="17"/>
                <w:szCs w:val="17"/>
                <w:color w:val="auto"/>
              </w:rPr>
              <w:t>10.9*</w:t>
            </w:r>
          </w:p>
        </w:tc>
        <w:tc>
          <w:tcPr>
            <w:tcW w:w="640" w:type="dxa"/>
            <w:vAlign w:val="bottom"/>
          </w:tcPr>
          <w:p>
            <w:pPr>
              <w:spacing w:after="0"/>
              <w:rPr>
                <w:sz w:val="24"/>
                <w:szCs w:val="24"/>
                <w:color w:val="auto"/>
              </w:rPr>
            </w:pPr>
          </w:p>
        </w:tc>
        <w:tc>
          <w:tcPr>
            <w:tcW w:w="8900" w:type="dxa"/>
            <w:vAlign w:val="bottom"/>
            <w:tcBorders>
              <w:bottom w:val="single" w:sz="8" w:color="0000EE"/>
            </w:tcBorders>
            <w:gridSpan w:val="19"/>
          </w:tcPr>
          <w:p>
            <w:pPr>
              <w:spacing w:after="0"/>
              <w:rPr>
                <w:rFonts w:ascii="Arial" w:cs="Arial" w:eastAsia="Arial" w:hAnsi="Arial"/>
                <w:sz w:val="17"/>
                <w:szCs w:val="17"/>
                <w:color w:val="0000EE"/>
              </w:rPr>
            </w:pPr>
            <w:hyperlink r:id="rId345">
              <w:r>
                <w:rPr>
                  <w:rFonts w:ascii="Arial" w:cs="Arial" w:eastAsia="Arial" w:hAnsi="Arial"/>
                  <w:sz w:val="17"/>
                  <w:szCs w:val="17"/>
                  <w:color w:val="0000EE"/>
                </w:rPr>
                <w:t>Sublease Agreement, by and between NGM Biopharmaceuticals, Inc. and AMGEN Inc., dated December 11, 2015.</w:t>
              </w:r>
            </w:hyperlink>
          </w:p>
        </w:tc>
        <w:tc>
          <w:tcPr>
            <w:tcW w:w="600" w:type="dxa"/>
            <w:vAlign w:val="bottom"/>
            <w:gridSpan w:val="5"/>
          </w:tcPr>
          <w:p>
            <w:pPr>
              <w:spacing w:after="0"/>
              <w:rPr>
                <w:sz w:val="24"/>
                <w:szCs w:val="24"/>
                <w:color w:val="auto"/>
              </w:rPr>
            </w:pPr>
          </w:p>
        </w:tc>
      </w:tr>
      <w:tr>
        <w:trPr>
          <w:trHeight w:val="281"/>
        </w:trPr>
        <w:tc>
          <w:tcPr>
            <w:tcW w:w="540" w:type="dxa"/>
            <w:vAlign w:val="bottom"/>
            <w:gridSpan w:val="2"/>
          </w:tcPr>
          <w:p>
            <w:pPr>
              <w:spacing w:after="0"/>
              <w:rPr>
                <w:sz w:val="20"/>
                <w:szCs w:val="20"/>
                <w:color w:val="auto"/>
              </w:rPr>
            </w:pPr>
            <w:r>
              <w:rPr>
                <w:rFonts w:ascii="Arial" w:cs="Arial" w:eastAsia="Arial" w:hAnsi="Arial"/>
                <w:sz w:val="17"/>
                <w:szCs w:val="17"/>
                <w:color w:val="auto"/>
              </w:rPr>
              <w:t>10.10*</w:t>
            </w:r>
          </w:p>
        </w:tc>
        <w:tc>
          <w:tcPr>
            <w:tcW w:w="640" w:type="dxa"/>
            <w:vAlign w:val="bottom"/>
          </w:tcPr>
          <w:p>
            <w:pPr>
              <w:spacing w:after="0"/>
              <w:rPr>
                <w:sz w:val="24"/>
                <w:szCs w:val="24"/>
                <w:color w:val="auto"/>
              </w:rPr>
            </w:pPr>
          </w:p>
        </w:tc>
        <w:tc>
          <w:tcPr>
            <w:tcW w:w="8140" w:type="dxa"/>
            <w:vAlign w:val="bottom"/>
            <w:tcBorders>
              <w:bottom w:val="single" w:sz="8" w:color="0000EE"/>
            </w:tcBorders>
            <w:gridSpan w:val="12"/>
          </w:tcPr>
          <w:p>
            <w:pPr>
              <w:spacing w:after="0"/>
              <w:rPr>
                <w:rFonts w:ascii="Arial" w:cs="Arial" w:eastAsia="Arial" w:hAnsi="Arial"/>
                <w:sz w:val="17"/>
                <w:szCs w:val="17"/>
                <w:color w:val="0000EE"/>
              </w:rPr>
            </w:pPr>
            <w:hyperlink r:id="rId346">
              <w:r>
                <w:rPr>
                  <w:rFonts w:ascii="Arial" w:cs="Arial" w:eastAsia="Arial" w:hAnsi="Arial"/>
                  <w:sz w:val="17"/>
                  <w:szCs w:val="17"/>
                  <w:color w:val="0000EE"/>
                </w:rPr>
                <w:t>Executive Employment Agreement, by and between NGM Biopharmaceuticals, Inc. and William J. Rieflin.</w:t>
              </w:r>
            </w:hyperlink>
          </w:p>
        </w:tc>
        <w:tc>
          <w:tcPr>
            <w:tcW w:w="1360" w:type="dxa"/>
            <w:vAlign w:val="bottom"/>
            <w:gridSpan w:val="12"/>
          </w:tcPr>
          <w:p>
            <w:pPr>
              <w:spacing w:after="0"/>
              <w:rPr>
                <w:sz w:val="24"/>
                <w:szCs w:val="24"/>
                <w:color w:val="auto"/>
              </w:rPr>
            </w:pPr>
          </w:p>
        </w:tc>
      </w:tr>
      <w:tr>
        <w:trPr>
          <w:trHeight w:val="281"/>
        </w:trPr>
        <w:tc>
          <w:tcPr>
            <w:tcW w:w="540" w:type="dxa"/>
            <w:vAlign w:val="bottom"/>
            <w:gridSpan w:val="2"/>
          </w:tcPr>
          <w:p>
            <w:pPr>
              <w:spacing w:after="0"/>
              <w:rPr>
                <w:sz w:val="20"/>
                <w:szCs w:val="20"/>
                <w:color w:val="auto"/>
              </w:rPr>
            </w:pPr>
            <w:r>
              <w:rPr>
                <w:rFonts w:ascii="Arial" w:cs="Arial" w:eastAsia="Arial" w:hAnsi="Arial"/>
                <w:sz w:val="17"/>
                <w:szCs w:val="17"/>
                <w:color w:val="auto"/>
              </w:rPr>
              <w:t>10.11*</w:t>
            </w:r>
          </w:p>
        </w:tc>
        <w:tc>
          <w:tcPr>
            <w:tcW w:w="640" w:type="dxa"/>
            <w:vAlign w:val="bottom"/>
          </w:tcPr>
          <w:p>
            <w:pPr>
              <w:spacing w:after="0"/>
              <w:rPr>
                <w:sz w:val="24"/>
                <w:szCs w:val="24"/>
                <w:color w:val="auto"/>
              </w:rPr>
            </w:pPr>
          </w:p>
        </w:tc>
        <w:tc>
          <w:tcPr>
            <w:tcW w:w="9500" w:type="dxa"/>
            <w:vAlign w:val="bottom"/>
            <w:gridSpan w:val="24"/>
          </w:tcPr>
          <w:p>
            <w:pPr>
              <w:spacing w:after="0"/>
              <w:rPr>
                <w:rFonts w:ascii="Arial" w:cs="Arial" w:eastAsia="Arial" w:hAnsi="Arial"/>
                <w:sz w:val="17"/>
                <w:szCs w:val="17"/>
                <w:color w:val="0000EE"/>
              </w:rPr>
            </w:pPr>
            <w:hyperlink r:id="rId347">
              <w:r>
                <w:rPr>
                  <w:rFonts w:ascii="Arial" w:cs="Arial" w:eastAsia="Arial" w:hAnsi="Arial"/>
                  <w:sz w:val="17"/>
                  <w:szCs w:val="17"/>
                  <w:color w:val="0000EE"/>
                </w:rPr>
                <w:t>Executive Employment Offer Letter, by and between NGM Biopharmaceuticals, Inc. and Jin-Long Chen, Ph.D.</w:t>
              </w:r>
            </w:hyperlink>
          </w:p>
        </w:tc>
      </w:tr>
      <w:tr>
        <w:trPr>
          <w:trHeight w:val="20"/>
        </w:trPr>
        <w:tc>
          <w:tcPr>
            <w:tcW w:w="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281"/>
        </w:trPr>
        <w:tc>
          <w:tcPr>
            <w:tcW w:w="540" w:type="dxa"/>
            <w:vAlign w:val="bottom"/>
            <w:gridSpan w:val="2"/>
          </w:tcPr>
          <w:p>
            <w:pPr>
              <w:spacing w:after="0"/>
              <w:rPr>
                <w:sz w:val="20"/>
                <w:szCs w:val="20"/>
                <w:color w:val="auto"/>
              </w:rPr>
            </w:pPr>
            <w:r>
              <w:rPr>
                <w:rFonts w:ascii="Arial" w:cs="Arial" w:eastAsia="Arial" w:hAnsi="Arial"/>
                <w:sz w:val="17"/>
                <w:szCs w:val="17"/>
                <w:color w:val="auto"/>
              </w:rPr>
              <w:t>10.12</w:t>
            </w:r>
          </w:p>
        </w:tc>
        <w:tc>
          <w:tcPr>
            <w:tcW w:w="640" w:type="dxa"/>
            <w:vAlign w:val="bottom"/>
          </w:tcPr>
          <w:p>
            <w:pPr>
              <w:spacing w:after="0"/>
              <w:rPr>
                <w:sz w:val="24"/>
                <w:szCs w:val="24"/>
                <w:color w:val="auto"/>
              </w:rPr>
            </w:pPr>
          </w:p>
        </w:tc>
        <w:tc>
          <w:tcPr>
            <w:tcW w:w="9500" w:type="dxa"/>
            <w:vAlign w:val="bottom"/>
            <w:gridSpan w:val="24"/>
          </w:tcPr>
          <w:p>
            <w:pPr>
              <w:spacing w:after="0"/>
              <w:rPr>
                <w:sz w:val="20"/>
                <w:szCs w:val="20"/>
                <w:color w:val="auto"/>
              </w:rPr>
            </w:pPr>
            <w:r>
              <w:rPr>
                <w:rFonts w:ascii="Arial" w:cs="Arial" w:eastAsia="Arial" w:hAnsi="Arial"/>
                <w:sz w:val="17"/>
                <w:szCs w:val="17"/>
                <w:color w:val="0000EE"/>
              </w:rPr>
              <w:t>Executive Employment Offer Letter, by and between NGM Biopharmaceuticals, Inc. and Aetna Wun Trombley, Ph.D.</w:t>
            </w:r>
          </w:p>
        </w:tc>
      </w:tr>
      <w:tr>
        <w:trPr>
          <w:trHeight w:val="281"/>
        </w:trPr>
        <w:tc>
          <w:tcPr>
            <w:tcW w:w="540" w:type="dxa"/>
            <w:vAlign w:val="bottom"/>
            <w:gridSpan w:val="2"/>
          </w:tcPr>
          <w:p>
            <w:pPr>
              <w:spacing w:after="0"/>
              <w:rPr>
                <w:sz w:val="20"/>
                <w:szCs w:val="20"/>
                <w:color w:val="auto"/>
              </w:rPr>
            </w:pPr>
            <w:r>
              <w:rPr>
                <w:rFonts w:ascii="Arial" w:cs="Arial" w:eastAsia="Arial" w:hAnsi="Arial"/>
                <w:sz w:val="17"/>
                <w:szCs w:val="17"/>
                <w:color w:val="auto"/>
              </w:rPr>
              <w:t>10.13</w:t>
            </w:r>
          </w:p>
        </w:tc>
        <w:tc>
          <w:tcPr>
            <w:tcW w:w="640" w:type="dxa"/>
            <w:vAlign w:val="bottom"/>
          </w:tcPr>
          <w:p>
            <w:pPr>
              <w:spacing w:after="0"/>
              <w:rPr>
                <w:sz w:val="24"/>
                <w:szCs w:val="24"/>
                <w:color w:val="auto"/>
              </w:rPr>
            </w:pPr>
          </w:p>
        </w:tc>
        <w:tc>
          <w:tcPr>
            <w:tcW w:w="876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7"/>
                <w:szCs w:val="17"/>
                <w:color w:val="0000EE"/>
              </w:rPr>
              <w:t>Executive Employment Agreement, by and between NGM Biopharmaceuticals, Inc. and David Woodhouse, Ph.D.</w:t>
            </w:r>
          </w:p>
        </w:tc>
        <w:tc>
          <w:tcPr>
            <w:tcW w:w="200" w:type="dxa"/>
            <w:vAlign w:val="bottom"/>
            <w:tcBorders>
              <w:top w:val="single" w:sz="8" w:color="0000EE"/>
            </w:tcBorders>
            <w:gridSpan w:val="4"/>
          </w:tcPr>
          <w:p>
            <w:pPr>
              <w:spacing w:after="0"/>
              <w:rPr>
                <w:sz w:val="24"/>
                <w:szCs w:val="24"/>
                <w:color w:val="auto"/>
              </w:rPr>
            </w:pPr>
          </w:p>
        </w:tc>
        <w:tc>
          <w:tcPr>
            <w:tcW w:w="540" w:type="dxa"/>
            <w:vAlign w:val="bottom"/>
            <w:gridSpan w:val="4"/>
          </w:tcPr>
          <w:p>
            <w:pPr>
              <w:spacing w:after="0"/>
              <w:rPr>
                <w:sz w:val="24"/>
                <w:szCs w:val="24"/>
                <w:color w:val="auto"/>
              </w:rPr>
            </w:pPr>
          </w:p>
        </w:tc>
      </w:tr>
      <w:tr>
        <w:trPr>
          <w:trHeight w:val="281"/>
        </w:trPr>
        <w:tc>
          <w:tcPr>
            <w:tcW w:w="1180" w:type="dxa"/>
            <w:vAlign w:val="bottom"/>
            <w:gridSpan w:val="3"/>
          </w:tcPr>
          <w:p>
            <w:pPr>
              <w:spacing w:after="0"/>
              <w:rPr>
                <w:sz w:val="20"/>
                <w:szCs w:val="20"/>
                <w:color w:val="auto"/>
              </w:rPr>
            </w:pPr>
            <w:r>
              <w:rPr>
                <w:rFonts w:ascii="Arial" w:cs="Arial" w:eastAsia="Arial" w:hAnsi="Arial"/>
                <w:sz w:val="17"/>
                <w:szCs w:val="17"/>
                <w:color w:val="auto"/>
              </w:rPr>
              <w:t>10.14*</w:t>
            </w:r>
            <w:r>
              <w:rPr>
                <w:rFonts w:ascii="Arial" w:cs="Arial" w:eastAsia="Arial" w:hAnsi="Arial"/>
                <w:sz w:val="11"/>
                <w:szCs w:val="11"/>
                <w:color w:val="auto"/>
              </w:rPr>
              <w:t>†</w:t>
            </w:r>
          </w:p>
        </w:tc>
        <w:tc>
          <w:tcPr>
            <w:tcW w:w="9200" w:type="dxa"/>
            <w:vAlign w:val="bottom"/>
            <w:tcBorders>
              <w:bottom w:val="single" w:sz="8" w:color="0000EE"/>
            </w:tcBorders>
            <w:gridSpan w:val="22"/>
          </w:tcPr>
          <w:p>
            <w:pPr>
              <w:spacing w:after="0"/>
              <w:rPr>
                <w:rFonts w:ascii="Arial" w:cs="Arial" w:eastAsia="Arial" w:hAnsi="Arial"/>
                <w:sz w:val="17"/>
                <w:szCs w:val="17"/>
                <w:color w:val="0000EE"/>
              </w:rPr>
            </w:pPr>
            <w:hyperlink r:id="rId348">
              <w:r>
                <w:rPr>
                  <w:rFonts w:ascii="Arial" w:cs="Arial" w:eastAsia="Arial" w:hAnsi="Arial"/>
                  <w:sz w:val="17"/>
                  <w:szCs w:val="17"/>
                  <w:color w:val="0000EE"/>
                </w:rPr>
                <w:t>Research Collaboration, Product Development and License Agreement by and between NGM Biopharmaceuticals, Inc.</w:t>
              </w:r>
            </w:hyperlink>
          </w:p>
        </w:tc>
        <w:tc>
          <w:tcPr>
            <w:tcW w:w="300" w:type="dxa"/>
            <w:vAlign w:val="bottom"/>
            <w:gridSpan w:val="2"/>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120" w:type="dxa"/>
            <w:vAlign w:val="bottom"/>
            <w:tcBorders>
              <w:bottom w:val="single" w:sz="8" w:color="0000EE"/>
            </w:tcBorders>
            <w:gridSpan w:val="7"/>
          </w:tcPr>
          <w:p>
            <w:pPr>
              <w:spacing w:after="0" w:line="176" w:lineRule="exact"/>
              <w:rPr>
                <w:rFonts w:ascii="Arial" w:cs="Arial" w:eastAsia="Arial" w:hAnsi="Arial"/>
                <w:sz w:val="17"/>
                <w:szCs w:val="17"/>
                <w:color w:val="0000EE"/>
              </w:rPr>
            </w:pPr>
            <w:hyperlink r:id="rId348">
              <w:r>
                <w:rPr>
                  <w:rFonts w:ascii="Arial" w:cs="Arial" w:eastAsia="Arial" w:hAnsi="Arial"/>
                  <w:sz w:val="17"/>
                  <w:szCs w:val="17"/>
                  <w:color w:val="0000EE"/>
                </w:rPr>
                <w:t>and Merck Sharp &amp; Dohme Corp., dated as of February 18, 2015.</w:t>
              </w:r>
            </w:hyperlink>
          </w:p>
        </w:tc>
        <w:tc>
          <w:tcPr>
            <w:tcW w:w="4380" w:type="dxa"/>
            <w:vAlign w:val="bottom"/>
            <w:gridSpan w:val="17"/>
          </w:tcPr>
          <w:p>
            <w:pPr>
              <w:spacing w:after="0"/>
              <w:rPr>
                <w:sz w:val="15"/>
                <w:szCs w:val="15"/>
                <w:color w:val="auto"/>
              </w:rPr>
            </w:pPr>
          </w:p>
        </w:tc>
      </w:tr>
      <w:tr>
        <w:trPr>
          <w:trHeight w:val="281"/>
        </w:trPr>
        <w:tc>
          <w:tcPr>
            <w:tcW w:w="1180" w:type="dxa"/>
            <w:vAlign w:val="bottom"/>
            <w:gridSpan w:val="3"/>
          </w:tcPr>
          <w:p>
            <w:pPr>
              <w:spacing w:after="0"/>
              <w:rPr>
                <w:sz w:val="20"/>
                <w:szCs w:val="20"/>
                <w:color w:val="auto"/>
              </w:rPr>
            </w:pPr>
            <w:r>
              <w:rPr>
                <w:rFonts w:ascii="Arial" w:cs="Arial" w:eastAsia="Arial" w:hAnsi="Arial"/>
                <w:sz w:val="17"/>
                <w:szCs w:val="17"/>
                <w:color w:val="auto"/>
              </w:rPr>
              <w:t>10.15*</w:t>
            </w:r>
            <w:r>
              <w:rPr>
                <w:rFonts w:ascii="Arial" w:cs="Arial" w:eastAsia="Arial" w:hAnsi="Arial"/>
                <w:sz w:val="11"/>
                <w:szCs w:val="11"/>
                <w:color w:val="auto"/>
              </w:rPr>
              <w:t>†</w:t>
            </w:r>
          </w:p>
        </w:tc>
        <w:tc>
          <w:tcPr>
            <w:tcW w:w="9500" w:type="dxa"/>
            <w:vAlign w:val="bottom"/>
            <w:gridSpan w:val="24"/>
          </w:tcPr>
          <w:p>
            <w:pPr>
              <w:spacing w:after="0"/>
              <w:rPr>
                <w:rFonts w:ascii="Arial" w:cs="Arial" w:eastAsia="Arial" w:hAnsi="Arial"/>
                <w:sz w:val="17"/>
                <w:szCs w:val="17"/>
                <w:color w:val="0000EE"/>
              </w:rPr>
            </w:pPr>
            <w:hyperlink r:id="rId349">
              <w:r>
                <w:rPr>
                  <w:rFonts w:ascii="Arial" w:cs="Arial" w:eastAsia="Arial" w:hAnsi="Arial"/>
                  <w:sz w:val="17"/>
                  <w:szCs w:val="17"/>
                  <w:color w:val="0000EE"/>
                </w:rPr>
                <w:t>First Amendment to Research Collaboration, Product Development and License Agreement by and between NGM</w:t>
              </w:r>
            </w:hyperlink>
          </w:p>
        </w:tc>
      </w:tr>
      <w:tr>
        <w:trPr>
          <w:trHeight w:val="176"/>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0" w:type="dxa"/>
            <w:vAlign w:val="bottom"/>
            <w:tcBorders>
              <w:top w:val="single" w:sz="8" w:color="0000EE"/>
            </w:tcBorders>
            <w:gridSpan w:val="17"/>
          </w:tcPr>
          <w:p>
            <w:pPr>
              <w:spacing w:after="0" w:line="176" w:lineRule="exact"/>
              <w:rPr>
                <w:rFonts w:ascii="Arial" w:cs="Arial" w:eastAsia="Arial" w:hAnsi="Arial"/>
                <w:sz w:val="17"/>
                <w:szCs w:val="17"/>
                <w:color w:val="0000EE"/>
              </w:rPr>
            </w:pPr>
            <w:hyperlink r:id="rId349">
              <w:r>
                <w:rPr>
                  <w:rFonts w:ascii="Arial" w:cs="Arial" w:eastAsia="Arial" w:hAnsi="Arial"/>
                  <w:sz w:val="17"/>
                  <w:szCs w:val="17"/>
                  <w:color w:val="0000EE"/>
                </w:rPr>
                <w:t>Biopharmaceuticals, Inc. and Merck Sharp &amp; Dohme Corp., dated as of January 1, 2016.</w:t>
              </w:r>
            </w:hyperlink>
          </w:p>
        </w:tc>
        <w:tc>
          <w:tcPr>
            <w:tcW w:w="700" w:type="dxa"/>
            <w:vAlign w:val="bottom"/>
            <w:gridSpan w:val="7"/>
          </w:tcPr>
          <w:p>
            <w:pPr>
              <w:spacing w:after="0"/>
              <w:rPr>
                <w:sz w:val="15"/>
                <w:szCs w:val="15"/>
                <w:color w:val="auto"/>
              </w:rPr>
            </w:pPr>
          </w:p>
        </w:tc>
      </w:tr>
      <w:tr>
        <w:trPr>
          <w:trHeight w:val="20"/>
        </w:trPr>
        <w:tc>
          <w:tcPr>
            <w:tcW w:w="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0" w:type="dxa"/>
            <w:vAlign w:val="bottom"/>
            <w:gridSpan w:val="5"/>
            <w:shd w:val="clear" w:color="auto" w:fill="0000EE"/>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281"/>
        </w:trPr>
        <w:tc>
          <w:tcPr>
            <w:tcW w:w="540" w:type="dxa"/>
            <w:vAlign w:val="bottom"/>
            <w:gridSpan w:val="2"/>
          </w:tcPr>
          <w:p>
            <w:pPr>
              <w:spacing w:after="0"/>
              <w:rPr>
                <w:sz w:val="20"/>
                <w:szCs w:val="20"/>
                <w:color w:val="auto"/>
              </w:rPr>
            </w:pPr>
            <w:r>
              <w:rPr>
                <w:rFonts w:ascii="Arial" w:cs="Arial" w:eastAsia="Arial" w:hAnsi="Arial"/>
                <w:sz w:val="17"/>
                <w:szCs w:val="17"/>
                <w:color w:val="auto"/>
              </w:rPr>
              <w:t>10.16*</w:t>
            </w:r>
          </w:p>
        </w:tc>
        <w:tc>
          <w:tcPr>
            <w:tcW w:w="640" w:type="dxa"/>
            <w:vAlign w:val="bottom"/>
          </w:tcPr>
          <w:p>
            <w:pPr>
              <w:spacing w:after="0"/>
              <w:rPr>
                <w:sz w:val="24"/>
                <w:szCs w:val="24"/>
                <w:color w:val="auto"/>
              </w:rPr>
            </w:pPr>
          </w:p>
        </w:tc>
        <w:tc>
          <w:tcPr>
            <w:tcW w:w="8680" w:type="dxa"/>
            <w:vAlign w:val="bottom"/>
            <w:tcBorders>
              <w:bottom w:val="single" w:sz="8" w:color="0000EE"/>
            </w:tcBorders>
            <w:gridSpan w:val="15"/>
          </w:tcPr>
          <w:p>
            <w:pPr>
              <w:spacing w:after="0"/>
              <w:rPr>
                <w:rFonts w:ascii="Arial" w:cs="Arial" w:eastAsia="Arial" w:hAnsi="Arial"/>
                <w:sz w:val="17"/>
                <w:szCs w:val="17"/>
                <w:color w:val="0000EE"/>
              </w:rPr>
            </w:pPr>
            <w:hyperlink r:id="rId350">
              <w:r>
                <w:rPr>
                  <w:rFonts w:ascii="Arial" w:cs="Arial" w:eastAsia="Arial" w:hAnsi="Arial"/>
                  <w:sz w:val="17"/>
                  <w:szCs w:val="17"/>
                  <w:color w:val="0000EE"/>
                </w:rPr>
                <w:t>Letter Agreement, by and between NGM Biopharmaceuticals, Inc. and Merck Sharp &amp; Dohme Corp., dated as of</w:t>
              </w:r>
            </w:hyperlink>
          </w:p>
        </w:tc>
        <w:tc>
          <w:tcPr>
            <w:tcW w:w="820" w:type="dxa"/>
            <w:vAlign w:val="bottom"/>
            <w:gridSpan w:val="9"/>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500" w:type="dxa"/>
            <w:vAlign w:val="bottom"/>
            <w:gridSpan w:val="24"/>
          </w:tcPr>
          <w:p>
            <w:pPr>
              <w:spacing w:after="0" w:line="176" w:lineRule="exact"/>
              <w:rPr>
                <w:rFonts w:ascii="Arial" w:cs="Arial" w:eastAsia="Arial" w:hAnsi="Arial"/>
                <w:sz w:val="17"/>
                <w:szCs w:val="17"/>
                <w:color w:val="0000EE"/>
              </w:rPr>
            </w:pPr>
            <w:hyperlink r:id="rId350">
              <w:r>
                <w:rPr>
                  <w:rFonts w:ascii="Arial" w:cs="Arial" w:eastAsia="Arial" w:hAnsi="Arial"/>
                  <w:sz w:val="17"/>
                  <w:szCs w:val="17"/>
                  <w:color w:val="0000EE"/>
                </w:rPr>
                <w:t>March 20, 2015.</w:t>
              </w:r>
            </w:hyperlink>
          </w:p>
        </w:tc>
      </w:tr>
      <w:tr>
        <w:trPr>
          <w:trHeight w:val="20"/>
        </w:trPr>
        <w:tc>
          <w:tcPr>
            <w:tcW w:w="1180" w:type="dxa"/>
            <w:vAlign w:val="bottom"/>
            <w:gridSpan w:val="3"/>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920" w:type="dxa"/>
            <w:vAlign w:val="bottom"/>
            <w:gridSpan w:val="8"/>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281"/>
        </w:trPr>
        <w:tc>
          <w:tcPr>
            <w:tcW w:w="1180" w:type="dxa"/>
            <w:vAlign w:val="bottom"/>
            <w:gridSpan w:val="3"/>
          </w:tcPr>
          <w:p>
            <w:pPr>
              <w:spacing w:after="0"/>
              <w:rPr>
                <w:sz w:val="20"/>
                <w:szCs w:val="20"/>
                <w:color w:val="auto"/>
              </w:rPr>
            </w:pPr>
            <w:r>
              <w:rPr>
                <w:rFonts w:ascii="Arial" w:cs="Arial" w:eastAsia="Arial" w:hAnsi="Arial"/>
                <w:sz w:val="17"/>
                <w:szCs w:val="17"/>
                <w:color w:val="auto"/>
              </w:rPr>
              <w:t>10.17</w:t>
            </w:r>
            <w:r>
              <w:rPr>
                <w:rFonts w:ascii="Arial" w:cs="Arial" w:eastAsia="Arial" w:hAnsi="Arial"/>
                <w:sz w:val="11"/>
                <w:szCs w:val="11"/>
                <w:color w:val="auto"/>
              </w:rPr>
              <w:t>†</w:t>
            </w:r>
          </w:p>
        </w:tc>
        <w:tc>
          <w:tcPr>
            <w:tcW w:w="8880" w:type="dxa"/>
            <w:vAlign w:val="bottom"/>
            <w:tcBorders>
              <w:bottom w:val="single" w:sz="8" w:color="0000EE"/>
            </w:tcBorders>
            <w:gridSpan w:val="18"/>
          </w:tcPr>
          <w:p>
            <w:pPr>
              <w:spacing w:after="0"/>
              <w:rPr>
                <w:sz w:val="20"/>
                <w:szCs w:val="20"/>
                <w:color w:val="auto"/>
              </w:rPr>
            </w:pPr>
            <w:r>
              <w:rPr>
                <w:rFonts w:ascii="Arial" w:cs="Arial" w:eastAsia="Arial" w:hAnsi="Arial"/>
                <w:sz w:val="17"/>
                <w:szCs w:val="17"/>
                <w:color w:val="0000EE"/>
              </w:rPr>
              <w:t>Multi-Product Licence Agreement by and between NGM Biopharmaceuticals, Inc. and Lonza Sales AG, dated as of</w:t>
            </w:r>
          </w:p>
        </w:tc>
        <w:tc>
          <w:tcPr>
            <w:tcW w:w="620" w:type="dxa"/>
            <w:vAlign w:val="bottom"/>
            <w:gridSpan w:val="6"/>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500" w:type="dxa"/>
            <w:vAlign w:val="bottom"/>
            <w:gridSpan w:val="24"/>
          </w:tcPr>
          <w:p>
            <w:pPr>
              <w:spacing w:after="0" w:line="176" w:lineRule="exact"/>
              <w:rPr>
                <w:sz w:val="20"/>
                <w:szCs w:val="20"/>
                <w:color w:val="auto"/>
              </w:rPr>
            </w:pPr>
            <w:r>
              <w:rPr>
                <w:rFonts w:ascii="Arial" w:cs="Arial" w:eastAsia="Arial" w:hAnsi="Arial"/>
                <w:sz w:val="17"/>
                <w:szCs w:val="17"/>
                <w:color w:val="0000EE"/>
              </w:rPr>
              <w:t>October 31, 2014, as amended by Amendment No. 1 on July 28, 2015, Amendment No. 2 on October 7, 2015,</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920" w:type="dxa"/>
            <w:vAlign w:val="bottom"/>
            <w:gridSpan w:val="8"/>
            <w:shd w:val="clear" w:color="auto" w:fill="0000EE"/>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180" w:type="dxa"/>
            <w:vAlign w:val="bottom"/>
            <w:tcBorders>
              <w:bottom w:val="single" w:sz="8" w:color="0000EE"/>
            </w:tcBorders>
            <w:gridSpan w:val="21"/>
          </w:tcPr>
          <w:p>
            <w:pPr>
              <w:spacing w:after="0" w:line="176" w:lineRule="exact"/>
              <w:rPr>
                <w:sz w:val="20"/>
                <w:szCs w:val="20"/>
                <w:color w:val="auto"/>
              </w:rPr>
            </w:pPr>
            <w:r>
              <w:rPr>
                <w:rFonts w:ascii="Arial" w:cs="Arial" w:eastAsia="Arial" w:hAnsi="Arial"/>
                <w:sz w:val="17"/>
                <w:szCs w:val="17"/>
                <w:color w:val="0000EE"/>
              </w:rPr>
              <w:t>Amendment No. 3 on April 26, 2016, Amendment No. 4 on October 3, 2017, Amendment No. 5 on March 16, 2018 and</w:t>
            </w:r>
          </w:p>
        </w:tc>
        <w:tc>
          <w:tcPr>
            <w:tcW w:w="320" w:type="dxa"/>
            <w:vAlign w:val="bottom"/>
            <w:gridSpan w:val="3"/>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80" w:type="dxa"/>
            <w:vAlign w:val="bottom"/>
            <w:tcBorders>
              <w:bottom w:val="single" w:sz="8" w:color="0000EE"/>
            </w:tcBorders>
            <w:gridSpan w:val="3"/>
          </w:tcPr>
          <w:p>
            <w:pPr>
              <w:spacing w:after="0" w:line="176" w:lineRule="exact"/>
              <w:rPr>
                <w:sz w:val="20"/>
                <w:szCs w:val="20"/>
                <w:color w:val="auto"/>
              </w:rPr>
            </w:pPr>
            <w:r>
              <w:rPr>
                <w:rFonts w:ascii="Arial" w:cs="Arial" w:eastAsia="Arial" w:hAnsi="Arial"/>
                <w:sz w:val="17"/>
                <w:szCs w:val="17"/>
                <w:color w:val="0000EE"/>
              </w:rPr>
              <w:t>Amendment No. 6 on February 6, 2019.</w:t>
            </w:r>
          </w:p>
        </w:tc>
        <w:tc>
          <w:tcPr>
            <w:tcW w:w="6420" w:type="dxa"/>
            <w:vAlign w:val="bottom"/>
            <w:gridSpan w:val="21"/>
          </w:tcPr>
          <w:p>
            <w:pPr>
              <w:spacing w:after="0"/>
              <w:rPr>
                <w:sz w:val="15"/>
                <w:szCs w:val="15"/>
                <w:color w:val="auto"/>
              </w:rPr>
            </w:pPr>
          </w:p>
        </w:tc>
      </w:tr>
      <w:tr>
        <w:trPr>
          <w:trHeight w:val="281"/>
        </w:trPr>
        <w:tc>
          <w:tcPr>
            <w:tcW w:w="540" w:type="dxa"/>
            <w:vAlign w:val="bottom"/>
            <w:gridSpan w:val="2"/>
          </w:tcPr>
          <w:p>
            <w:pPr>
              <w:spacing w:after="0"/>
              <w:rPr>
                <w:sz w:val="20"/>
                <w:szCs w:val="20"/>
                <w:color w:val="auto"/>
              </w:rPr>
            </w:pPr>
            <w:r>
              <w:rPr>
                <w:rFonts w:ascii="Arial" w:cs="Arial" w:eastAsia="Arial" w:hAnsi="Arial"/>
                <w:sz w:val="17"/>
                <w:szCs w:val="17"/>
                <w:color w:val="auto"/>
              </w:rPr>
              <w:t>10.18</w:t>
            </w:r>
          </w:p>
        </w:tc>
        <w:tc>
          <w:tcPr>
            <w:tcW w:w="640" w:type="dxa"/>
            <w:vAlign w:val="bottom"/>
          </w:tcPr>
          <w:p>
            <w:pPr>
              <w:spacing w:after="0"/>
              <w:rPr>
                <w:sz w:val="24"/>
                <w:szCs w:val="24"/>
                <w:color w:val="auto"/>
              </w:rPr>
            </w:pPr>
          </w:p>
        </w:tc>
        <w:tc>
          <w:tcPr>
            <w:tcW w:w="8680" w:type="dxa"/>
            <w:vAlign w:val="bottom"/>
            <w:tcBorders>
              <w:bottom w:val="single" w:sz="8" w:color="0000EE"/>
            </w:tcBorders>
            <w:gridSpan w:val="15"/>
          </w:tcPr>
          <w:p>
            <w:pPr>
              <w:spacing w:after="0"/>
              <w:rPr>
                <w:sz w:val="20"/>
                <w:szCs w:val="20"/>
                <w:color w:val="auto"/>
              </w:rPr>
            </w:pPr>
            <w:r>
              <w:rPr>
                <w:rFonts w:ascii="Arial" w:cs="Arial" w:eastAsia="Arial" w:hAnsi="Arial"/>
                <w:sz w:val="17"/>
                <w:szCs w:val="17"/>
                <w:color w:val="0000EE"/>
              </w:rPr>
              <w:t>Letter Agreement, by and between NGM Biopharmaceuticals, Inc. and Merck Sharp &amp; Dohme Corp., dated as of</w:t>
            </w:r>
          </w:p>
        </w:tc>
        <w:tc>
          <w:tcPr>
            <w:tcW w:w="820" w:type="dxa"/>
            <w:vAlign w:val="bottom"/>
            <w:gridSpan w:val="9"/>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500" w:type="dxa"/>
            <w:vAlign w:val="bottom"/>
            <w:gridSpan w:val="24"/>
          </w:tcPr>
          <w:p>
            <w:pPr>
              <w:spacing w:after="0" w:line="176" w:lineRule="exact"/>
              <w:rPr>
                <w:sz w:val="20"/>
                <w:szCs w:val="20"/>
                <w:color w:val="auto"/>
              </w:rPr>
            </w:pPr>
            <w:r>
              <w:rPr>
                <w:rFonts w:ascii="Arial" w:cs="Arial" w:eastAsia="Arial" w:hAnsi="Arial"/>
                <w:sz w:val="17"/>
                <w:szCs w:val="17"/>
                <w:color w:val="0000EE"/>
              </w:rPr>
              <w:t>March 15, 2019.</w:t>
            </w:r>
          </w:p>
        </w:tc>
      </w:tr>
      <w:tr>
        <w:trPr>
          <w:trHeight w:val="20"/>
        </w:trPr>
        <w:tc>
          <w:tcPr>
            <w:tcW w:w="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60" w:type="dxa"/>
            <w:vAlign w:val="bottom"/>
            <w:gridSpan w:val="18"/>
          </w:tcPr>
          <w:p>
            <w:pPr>
              <w:spacing w:after="0" w:line="20" w:lineRule="exact"/>
              <w:rPr>
                <w:sz w:val="1"/>
                <w:szCs w:val="1"/>
                <w:color w:val="auto"/>
              </w:rPr>
            </w:pPr>
          </w:p>
        </w:tc>
      </w:tr>
      <w:tr>
        <w:trPr>
          <w:trHeight w:val="281"/>
        </w:trPr>
        <w:tc>
          <w:tcPr>
            <w:tcW w:w="540" w:type="dxa"/>
            <w:vAlign w:val="bottom"/>
            <w:gridSpan w:val="2"/>
          </w:tcPr>
          <w:p>
            <w:pPr>
              <w:spacing w:after="0"/>
              <w:rPr>
                <w:sz w:val="20"/>
                <w:szCs w:val="20"/>
                <w:color w:val="auto"/>
              </w:rPr>
            </w:pPr>
            <w:r>
              <w:rPr>
                <w:rFonts w:ascii="Arial" w:cs="Arial" w:eastAsia="Arial" w:hAnsi="Arial"/>
                <w:sz w:val="17"/>
                <w:szCs w:val="17"/>
                <w:color w:val="auto"/>
              </w:rPr>
              <w:t>23.1</w:t>
            </w:r>
          </w:p>
        </w:tc>
        <w:tc>
          <w:tcPr>
            <w:tcW w:w="640" w:type="dxa"/>
            <w:vAlign w:val="bottom"/>
          </w:tcPr>
          <w:p>
            <w:pPr>
              <w:spacing w:after="0"/>
              <w:rPr>
                <w:sz w:val="24"/>
                <w:szCs w:val="24"/>
                <w:color w:val="auto"/>
              </w:rPr>
            </w:pPr>
          </w:p>
        </w:tc>
        <w:tc>
          <w:tcPr>
            <w:tcW w:w="9500" w:type="dxa"/>
            <w:vAlign w:val="bottom"/>
            <w:gridSpan w:val="24"/>
          </w:tcPr>
          <w:p>
            <w:pPr>
              <w:spacing w:after="0"/>
              <w:rPr>
                <w:sz w:val="20"/>
                <w:szCs w:val="20"/>
                <w:color w:val="auto"/>
              </w:rPr>
            </w:pPr>
            <w:r>
              <w:rPr>
                <w:rFonts w:ascii="Arial" w:cs="Arial" w:eastAsia="Arial" w:hAnsi="Arial"/>
                <w:sz w:val="17"/>
                <w:szCs w:val="17"/>
                <w:color w:val="0000EE"/>
              </w:rPr>
              <w:t>Consent of Independent Registered Public Accounting Firm.</w:t>
            </w:r>
          </w:p>
        </w:tc>
      </w:tr>
      <w:tr>
        <w:trPr>
          <w:trHeight w:val="294"/>
        </w:trPr>
        <w:tc>
          <w:tcPr>
            <w:tcW w:w="540" w:type="dxa"/>
            <w:vAlign w:val="bottom"/>
            <w:gridSpan w:val="2"/>
          </w:tcPr>
          <w:p>
            <w:pPr>
              <w:spacing w:after="0"/>
              <w:rPr>
                <w:sz w:val="20"/>
                <w:szCs w:val="20"/>
                <w:color w:val="auto"/>
              </w:rPr>
            </w:pPr>
            <w:r>
              <w:rPr>
                <w:rFonts w:ascii="Arial" w:cs="Arial" w:eastAsia="Arial" w:hAnsi="Arial"/>
                <w:sz w:val="17"/>
                <w:szCs w:val="17"/>
                <w:color w:val="auto"/>
              </w:rPr>
              <w:t>23.2</w:t>
            </w:r>
          </w:p>
        </w:tc>
        <w:tc>
          <w:tcPr>
            <w:tcW w:w="640" w:type="dxa"/>
            <w:vAlign w:val="bottom"/>
          </w:tcPr>
          <w:p>
            <w:pPr>
              <w:spacing w:after="0"/>
              <w:rPr>
                <w:sz w:val="24"/>
                <w:szCs w:val="24"/>
                <w:color w:val="auto"/>
              </w:rPr>
            </w:pPr>
          </w:p>
        </w:tc>
        <w:tc>
          <w:tcPr>
            <w:tcW w:w="4640" w:type="dxa"/>
            <w:vAlign w:val="bottom"/>
            <w:tcBorders>
              <w:top w:val="single" w:sz="8" w:color="0000EE"/>
            </w:tcBorders>
            <w:gridSpan w:val="6"/>
          </w:tcPr>
          <w:p>
            <w:pPr>
              <w:spacing w:after="0"/>
              <w:rPr>
                <w:sz w:val="20"/>
                <w:szCs w:val="20"/>
                <w:color w:val="auto"/>
              </w:rPr>
            </w:pPr>
            <w:r>
              <w:rPr>
                <w:rFonts w:ascii="Arial" w:cs="Arial" w:eastAsia="Arial" w:hAnsi="Arial"/>
                <w:sz w:val="17"/>
                <w:szCs w:val="17"/>
                <w:color w:val="0000EE"/>
              </w:rPr>
              <w:t>Consent of Cooley LLP (included in Exhibit 5.1).</w:t>
            </w:r>
          </w:p>
        </w:tc>
        <w:tc>
          <w:tcPr>
            <w:tcW w:w="4860" w:type="dxa"/>
            <w:vAlign w:val="bottom"/>
            <w:gridSpan w:val="18"/>
          </w:tcPr>
          <w:p>
            <w:pPr>
              <w:spacing w:after="0"/>
              <w:rPr>
                <w:sz w:val="24"/>
                <w:szCs w:val="24"/>
                <w:color w:val="auto"/>
              </w:rPr>
            </w:pPr>
          </w:p>
        </w:tc>
      </w:tr>
      <w:tr>
        <w:trPr>
          <w:trHeight w:val="20"/>
        </w:trPr>
        <w:tc>
          <w:tcPr>
            <w:tcW w:w="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0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80" w:type="dxa"/>
            <w:vAlign w:val="bottom"/>
            <w:gridSpan w:val="19"/>
          </w:tcPr>
          <w:p>
            <w:pPr>
              <w:spacing w:after="0" w:line="20" w:lineRule="exact"/>
              <w:rPr>
                <w:sz w:val="1"/>
                <w:szCs w:val="1"/>
                <w:color w:val="auto"/>
              </w:rPr>
            </w:pPr>
          </w:p>
        </w:tc>
      </w:tr>
      <w:tr>
        <w:trPr>
          <w:trHeight w:val="281"/>
        </w:trPr>
        <w:tc>
          <w:tcPr>
            <w:tcW w:w="540" w:type="dxa"/>
            <w:vAlign w:val="bottom"/>
            <w:gridSpan w:val="2"/>
          </w:tcPr>
          <w:p>
            <w:pPr>
              <w:spacing w:after="0"/>
              <w:rPr>
                <w:sz w:val="20"/>
                <w:szCs w:val="20"/>
                <w:color w:val="auto"/>
              </w:rPr>
            </w:pPr>
            <w:r>
              <w:rPr>
                <w:rFonts w:ascii="Arial" w:cs="Arial" w:eastAsia="Arial" w:hAnsi="Arial"/>
                <w:sz w:val="17"/>
                <w:szCs w:val="17"/>
                <w:color w:val="auto"/>
              </w:rPr>
              <w:t>24.1</w:t>
            </w:r>
          </w:p>
        </w:tc>
        <w:tc>
          <w:tcPr>
            <w:tcW w:w="640" w:type="dxa"/>
            <w:vAlign w:val="bottom"/>
          </w:tcPr>
          <w:p>
            <w:pPr>
              <w:spacing w:after="0"/>
              <w:rPr>
                <w:sz w:val="24"/>
                <w:szCs w:val="24"/>
                <w:color w:val="auto"/>
              </w:rPr>
            </w:pPr>
          </w:p>
        </w:tc>
        <w:tc>
          <w:tcPr>
            <w:tcW w:w="3920" w:type="dxa"/>
            <w:vAlign w:val="bottom"/>
            <w:tcBorders>
              <w:bottom w:val="single" w:sz="8" w:color="0000EE"/>
            </w:tcBorders>
            <w:gridSpan w:val="5"/>
          </w:tcPr>
          <w:p>
            <w:pPr>
              <w:spacing w:after="0"/>
              <w:rPr>
                <w:rFonts w:ascii="Arial" w:cs="Arial" w:eastAsia="Arial" w:hAnsi="Arial"/>
                <w:sz w:val="17"/>
                <w:szCs w:val="17"/>
                <w:color w:val="0000EE"/>
              </w:rPr>
            </w:pPr>
            <w:hyperlink w:anchor="page257">
              <w:r>
                <w:rPr>
                  <w:rFonts w:ascii="Arial" w:cs="Arial" w:eastAsia="Arial" w:hAnsi="Arial"/>
                  <w:sz w:val="17"/>
                  <w:szCs w:val="17"/>
                  <w:color w:val="0000EE"/>
                </w:rPr>
                <w:t>Power of Attorney (see page II-6 of this Form S-1).</w:t>
              </w:r>
            </w:hyperlink>
          </w:p>
        </w:tc>
        <w:tc>
          <w:tcPr>
            <w:tcW w:w="5580" w:type="dxa"/>
            <w:vAlign w:val="bottom"/>
            <w:gridSpan w:val="19"/>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91440</wp:posOffset>
            </wp:positionV>
            <wp:extent cx="6819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1">
                      <a:extLst>
                        <a:ext uri="{28A0092B-C50C-407E-A947-70E740481C1C}"/>
                      </a:extLst>
                    </a:blip>
                    <a:srcRect/>
                    <a:stretch>
                      <a:fillRect/>
                    </a:stretch>
                  </pic:blipFill>
                  <pic:spPr bwMode="auto">
                    <a:xfrm>
                      <a:off x="0" y="0"/>
                      <a:ext cx="681990" cy="8255"/>
                    </a:xfrm>
                    <a:prstGeom prst="rect">
                      <a:avLst/>
                    </a:prstGeom>
                    <a:noFill/>
                  </pic:spPr>
                </pic:pic>
              </a:graphicData>
            </a:graphic>
          </wp:anchor>
        </w:drawing>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  Previously filed.</w:t>
      </w:r>
    </w:p>
    <w:p>
      <w:pPr>
        <w:spacing w:after="0" w:line="1" w:lineRule="exact"/>
        <w:rPr>
          <w:sz w:val="20"/>
          <w:szCs w:val="20"/>
          <w:color w:val="auto"/>
        </w:rPr>
      </w:pPr>
    </w:p>
    <w:p>
      <w:pPr>
        <w:ind w:left="580" w:hanging="209"/>
        <w:spacing w:after="0"/>
        <w:tabs>
          <w:tab w:leader="none" w:pos="5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Confidential treatment requested.</w:t>
      </w:r>
    </w:p>
    <w:p>
      <w:pPr>
        <w:spacing w:after="0" w:line="210" w:lineRule="exact"/>
        <w:rPr>
          <w:rFonts w:ascii="Arial" w:cs="Arial" w:eastAsia="Arial" w:hAnsi="Arial"/>
          <w:sz w:val="17"/>
          <w:szCs w:val="17"/>
          <w:color w:val="auto"/>
        </w:rPr>
      </w:pPr>
    </w:p>
    <w:p>
      <w:pPr>
        <w:ind w:left="900" w:right="7480" w:firstLine="6"/>
        <w:spacing w:after="0" w:line="458" w:lineRule="auto"/>
        <w:tabs>
          <w:tab w:leader="none" w:pos="1162" w:val="left"/>
        </w:tabs>
        <w:numPr>
          <w:ilvl w:val="1"/>
          <w:numId w:val="111"/>
        </w:numPr>
        <w:rPr>
          <w:rFonts w:ascii="Arial" w:cs="Arial" w:eastAsia="Arial" w:hAnsi="Arial"/>
          <w:sz w:val="17"/>
          <w:szCs w:val="17"/>
          <w:color w:val="auto"/>
        </w:rPr>
      </w:pPr>
      <w:r>
        <w:rPr>
          <w:rFonts w:ascii="Arial" w:cs="Arial" w:eastAsia="Arial" w:hAnsi="Arial"/>
          <w:sz w:val="17"/>
          <w:szCs w:val="17"/>
          <w:color w:val="auto"/>
        </w:rPr>
        <w:t>Financial Statement Schedules None.</w:t>
      </w:r>
    </w:p>
    <w:p>
      <w:pPr>
        <w:jc w:val="center"/>
        <w:ind w:right="-359"/>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1060"/>
          </w:cols>
          <w:pgMar w:left="240" w:top="449" w:right="599" w:bottom="1440" w:gutter="0" w:footer="0" w:header="0"/>
        </w:sectPr>
      </w:pPr>
    </w:p>
    <w:bookmarkStart w:id="255" w:name="page256"/>
    <w:bookmarkEnd w:id="2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Item 17. Undertakings</w:t>
      </w:r>
    </w:p>
    <w:p>
      <w:pPr>
        <w:spacing w:after="0" w:line="126" w:lineRule="exact"/>
        <w:rPr>
          <w:sz w:val="20"/>
          <w:szCs w:val="20"/>
          <w:color w:val="auto"/>
        </w:rPr>
      </w:pPr>
    </w:p>
    <w:p>
      <w:pPr>
        <w:ind w:left="380" w:firstLine="534"/>
        <w:spacing w:after="0" w:line="253"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387"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by the registrant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8"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undersigned Registrant hereby undertakes that:</w:t>
      </w:r>
    </w:p>
    <w:p>
      <w:pPr>
        <w:spacing w:after="0" w:line="119" w:lineRule="exact"/>
        <w:rPr>
          <w:sz w:val="20"/>
          <w:szCs w:val="20"/>
          <w:color w:val="auto"/>
        </w:rPr>
      </w:pPr>
    </w:p>
    <w:p>
      <w:pPr>
        <w:ind w:left="1420" w:right="40" w:hanging="525"/>
        <w:spacing w:after="0" w:line="247" w:lineRule="auto"/>
        <w:tabs>
          <w:tab w:leader="none" w:pos="14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98" w:lineRule="exact"/>
        <w:rPr>
          <w:rFonts w:ascii="Arial" w:cs="Arial" w:eastAsia="Arial" w:hAnsi="Arial"/>
          <w:sz w:val="17"/>
          <w:szCs w:val="17"/>
          <w:color w:val="auto"/>
        </w:rPr>
      </w:pPr>
    </w:p>
    <w:p>
      <w:pPr>
        <w:ind w:left="1420" w:right="120" w:hanging="525"/>
        <w:spacing w:after="0" w:line="250" w:lineRule="auto"/>
        <w:tabs>
          <w:tab w:leader="none" w:pos="14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II-5</w:t>
      </w:r>
    </w:p>
    <w:p>
      <w:pPr>
        <w:sectPr>
          <w:pgSz w:w="11900" w:h="16838" w:orient="portrait"/>
          <w:cols w:equalWidth="0" w:num="1">
            <w:col w:w="11040"/>
          </w:cols>
          <w:pgMar w:left="240" w:top="449" w:right="619" w:bottom="1440" w:gutter="0" w:footer="0" w:header="0"/>
        </w:sectPr>
      </w:pPr>
    </w:p>
    <w:bookmarkStart w:id="256" w:name="page257"/>
    <w:bookmarkEnd w:id="2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SIGNATURES</w:t>
      </w:r>
    </w:p>
    <w:p>
      <w:pPr>
        <w:spacing w:after="0" w:line="232" w:lineRule="exact"/>
        <w:rPr>
          <w:sz w:val="20"/>
          <w:szCs w:val="20"/>
          <w:color w:val="auto"/>
        </w:rPr>
      </w:pPr>
    </w:p>
    <w:p>
      <w:pPr>
        <w:ind w:left="380" w:right="200" w:firstLine="534"/>
        <w:spacing w:after="0" w:line="25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city of South San Francisco, State of California, on March 25, 2019.</w:t>
      </w:r>
    </w:p>
    <w:p>
      <w:pPr>
        <w:spacing w:after="0" w:line="186" w:lineRule="exact"/>
        <w:rPr>
          <w:sz w:val="20"/>
          <w:szCs w:val="20"/>
          <w:color w:val="auto"/>
        </w:rPr>
      </w:pPr>
    </w:p>
    <w:p>
      <w:pPr>
        <w:ind w:left="6780"/>
        <w:spacing w:after="0"/>
        <w:rPr>
          <w:sz w:val="20"/>
          <w:szCs w:val="20"/>
          <w:color w:val="auto"/>
        </w:rPr>
      </w:pPr>
      <w:r>
        <w:rPr>
          <w:rFonts w:ascii="Arial" w:cs="Arial" w:eastAsia="Arial" w:hAnsi="Arial"/>
          <w:sz w:val="17"/>
          <w:szCs w:val="17"/>
          <w:b w:val="1"/>
          <w:bCs w:val="1"/>
          <w:color w:val="auto"/>
        </w:rPr>
        <w:t>NGM BIOPHARMACEUTICALS, INC.</w:t>
      </w:r>
    </w:p>
    <w:p>
      <w:pPr>
        <w:spacing w:after="0" w:line="232"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By: /s/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1270</wp:posOffset>
            </wp:positionV>
            <wp:extent cx="24860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7140"/>
        <w:spacing w:after="0"/>
        <w:rPr>
          <w:sz w:val="20"/>
          <w:szCs w:val="20"/>
          <w:color w:val="auto"/>
        </w:rPr>
      </w:pPr>
      <w:r>
        <w:rPr>
          <w:rFonts w:ascii="Arial" w:cs="Arial" w:eastAsia="Arial" w:hAnsi="Arial"/>
          <w:sz w:val="17"/>
          <w:szCs w:val="17"/>
          <w:color w:val="auto"/>
        </w:rPr>
        <w:t>David J. Woodhouse, Ph.D.</w:t>
      </w:r>
    </w:p>
    <w:p>
      <w:pPr>
        <w:spacing w:after="0" w:line="1" w:lineRule="exact"/>
        <w:rPr>
          <w:sz w:val="20"/>
          <w:szCs w:val="20"/>
          <w:color w:val="auto"/>
        </w:rPr>
      </w:pPr>
    </w:p>
    <w:p>
      <w:pPr>
        <w:ind w:left="7140"/>
        <w:spacing w:after="0"/>
        <w:rPr>
          <w:sz w:val="20"/>
          <w:szCs w:val="20"/>
          <w:color w:val="auto"/>
        </w:rPr>
      </w:pPr>
      <w:r>
        <w:rPr>
          <w:rFonts w:ascii="Arial" w:cs="Arial" w:eastAsia="Arial" w:hAnsi="Arial"/>
          <w:sz w:val="17"/>
          <w:szCs w:val="17"/>
          <w:color w:val="auto"/>
        </w:rPr>
        <w:t>Chief Executive Officer and Acting Chief Financial</w:t>
      </w:r>
    </w:p>
    <w:p>
      <w:pPr>
        <w:spacing w:after="0" w:line="1" w:lineRule="exact"/>
        <w:rPr>
          <w:sz w:val="20"/>
          <w:szCs w:val="20"/>
          <w:color w:val="auto"/>
        </w:rPr>
      </w:pPr>
    </w:p>
    <w:p>
      <w:pPr>
        <w:ind w:left="7140"/>
        <w:spacing w:after="0"/>
        <w:rPr>
          <w:sz w:val="20"/>
          <w:szCs w:val="20"/>
          <w:color w:val="auto"/>
        </w:rPr>
      </w:pPr>
      <w:r>
        <w:rPr>
          <w:rFonts w:ascii="Arial" w:cs="Arial" w:eastAsia="Arial" w:hAnsi="Arial"/>
          <w:sz w:val="17"/>
          <w:szCs w:val="17"/>
          <w:color w:val="auto"/>
        </w:rPr>
        <w:t>Officer</w:t>
      </w:r>
    </w:p>
    <w:p>
      <w:pPr>
        <w:spacing w:after="0" w:line="200" w:lineRule="exact"/>
        <w:rPr>
          <w:sz w:val="20"/>
          <w:szCs w:val="20"/>
          <w:color w:val="auto"/>
        </w:rPr>
      </w:pPr>
    </w:p>
    <w:p>
      <w:pPr>
        <w:spacing w:after="0" w:line="21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POWER OF ATTORNEY</w:t>
      </w:r>
    </w:p>
    <w:p>
      <w:pPr>
        <w:spacing w:after="0" w:line="232" w:lineRule="exact"/>
        <w:rPr>
          <w:sz w:val="20"/>
          <w:szCs w:val="20"/>
          <w:color w:val="auto"/>
        </w:rPr>
      </w:pPr>
    </w:p>
    <w:p>
      <w:pPr>
        <w:ind w:left="380" w:firstLine="534"/>
        <w:spacing w:after="0" w:line="243"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William J. Rieflin and David J. Woodhouse, and each of them, as his or her true and lawful attorneys-in-fact and agents, each with the full power of 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his or her substitute or substitutes, may lawfully do or cause to be done by virtue hereof.</w:t>
      </w:r>
    </w:p>
    <w:p>
      <w:pPr>
        <w:spacing w:after="0" w:line="195" w:lineRule="exact"/>
        <w:rPr>
          <w:sz w:val="20"/>
          <w:szCs w:val="20"/>
          <w:color w:val="auto"/>
        </w:rPr>
      </w:pPr>
    </w:p>
    <w:p>
      <w:pPr>
        <w:ind w:left="380" w:right="500" w:firstLine="534"/>
        <w:spacing w:after="0" w:line="258"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below by the following persons in the capacities and on the dates indicated.</w:t>
      </w:r>
    </w:p>
    <w:p>
      <w:pPr>
        <w:sectPr>
          <w:pgSz w:w="11900" w:h="16838" w:orient="portrait"/>
          <w:cols w:equalWidth="0" w:num="1">
            <w:col w:w="11060"/>
          </w:cols>
          <w:pgMar w:left="240" w:top="449" w:right="599" w:bottom="1440" w:gutter="0" w:footer="0" w:header="0"/>
        </w:sectPr>
      </w:pPr>
    </w:p>
    <w:p>
      <w:pPr>
        <w:spacing w:after="0" w:line="198" w:lineRule="exact"/>
        <w:rPr>
          <w:sz w:val="20"/>
          <w:szCs w:val="20"/>
          <w:color w:val="auto"/>
        </w:rPr>
      </w:pPr>
    </w:p>
    <w:p>
      <w:pPr>
        <w:jc w:val="center"/>
        <w:ind w:left="1000"/>
        <w:spacing w:after="0"/>
        <w:rPr>
          <w:sz w:val="20"/>
          <w:szCs w:val="20"/>
          <w:color w:val="auto"/>
        </w:rPr>
      </w:pPr>
      <w:r>
        <w:rPr>
          <w:rFonts w:ascii="Arial" w:cs="Arial" w:eastAsia="Arial" w:hAnsi="Arial"/>
          <w:sz w:val="14"/>
          <w:szCs w:val="14"/>
          <w:b w:val="1"/>
          <w:bCs w:val="1"/>
          <w:u w:val="single" w:color="auto"/>
          <w:color w:val="auto"/>
        </w:rPr>
        <w:t>Signature</w:t>
      </w:r>
    </w:p>
    <w:p>
      <w:pPr>
        <w:spacing w:after="0" w:line="229" w:lineRule="exact"/>
        <w:rPr>
          <w:sz w:val="20"/>
          <w:szCs w:val="20"/>
          <w:color w:val="auto"/>
        </w:rPr>
      </w:pPr>
    </w:p>
    <w:p>
      <w:pPr>
        <w:jc w:val="center"/>
        <w:ind w:left="1000"/>
        <w:spacing w:after="0"/>
        <w:rPr>
          <w:sz w:val="20"/>
          <w:szCs w:val="20"/>
          <w:color w:val="auto"/>
        </w:rPr>
      </w:pPr>
      <w:r>
        <w:rPr>
          <w:rFonts w:ascii="Arial" w:cs="Arial" w:eastAsia="Arial" w:hAnsi="Arial"/>
          <w:sz w:val="17"/>
          <w:szCs w:val="17"/>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1270</wp:posOffset>
            </wp:positionV>
            <wp:extent cx="266890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5">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jc w:val="center"/>
        <w:ind w:left="1000"/>
        <w:spacing w:after="0"/>
        <w:rPr>
          <w:sz w:val="20"/>
          <w:szCs w:val="20"/>
          <w:color w:val="auto"/>
        </w:rPr>
      </w:pPr>
      <w:r>
        <w:rPr>
          <w:rFonts w:ascii="Arial" w:cs="Arial" w:eastAsia="Arial" w:hAnsi="Arial"/>
          <w:sz w:val="17"/>
          <w:szCs w:val="17"/>
          <w:color w:val="auto"/>
        </w:rPr>
        <w:t>David J. Woodhouse, Ph.D.</w:t>
      </w:r>
    </w:p>
    <w:p>
      <w:pPr>
        <w:spacing w:after="0" w:line="200" w:lineRule="exact"/>
        <w:rPr>
          <w:sz w:val="20"/>
          <w:szCs w:val="20"/>
          <w:color w:val="auto"/>
        </w:rPr>
      </w:pPr>
    </w:p>
    <w:p>
      <w:pPr>
        <w:spacing w:after="0" w:line="390" w:lineRule="exact"/>
        <w:rPr>
          <w:sz w:val="20"/>
          <w:szCs w:val="20"/>
          <w:color w:val="auto"/>
        </w:rPr>
      </w:pPr>
    </w:p>
    <w:p>
      <w:pPr>
        <w:jc w:val="center"/>
        <w:ind w:left="10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1270</wp:posOffset>
            </wp:positionV>
            <wp:extent cx="266890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6">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jc w:val="center"/>
        <w:ind w:left="1000"/>
        <w:spacing w:after="0"/>
        <w:rPr>
          <w:sz w:val="20"/>
          <w:szCs w:val="20"/>
          <w:color w:val="auto"/>
        </w:rPr>
      </w:pPr>
      <w:r>
        <w:rPr>
          <w:rFonts w:ascii="Arial" w:cs="Arial" w:eastAsia="Arial" w:hAnsi="Arial"/>
          <w:sz w:val="17"/>
          <w:szCs w:val="17"/>
          <w:color w:val="auto"/>
        </w:rPr>
        <w:t>William J. Rieflin</w:t>
      </w:r>
    </w:p>
    <w:p>
      <w:pPr>
        <w:spacing w:after="0" w:line="224" w:lineRule="exact"/>
        <w:rPr>
          <w:sz w:val="20"/>
          <w:szCs w:val="20"/>
          <w:color w:val="auto"/>
        </w:rPr>
      </w:pPr>
    </w:p>
    <w:p>
      <w:pPr>
        <w:jc w:val="center"/>
        <w:ind w:left="10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1270</wp:posOffset>
            </wp:positionV>
            <wp:extent cx="266890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7">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jc w:val="center"/>
        <w:ind w:left="1000"/>
        <w:spacing w:after="0"/>
        <w:rPr>
          <w:sz w:val="20"/>
          <w:szCs w:val="20"/>
          <w:color w:val="auto"/>
        </w:rPr>
      </w:pPr>
      <w:r>
        <w:rPr>
          <w:rFonts w:ascii="Arial" w:cs="Arial" w:eastAsia="Arial" w:hAnsi="Arial"/>
          <w:sz w:val="17"/>
          <w:szCs w:val="17"/>
          <w:color w:val="auto"/>
        </w:rPr>
        <w:t>Jin-Long Chen, Ph.D.</w:t>
      </w:r>
    </w:p>
    <w:p>
      <w:pPr>
        <w:spacing w:after="0" w:line="224" w:lineRule="exact"/>
        <w:rPr>
          <w:sz w:val="20"/>
          <w:szCs w:val="20"/>
          <w:color w:val="auto"/>
        </w:rPr>
      </w:pPr>
    </w:p>
    <w:p>
      <w:pPr>
        <w:jc w:val="center"/>
        <w:ind w:left="1000"/>
        <w:spacing w:after="0"/>
        <w:rPr>
          <w:sz w:val="20"/>
          <w:szCs w:val="20"/>
          <w:color w:val="auto"/>
        </w:rPr>
      </w:pPr>
      <w:r>
        <w:rPr>
          <w:rFonts w:ascii="Arial" w:cs="Arial" w:eastAsia="Arial" w:hAnsi="Arial"/>
          <w:sz w:val="17"/>
          <w:szCs w:val="17"/>
          <w:color w:val="auto"/>
        </w:rPr>
        <w:t>/s/ David V. Goeddel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1270</wp:posOffset>
            </wp:positionV>
            <wp:extent cx="266890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8">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jc w:val="center"/>
        <w:ind w:left="1000"/>
        <w:spacing w:after="0"/>
        <w:rPr>
          <w:sz w:val="20"/>
          <w:szCs w:val="20"/>
          <w:color w:val="auto"/>
        </w:rPr>
      </w:pPr>
      <w:r>
        <w:rPr>
          <w:rFonts w:ascii="Arial" w:cs="Arial" w:eastAsia="Arial" w:hAnsi="Arial"/>
          <w:sz w:val="17"/>
          <w:szCs w:val="17"/>
          <w:color w:val="auto"/>
        </w:rPr>
        <w:t>David V. Goeddel, Ph.D.</w:t>
      </w:r>
    </w:p>
    <w:p>
      <w:pPr>
        <w:spacing w:after="0" w:line="224" w:lineRule="exact"/>
        <w:rPr>
          <w:sz w:val="20"/>
          <w:szCs w:val="20"/>
          <w:color w:val="auto"/>
        </w:rPr>
      </w:pPr>
    </w:p>
    <w:p>
      <w:pPr>
        <w:jc w:val="center"/>
        <w:ind w:left="10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1270</wp:posOffset>
            </wp:positionV>
            <wp:extent cx="266890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9">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jc w:val="center"/>
        <w:ind w:left="1000"/>
        <w:spacing w:after="0"/>
        <w:rPr>
          <w:sz w:val="20"/>
          <w:szCs w:val="20"/>
          <w:color w:val="auto"/>
        </w:rPr>
      </w:pPr>
      <w:r>
        <w:rPr>
          <w:rFonts w:ascii="Arial" w:cs="Arial" w:eastAsia="Arial" w:hAnsi="Arial"/>
          <w:sz w:val="17"/>
          <w:szCs w:val="17"/>
          <w:color w:val="auto"/>
        </w:rPr>
        <w:t>Suzanne Sawochka Hooper</w:t>
      </w:r>
    </w:p>
    <w:p>
      <w:pPr>
        <w:spacing w:after="0" w:line="224" w:lineRule="exact"/>
        <w:rPr>
          <w:sz w:val="20"/>
          <w:szCs w:val="20"/>
          <w:color w:val="auto"/>
        </w:rPr>
      </w:pPr>
    </w:p>
    <w:p>
      <w:pPr>
        <w:jc w:val="center"/>
        <w:ind w:left="10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1270</wp:posOffset>
            </wp:positionV>
            <wp:extent cx="266890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0">
                      <a:extLst>
                        <a:ext uri="{28A0092B-C50C-407E-A947-70E740481C1C}"/>
                      </a:extLst>
                    </a:blip>
                    <a:srcRect/>
                    <a:stretch>
                      <a:fillRect/>
                    </a:stretch>
                  </pic:blipFill>
                  <pic:spPr bwMode="auto">
                    <a:xfrm>
                      <a:off x="0" y="0"/>
                      <a:ext cx="2668905" cy="8255"/>
                    </a:xfrm>
                    <a:prstGeom prst="rect">
                      <a:avLst/>
                    </a:prstGeom>
                    <a:noFill/>
                  </pic:spPr>
                </pic:pic>
              </a:graphicData>
            </a:graphic>
          </wp:anchor>
        </w:drawing>
      </w:r>
    </w:p>
    <w:p>
      <w:pPr>
        <w:jc w:val="center"/>
        <w:ind w:left="1000"/>
        <w:spacing w:after="0"/>
        <w:rPr>
          <w:sz w:val="20"/>
          <w:szCs w:val="20"/>
          <w:color w:val="auto"/>
        </w:rPr>
      </w:pPr>
      <w:r>
        <w:rPr>
          <w:rFonts w:ascii="Arial" w:cs="Arial" w:eastAsia="Arial" w:hAnsi="Arial"/>
          <w:sz w:val="17"/>
          <w:szCs w:val="17"/>
          <w:color w:val="auto"/>
        </w:rPr>
        <w:t>Mark Leschly</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174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2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460" w:type="dxa"/>
            <w:vAlign w:val="bottom"/>
          </w:tcPr>
          <w:p>
            <w:pPr>
              <w:spacing w:after="0"/>
              <w:rPr>
                <w:sz w:val="14"/>
                <w:szCs w:val="14"/>
                <w:color w:val="auto"/>
              </w:rPr>
            </w:pPr>
          </w:p>
        </w:tc>
      </w:tr>
      <w:tr>
        <w:trPr>
          <w:trHeight w:val="380"/>
        </w:trPr>
        <w:tc>
          <w:tcPr>
            <w:tcW w:w="4100" w:type="dxa"/>
            <w:vAlign w:val="bottom"/>
            <w:gridSpan w:val="3"/>
          </w:tcPr>
          <w:p>
            <w:pPr>
              <w:spacing w:after="0"/>
              <w:rPr>
                <w:sz w:val="20"/>
                <w:szCs w:val="20"/>
                <w:color w:val="auto"/>
              </w:rPr>
            </w:pPr>
            <w:r>
              <w:rPr>
                <w:rFonts w:ascii="Arial" w:cs="Arial" w:eastAsia="Arial" w:hAnsi="Arial"/>
                <w:sz w:val="17"/>
                <w:szCs w:val="17"/>
                <w:color w:val="auto"/>
              </w:rPr>
              <w:t>Chief Executive Officer, Acting Chief Financial</w:t>
            </w:r>
          </w:p>
        </w:tc>
        <w:tc>
          <w:tcPr>
            <w:tcW w:w="1700" w:type="dxa"/>
            <w:vAlign w:val="bottom"/>
            <w:gridSpan w:val="3"/>
          </w:tcPr>
          <w:p>
            <w:pPr>
              <w:jc w:val="center"/>
              <w:ind w:left="393"/>
              <w:spacing w:after="0"/>
              <w:rPr>
                <w:sz w:val="20"/>
                <w:szCs w:val="20"/>
                <w:color w:val="auto"/>
              </w:rPr>
            </w:pPr>
            <w:r>
              <w:rPr>
                <w:rFonts w:ascii="Arial" w:cs="Arial" w:eastAsia="Arial" w:hAnsi="Arial"/>
                <w:sz w:val="17"/>
                <w:szCs w:val="17"/>
                <w:color w:val="auto"/>
              </w:rPr>
              <w:t>March 25, 2019</w:t>
            </w:r>
          </w:p>
        </w:tc>
      </w:tr>
      <w:tr>
        <w:trPr>
          <w:trHeight w:val="196"/>
        </w:trPr>
        <w:tc>
          <w:tcPr>
            <w:tcW w:w="4100" w:type="dxa"/>
            <w:vAlign w:val="bottom"/>
            <w:gridSpan w:val="3"/>
          </w:tcPr>
          <w:p>
            <w:pPr>
              <w:ind w:left="180"/>
              <w:spacing w:after="0"/>
              <w:rPr>
                <w:sz w:val="20"/>
                <w:szCs w:val="20"/>
                <w:color w:val="auto"/>
              </w:rPr>
            </w:pPr>
            <w:r>
              <w:rPr>
                <w:rFonts w:ascii="Arial" w:cs="Arial" w:eastAsia="Arial" w:hAnsi="Arial"/>
                <w:sz w:val="17"/>
                <w:szCs w:val="17"/>
                <w:color w:val="auto"/>
              </w:rPr>
              <w:t xml:space="preserve">Officer and Director </w:t>
            </w:r>
            <w:r>
              <w:rPr>
                <w:rFonts w:ascii="Arial" w:cs="Arial" w:eastAsia="Arial" w:hAnsi="Arial"/>
                <w:sz w:val="17"/>
                <w:szCs w:val="17"/>
                <w:i w:val="1"/>
                <w:iCs w:val="1"/>
                <w:color w:val="auto"/>
              </w:rPr>
              <w:t>(principal executive</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4100" w:type="dxa"/>
            <w:vAlign w:val="bottom"/>
            <w:gridSpan w:val="3"/>
          </w:tcPr>
          <w:p>
            <w:pPr>
              <w:ind w:left="180"/>
              <w:spacing w:after="0"/>
              <w:rPr>
                <w:sz w:val="20"/>
                <w:szCs w:val="20"/>
                <w:color w:val="auto"/>
              </w:rPr>
            </w:pPr>
            <w:r>
              <w:rPr>
                <w:rFonts w:ascii="Arial" w:cs="Arial" w:eastAsia="Arial" w:hAnsi="Arial"/>
                <w:sz w:val="17"/>
                <w:szCs w:val="17"/>
                <w:i w:val="1"/>
                <w:iCs w:val="1"/>
                <w:color w:val="auto"/>
              </w:rPr>
              <w:t>officer, principal financial officer and principal</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28"/>
        </w:trPr>
        <w:tc>
          <w:tcPr>
            <w:tcW w:w="4100" w:type="dxa"/>
            <w:vAlign w:val="bottom"/>
            <w:gridSpan w:val="3"/>
          </w:tcPr>
          <w:p>
            <w:pPr>
              <w:ind w:left="180"/>
              <w:spacing w:after="0"/>
              <w:rPr>
                <w:sz w:val="20"/>
                <w:szCs w:val="20"/>
                <w:color w:val="auto"/>
              </w:rPr>
            </w:pPr>
            <w:r>
              <w:rPr>
                <w:rFonts w:ascii="Arial" w:cs="Arial" w:eastAsia="Arial" w:hAnsi="Arial"/>
                <w:sz w:val="17"/>
                <w:szCs w:val="17"/>
                <w:i w:val="1"/>
                <w:iCs w:val="1"/>
                <w:color w:val="auto"/>
              </w:rPr>
              <w:t>accounting officer)</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06"/>
        </w:trPr>
        <w:tc>
          <w:tcPr>
            <w:tcW w:w="4100" w:type="dxa"/>
            <w:vAlign w:val="bottom"/>
            <w:gridSpan w:val="3"/>
          </w:tcPr>
          <w:p>
            <w:pPr>
              <w:spacing w:after="0"/>
              <w:rPr>
                <w:sz w:val="20"/>
                <w:szCs w:val="20"/>
                <w:color w:val="auto"/>
              </w:rPr>
            </w:pPr>
            <w:r>
              <w:rPr>
                <w:rFonts w:ascii="Arial" w:cs="Arial" w:eastAsia="Arial" w:hAnsi="Arial"/>
                <w:sz w:val="17"/>
                <w:szCs w:val="17"/>
                <w:color w:val="auto"/>
              </w:rPr>
              <w:t>Executive Chairman and Director</w:t>
            </w:r>
          </w:p>
        </w:tc>
        <w:tc>
          <w:tcPr>
            <w:tcW w:w="1700" w:type="dxa"/>
            <w:vAlign w:val="bottom"/>
            <w:gridSpan w:val="3"/>
          </w:tcPr>
          <w:p>
            <w:pPr>
              <w:jc w:val="center"/>
              <w:ind w:left="393"/>
              <w:spacing w:after="0"/>
              <w:rPr>
                <w:sz w:val="20"/>
                <w:szCs w:val="20"/>
                <w:color w:val="auto"/>
              </w:rPr>
            </w:pPr>
            <w:r>
              <w:rPr>
                <w:rFonts w:ascii="Arial" w:cs="Arial" w:eastAsia="Arial" w:hAnsi="Arial"/>
                <w:sz w:val="17"/>
                <w:szCs w:val="17"/>
                <w:color w:val="auto"/>
              </w:rPr>
              <w:t>March 25, 2019</w:t>
            </w:r>
          </w:p>
        </w:tc>
      </w:tr>
      <w:tr>
        <w:trPr>
          <w:trHeight w:val="629"/>
        </w:trPr>
        <w:tc>
          <w:tcPr>
            <w:tcW w:w="4100" w:type="dxa"/>
            <w:vAlign w:val="bottom"/>
            <w:gridSpan w:val="3"/>
          </w:tcPr>
          <w:p>
            <w:pPr>
              <w:spacing w:after="0"/>
              <w:rPr>
                <w:sz w:val="20"/>
                <w:szCs w:val="20"/>
                <w:color w:val="auto"/>
              </w:rPr>
            </w:pPr>
            <w:r>
              <w:rPr>
                <w:rFonts w:ascii="Arial" w:cs="Arial" w:eastAsia="Arial" w:hAnsi="Arial"/>
                <w:sz w:val="17"/>
                <w:szCs w:val="17"/>
                <w:color w:val="auto"/>
              </w:rPr>
              <w:t>Chief Scientific Officer and Director</w:t>
            </w:r>
          </w:p>
        </w:tc>
        <w:tc>
          <w:tcPr>
            <w:tcW w:w="1700" w:type="dxa"/>
            <w:vAlign w:val="bottom"/>
            <w:gridSpan w:val="3"/>
          </w:tcPr>
          <w:p>
            <w:pPr>
              <w:jc w:val="center"/>
              <w:ind w:left="393"/>
              <w:spacing w:after="0"/>
              <w:rPr>
                <w:sz w:val="20"/>
                <w:szCs w:val="20"/>
                <w:color w:val="auto"/>
              </w:rPr>
            </w:pPr>
            <w:r>
              <w:rPr>
                <w:rFonts w:ascii="Arial" w:cs="Arial" w:eastAsia="Arial" w:hAnsi="Arial"/>
                <w:sz w:val="17"/>
                <w:szCs w:val="17"/>
                <w:color w:val="auto"/>
              </w:rPr>
              <w:t>March 25, 2019</w:t>
            </w:r>
          </w:p>
        </w:tc>
      </w:tr>
      <w:tr>
        <w:trPr>
          <w:trHeight w:val="629"/>
        </w:trPr>
        <w:tc>
          <w:tcPr>
            <w:tcW w:w="410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700" w:type="dxa"/>
            <w:vAlign w:val="bottom"/>
            <w:gridSpan w:val="3"/>
          </w:tcPr>
          <w:p>
            <w:pPr>
              <w:jc w:val="center"/>
              <w:ind w:left="393"/>
              <w:spacing w:after="0"/>
              <w:rPr>
                <w:sz w:val="20"/>
                <w:szCs w:val="20"/>
                <w:color w:val="auto"/>
              </w:rPr>
            </w:pPr>
            <w:r>
              <w:rPr>
                <w:rFonts w:ascii="Arial" w:cs="Arial" w:eastAsia="Arial" w:hAnsi="Arial"/>
                <w:sz w:val="17"/>
                <w:szCs w:val="17"/>
                <w:color w:val="auto"/>
              </w:rPr>
              <w:t>March 25, 2019</w:t>
            </w:r>
          </w:p>
        </w:tc>
      </w:tr>
      <w:tr>
        <w:trPr>
          <w:trHeight w:val="629"/>
        </w:trPr>
        <w:tc>
          <w:tcPr>
            <w:tcW w:w="410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700" w:type="dxa"/>
            <w:vAlign w:val="bottom"/>
            <w:gridSpan w:val="3"/>
          </w:tcPr>
          <w:p>
            <w:pPr>
              <w:jc w:val="center"/>
              <w:ind w:left="393"/>
              <w:spacing w:after="0"/>
              <w:rPr>
                <w:sz w:val="20"/>
                <w:szCs w:val="20"/>
                <w:color w:val="auto"/>
              </w:rPr>
            </w:pPr>
            <w:r>
              <w:rPr>
                <w:rFonts w:ascii="Arial" w:cs="Arial" w:eastAsia="Arial" w:hAnsi="Arial"/>
                <w:sz w:val="17"/>
                <w:szCs w:val="17"/>
                <w:color w:val="auto"/>
              </w:rPr>
              <w:t>March 25, 2019</w:t>
            </w:r>
          </w:p>
        </w:tc>
      </w:tr>
      <w:tr>
        <w:trPr>
          <w:trHeight w:val="629"/>
        </w:trPr>
        <w:tc>
          <w:tcPr>
            <w:tcW w:w="410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700" w:type="dxa"/>
            <w:vAlign w:val="bottom"/>
            <w:gridSpan w:val="3"/>
          </w:tcPr>
          <w:p>
            <w:pPr>
              <w:jc w:val="center"/>
              <w:ind w:left="393"/>
              <w:spacing w:after="0"/>
              <w:rPr>
                <w:sz w:val="20"/>
                <w:szCs w:val="20"/>
                <w:color w:val="auto"/>
              </w:rPr>
            </w:pPr>
            <w:r>
              <w:rPr>
                <w:rFonts w:ascii="Arial" w:cs="Arial" w:eastAsia="Arial" w:hAnsi="Arial"/>
                <w:sz w:val="17"/>
                <w:szCs w:val="17"/>
                <w:color w:val="auto"/>
              </w:rPr>
              <w:t>March 25, 2019</w:t>
            </w:r>
          </w:p>
        </w:tc>
      </w:tr>
      <w:tr>
        <w:trPr>
          <w:trHeight w:val="563"/>
        </w:trPr>
        <w:tc>
          <w:tcPr>
            <w:tcW w:w="4100" w:type="dxa"/>
            <w:vAlign w:val="bottom"/>
            <w:gridSpan w:val="3"/>
          </w:tcPr>
          <w:p>
            <w:pPr>
              <w:ind w:left="900"/>
              <w:spacing w:after="0"/>
              <w:rPr>
                <w:sz w:val="20"/>
                <w:szCs w:val="20"/>
                <w:color w:val="auto"/>
              </w:rPr>
            </w:pPr>
            <w:r>
              <w:rPr>
                <w:rFonts w:ascii="Arial" w:cs="Arial" w:eastAsia="Arial" w:hAnsi="Arial"/>
                <w:sz w:val="17"/>
                <w:szCs w:val="17"/>
                <w:color w:val="auto"/>
              </w:rPr>
              <w:t>II-6</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2">
            <w:col w:w="3960" w:space="720"/>
            <w:col w:w="6380"/>
          </w:cols>
          <w:pgMar w:left="240" w:top="449" w:right="599" w:bottom="1440" w:gutter="0" w:footer="0" w:header="0"/>
          <w:type w:val="continuous"/>
        </w:sectPr>
      </w:pPr>
    </w:p>
    <w:bookmarkStart w:id="257" w:name="page258"/>
    <w:bookmarkEnd w:id="2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tbl>
      <w:tblPr>
        <w:tblLayout w:type="fixed"/>
        <w:tblInd w:w="380" w:type="dxa"/>
        <w:tblCellMar>
          <w:top w:w="0" w:type="dxa"/>
          <w:left w:w="0" w:type="dxa"/>
          <w:bottom w:w="0" w:type="dxa"/>
          <w:right w:w="0" w:type="dxa"/>
        </w:tblCellMar>
      </w:tblPr>
      <w:tr>
        <w:trPr>
          <w:trHeight w:val="169"/>
        </w:trPr>
        <w:tc>
          <w:tcPr>
            <w:tcW w:w="560" w:type="dxa"/>
            <w:vAlign w:val="bottom"/>
          </w:tcPr>
          <w:p>
            <w:pPr>
              <w:spacing w:after="0"/>
              <w:rPr>
                <w:sz w:val="14"/>
                <w:szCs w:val="14"/>
                <w:color w:val="auto"/>
              </w:rPr>
            </w:pPr>
          </w:p>
        </w:tc>
        <w:tc>
          <w:tcPr>
            <w:tcW w:w="36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9"/>
              </w:rPr>
              <w:t>Signature</w:t>
            </w:r>
          </w:p>
        </w:tc>
        <w:tc>
          <w:tcPr>
            <w:tcW w:w="60" w:type="dxa"/>
            <w:vAlign w:val="bottom"/>
          </w:tcPr>
          <w:p>
            <w:pPr>
              <w:spacing w:after="0"/>
              <w:rPr>
                <w:sz w:val="14"/>
                <w:szCs w:val="14"/>
                <w:color w:val="auto"/>
              </w:rPr>
            </w:pPr>
          </w:p>
        </w:tc>
        <w:tc>
          <w:tcPr>
            <w:tcW w:w="2080" w:type="dxa"/>
            <w:vAlign w:val="bottom"/>
            <w:gridSpan w:val="2"/>
          </w:tcPr>
          <w:p>
            <w:pPr>
              <w:ind w:left="1780"/>
              <w:spacing w:after="0"/>
              <w:rPr>
                <w:sz w:val="20"/>
                <w:szCs w:val="20"/>
                <w:color w:val="auto"/>
              </w:rPr>
            </w:pPr>
            <w:r>
              <w:rPr>
                <w:rFonts w:ascii="Arial" w:cs="Arial" w:eastAsia="Arial" w:hAnsi="Arial"/>
                <w:sz w:val="14"/>
                <w:szCs w:val="14"/>
                <w:b w:val="1"/>
                <w:bCs w:val="1"/>
                <w:color w:val="auto"/>
                <w:w w:val="97"/>
              </w:rPr>
              <w:t>Title</w:t>
            </w:r>
          </w:p>
        </w:tc>
        <w:tc>
          <w:tcPr>
            <w:tcW w:w="2980" w:type="dxa"/>
            <w:vAlign w:val="bottom"/>
          </w:tcPr>
          <w:p>
            <w:pPr>
              <w:spacing w:after="0"/>
              <w:rPr>
                <w:sz w:val="14"/>
                <w:szCs w:val="14"/>
                <w:color w:val="auto"/>
              </w:rPr>
            </w:pPr>
          </w:p>
        </w:tc>
        <w:tc>
          <w:tcPr>
            <w:tcW w:w="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99"/>
        </w:trPr>
        <w:tc>
          <w:tcPr>
            <w:tcW w:w="1780" w:type="dxa"/>
            <w:vAlign w:val="bottom"/>
            <w:tcBorders>
              <w:bottom w:val="single" w:sz="8" w:color="auto"/>
            </w:tcBorders>
            <w:gridSpan w:val="2"/>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w:t>
            </w:r>
          </w:p>
        </w:tc>
        <w:tc>
          <w:tcPr>
            <w:tcW w:w="1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Pr>
          <w:p>
            <w:pPr>
              <w:ind w:left="40"/>
              <w:spacing w:after="0"/>
              <w:rPr>
                <w:sz w:val="20"/>
                <w:szCs w:val="20"/>
                <w:color w:val="auto"/>
              </w:rPr>
            </w:pPr>
            <w:r>
              <w:rPr>
                <w:rFonts w:ascii="Arial" w:cs="Arial" w:eastAsia="Arial" w:hAnsi="Arial"/>
                <w:sz w:val="17"/>
                <w:szCs w:val="17"/>
                <w:color w:val="auto"/>
              </w:rPr>
              <w:t>Director</w:t>
            </w:r>
          </w:p>
        </w:tc>
        <w:tc>
          <w:tcPr>
            <w:tcW w:w="280" w:type="dxa"/>
            <w:vAlign w:val="bottom"/>
          </w:tcPr>
          <w:p>
            <w:pPr>
              <w:spacing w:after="0"/>
              <w:rPr>
                <w:sz w:val="24"/>
                <w:szCs w:val="24"/>
                <w:color w:val="auto"/>
              </w:rPr>
            </w:pPr>
          </w:p>
        </w:tc>
        <w:tc>
          <w:tcPr>
            <w:tcW w:w="3760" w:type="dxa"/>
            <w:vAlign w:val="bottom"/>
            <w:gridSpan w:val="3"/>
          </w:tcPr>
          <w:p>
            <w:pPr>
              <w:jc w:val="center"/>
              <w:ind w:left="2453"/>
              <w:spacing w:after="0"/>
              <w:rPr>
                <w:sz w:val="20"/>
                <w:szCs w:val="20"/>
                <w:color w:val="auto"/>
              </w:rPr>
            </w:pPr>
            <w:r>
              <w:rPr>
                <w:rFonts w:ascii="Arial" w:cs="Arial" w:eastAsia="Arial" w:hAnsi="Arial"/>
                <w:sz w:val="17"/>
                <w:szCs w:val="17"/>
                <w:color w:val="auto"/>
              </w:rPr>
              <w:t>March 25, 2019</w:t>
            </w:r>
          </w:p>
        </w:tc>
      </w:tr>
      <w:tr>
        <w:trPr>
          <w:trHeight w:val="203"/>
        </w:trPr>
        <w:tc>
          <w:tcPr>
            <w:tcW w:w="560" w:type="dxa"/>
            <w:vAlign w:val="bottom"/>
          </w:tcPr>
          <w:p>
            <w:pPr>
              <w:spacing w:after="0"/>
              <w:rPr>
                <w:sz w:val="17"/>
                <w:szCs w:val="17"/>
                <w:color w:val="auto"/>
              </w:rPr>
            </w:pPr>
          </w:p>
        </w:tc>
        <w:tc>
          <w:tcPr>
            <w:tcW w:w="3640" w:type="dxa"/>
            <w:vAlign w:val="bottom"/>
            <w:gridSpan w:val="3"/>
          </w:tcPr>
          <w:p>
            <w:pPr>
              <w:jc w:val="center"/>
              <w:ind w:right="580"/>
              <w:spacing w:after="0"/>
              <w:rPr>
                <w:sz w:val="20"/>
                <w:szCs w:val="20"/>
                <w:color w:val="auto"/>
              </w:rPr>
            </w:pPr>
            <w:r>
              <w:rPr>
                <w:rFonts w:ascii="Arial" w:cs="Arial" w:eastAsia="Arial" w:hAnsi="Arial"/>
                <w:sz w:val="17"/>
                <w:szCs w:val="17"/>
                <w:color w:val="auto"/>
              </w:rPr>
              <w:t>David Schnell, M.D.</w:t>
            </w:r>
          </w:p>
        </w:tc>
        <w:tc>
          <w:tcPr>
            <w:tcW w:w="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05"/>
        </w:trPr>
        <w:tc>
          <w:tcPr>
            <w:tcW w:w="2420" w:type="dxa"/>
            <w:vAlign w:val="bottom"/>
            <w:tcBorders>
              <w:bottom w:val="single" w:sz="8" w:color="auto"/>
            </w:tcBorders>
            <w:gridSpan w:val="3"/>
          </w:tcPr>
          <w:p>
            <w:pPr>
              <w:jc w:val="center"/>
              <w:ind w:left="1673"/>
              <w:spacing w:after="0"/>
              <w:rPr>
                <w:sz w:val="20"/>
                <w:szCs w:val="20"/>
                <w:color w:val="auto"/>
              </w:rPr>
            </w:pPr>
            <w:r>
              <w:rPr>
                <w:rFonts w:ascii="Arial" w:cs="Arial" w:eastAsia="Arial" w:hAnsi="Arial"/>
                <w:sz w:val="17"/>
                <w:szCs w:val="17"/>
                <w:color w:val="auto"/>
                <w:w w:val="89"/>
              </w:rPr>
              <w:t>*</w:t>
            </w:r>
          </w:p>
        </w:tc>
        <w:tc>
          <w:tcPr>
            <w:tcW w:w="1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2"/>
          </w:tcPr>
          <w:p>
            <w:pPr>
              <w:ind w:left="40"/>
              <w:spacing w:after="0"/>
              <w:rPr>
                <w:sz w:val="20"/>
                <w:szCs w:val="20"/>
                <w:color w:val="auto"/>
              </w:rPr>
            </w:pPr>
            <w:r>
              <w:rPr>
                <w:rFonts w:ascii="Arial" w:cs="Arial" w:eastAsia="Arial" w:hAnsi="Arial"/>
                <w:sz w:val="17"/>
                <w:szCs w:val="17"/>
                <w:color w:val="auto"/>
              </w:rPr>
              <w:t>Director</w:t>
            </w:r>
          </w:p>
        </w:tc>
        <w:tc>
          <w:tcPr>
            <w:tcW w:w="3760" w:type="dxa"/>
            <w:vAlign w:val="bottom"/>
            <w:gridSpan w:val="3"/>
          </w:tcPr>
          <w:p>
            <w:pPr>
              <w:jc w:val="center"/>
              <w:ind w:left="2453"/>
              <w:spacing w:after="0"/>
              <w:rPr>
                <w:sz w:val="20"/>
                <w:szCs w:val="20"/>
                <w:color w:val="auto"/>
              </w:rPr>
            </w:pPr>
            <w:r>
              <w:rPr>
                <w:rFonts w:ascii="Arial" w:cs="Arial" w:eastAsia="Arial" w:hAnsi="Arial"/>
                <w:sz w:val="17"/>
                <w:szCs w:val="17"/>
                <w:color w:val="auto"/>
              </w:rPr>
              <w:t>March 25, 2019</w:t>
            </w:r>
          </w:p>
        </w:tc>
      </w:tr>
      <w:tr>
        <w:trPr>
          <w:trHeight w:val="203"/>
        </w:trPr>
        <w:tc>
          <w:tcPr>
            <w:tcW w:w="560" w:type="dxa"/>
            <w:vAlign w:val="bottom"/>
          </w:tcPr>
          <w:p>
            <w:pPr>
              <w:spacing w:after="0"/>
              <w:rPr>
                <w:sz w:val="17"/>
                <w:szCs w:val="17"/>
                <w:color w:val="auto"/>
              </w:rPr>
            </w:pPr>
          </w:p>
        </w:tc>
        <w:tc>
          <w:tcPr>
            <w:tcW w:w="3640" w:type="dxa"/>
            <w:vAlign w:val="bottom"/>
            <w:gridSpan w:val="3"/>
          </w:tcPr>
          <w:p>
            <w:pPr>
              <w:jc w:val="center"/>
              <w:ind w:right="560"/>
              <w:spacing w:after="0"/>
              <w:rPr>
                <w:sz w:val="20"/>
                <w:szCs w:val="20"/>
                <w:color w:val="auto"/>
              </w:rPr>
            </w:pPr>
            <w:r>
              <w:rPr>
                <w:rFonts w:ascii="Arial" w:cs="Arial" w:eastAsia="Arial" w:hAnsi="Arial"/>
                <w:sz w:val="17"/>
                <w:szCs w:val="17"/>
                <w:color w:val="auto"/>
              </w:rPr>
              <w:t>Peter Svennilson</w:t>
            </w:r>
          </w:p>
        </w:tc>
        <w:tc>
          <w:tcPr>
            <w:tcW w:w="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05"/>
        </w:trPr>
        <w:tc>
          <w:tcPr>
            <w:tcW w:w="2420" w:type="dxa"/>
            <w:vAlign w:val="bottom"/>
            <w:tcBorders>
              <w:bottom w:val="single" w:sz="8" w:color="auto"/>
            </w:tcBorders>
            <w:gridSpan w:val="3"/>
          </w:tcPr>
          <w:p>
            <w:pPr>
              <w:jc w:val="center"/>
              <w:ind w:left="1673"/>
              <w:spacing w:after="0"/>
              <w:rPr>
                <w:sz w:val="20"/>
                <w:szCs w:val="20"/>
                <w:color w:val="auto"/>
              </w:rPr>
            </w:pPr>
            <w:r>
              <w:rPr>
                <w:rFonts w:ascii="Arial" w:cs="Arial" w:eastAsia="Arial" w:hAnsi="Arial"/>
                <w:sz w:val="17"/>
                <w:szCs w:val="17"/>
                <w:color w:val="auto"/>
                <w:w w:val="89"/>
              </w:rPr>
              <w:t>*</w:t>
            </w:r>
          </w:p>
        </w:tc>
        <w:tc>
          <w:tcPr>
            <w:tcW w:w="1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2"/>
          </w:tcPr>
          <w:p>
            <w:pPr>
              <w:ind w:left="40"/>
              <w:spacing w:after="0"/>
              <w:rPr>
                <w:sz w:val="20"/>
                <w:szCs w:val="20"/>
                <w:color w:val="auto"/>
              </w:rPr>
            </w:pPr>
            <w:r>
              <w:rPr>
                <w:rFonts w:ascii="Arial" w:cs="Arial" w:eastAsia="Arial" w:hAnsi="Arial"/>
                <w:sz w:val="17"/>
                <w:szCs w:val="17"/>
                <w:color w:val="auto"/>
              </w:rPr>
              <w:t>Director</w:t>
            </w:r>
          </w:p>
        </w:tc>
        <w:tc>
          <w:tcPr>
            <w:tcW w:w="3760" w:type="dxa"/>
            <w:vAlign w:val="bottom"/>
            <w:gridSpan w:val="3"/>
          </w:tcPr>
          <w:p>
            <w:pPr>
              <w:jc w:val="center"/>
              <w:ind w:left="2453"/>
              <w:spacing w:after="0"/>
              <w:rPr>
                <w:sz w:val="20"/>
                <w:szCs w:val="20"/>
                <w:color w:val="auto"/>
              </w:rPr>
            </w:pPr>
            <w:r>
              <w:rPr>
                <w:rFonts w:ascii="Arial" w:cs="Arial" w:eastAsia="Arial" w:hAnsi="Arial"/>
                <w:sz w:val="17"/>
                <w:szCs w:val="17"/>
                <w:color w:val="auto"/>
              </w:rPr>
              <w:t>March 25, 2019</w:t>
            </w:r>
          </w:p>
        </w:tc>
      </w:tr>
      <w:tr>
        <w:trPr>
          <w:trHeight w:val="203"/>
        </w:trPr>
        <w:tc>
          <w:tcPr>
            <w:tcW w:w="560" w:type="dxa"/>
            <w:vAlign w:val="bottom"/>
          </w:tcPr>
          <w:p>
            <w:pPr>
              <w:spacing w:after="0"/>
              <w:rPr>
                <w:sz w:val="17"/>
                <w:szCs w:val="17"/>
                <w:color w:val="auto"/>
              </w:rPr>
            </w:pPr>
          </w:p>
        </w:tc>
        <w:tc>
          <w:tcPr>
            <w:tcW w:w="3640" w:type="dxa"/>
            <w:vAlign w:val="bottom"/>
            <w:gridSpan w:val="3"/>
          </w:tcPr>
          <w:p>
            <w:pPr>
              <w:jc w:val="center"/>
              <w:ind w:right="560"/>
              <w:spacing w:after="0"/>
              <w:rPr>
                <w:sz w:val="20"/>
                <w:szCs w:val="20"/>
                <w:color w:val="auto"/>
              </w:rPr>
            </w:pPr>
            <w:r>
              <w:rPr>
                <w:rFonts w:ascii="Arial" w:cs="Arial" w:eastAsia="Arial" w:hAnsi="Arial"/>
                <w:sz w:val="17"/>
                <w:szCs w:val="17"/>
                <w:color w:val="auto"/>
              </w:rPr>
              <w:t>McHenry T. Tichenor, Jr.</w:t>
            </w:r>
          </w:p>
        </w:tc>
        <w:tc>
          <w:tcPr>
            <w:tcW w:w="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32"/>
        </w:trPr>
        <w:tc>
          <w:tcPr>
            <w:tcW w:w="4200" w:type="dxa"/>
            <w:vAlign w:val="bottom"/>
            <w:gridSpan w:val="4"/>
          </w:tcPr>
          <w:p>
            <w:pPr>
              <w:spacing w:after="0"/>
              <w:rPr>
                <w:sz w:val="20"/>
                <w:szCs w:val="20"/>
                <w:color w:val="auto"/>
              </w:rPr>
            </w:pPr>
            <w:r>
              <w:rPr>
                <w:rFonts w:ascii="Arial" w:cs="Arial" w:eastAsia="Arial" w:hAnsi="Arial"/>
                <w:sz w:val="17"/>
                <w:szCs w:val="17"/>
                <w:color w:val="auto"/>
              </w:rPr>
              <w:t>* By:  /s/ David J. Woodhouse</w:t>
            </w:r>
          </w:p>
        </w:tc>
        <w:tc>
          <w:tcPr>
            <w:tcW w:w="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2"/>
        </w:trPr>
        <w:tc>
          <w:tcPr>
            <w:tcW w:w="560" w:type="dxa"/>
            <w:vAlign w:val="bottom"/>
          </w:tcPr>
          <w:p>
            <w:pPr>
              <w:spacing w:after="0"/>
              <w:rPr>
                <w:sz w:val="17"/>
                <w:szCs w:val="17"/>
                <w:color w:val="auto"/>
              </w:rPr>
            </w:pPr>
          </w:p>
        </w:tc>
        <w:tc>
          <w:tcPr>
            <w:tcW w:w="3640" w:type="dxa"/>
            <w:vAlign w:val="bottom"/>
            <w:tcBorders>
              <w:top w:val="single" w:sz="8" w:color="auto"/>
            </w:tcBorders>
            <w:gridSpan w:val="3"/>
          </w:tcPr>
          <w:p>
            <w:pPr>
              <w:ind w:left="220"/>
              <w:spacing w:after="0"/>
              <w:rPr>
                <w:sz w:val="20"/>
                <w:szCs w:val="20"/>
                <w:color w:val="auto"/>
              </w:rPr>
            </w:pPr>
            <w:r>
              <w:rPr>
                <w:rFonts w:ascii="Arial" w:cs="Arial" w:eastAsia="Arial" w:hAnsi="Arial"/>
                <w:sz w:val="17"/>
                <w:szCs w:val="17"/>
                <w:color w:val="auto"/>
              </w:rPr>
              <w:t>David J. Woodhouse, Ph.D.</w:t>
            </w:r>
          </w:p>
        </w:tc>
        <w:tc>
          <w:tcPr>
            <w:tcW w:w="60" w:type="dxa"/>
            <w:vAlign w:val="bottom"/>
            <w:tcBorders>
              <w:top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10"/>
        </w:trPr>
        <w:tc>
          <w:tcPr>
            <w:tcW w:w="560" w:type="dxa"/>
            <w:vAlign w:val="bottom"/>
          </w:tcPr>
          <w:p>
            <w:pPr>
              <w:spacing w:after="0"/>
              <w:rPr>
                <w:sz w:val="18"/>
                <w:szCs w:val="18"/>
                <w:color w:val="auto"/>
              </w:rPr>
            </w:pPr>
          </w:p>
        </w:tc>
        <w:tc>
          <w:tcPr>
            <w:tcW w:w="3640" w:type="dxa"/>
            <w:vAlign w:val="bottom"/>
            <w:gridSpan w:val="3"/>
          </w:tcPr>
          <w:p>
            <w:pPr>
              <w:ind w:left="220"/>
              <w:spacing w:after="0"/>
              <w:rPr>
                <w:sz w:val="20"/>
                <w:szCs w:val="20"/>
                <w:color w:val="auto"/>
              </w:rPr>
            </w:pPr>
            <w:r>
              <w:rPr>
                <w:rFonts w:ascii="Arial" w:cs="Arial" w:eastAsia="Arial" w:hAnsi="Arial"/>
                <w:sz w:val="17"/>
                <w:szCs w:val="17"/>
                <w:color w:val="auto"/>
              </w:rPr>
              <w:t>Attorney-in-Fact</w:t>
            </w:r>
          </w:p>
        </w:tc>
        <w:tc>
          <w:tcPr>
            <w:tcW w:w="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354"/>
        </w:trPr>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2"/>
          </w:tcPr>
          <w:p>
            <w:pPr>
              <w:ind w:left="940"/>
              <w:spacing w:after="0"/>
              <w:rPr>
                <w:sz w:val="20"/>
                <w:szCs w:val="20"/>
                <w:color w:val="auto"/>
              </w:rPr>
            </w:pPr>
            <w:r>
              <w:rPr>
                <w:rFonts w:ascii="Arial" w:cs="Arial" w:eastAsia="Arial" w:hAnsi="Arial"/>
                <w:sz w:val="17"/>
                <w:szCs w:val="17"/>
                <w:color w:val="auto"/>
              </w:rPr>
              <w:t>II-7</w:t>
            </w:r>
          </w:p>
        </w:tc>
        <w:tc>
          <w:tcPr>
            <w:tcW w:w="2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0480"/>
          </w:cols>
          <w:pgMar w:left="240" w:top="449" w:right="1179" w:bottom="1440" w:gutter="0" w:footer="0" w:header="0"/>
        </w:sectPr>
      </w:pPr>
    </w:p>
    <w:bookmarkStart w:id="258" w:name="page259"/>
    <w:bookmarkEnd w:id="258"/>
    <w:p>
      <w:pPr>
        <w:jc w:val="right"/>
        <w:spacing w:after="0"/>
        <w:rPr>
          <w:sz w:val="20"/>
          <w:szCs w:val="20"/>
          <w:color w:val="auto"/>
        </w:rPr>
      </w:pPr>
      <w:r>
        <w:rPr>
          <w:rFonts w:ascii="Arial" w:cs="Arial" w:eastAsia="Arial" w:hAnsi="Arial"/>
          <w:sz w:val="17"/>
          <w:szCs w:val="17"/>
          <w:b w:val="1"/>
          <w:bCs w:val="1"/>
          <w:color w:val="auto"/>
        </w:rPr>
        <w:t>Exhibit 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NGM Biopharmaceuticals,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236855</wp:posOffset>
            </wp:positionV>
            <wp:extent cx="152971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2">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Underwriting Agreement</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2019</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Goldman Sachs &amp; Co. LLC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Citigroup Global Markets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Cowen and Company, LLC</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representatives (the “Representatives”) of the several Underwriters named in Schedule I hereto,</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c/o Goldman Sachs &amp; Co. LLC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200 West Street,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10282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c/o Citigroup Global Markets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388 Greenwich Street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10013</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c/o Cowen and Company, LLC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599 Lexington Avenue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10022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119" w:lineRule="exact"/>
        <w:rPr>
          <w:sz w:val="20"/>
          <w:szCs w:val="20"/>
          <w:color w:val="auto"/>
        </w:rPr>
      </w:pPr>
    </w:p>
    <w:p>
      <w:pPr>
        <w:ind w:right="40" w:firstLine="457"/>
        <w:spacing w:after="0" w:line="289" w:lineRule="auto"/>
        <w:rPr>
          <w:sz w:val="20"/>
          <w:szCs w:val="20"/>
          <w:color w:val="auto"/>
        </w:rPr>
      </w:pPr>
      <w:r>
        <w:rPr>
          <w:rFonts w:ascii="Arial" w:cs="Arial" w:eastAsia="Arial" w:hAnsi="Arial"/>
          <w:sz w:val="16"/>
          <w:szCs w:val="16"/>
          <w:color w:val="auto"/>
        </w:rPr>
        <w:t>NGM Biopharmaceuticals, Inc., a Delaware corporation (the “Company”), proposes, subject to the terms and conditions stated in this agreement (this “Agreement”), to issue and sell to the Underwriters named in Schedule I hereto (the “Underwriters”) an aggregate of [•] shares (the “Firm Shares”) and, at the election of the Underwriters, up to [•] additional shares (the “Optional Shares”) of common stock, par value $0.001 per share (“Stock”), of the Company. The Firm Shares and the Optional Shares that the Underwriters elect to purchase pursuant to Section 2 hereof are herein collectively called the “Shares”.</w:t>
      </w:r>
    </w:p>
    <w:p>
      <w:pPr>
        <w:spacing w:after="0" w:line="161" w:lineRule="exact"/>
        <w:rPr>
          <w:sz w:val="20"/>
          <w:szCs w:val="20"/>
          <w:color w:val="auto"/>
        </w:rPr>
      </w:pPr>
    </w:p>
    <w:p>
      <w:pPr>
        <w:ind w:right="40" w:firstLine="457"/>
        <w:spacing w:after="0" w:line="289" w:lineRule="auto"/>
        <w:rPr>
          <w:sz w:val="20"/>
          <w:szCs w:val="20"/>
          <w:color w:val="auto"/>
        </w:rPr>
      </w:pPr>
      <w:r>
        <w:rPr>
          <w:rFonts w:ascii="Arial" w:cs="Arial" w:eastAsia="Arial" w:hAnsi="Arial"/>
          <w:sz w:val="16"/>
          <w:szCs w:val="16"/>
          <w:color w:val="auto"/>
        </w:rPr>
        <w:t>The Company hereby acknowledges that, in connection with the proposed offering of the Shares, it has requested Citigroup Global Markets Inc. (the “DSP Agent”) to administer a directed share program under which up to [•] of the Shares to be purchased by the Underwriters under this Agreement shall be reserved for sale by the DSP Agent at the initial public offering price to employees, officers and directors of the Company and friends and family thereof and other persons associated with or selected by the Company (collectively, “Participants”), as set forth in the Pricing Prospectus (as defined below) in the</w:t>
      </w:r>
    </w:p>
    <w:p>
      <w:pPr>
        <w:sectPr>
          <w:pgSz w:w="11900" w:h="16838" w:orient="portrait"/>
          <w:cols w:equalWidth="0" w:num="1">
            <w:col w:w="11420"/>
          </w:cols>
          <w:pgMar w:left="240" w:top="121" w:right="239" w:bottom="1440" w:gutter="0" w:footer="0" w:header="0"/>
        </w:sectPr>
      </w:pPr>
    </w:p>
    <w:bookmarkStart w:id="259" w:name="page260"/>
    <w:bookmarkEnd w:id="259"/>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sixth full paragraph under the heading “Underwriting” (the “Directed Share Program”). It is understood that any number of those designated to participate in the Directed Share Program may decline to do so. The Shares to be sold by the DSP Agent or its affiliates pursuant to the Directed Share Program are referred to hereinafter as the “Directed Shares.” Any Directed Shares not confirmed for purchase by any Participants by [7:30] a.m., New York City time, on the business day following the date on which this Agreement is executed will be offered to the public by the Underwriters as set forth in the Prospectus (as defined below).</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 The Company represents and warrants to, and agrees with, each of the Underwriters that:</w:t>
      </w:r>
    </w:p>
    <w:p>
      <w:pPr>
        <w:spacing w:after="0" w:line="119" w:lineRule="exact"/>
        <w:rPr>
          <w:sz w:val="20"/>
          <w:szCs w:val="20"/>
          <w:color w:val="auto"/>
        </w:rPr>
      </w:pPr>
    </w:p>
    <w:p>
      <w:pPr>
        <w:ind w:firstLine="461"/>
        <w:spacing w:after="0" w:line="276" w:lineRule="auto"/>
        <w:tabs>
          <w:tab w:leader="none" w:pos="694"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 registration statement on Form S-1 (File No. 333-227608) (the “Initial Registration Statement”) in respect of the Shares has been filed with the Securities and Exchange Commission (the “Commission”); the Initial Registration Statement and any post-effective amendment thereto, each in the form heretofore delivered to you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has been filed with the Commission; and no stop order suspending the effectiveness of the Initial Registration Statement, any post-effective amendment thereto or the Rule 462(b) Registration Statement, if any, has been issued and no proceeding for that purpose has been initiated or, to the Company’s knowledge, threatened by the Commission (any preliminary prospectus included in the Initial Registration Statement or filed with the Commission pursuant to Rule 424(a) of the rules and regulations of the Commission 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Shares that was included in the Registration Statement immediately prior to the Applicable Time (as defined in Section 1(c) hereof) is hereinafter called the “Pricing Prospectus”; such final prospectus, in the form first filed pursuant to Rule 424(b) under the Act, is hereinafter called the “Prospectus”; any “issuer free writing prospectus” as defined in Rule 433 under the Act relating to the Shares is hereinafter called an “Issuer Free Writing Prospectus”); any oral or written communication with potential investors undertaken in reliance on Section 5(d) of the Act is hereinafter called a “Section 5(d) Communication”; and any Section 5(d) Communication that is a written communication within the meaning of Rule 405 under the Act is hereinafter called a “Section 5(d) Writing”;</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40" w:top="271" w:right="279" w:bottom="1440" w:gutter="0" w:footer="0" w:header="0"/>
        </w:sectPr>
      </w:pPr>
    </w:p>
    <w:bookmarkStart w:id="260" w:name="page261"/>
    <w:bookmarkEnd w:id="260"/>
    <w:p>
      <w:pPr>
        <w:ind w:left="-40" w:right="20" w:firstLine="461"/>
        <w:spacing w:after="0" w:line="263" w:lineRule="auto"/>
        <w:tabs>
          <w:tab w:leader="none" w:pos="664" w:val="left"/>
        </w:tabs>
        <w:numPr>
          <w:ilvl w:val="0"/>
          <w:numId w:val="1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(A) No order preventing or suspending the use of any Preliminary Prospectus or any Issuer Free Writing Prospectus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representation and warranty shall not apply to any statements or omissions made in reliance upon and in conformity with the Underwriter Information (as defined in Section 9(b) of this Agreement);</w:t>
      </w:r>
    </w:p>
    <w:p>
      <w:pPr>
        <w:spacing w:after="0" w:line="76" w:lineRule="exact"/>
        <w:rPr>
          <w:rFonts w:ascii="Arial" w:cs="Arial" w:eastAsia="Arial" w:hAnsi="Arial"/>
          <w:sz w:val="17"/>
          <w:szCs w:val="17"/>
          <w:color w:val="auto"/>
        </w:rPr>
      </w:pPr>
    </w:p>
    <w:p>
      <w:pPr>
        <w:ind w:left="-40" w:firstLine="461"/>
        <w:spacing w:after="0" w:line="260" w:lineRule="auto"/>
        <w:tabs>
          <w:tab w:leader="none" w:pos="654" w:val="left"/>
        </w:tabs>
        <w:numPr>
          <w:ilvl w:val="0"/>
          <w:numId w:val="114"/>
        </w:numPr>
        <w:rPr>
          <w:rFonts w:ascii="Arial" w:cs="Arial" w:eastAsia="Arial" w:hAnsi="Arial"/>
          <w:sz w:val="17"/>
          <w:szCs w:val="17"/>
          <w:color w:val="auto"/>
        </w:rPr>
      </w:pPr>
      <w:r>
        <w:rPr>
          <w:rFonts w:ascii="Arial" w:cs="Arial" w:eastAsia="Arial" w:hAnsi="Arial"/>
          <w:sz w:val="17"/>
          <w:szCs w:val="17"/>
          <w:color w:val="auto"/>
        </w:rPr>
        <w:t>For the purposes of this Agreement, the “Applicable Time” is [•] [a/p.m.] (Eastern time) on the date of this Agreement. The Pricing Prospectus, as supplemented by the information listed on Schedule II(c) hereto, taken together (collectively, the “Pricing Disclosure Package”), as of the Applicable Time, did not, and as of each Time of Delivery (as defined in Section 4(a) of this Agreement, will not, include any untrue statement of a material fact or omit to state any material fact necessary in order to make the statements therein, in the light of the circumstances under which they were made, not misleading; and each Issuer Free Writing Prospectus and each Section 5(d) Writing hereto does not conflict with the information contained in the Registration Statement, the Pricing Prospectus or the Prospectus and each such Issuer Free Writing Prospectus and Section 5(d) Writing, each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an Issuer Free Writing Prospectus or Section 5(d) Writing in reliance upon and in conformity with the Underwriter Information;</w:t>
      </w:r>
    </w:p>
    <w:p>
      <w:pPr>
        <w:spacing w:after="0" w:line="82" w:lineRule="exact"/>
        <w:rPr>
          <w:rFonts w:ascii="Arial" w:cs="Arial" w:eastAsia="Arial" w:hAnsi="Arial"/>
          <w:sz w:val="17"/>
          <w:szCs w:val="17"/>
          <w:color w:val="auto"/>
        </w:rPr>
      </w:pPr>
    </w:p>
    <w:p>
      <w:pPr>
        <w:ind w:left="-40" w:right="480" w:firstLine="461"/>
        <w:spacing w:after="0" w:line="289" w:lineRule="auto"/>
        <w:tabs>
          <w:tab w:leader="none" w:pos="664" w:val="left"/>
        </w:tabs>
        <w:numPr>
          <w:ilvl w:val="0"/>
          <w:numId w:val="114"/>
        </w:numPr>
        <w:rPr>
          <w:rFonts w:ascii="Arial" w:cs="Arial" w:eastAsia="Arial" w:hAnsi="Arial"/>
          <w:sz w:val="17"/>
          <w:szCs w:val="17"/>
          <w:color w:val="auto"/>
        </w:rPr>
      </w:pPr>
      <w:r>
        <w:rPr>
          <w:rFonts w:ascii="Arial" w:cs="Arial" w:eastAsia="Arial" w:hAnsi="Arial"/>
          <w:sz w:val="17"/>
          <w:szCs w:val="17"/>
          <w:color w:val="auto"/>
        </w:rPr>
        <w:t>No documents were filed with the Commission since the Commission’s close of business on the business day immediately prior to the date of this Agreement and prior to the execution of this Agreement, except as set forth on Schedule II(b) hereto;</w:t>
      </w:r>
    </w:p>
    <w:p>
      <w:pPr>
        <w:spacing w:after="0" w:line="53" w:lineRule="exact"/>
        <w:rPr>
          <w:rFonts w:ascii="Arial" w:cs="Arial" w:eastAsia="Arial" w:hAnsi="Arial"/>
          <w:sz w:val="17"/>
          <w:szCs w:val="17"/>
          <w:color w:val="auto"/>
        </w:rPr>
      </w:pPr>
    </w:p>
    <w:p>
      <w:pPr>
        <w:jc w:val="both"/>
        <w:ind w:left="-40" w:right="120" w:firstLine="461"/>
        <w:spacing w:after="0" w:line="297" w:lineRule="auto"/>
        <w:tabs>
          <w:tab w:leader="none" w:pos="654"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and any amendment thereto and as of the applicable filing date as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40"/>
          </w:cols>
          <w:pgMar w:left="280" w:top="272" w:right="279" w:bottom="1440" w:gutter="0" w:footer="0" w:header="0"/>
        </w:sectPr>
      </w:pPr>
    </w:p>
    <w:bookmarkStart w:id="261" w:name="page262"/>
    <w:bookmarkEnd w:id="261"/>
    <w:p>
      <w:pPr>
        <w:jc w:val="both"/>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Prospectus and any amendment or supplement thereto,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w:t>
      </w:r>
    </w:p>
    <w:p>
      <w:pPr>
        <w:spacing w:after="0" w:line="66" w:lineRule="exact"/>
        <w:rPr>
          <w:sz w:val="20"/>
          <w:szCs w:val="20"/>
          <w:color w:val="auto"/>
        </w:rPr>
      </w:pPr>
    </w:p>
    <w:p>
      <w:pPr>
        <w:jc w:val="both"/>
        <w:ind w:right="100" w:firstLine="461"/>
        <w:spacing w:after="0" w:line="299" w:lineRule="auto"/>
        <w:tabs>
          <w:tab w:leader="none" w:pos="675" w:val="left"/>
        </w:tabs>
        <w:numPr>
          <w:ilvl w:val="1"/>
          <w:numId w:val="115"/>
        </w:numPr>
        <w:rPr>
          <w:rFonts w:ascii="Arial" w:cs="Arial" w:eastAsia="Arial" w:hAnsi="Arial"/>
          <w:sz w:val="15"/>
          <w:szCs w:val="15"/>
          <w:color w:val="auto"/>
        </w:rPr>
      </w:pPr>
      <w:r>
        <w:rPr>
          <w:rFonts w:ascii="Arial" w:cs="Arial" w:eastAsia="Arial" w:hAnsi="Arial"/>
          <w:sz w:val="15"/>
          <w:szCs w:val="15"/>
          <w:color w:val="auto"/>
        </w:rPr>
        <w:t>From the time of the initial confidential submission of a registration statement relating to the Shares with the Commission (or, if earlier, the first date on which a Section 5(d) Communication was made) through the date hereof, the Company has been and is an “emerging growth company” as defined in Section 2(a)</w:t>
      </w:r>
    </w:p>
    <w:p>
      <w:pPr>
        <w:spacing w:after="0" w:line="1" w:lineRule="exact"/>
        <w:rPr>
          <w:rFonts w:ascii="Arial" w:cs="Arial" w:eastAsia="Arial" w:hAnsi="Arial"/>
          <w:sz w:val="15"/>
          <w:szCs w:val="15"/>
          <w:color w:val="auto"/>
        </w:rPr>
      </w:pPr>
    </w:p>
    <w:p>
      <w:pPr>
        <w:ind w:left="340" w:hanging="335"/>
        <w:spacing w:after="0"/>
        <w:tabs>
          <w:tab w:leader="none" w:pos="3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of the Act (an “Emerging Growth Company”);</w:t>
      </w:r>
    </w:p>
    <w:p>
      <w:pPr>
        <w:spacing w:after="0" w:line="106" w:lineRule="exact"/>
        <w:rPr>
          <w:rFonts w:ascii="Arial" w:cs="Arial" w:eastAsia="Arial" w:hAnsi="Arial"/>
          <w:sz w:val="17"/>
          <w:szCs w:val="17"/>
          <w:color w:val="auto"/>
        </w:rPr>
      </w:pPr>
    </w:p>
    <w:p>
      <w:pPr>
        <w:ind w:left="700" w:hanging="239"/>
        <w:spacing w:after="0"/>
        <w:tabs>
          <w:tab w:leader="none" w:pos="70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since the date of the latest audited financial statements included in the Pricing Prospectus,</w:t>
      </w:r>
    </w:p>
    <w:p>
      <w:pPr>
        <w:spacing w:after="0" w:line="38" w:lineRule="exact"/>
        <w:rPr>
          <w:sz w:val="20"/>
          <w:szCs w:val="20"/>
          <w:color w:val="auto"/>
        </w:rPr>
      </w:pPr>
    </w:p>
    <w:p>
      <w:pPr>
        <w:ind w:firstLine="5"/>
        <w:spacing w:after="0" w:line="291" w:lineRule="auto"/>
        <w:tabs>
          <w:tab w:leader="none" w:pos="208" w:val="left"/>
        </w:tabs>
        <w:numPr>
          <w:ilvl w:val="0"/>
          <w:numId w:val="117"/>
        </w:numPr>
        <w:rPr>
          <w:rFonts w:ascii="Arial" w:cs="Arial" w:eastAsia="Arial" w:hAnsi="Arial"/>
          <w:sz w:val="15"/>
          <w:szCs w:val="15"/>
          <w:color w:val="auto"/>
        </w:rPr>
      </w:pPr>
      <w:r>
        <w:rPr>
          <w:rFonts w:ascii="Arial" w:cs="Arial" w:eastAsia="Arial" w:hAnsi="Arial"/>
          <w:sz w:val="15"/>
          <w:szCs w:val="15"/>
          <w:color w:val="auto"/>
        </w:rPr>
        <w:t>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otherwise than as set forth or contemplated in the Pricing Prospectus; and, since the respective dates as of which information is given in the Registration Statement and the Pricing Prospectus, there has not been (x) any change in the capital stock (other than as a result of (i) the exercise, if any, of stock options or the award, if any, of stock options or restricted stock in the ordinary course of business pursuant to the Company’s equity plans that are described in the Pricing Prospectus and the Prospectus or filed as exhibits to the Registration Statement or (ii) the issuance, if any, of stock upon conversion of Company securities as described in the Pricing Prospectus and the Prospectus) or long term debt of the Company or any of its subsidiaries or (y) any Material Adverse Effect (as defined below); as used in this Agreement, “Material Adverse Effect” shall mean any material adverse change or effect, or any development involving a prospective material adverse change or effect, in or affecting (i) the business, properties, general affairs, management, financial position, stockholders’ equity or results of operations of the Company and its subsidiaries, taken as a whole, except as set forth or contemplated in the Pricing Prospectus, or</w:t>
      </w:r>
    </w:p>
    <w:p>
      <w:pPr>
        <w:spacing w:after="0" w:line="4" w:lineRule="exact"/>
        <w:rPr>
          <w:rFonts w:ascii="Arial" w:cs="Arial" w:eastAsia="Arial" w:hAnsi="Arial"/>
          <w:sz w:val="15"/>
          <w:szCs w:val="15"/>
          <w:color w:val="auto"/>
        </w:rPr>
      </w:pPr>
    </w:p>
    <w:p>
      <w:pPr>
        <w:ind w:right="240" w:firstLine="5"/>
        <w:spacing w:after="0" w:line="274" w:lineRule="auto"/>
        <w:tabs>
          <w:tab w:leader="none" w:pos="257"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ability of the Company to perform its obligations under this Agreement, including the issuance and sale of the Shares, or to consummate the transactions contemplated in the Pricing Prospectus and the Prospectus;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271" w:right="239" w:bottom="1440" w:gutter="0" w:footer="0" w:header="0"/>
        </w:sectPr>
      </w:pPr>
    </w:p>
    <w:bookmarkStart w:id="262" w:name="page263"/>
    <w:bookmarkEnd w:id="262"/>
    <w:p>
      <w:pPr>
        <w:ind w:left="-20" w:firstLine="461"/>
        <w:spacing w:after="0" w:line="278" w:lineRule="auto"/>
        <w:tabs>
          <w:tab w:leader="none" w:pos="684" w:val="left"/>
        </w:tabs>
        <w:numPr>
          <w:ilvl w:val="0"/>
          <w:numId w:val="1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Company and its subsidiaries have good and marketable title in fee simple to all real property and good and marketable title to all personal property owned by them (other than with respect to Intellectual Property Rights (as defined below), which are addressed in Section 1(gg) below), in each case free and clear of all liens, encumbrances and defects except such as are described in the Pricing Prospectus or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under, to the Company’s knowledge, valid, subsisting and enforceable leases (subject to the effects of (A) bankruptcy, insolvency, fraudulent conveyance, fraudulent transfer, reorganization, moratorium or other similar laws relating to or affecting the rights or remedies of creditors generally; (B) the application of general principles of equity (including without limitation, concepts of materiality, reasonableness, good faith and fair dealing, regardless of whether enforcement is considered in proceedings at law or in equity); and (C) applicable law and public policy with respect to rights to indemnity and contribution) with such exceptions as are not material and do not materially interfere with the use made and proposed to be made of such property and buildings by the Company and its subsidiaries;</w:t>
      </w:r>
    </w:p>
    <w:p>
      <w:pPr>
        <w:spacing w:after="0" w:line="68" w:lineRule="exact"/>
        <w:rPr>
          <w:rFonts w:ascii="Arial" w:cs="Arial" w:eastAsia="Arial" w:hAnsi="Arial"/>
          <w:sz w:val="16"/>
          <w:szCs w:val="16"/>
          <w:color w:val="auto"/>
        </w:rPr>
      </w:pPr>
    </w:p>
    <w:p>
      <w:pPr>
        <w:ind w:left="-20" w:right="120" w:firstLine="461"/>
        <w:spacing w:after="0" w:line="263" w:lineRule="auto"/>
        <w:tabs>
          <w:tab w:leader="none" w:pos="64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Each of the Company and each of its subsidiaries has been (i) duly organized and is validly existing and in good standing under the laws of its jurisdiction of organization, with power and authority (corporate and other) to own its properties and conduct its business as described in the Pricing Prospectus, and (ii) duly qualified as a foreign corporation for the transaction of business and is in good standing under the laws of each other jurisdiction in which it owns or leases properties or conducts any business so as to require such qualification, except, in the case of this clause (ii), where the failure to be so qualified or in good standing would not, individually or in the aggregate, have a Material Adverse Effect, and each significant subsidiary, as such term is defined in Rule 1-02(w) of Regulation S-X, of the Company has been listed in the Registration Statement;</w:t>
      </w:r>
    </w:p>
    <w:p>
      <w:pPr>
        <w:spacing w:after="0" w:line="76" w:lineRule="exact"/>
        <w:rPr>
          <w:rFonts w:ascii="Arial" w:cs="Arial" w:eastAsia="Arial" w:hAnsi="Arial"/>
          <w:sz w:val="17"/>
          <w:szCs w:val="17"/>
          <w:color w:val="auto"/>
        </w:rPr>
      </w:pPr>
    </w:p>
    <w:p>
      <w:pPr>
        <w:ind w:left="-20" w:firstLine="461"/>
        <w:spacing w:after="0" w:line="265" w:lineRule="auto"/>
        <w:tabs>
          <w:tab w:leader="none" w:pos="64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Company has an authorized capitalization as set forth in the Pricing Prospectus and all of the issued shares of capital stock of the Company have been duly and validly authorized and issued and are fully paid and non-assessable and conform to the description of the Stock contained in the Pricing Disclosure Package and Prospectus; and all of the issued shares of capital stock of each subsidiary of the Company have been duly and validly authorized and issued, are fully paid and non-assessable and (except for directors’ qualifying shares) are owned directly or indirectly by the Company, free and clear of all liens, encumbrances, equities or claims;</w:t>
      </w:r>
    </w:p>
    <w:p>
      <w:pPr>
        <w:spacing w:after="0" w:line="73" w:lineRule="exact"/>
        <w:rPr>
          <w:rFonts w:ascii="Arial" w:cs="Arial" w:eastAsia="Arial" w:hAnsi="Arial"/>
          <w:sz w:val="17"/>
          <w:szCs w:val="17"/>
          <w:color w:val="auto"/>
        </w:rPr>
      </w:pPr>
    </w:p>
    <w:p>
      <w:pPr>
        <w:ind w:left="680" w:hanging="239"/>
        <w:spacing w:after="0"/>
        <w:tabs>
          <w:tab w:leader="none" w:pos="6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This Agreement has been duly authorized, executed and delivered by the Company;</w:t>
      </w:r>
    </w:p>
    <w:p>
      <w:pPr>
        <w:spacing w:after="0" w:line="118" w:lineRule="exact"/>
        <w:rPr>
          <w:rFonts w:ascii="Arial" w:cs="Arial" w:eastAsia="Arial" w:hAnsi="Arial"/>
          <w:sz w:val="17"/>
          <w:szCs w:val="17"/>
          <w:color w:val="auto"/>
        </w:rPr>
      </w:pPr>
    </w:p>
    <w:p>
      <w:pPr>
        <w:ind w:left="-20" w:right="80" w:firstLine="461"/>
        <w:spacing w:after="0" w:line="297" w:lineRule="auto"/>
        <w:tabs>
          <w:tab w:leader="none" w:pos="64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unissued Shares to be issued and sold by the Company to the Underwriters hereunder have been duly and validly authorized and, when issued and delivered against payment therefor as provided herein, will be duly and validly issued and fully paid and non-assessable and will conform to the description of the Stock contained in the Pricing Disclosure Package and the Prospectus; and the issuance of the Shares is not subject to any preemptive or similar rights;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60" w:top="271" w:right="259" w:bottom="1440" w:gutter="0" w:footer="0" w:header="0"/>
        </w:sectPr>
      </w:pPr>
    </w:p>
    <w:bookmarkStart w:id="263" w:name="page264"/>
    <w:bookmarkEnd w:id="263"/>
    <w:p>
      <w:pPr>
        <w:ind w:right="200" w:firstLine="461"/>
        <w:spacing w:after="0" w:line="295" w:lineRule="auto"/>
        <w:tabs>
          <w:tab w:leader="none" w:pos="752" w:val="left"/>
        </w:tabs>
        <w:numPr>
          <w:ilvl w:val="1"/>
          <w:numId w:val="11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issue and sale of the Shares and the compliance by the Company with this Agreement and the consummation of the transactions contemplated in this Agreement will not conflict with or result in a breach or violation of any of the terms or provisions of, or constitute a default under, (A)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except, in the case of this clause</w:t>
      </w:r>
    </w:p>
    <w:p>
      <w:pPr>
        <w:spacing w:after="0" w:line="2" w:lineRule="exact"/>
        <w:rPr>
          <w:rFonts w:ascii="Arial" w:cs="Arial" w:eastAsia="Arial" w:hAnsi="Arial"/>
          <w:sz w:val="15"/>
          <w:szCs w:val="15"/>
          <w:color w:val="auto"/>
        </w:rPr>
      </w:pPr>
    </w:p>
    <w:p>
      <w:pPr>
        <w:ind w:firstLine="5"/>
        <w:spacing w:after="0" w:line="277" w:lineRule="auto"/>
        <w:tabs>
          <w:tab w:leader="none" w:pos="286" w:val="left"/>
        </w:tabs>
        <w:numPr>
          <w:ilvl w:val="0"/>
          <w:numId w:val="120"/>
        </w:numPr>
        <w:rPr>
          <w:rFonts w:ascii="Arial" w:cs="Arial" w:eastAsia="Arial" w:hAnsi="Arial"/>
          <w:sz w:val="16"/>
          <w:szCs w:val="16"/>
          <w:color w:val="auto"/>
        </w:rPr>
      </w:pPr>
      <w:r>
        <w:rPr>
          <w:rFonts w:ascii="Arial" w:cs="Arial" w:eastAsia="Arial" w:hAnsi="Arial"/>
          <w:sz w:val="16"/>
          <w:szCs w:val="16"/>
          <w:color w:val="auto"/>
        </w:rPr>
        <w:t>for such defaults, breaches, or violations that would not, individually or in the aggregate, have a Material Adverse Effect, (B) the certificate of incorporation or by-laws (or other applicable similar organizational document) of the Company or any of its subsidiaries, or (C) any statute or any judgment, order, rule or regulation of any court or governmental agency or body having jurisdiction over the Company or any of its subsidiaries or any of their properties, except in the case of this clause (C) for such defaults, breaches, or violations that would not, individually or in the aggregate, have a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for the registration under the Act of the Shares, the approval by the Financial Industry Regulatory Authority (“FINRA”) of the underwriting terms and arrangements, the approval for listing on the Nasdaq Global Select Market (the “Exchange”) and such consents, approvals, authorizations, registrations or qualifications as may be required under state securities or Blue Sky laws in connection with the purchase and distribution of the Shares by the Underwriters;</w:t>
      </w:r>
    </w:p>
    <w:p>
      <w:pPr>
        <w:spacing w:after="0" w:line="67" w:lineRule="exact"/>
        <w:rPr>
          <w:rFonts w:ascii="Arial" w:cs="Arial" w:eastAsia="Arial" w:hAnsi="Arial"/>
          <w:sz w:val="16"/>
          <w:szCs w:val="16"/>
          <w:color w:val="auto"/>
        </w:rPr>
      </w:pPr>
    </w:p>
    <w:p>
      <w:pPr>
        <w:ind w:right="60" w:firstLine="461"/>
        <w:spacing w:after="0" w:line="263" w:lineRule="auto"/>
        <w:tabs>
          <w:tab w:leader="none" w:pos="704" w:val="left"/>
        </w:tabs>
        <w:numPr>
          <w:ilvl w:val="1"/>
          <w:numId w:val="120"/>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(i) in violation of its certificate of incorporation or by-laws (or other applicable similar 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or defaults as would not, individually or in the aggregate, have a Material Adverse Effect;</w:t>
      </w:r>
    </w:p>
    <w:p>
      <w:pPr>
        <w:spacing w:after="0" w:line="76" w:lineRule="exact"/>
        <w:rPr>
          <w:rFonts w:ascii="Arial" w:cs="Arial" w:eastAsia="Arial" w:hAnsi="Arial"/>
          <w:sz w:val="17"/>
          <w:szCs w:val="17"/>
          <w:color w:val="auto"/>
        </w:rPr>
      </w:pPr>
    </w:p>
    <w:p>
      <w:pPr>
        <w:ind w:right="300" w:firstLine="461"/>
        <w:spacing w:after="0" w:line="325" w:lineRule="auto"/>
        <w:tabs>
          <w:tab w:leader="none" w:pos="704" w:val="left"/>
        </w:tabs>
        <w:numPr>
          <w:ilvl w:val="1"/>
          <w:numId w:val="120"/>
        </w:numPr>
        <w:rPr>
          <w:rFonts w:ascii="Arial" w:cs="Arial" w:eastAsia="Arial" w:hAnsi="Arial"/>
          <w:sz w:val="15"/>
          <w:szCs w:val="15"/>
          <w:color w:val="auto"/>
        </w:rPr>
      </w:pPr>
      <w:r>
        <w:rPr>
          <w:rFonts w:ascii="Arial" w:cs="Arial" w:eastAsia="Arial" w:hAnsi="Arial"/>
          <w:sz w:val="15"/>
          <w:szCs w:val="15"/>
          <w:color w:val="auto"/>
        </w:rPr>
        <w:t>The statements set forth in the Pricing Prospectus and the Prospectus under the caption “Description of Capital Stock”, insofar as they purport to constitute a summary of the terms of the Stock</w:t>
      </w:r>
      <w:r>
        <w:rPr>
          <w:rFonts w:ascii="Arial" w:cs="Arial" w:eastAsia="Arial" w:hAnsi="Arial"/>
          <w:sz w:val="15"/>
          <w:szCs w:val="15"/>
          <w:b w:val="1"/>
          <w:bCs w:val="1"/>
          <w:color w:val="auto"/>
        </w:rPr>
        <w:t>,</w:t>
      </w:r>
      <w:r>
        <w:rPr>
          <w:rFonts w:ascii="Arial" w:cs="Arial" w:eastAsia="Arial" w:hAnsi="Arial"/>
          <w:sz w:val="15"/>
          <w:szCs w:val="15"/>
          <w:color w:val="auto"/>
        </w:rPr>
        <w:t xml:space="preserve"> and under the caption “Material U.S. Federal Income Tax Considerations for Non-U.S. Holders of Common Stock,” insofar as they purport to describe the provisions of the laws and documents referred to therein, are accurate, complete and fair, in all material respects;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271" w:right="239" w:bottom="1440" w:gutter="0" w:footer="0" w:header="0"/>
        </w:sectPr>
      </w:pPr>
    </w:p>
    <w:bookmarkStart w:id="264" w:name="page265"/>
    <w:bookmarkEnd w:id="264"/>
    <w:p>
      <w:pPr>
        <w:ind w:left="-20" w:right="20" w:firstLine="461"/>
        <w:spacing w:after="0" w:line="265" w:lineRule="auto"/>
        <w:tabs>
          <w:tab w:leader="none" w:pos="684" w:val="left"/>
        </w:tabs>
        <w:numPr>
          <w:ilvl w:val="0"/>
          <w:numId w:val="1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There are no legal or governmental proceedings pending to which the Company or any of its subsidiaries or, to the Company’s knowledge, any officer or director of the Company, is a party or of which any property or assets of the Company or any of its subsidiaries or, to the Company’s knowledge, any officer or director of the Company, is the subject which, if determined adversely to the Company or any of its subsidiaries (or such officer or director), would individually or in the aggregate have a Material Adverse Effect; and, to the Company’s knowledge, no such proceedings are threatened or contemplated by governmental authorities or threatened by others;</w:t>
      </w:r>
    </w:p>
    <w:p>
      <w:pPr>
        <w:spacing w:after="0" w:line="73" w:lineRule="exact"/>
        <w:rPr>
          <w:rFonts w:ascii="Arial" w:cs="Arial" w:eastAsia="Arial" w:hAnsi="Arial"/>
          <w:sz w:val="17"/>
          <w:szCs w:val="17"/>
          <w:color w:val="auto"/>
        </w:rPr>
      </w:pPr>
    </w:p>
    <w:p>
      <w:pPr>
        <w:ind w:left="-20" w:right="100" w:firstLine="461"/>
        <w:spacing w:after="0" w:line="263" w:lineRule="auto"/>
        <w:tabs>
          <w:tab w:leader="none" w:pos="684"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Company and each of its subsidiaries have filed all federal, state, local and foreign tax returns required to be filed through the date of this Agreement and have paid all taxes required to be paid thereon (except for cases in which the failure to file or pay would not have a Material Adverse Effect, or, except as currently being contested in good faith and for which reserves required by U.S. GAAP have been created in the financial statements of the Company), and no tax deficiency has been determined adversely to the Company or any of its subsidiaries which has had (nor does the Company nor any of its subsidiaries have any notice or knowledge of any tax deficiency which could reasonably be expected to be determined adversely to the Company or its subsidiaries and which could reasonably be expected to have) a Material Adverse Effect.</w:t>
      </w:r>
    </w:p>
    <w:p>
      <w:pPr>
        <w:spacing w:after="0" w:line="76" w:lineRule="exact"/>
        <w:rPr>
          <w:rFonts w:ascii="Arial" w:cs="Arial" w:eastAsia="Arial" w:hAnsi="Arial"/>
          <w:sz w:val="17"/>
          <w:szCs w:val="17"/>
          <w:color w:val="auto"/>
        </w:rPr>
      </w:pPr>
    </w:p>
    <w:p>
      <w:pPr>
        <w:jc w:val="both"/>
        <w:ind w:left="-20" w:right="80" w:firstLine="461"/>
        <w:spacing w:after="0" w:line="359" w:lineRule="auto"/>
        <w:tabs>
          <w:tab w:leader="none" w:pos="655"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Company is not and, after giving effect to the offering and sale of the Shares and the application of the proceeds thereof, as described in the Pricing Prospectus, will not be an “investment company”, as such term is defined in the Investment Company Act of 1940, as amended (the “Investment Company Act”);</w:t>
      </w:r>
    </w:p>
    <w:p>
      <w:pPr>
        <w:spacing w:after="0" w:line="7" w:lineRule="exact"/>
        <w:rPr>
          <w:rFonts w:ascii="Arial" w:cs="Arial" w:eastAsia="Arial" w:hAnsi="Arial"/>
          <w:sz w:val="15"/>
          <w:szCs w:val="15"/>
          <w:color w:val="auto"/>
        </w:rPr>
      </w:pPr>
    </w:p>
    <w:p>
      <w:pPr>
        <w:ind w:left="-20" w:right="180" w:firstLine="461"/>
        <w:spacing w:after="0" w:line="289" w:lineRule="auto"/>
        <w:tabs>
          <w:tab w:leader="none" w:pos="664"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Company is not, and at the time of filing the Initial Registration Statement the Company was not, an “ineligible issuer,” as defined under Rule 405 under the Act;</w:t>
      </w:r>
    </w:p>
    <w:p>
      <w:pPr>
        <w:spacing w:after="0" w:line="53" w:lineRule="exact"/>
        <w:rPr>
          <w:rFonts w:ascii="Arial" w:cs="Arial" w:eastAsia="Arial" w:hAnsi="Arial"/>
          <w:sz w:val="17"/>
          <w:szCs w:val="17"/>
          <w:color w:val="auto"/>
        </w:rPr>
      </w:pPr>
    </w:p>
    <w:p>
      <w:pPr>
        <w:ind w:left="-20" w:right="100" w:firstLine="461"/>
        <w:spacing w:after="0" w:line="289" w:lineRule="auto"/>
        <w:tabs>
          <w:tab w:leader="none" w:pos="64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Ernst &amp; Young LLP, who have certified certain financial statements of the Company and its subsidiaries, are independent public accountants as required by the Act and the rules and regulations of the Commission thereunder;</w:t>
      </w:r>
    </w:p>
    <w:p>
      <w:pPr>
        <w:spacing w:after="0" w:line="53" w:lineRule="exact"/>
        <w:rPr>
          <w:rFonts w:ascii="Arial" w:cs="Arial" w:eastAsia="Arial" w:hAnsi="Arial"/>
          <w:sz w:val="17"/>
          <w:szCs w:val="17"/>
          <w:color w:val="auto"/>
        </w:rPr>
      </w:pPr>
    </w:p>
    <w:p>
      <w:pPr>
        <w:jc w:val="both"/>
        <w:ind w:left="-20" w:firstLine="461"/>
        <w:spacing w:after="0" w:line="314" w:lineRule="auto"/>
        <w:tabs>
          <w:tab w:leader="none" w:pos="684"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financial statements included in the Registration Statement, the Pricing Prospectus and the Prospectus, together with the related schedules and notes, present fairly in all material respects the financial position of the Company and its subsidiaries at the dates indicated and the statement of operations, stockholders’ equity and cash flows of the Company and its subsidiaries for the periods specified; said financial statements have been prepared in conformity with U.S. generally accepted accounting principles (“GAAP”) applied on a consistent basis throughout the periods involved. The supporting schedules, if any, present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80"/>
          </w:cols>
          <w:pgMar w:left="260" w:top="271" w:right="259" w:bottom="1440" w:gutter="0" w:footer="0" w:header="0"/>
        </w:sectPr>
      </w:pPr>
    </w:p>
    <w:bookmarkStart w:id="265" w:name="page266"/>
    <w:bookmarkEnd w:id="265"/>
    <w:p>
      <w:pPr>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fairly in all material respects and in accordance with GAAP the information required to be stated therein. The selected consolidated financial data and the summary consolidated financial data included in the Registration Statement, the Pricing Prospectus and the Prospectus present fairly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w:t>
      </w:r>
    </w:p>
    <w:p>
      <w:pPr>
        <w:spacing w:after="0" w:line="73" w:lineRule="exact"/>
        <w:rPr>
          <w:sz w:val="20"/>
          <w:szCs w:val="20"/>
          <w:color w:val="auto"/>
        </w:rPr>
      </w:pPr>
    </w:p>
    <w:p>
      <w:pPr>
        <w:ind w:firstLine="461"/>
        <w:spacing w:after="0" w:line="278" w:lineRule="auto"/>
        <w:tabs>
          <w:tab w:leader="none" w:pos="704"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Company maintains a system of internal control over financial reporting (as such term is defined in Rule 13a-15(f) under the Securities Exchange Act of 1934, as amended (the “Exchange Act”)) that (i) complies with the requirements of the Exchange Act applicable to the Company,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(iii) is sufficient to provide reasonable assurance that (A) 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the Company’s internal control over financial reporting is effective and the Company is not aware of any material weaknesses in its internal control over financial reporting (it being understood that this subsection shall not require the Company to comply with Section 404 of the Sarbanes-Oxley Act of 2002, as amended, and the rules and regulations promulgated in connection therewith as of an earlier date than it would otherwise be required to do so under applicable law);</w:t>
      </w:r>
    </w:p>
    <w:p>
      <w:pPr>
        <w:spacing w:after="0" w:line="65" w:lineRule="exact"/>
        <w:rPr>
          <w:rFonts w:ascii="Arial" w:cs="Arial" w:eastAsia="Arial" w:hAnsi="Arial"/>
          <w:sz w:val="16"/>
          <w:szCs w:val="16"/>
          <w:color w:val="auto"/>
        </w:rPr>
      </w:pPr>
    </w:p>
    <w:p>
      <w:pPr>
        <w:ind w:right="180" w:firstLine="461"/>
        <w:spacing w:after="0" w:line="273" w:lineRule="auto"/>
        <w:tabs>
          <w:tab w:leader="none" w:pos="743" w:val="left"/>
        </w:tabs>
        <w:numPr>
          <w:ilvl w:val="0"/>
          <w:numId w:val="122"/>
        </w:numPr>
        <w:rPr>
          <w:rFonts w:ascii="Arial" w:cs="Arial" w:eastAsia="Arial" w:hAnsi="Arial"/>
          <w:sz w:val="17"/>
          <w:szCs w:val="17"/>
          <w:color w:val="auto"/>
        </w:rPr>
      </w:pPr>
      <w:r>
        <w:rPr>
          <w:rFonts w:ascii="Arial" w:cs="Arial" w:eastAsia="Arial" w:hAnsi="Arial"/>
          <w:sz w:val="17"/>
          <w:szCs w:val="17"/>
          <w:color w:val="auto"/>
        </w:rPr>
        <w:t>Since the date of the latest audited financial statements included in the Pricing Prospectus, there has been no change in the Company’s internal control over financial reporting that has materially affected, or is reasonably likely to materially and adversely affect, the Company’s internal control over financial reporting;</w:t>
      </w:r>
    </w:p>
    <w:p>
      <w:pPr>
        <w:spacing w:after="0" w:line="66" w:lineRule="exact"/>
        <w:rPr>
          <w:rFonts w:ascii="Arial" w:cs="Arial" w:eastAsia="Arial" w:hAnsi="Arial"/>
          <w:sz w:val="17"/>
          <w:szCs w:val="17"/>
          <w:color w:val="auto"/>
        </w:rPr>
      </w:pPr>
    </w:p>
    <w:p>
      <w:pPr>
        <w:ind w:right="300" w:firstLine="461"/>
        <w:spacing w:after="0" w:line="267" w:lineRule="auto"/>
        <w:tabs>
          <w:tab w:leader="none" w:pos="704"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Company maintains disclosure controls and procedures (as such term is defined in Rule 13a-15(e) under the Exchange Act) that comply with the requirements of the Exchange Act applicable to the Company;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272" w:right="239" w:bottom="1440" w:gutter="0" w:footer="0" w:header="0"/>
        </w:sectPr>
      </w:pPr>
    </w:p>
    <w:bookmarkStart w:id="266" w:name="page267"/>
    <w:bookmarkEnd w:id="266"/>
    <w:p>
      <w:pPr>
        <w:ind w:right="40" w:firstLine="461"/>
        <w:spacing w:after="0" w:line="261" w:lineRule="auto"/>
        <w:tabs>
          <w:tab w:leader="none" w:pos="704" w:val="left"/>
        </w:tabs>
        <w:numPr>
          <w:ilvl w:val="0"/>
          <w:numId w:val="1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None of the Company, any of its subsidiaries nor, to the knowledge of the Company, any director, officer, agent, employee, affiliate or other person associated with or acting on behalf of the Company, or any of its subsidiaries has (i) made, offered, promised, or authorized any unlawful contribution, gift, entertainment or other unlawful expense; (ii) made, offered, promised, or authorized any direct or indirect unlawful payment; (iii) violated or is in violation of any provision of the Foreign Corrupt Practices Act of 1977, as amended (the “FCPA”), and the rules and regulations thereunder, including, without limitation, by making use of the mails or any means or instrumentality of U.S.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(iv) violated or is in violation of any provision of the Bribery Act 2010 of the United Kingdom; or (v) made any bribe, rebate, payoff, influence payment, kickback or other unlawful payment;</w:t>
      </w:r>
    </w:p>
    <w:p>
      <w:pPr>
        <w:spacing w:after="0" w:line="77" w:lineRule="exact"/>
        <w:rPr>
          <w:rFonts w:ascii="Arial" w:cs="Arial" w:eastAsia="Arial" w:hAnsi="Arial"/>
          <w:sz w:val="17"/>
          <w:szCs w:val="17"/>
          <w:color w:val="auto"/>
        </w:rPr>
      </w:pPr>
    </w:p>
    <w:p>
      <w:pPr>
        <w:ind w:right="80" w:firstLine="461"/>
        <w:spacing w:after="0" w:line="283" w:lineRule="auto"/>
        <w:tabs>
          <w:tab w:leader="none" w:pos="69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operations of the Company and its subsidiaries are and have been conducted at all times in compliance with the requirements of applicable financial recordkeeping and reporting requirements and the money laundering statutes and the rules and regulations thereunder, including, but not limited to, the Bank Secrecy Act of 1970, as amended by the USA PATRIOT ACT of 2001, and the rules and regulations promulgated thereunder, and any related or similar rules, regulations or guidelines, issued administered or enforced by any governmental agency having jurisdiction over the Company or any of its subsidiaries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60" w:lineRule="exact"/>
        <w:rPr>
          <w:sz w:val="20"/>
          <w:szCs w:val="20"/>
          <w:color w:val="auto"/>
        </w:rPr>
      </w:pPr>
    </w:p>
    <w:p>
      <w:pPr>
        <w:ind w:firstLine="461"/>
        <w:spacing w:after="0" w:line="263" w:lineRule="auto"/>
        <w:tabs>
          <w:tab w:leader="none" w:pos="771" w:val="left"/>
        </w:tabs>
        <w:numPr>
          <w:ilvl w:val="0"/>
          <w:numId w:val="124"/>
        </w:numPr>
        <w:rPr>
          <w:rFonts w:ascii="Arial" w:cs="Arial" w:eastAsia="Arial" w:hAnsi="Arial"/>
          <w:sz w:val="17"/>
          <w:szCs w:val="17"/>
          <w:color w:val="auto"/>
        </w:rPr>
      </w:pPr>
      <w:r>
        <w:rPr>
          <w:rFonts w:ascii="Arial" w:cs="Arial" w:eastAsia="Arial" w:hAnsi="Arial"/>
          <w:sz w:val="17"/>
          <w:szCs w:val="17"/>
          <w:color w:val="auto"/>
        </w:rPr>
        <w:t>None of the Company or any of its subsidiaries nor, to the knowledge of the Company, any director, officer, agent, employee or affiliate of the Company or any of its subsidiaries (i) is, or is controlled or 50% or more owned in the aggregate by, or is acting on behalf of, one or more individuals or entities that are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Her Majesty’s Treasury, the United Nations Security Council, or other relevant sanctions authority (collectively, “Sanctions” and such persons “Sanctioned Persons”), or (ii)</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272" w:right="239" w:bottom="1440" w:gutter="0" w:footer="0" w:header="0"/>
        </w:sectPr>
      </w:pPr>
    </w:p>
    <w:bookmarkStart w:id="267" w:name="page268"/>
    <w:bookmarkEnd w:id="267"/>
    <w:p>
      <w:pPr>
        <w:ind w:right="20"/>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is located, organized or resident in a country or territory that is, or whose government is, the subject or the target of Sanctions that broadly prohibit dealings with that country or territory (collectively, “Sanctioned Countries” and each, a “Sanctioned Country”),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Sanctioned Country or (ii) in any other manner that will result in a violation by any person (including any person participating in the transaction, whether as underwriter, advisor, investor or otherwise) of Sanctions. Neither the Company nor any of its subsidiaries has knowingly engaged in any dealings or transactions with or for the benefit of a Sanctioned Person, or with or in a Sanctioned Country, in the preceding 3 years, nor does the Company or any of its subsidiaries have any plans to engage in dealings or transactions with or for the benefit of a Sanctioned Person, or with or in a Sanctioned Country;</w:t>
      </w:r>
    </w:p>
    <w:p>
      <w:pPr>
        <w:spacing w:after="0" w:line="80" w:lineRule="exact"/>
        <w:rPr>
          <w:sz w:val="20"/>
          <w:szCs w:val="20"/>
          <w:color w:val="auto"/>
        </w:rPr>
      </w:pPr>
    </w:p>
    <w:p>
      <w:pPr>
        <w:ind w:firstLine="461"/>
        <w:spacing w:after="0" w:line="293" w:lineRule="auto"/>
        <w:tabs>
          <w:tab w:leader="none" w:pos="791" w:val="left"/>
        </w:tabs>
        <w:numPr>
          <w:ilvl w:val="1"/>
          <w:numId w:val="125"/>
        </w:numPr>
        <w:rPr>
          <w:rFonts w:ascii="Arial" w:cs="Arial" w:eastAsia="Arial" w:hAnsi="Arial"/>
          <w:sz w:val="15"/>
          <w:szCs w:val="15"/>
          <w:color w:val="auto"/>
        </w:rPr>
      </w:pPr>
      <w:r>
        <w:rPr>
          <w:rFonts w:ascii="Arial" w:cs="Arial" w:eastAsia="Arial" w:hAnsi="Arial"/>
          <w:sz w:val="15"/>
          <w:szCs w:val="15"/>
          <w:color w:val="auto"/>
        </w:rPr>
        <w:t>(i) The Company and each of its subsidiaries (x) is in material compliance with all, and has not violated any, applicable material federal, state or local laws, rules, regulations, requirements, decisions, judgments, decrees and orders relating to pollution, hazardous or toxic substances, wastes, pollutants, contaminants or the protection of human health or safety, the environment or natural resources (collectively, “Environmental Laws”); (y) has received and is in material compliance with all, and has not violated any, material permits, licenses, certificates or other authorizations or approvals required of it under any Environmental Laws to conduct its business; and (z) has not received notice of any actual or potential liability of the Company, or obligation of the Company under or relating to, or any actual or potential violation of, any Environmental Laws by the Company, including for the investigation or remediation of any disposal or release of hazardous or toxic substances or wastes, pollutants or contaminants, and have no knowledge of any event or condition that would reasonably be expected to result in any such notice, and (ii) there are no costs or liabilities associated with Environmental Laws of or relating to the Company, except in the case of each of (i) and (ii) above, for any such matter as would not, individually or in the aggregate, reasonably be expected to have a Material Adverse Effect; and</w:t>
      </w:r>
    </w:p>
    <w:p>
      <w:pPr>
        <w:spacing w:after="0" w:line="2" w:lineRule="exact"/>
        <w:rPr>
          <w:rFonts w:ascii="Arial" w:cs="Arial" w:eastAsia="Arial" w:hAnsi="Arial"/>
          <w:sz w:val="15"/>
          <w:szCs w:val="15"/>
          <w:color w:val="auto"/>
        </w:rPr>
      </w:pPr>
    </w:p>
    <w:p>
      <w:pPr>
        <w:ind w:right="80" w:firstLine="5"/>
        <w:spacing w:after="0" w:line="281" w:lineRule="auto"/>
        <w:tabs>
          <w:tab w:leader="none" w:pos="30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except as described in each of the Pricing Disclosure Package and the Prospectus, (x) there is no proceeding that is pending, or that is known by the Company to be contemplated, against the Company under any Environmental Laws in which a governmental entity is also a party, other than such proceeding regarding which the Company reasonably believes no monetary sanctions of $100,000 or more will be imposed, and (y) the Company is not aware of any facts regarding compliance with Environmental Laws, or liabilities or other obligations under Environmental Laws or concerning hazardous or toxic substances or wastes, pollutants or contaminants, that individually or in the aggregate, would reasonably be expected to have a Material Adverse Effect;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272" w:right="239" w:bottom="1440" w:gutter="0" w:footer="0" w:header="0"/>
        </w:sectPr>
      </w:pPr>
    </w:p>
    <w:bookmarkStart w:id="268" w:name="page269"/>
    <w:bookmarkEnd w:id="268"/>
    <w:p>
      <w:pPr>
        <w:ind w:left="-20" w:firstLine="461"/>
        <w:spacing w:after="0" w:line="265" w:lineRule="auto"/>
        <w:tabs>
          <w:tab w:leader="none" w:pos="751" w:val="left"/>
        </w:tabs>
        <w:numPr>
          <w:ilvl w:val="0"/>
          <w:numId w:val="1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Company possesses all material licenses, sub-licenses, certificates, authorizations and permits issued by the appropriate federal, state or foreign regulatory authorities necessary to conduct its business, as described in the Registration Statement, the Pricing Disclosure Package and the Prospectus, including, without limitation, from the U.S. Food and Drug Administration (“FDA”) and equivalent foreign regulatory authorities; and the Company has not received any notice of proceedings relating to the revocation or modification of any such material license, sub-license, certificate, authorization or permit, except as described in the Registration Statement, the Pricing Disclosure Package and the Prospectus;</w:t>
      </w:r>
    </w:p>
    <w:p>
      <w:pPr>
        <w:spacing w:after="0" w:line="73" w:lineRule="exact"/>
        <w:rPr>
          <w:rFonts w:ascii="Arial" w:cs="Arial" w:eastAsia="Arial" w:hAnsi="Arial"/>
          <w:sz w:val="17"/>
          <w:szCs w:val="17"/>
          <w:color w:val="auto"/>
        </w:rPr>
      </w:pPr>
    </w:p>
    <w:p>
      <w:pPr>
        <w:ind w:left="780" w:hanging="339"/>
        <w:spacing w:after="0"/>
        <w:tabs>
          <w:tab w:leader="none" w:pos="7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Company has operated and currently is in material compliance with all applicable rules, regulations and policies of the FDA;</w:t>
      </w:r>
    </w:p>
    <w:p>
      <w:pPr>
        <w:spacing w:after="0" w:line="118" w:lineRule="exact"/>
        <w:rPr>
          <w:rFonts w:ascii="Arial" w:cs="Arial" w:eastAsia="Arial" w:hAnsi="Arial"/>
          <w:sz w:val="17"/>
          <w:szCs w:val="17"/>
          <w:color w:val="auto"/>
        </w:rPr>
      </w:pPr>
    </w:p>
    <w:p>
      <w:pPr>
        <w:ind w:left="-20" w:firstLine="461"/>
        <w:spacing w:after="0" w:line="277" w:lineRule="auto"/>
        <w:tabs>
          <w:tab w:leader="none" w:pos="751"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Any studies, tests and preclinical and clinical trials conducted by the Company and, to the knowledge of the Company, any studies, tests and preclinical and clinical trials conducted on behalf of the Company or in which the Company has participated, were, and if still pending are, being conducted in accordance with experimental protocols, procedures and controls pursuant to accepted professional scientific standards and all applicable rules and regulations, including those of the FDA and comparable regulatory agencies outside of the United States, to which the Company is subject and, for studies submitted to regulatory authorities as a basis for regulatory approval and preclinical and clinical trials, current Good Clinical Practices and Good Laboratory Practices except where the failure to be so conducted would not reasonably be expected to have a Material Adverse Effect; the descriptions of the results of such studies, tests and trials contained in the Registration Statement, the Pricing Prospectus and the Prospectus are, to the Company’s knowledge, accurate and complete in all material respects and fairly present the data derived from such studies, tests and trials; the Company is not aware of any studies, tests or trials, the results of which the Company believes reasonably call into question the study, test, or trial results described or referred to in the Registration Statement, the Pricing Prospectus and the Prospectus when viewed in the context in which such results are described and the clinical state of development; and, except to the extent disclosed in the Registration Statement, the Pricing Prospectus or the Prospectus, the Company has not received any notices or correspondence from the FDA or any other comparable federal, state, local or foreign governmental or regulatory authority requiring the termination or suspension of any studies, tests or preclinical or clinical trials conducted by or on behalf of the Company;</w:t>
      </w:r>
    </w:p>
    <w:p>
      <w:pPr>
        <w:spacing w:after="0" w:line="67" w:lineRule="exact"/>
        <w:rPr>
          <w:rFonts w:ascii="Arial" w:cs="Arial" w:eastAsia="Arial" w:hAnsi="Arial"/>
          <w:sz w:val="16"/>
          <w:szCs w:val="16"/>
          <w:color w:val="auto"/>
        </w:rPr>
      </w:pPr>
    </w:p>
    <w:p>
      <w:pPr>
        <w:jc w:val="both"/>
        <w:ind w:left="-20" w:right="160" w:firstLine="461"/>
        <w:spacing w:after="0" w:line="273" w:lineRule="auto"/>
        <w:tabs>
          <w:tab w:leader="none" w:pos="71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To the Company’s knowledge, the manufacturing facilities and operations of its suppliers and manufacturers are operated in compliance in all respects with all applicable statutes, rules, regulations and policies of the FDA and comparable regulatory agencies outside of the United States to which the Company is subject;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380"/>
          </w:cols>
          <w:pgMar w:left="260" w:top="271" w:right="259" w:bottom="1440" w:gutter="0" w:footer="0" w:header="0"/>
        </w:sectPr>
      </w:pPr>
    </w:p>
    <w:bookmarkStart w:id="269" w:name="page270"/>
    <w:bookmarkEnd w:id="269"/>
    <w:p>
      <w:pPr>
        <w:ind w:firstLine="461"/>
        <w:spacing w:after="0" w:line="275" w:lineRule="auto"/>
        <w:tabs>
          <w:tab w:leader="none" w:pos="791" w:val="left"/>
        </w:tabs>
        <w:numPr>
          <w:ilvl w:val="0"/>
          <w:numId w:val="1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Except as disclosed in the Registration Statement, the Pricing Disclosure Package and the Prospectus, the Company and its subsidiaries own, possess or license adequate rights to use all trademarks, service marks, trade names, domain names and other source identifiers, all goodwill associated with the foregoing, inventions, technology, patents, copyrights, know-how, trade secrets and other unpatented and/or unpatentable proprietary or confidential information, systems or procedures, and other intellectual property rights (including all registrations and applications for registration of the foregoing, as applicable) (collectively, “Intellectual Property Rights”) used or held for use in the conduct of their respective businesses as currently conducted and as proposed in the Registration Statement, the Pricing Disclosure Package and the Prospectus to be conducted, except where the failure to own, possess or license such Intellectual Property Rights would not, individually or in the aggregate, reasonably be expected to have a Material Adverse Effect. Neither the Company nor any of its subsidiaries has materially infringed, misappropriated or otherwise violated the Intellectual Property Rights of any third party, and neither the manufacture of, nor the use or sale of, any of the product candidates described in the Registration Statement, the Pricing Disclosure Package and the Prospectus will materially infringe, misappropriate or otherwise violate the Intellectual Property Rights of any third party. Except as disclosed in the Registration Statement, the Pricing Disclosure Package and the Prospectus, there are no rights of third parties (including any liens or encumbrances) to any of the Intellectual Property Rights owned or purported to be owned by, or exclusively licensed to, the Company or any of its subsidiaries. Except as would not, individually or in aggregate, if determined adversely to the Company or any of its subsidiaries, reasonably be expected to have a Material Adverse Effect, there is no pending or, to the Company’s knowledge, threatened action, suit, proceeding or claim by any third party (i) challenging the Company’s or any subsidiary of the Company’s rights in or to, or alleging a violation of any of the terms of, any of their owned or licensed Intellectual Property Rights; (ii) alleging that the Company or any of its subsidiaries has infringed, misappropriated or otherwise violated any Intellectual Property Rights of any third party; or (iii) challenging the validity, scope or enforceability of any Intellectual Property Rights owned by or exclusively licensed to the Company or any of its subsidiaries, and in the case of each of (i), (ii) and (iii), the Company is unaware of any facts that would form a reasonable basis for any such action, suit, proceeding or claim. To the Company’s knowledge, there is no infringement, misappropriation, breach or default, or other violation by others of any Intellectual Property Rights owned by or exclusively licensed to the Company or any of its subsidiaries, and all Intellectual Property Rights owned by or licensed to the Company or any of its subsidiaries are valid and enforceable, except in each case as would not reasonably be expected, individually or in the aggregate, to have a Material Adverse Effect. The Company and its subsidiaries have at all times taken reasonable steps in accordance with normal industry practice to maintain the confidentiality of all Intellectual Property Rights owned by the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271" w:right="239" w:bottom="1440" w:gutter="0" w:footer="0" w:header="0"/>
        </w:sectPr>
      </w:pPr>
    </w:p>
    <w:bookmarkStart w:id="270" w:name="page271"/>
    <w:bookmarkEnd w:id="270"/>
    <w:p>
      <w:pPr>
        <w:ind w:right="20"/>
        <w:spacing w:after="0" w:line="29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Company, the value of which to the Company or any Company subsidiary is contingent upon maintaining the confidentiality thereof. All founders, current and former employees, consultants and other parties involved in the development of Intellectual Property Rights for the Company or any of its subsidiaries have signed confidentiality and invention assignment agreements with the Company or any of its subsidiaries pursuant to which the Company or any of its subsidiaries either</w:t>
      </w:r>
    </w:p>
    <w:p>
      <w:pPr>
        <w:ind w:right="60" w:firstLine="5"/>
        <w:spacing w:after="0" w:line="265" w:lineRule="auto"/>
        <w:tabs>
          <w:tab w:leader="none" w:pos="247" w:val="left"/>
        </w:tabs>
        <w:numPr>
          <w:ilvl w:val="0"/>
          <w:numId w:val="129"/>
        </w:numPr>
        <w:rPr>
          <w:rFonts w:ascii="Arial" w:cs="Arial" w:eastAsia="Arial" w:hAnsi="Arial"/>
          <w:sz w:val="17"/>
          <w:szCs w:val="17"/>
          <w:color w:val="auto"/>
        </w:rPr>
      </w:pPr>
      <w:r>
        <w:rPr>
          <w:rFonts w:ascii="Arial" w:cs="Arial" w:eastAsia="Arial" w:hAnsi="Arial"/>
          <w:sz w:val="17"/>
          <w:szCs w:val="17"/>
          <w:color w:val="auto"/>
        </w:rPr>
        <w:t>has obtained ownership of and is the exclusive owner of such Intellectual Property Rights, or (y) has obtained a valid and unrestricted right to exploit such Intellectual Property Rights, sufficient for the conduct of the business as currently conducted and as proposed in the Registration Statement, the Pricing Disclosure Package and the Prospectus to be conducted;</w:t>
      </w:r>
    </w:p>
    <w:p>
      <w:pPr>
        <w:spacing w:after="0" w:line="73" w:lineRule="exact"/>
        <w:rPr>
          <w:rFonts w:ascii="Arial" w:cs="Arial" w:eastAsia="Arial" w:hAnsi="Arial"/>
          <w:sz w:val="17"/>
          <w:szCs w:val="17"/>
          <w:color w:val="auto"/>
        </w:rPr>
      </w:pPr>
    </w:p>
    <w:p>
      <w:pPr>
        <w:ind w:right="60" w:firstLine="461"/>
        <w:spacing w:after="0" w:line="278" w:lineRule="auto"/>
        <w:tabs>
          <w:tab w:leader="none" w:pos="791" w:val="left"/>
        </w:tabs>
        <w:numPr>
          <w:ilvl w:val="1"/>
          <w:numId w:val="129"/>
        </w:numPr>
        <w:rPr>
          <w:rFonts w:ascii="Arial" w:cs="Arial" w:eastAsia="Arial" w:hAnsi="Arial"/>
          <w:sz w:val="16"/>
          <w:szCs w:val="16"/>
          <w:color w:val="auto"/>
        </w:rPr>
      </w:pPr>
      <w:r>
        <w:rPr>
          <w:rFonts w:ascii="Arial" w:cs="Arial" w:eastAsia="Arial" w:hAnsi="Arial"/>
          <w:sz w:val="16"/>
          <w:szCs w:val="16"/>
          <w:color w:val="auto"/>
        </w:rPr>
        <w:t>(i) Except as disclosed in the Registration Statement, the Pricing Disclosure Package and the Prospectus, (x) to the Company’s knowledge, there has been no security breach or other compromise of or relating to any of the Company’s or its subsidiaries’ information technology and computer systems, networks, hardware, software, data (including the data of their respective customers, employees, suppliers, vendors and any third party data maintained by or on behalf of them), equipment or technology (collectively, “IT Systems and Data”) and (y) the Company and its subsidiaries have not been notified of, and have no knowledge of any event or condition that would reasonably be expected to result in, any security breach or other compromise to their IT Systems and Data; (ii)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 the case of clauses (i) and (ii), individually or in the aggregate, have a Material Adverse Effect; and (iii) the Company and its subsidiaries have implemented backup and disaster recovery technology consistent with industry standards and practices.</w:t>
      </w:r>
    </w:p>
    <w:p>
      <w:pPr>
        <w:spacing w:after="0" w:line="68" w:lineRule="exact"/>
        <w:rPr>
          <w:rFonts w:ascii="Arial" w:cs="Arial" w:eastAsia="Arial" w:hAnsi="Arial"/>
          <w:sz w:val="16"/>
          <w:szCs w:val="16"/>
          <w:color w:val="auto"/>
        </w:rPr>
      </w:pPr>
    </w:p>
    <w:p>
      <w:pPr>
        <w:ind w:right="40" w:firstLine="461"/>
        <w:spacing w:after="0" w:line="297" w:lineRule="auto"/>
        <w:tabs>
          <w:tab w:leader="none" w:pos="713"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The Registration Statement, any Preliminary Prospectus, the Pricing Prospectus and the Prospectus comply, and any amendments or supplements thereto will comply with any applicable laws or regulations of foreign jurisdictions in which the Registration Statement, any Preliminary Prospectus, the Pricing Prospectus and the Prospectus, as amended or supplemented, if applicable, are distributed in connection with the Directed Share Program;</w:t>
      </w:r>
    </w:p>
    <w:p>
      <w:pPr>
        <w:spacing w:after="0" w:line="50" w:lineRule="exact"/>
        <w:rPr>
          <w:rFonts w:ascii="Arial" w:cs="Arial" w:eastAsia="Arial" w:hAnsi="Arial"/>
          <w:sz w:val="16"/>
          <w:szCs w:val="16"/>
          <w:color w:val="auto"/>
        </w:rPr>
      </w:pPr>
    </w:p>
    <w:p>
      <w:pPr>
        <w:ind w:firstLine="461"/>
        <w:spacing w:after="0" w:line="322" w:lineRule="auto"/>
        <w:tabs>
          <w:tab w:leader="none" w:pos="713" w:val="left"/>
        </w:tabs>
        <w:numPr>
          <w:ilvl w:val="1"/>
          <w:numId w:val="129"/>
        </w:numPr>
        <w:rPr>
          <w:rFonts w:ascii="Arial" w:cs="Arial" w:eastAsia="Arial" w:hAnsi="Arial"/>
          <w:sz w:val="16"/>
          <w:szCs w:val="16"/>
          <w:color w:val="auto"/>
        </w:rPr>
      </w:pPr>
      <w:r>
        <w:rPr>
          <w:rFonts w:ascii="Arial" w:cs="Arial" w:eastAsia="Arial" w:hAnsi="Arial"/>
          <w:sz w:val="16"/>
          <w:szCs w:val="16"/>
          <w:color w:val="auto"/>
        </w:rPr>
        <w:t>No consent, approval, license, authorization or order of, or registration or qualification with, any governmental body or agency, other than those obtained heretofore, is required in connection with the offering of the Directed Shares in any jurisdiction where the Directed Shares are being offered; and</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271" w:right="239" w:bottom="1440" w:gutter="0" w:footer="0" w:header="0"/>
        </w:sectPr>
      </w:pPr>
    </w:p>
    <w:bookmarkStart w:id="271" w:name="page272"/>
    <w:bookmarkEnd w:id="271"/>
    <w:p>
      <w:pPr>
        <w:jc w:val="both"/>
        <w:ind w:right="60" w:firstLine="461"/>
        <w:spacing w:after="0" w:line="273" w:lineRule="auto"/>
        <w:tabs>
          <w:tab w:leader="none" w:pos="791" w:val="left"/>
        </w:tabs>
        <w:numPr>
          <w:ilvl w:val="0"/>
          <w:numId w:val="13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Company has not offered, or caused the DSP Agent or its affiliates to offer, Shares to any person pursuant to the Directed Share Program with the specific intent to unlawfully influence (i) a customer or supplier of the Company to alter the customer’s or supplier’s level or type of business with the Company, or (ii) a trade journalist or publication to write or publish favorable information about the Company or its products.</w:t>
      </w:r>
    </w:p>
    <w:p>
      <w:pPr>
        <w:spacing w:after="0" w:line="66" w:lineRule="exact"/>
        <w:rPr>
          <w:sz w:val="20"/>
          <w:szCs w:val="20"/>
          <w:color w:val="auto"/>
        </w:rPr>
      </w:pPr>
    </w:p>
    <w:p>
      <w:pPr>
        <w:ind w:firstLine="461"/>
        <w:spacing w:after="0" w:line="278" w:lineRule="auto"/>
        <w:tabs>
          <w:tab w:leader="none" w:pos="631" w:val="left"/>
        </w:tabs>
        <w:numPr>
          <w:ilvl w:val="0"/>
          <w:numId w:val="131"/>
        </w:numPr>
        <w:rPr>
          <w:rFonts w:ascii="Arial" w:cs="Arial" w:eastAsia="Arial" w:hAnsi="Arial"/>
          <w:sz w:val="16"/>
          <w:szCs w:val="16"/>
          <w:color w:val="auto"/>
        </w:rPr>
      </w:pPr>
      <w:r>
        <w:rPr>
          <w:rFonts w:ascii="Arial" w:cs="Arial" w:eastAsia="Arial" w:hAnsi="Arial"/>
          <w:sz w:val="16"/>
          <w:szCs w:val="16"/>
          <w:color w:val="auto"/>
        </w:rPr>
        <w:t>Subject to the terms and conditions herein set forth, (a) the Company agrees to issue and sell to each of the Underwriters, and each of the Underwriters agrees, severally and not jointly, to purchase from the Company, at a purchase price per share of $[•], the number of Firm Shares set forth opposite the name of such Underwriter in Schedule I hereto and (b) in the event and to the extent that the Underwriters shall exercise the election to purchase Optional Shares as provided below, the Company agrees to issue and sell to each of the Underwriters, and each of the Underwriters agrees, severally and not jointly, to purchase from the Company, at the purchase price per share set forth in clause (a) of this Section 2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73" w:lineRule="exact"/>
        <w:rPr>
          <w:sz w:val="20"/>
          <w:szCs w:val="20"/>
          <w:color w:val="auto"/>
        </w:rPr>
      </w:pPr>
    </w:p>
    <w:p>
      <w:pPr>
        <w:ind w:right="80" w:firstLine="457"/>
        <w:spacing w:after="0" w:line="281" w:lineRule="auto"/>
        <w:rPr>
          <w:sz w:val="20"/>
          <w:szCs w:val="20"/>
          <w:color w:val="auto"/>
        </w:rPr>
      </w:pPr>
      <w:r>
        <w:rPr>
          <w:rFonts w:ascii="Arial" w:cs="Arial" w:eastAsia="Arial" w:hAnsi="Arial"/>
          <w:sz w:val="16"/>
          <w:szCs w:val="16"/>
          <w:color w:val="auto"/>
        </w:rPr>
        <w:t>The Company hereby grants to the Underwriters the right to purchase at their election up to [•] Optional Shares, at the purchase price per share set forth in the paragraph above, for the sole purpose of covering sales of shares in excess of the number of Firm Shares,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you to the Company, given within a period of 30 calendar days after the date of this Agreement and setting forth the aggregate number of Optional Shares to be purchased and the date on which such Optional Shares are to be delivered, as determined by you but in no event earlier than the First Time of Delivery (as defined in Section 4 hereof) or, unless you and the Company otherwise agree in writing, earlier than two or later than ten business days after the date of such notice.</w:t>
      </w:r>
    </w:p>
    <w:p>
      <w:pPr>
        <w:spacing w:after="0" w:line="63" w:lineRule="exact"/>
        <w:rPr>
          <w:sz w:val="20"/>
          <w:szCs w:val="20"/>
          <w:color w:val="auto"/>
        </w:rPr>
      </w:pPr>
    </w:p>
    <w:p>
      <w:pPr>
        <w:ind w:right="220" w:firstLine="461"/>
        <w:spacing w:after="0" w:line="289" w:lineRule="auto"/>
        <w:tabs>
          <w:tab w:leader="none" w:pos="631" w:val="left"/>
        </w:tabs>
        <w:numPr>
          <w:ilvl w:val="0"/>
          <w:numId w:val="132"/>
        </w:numPr>
        <w:rPr>
          <w:rFonts w:ascii="Arial" w:cs="Arial" w:eastAsia="Arial" w:hAnsi="Arial"/>
          <w:sz w:val="17"/>
          <w:szCs w:val="17"/>
          <w:color w:val="auto"/>
        </w:rPr>
      </w:pPr>
      <w:r>
        <w:rPr>
          <w:rFonts w:ascii="Arial" w:cs="Arial" w:eastAsia="Arial" w:hAnsi="Arial"/>
          <w:sz w:val="17"/>
          <w:szCs w:val="17"/>
          <w:color w:val="auto"/>
        </w:rPr>
        <w:t>Upon the authorization by you of the release of the Firm Shares, the several Underwriters propose to offer the Firm Shares for sale upon the terms and conditions set forth in the Prospectus.</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340"/>
          </w:cols>
          <w:pgMar w:left="240" w:top="271" w:right="319" w:bottom="1440" w:gutter="0" w:footer="0" w:header="0"/>
        </w:sectPr>
      </w:pPr>
    </w:p>
    <w:bookmarkStart w:id="272" w:name="page273"/>
    <w:bookmarkEnd w:id="272"/>
    <w:p>
      <w:pPr>
        <w:ind w:left="-60" w:firstLine="461"/>
        <w:spacing w:after="0" w:line="277" w:lineRule="auto"/>
        <w:tabs>
          <w:tab w:leader="none" w:pos="571" w:val="left"/>
        </w:tabs>
        <w:numPr>
          <w:ilvl w:val="0"/>
          <w:numId w:val="1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 The Shares to be purchased by each Underwriter hereunder, in definitive or book-entry form, and in such authorized denominations and registered in such names as the Representatives may request upon at least forty-eight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 specified by the Company to the Representatives at least forty-eight hours in advance. The Company will cause the certificates, if any, representing the Shares to be made available for checking and packaging at least twenty-four hours prior to the Time of Delivery (as defined below) with respect thereto at the office of DTC or its designated custodian (the “Designated Office”). The time and date of such delivery and payment shall be, with respect to the Firm Shares, [•] a.m., New York City time, on [•], 2019 or such other time and date as the Representatives and the Company may agree upon in writing, and, with respect to the Optional Shares, [•] a.m., New York City time, on the date specified by the Representatives in the written notice given by the Representatives of the Underwriters’ election to purchase such Optional Shares, or such other time and date as the Representatives and the Company may agree upon in writing. Such time and date for delivery of the Firm Shares is herein called the “First Time of Delivery”, each such time and date for delivery of the Optional Shares, if not the First Time of Delivery, is herein called the “Second Time of Delivery”, and each such time and date for delivery is herein called a “Time of Delivery”.</w:t>
      </w:r>
    </w:p>
    <w:p>
      <w:pPr>
        <w:spacing w:after="0" w:line="71" w:lineRule="exact"/>
        <w:rPr>
          <w:sz w:val="20"/>
          <w:szCs w:val="20"/>
          <w:color w:val="auto"/>
        </w:rPr>
      </w:pPr>
    </w:p>
    <w:p>
      <w:pPr>
        <w:ind w:left="-60" w:firstLine="461"/>
        <w:spacing w:after="0" w:line="281" w:lineRule="auto"/>
        <w:tabs>
          <w:tab w:leader="none" w:pos="644"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documents to be delivered at each Time of Delivery by or on behalf of the parties hereto pursuant to Section 8 hereof, including the cross receipt for the Shares and any additional documents requested by the Underwriters pursuant to Section 8(k) hereof will be delivered at the offices of Davis Polk &amp; Wardwell LLP, 1600 El Camino Real, Menlo Park, California 94025 (the “Closing Location”), and the Shares will be delivered at the Designated Office, all at such Time of Delivery. A meeting will be held at the Closing Location at [•] p.m.,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City are generally authorized or obligated by law or executive order to close.</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5. The Company agrees with each of the Underwriters:</w:t>
      </w:r>
    </w:p>
    <w:p>
      <w:pPr>
        <w:spacing w:after="0" w:line="119" w:lineRule="exact"/>
        <w:rPr>
          <w:sz w:val="20"/>
          <w:szCs w:val="20"/>
          <w:color w:val="auto"/>
        </w:rPr>
      </w:pPr>
    </w:p>
    <w:p>
      <w:pPr>
        <w:ind w:left="-60" w:right="100" w:firstLine="461"/>
        <w:spacing w:after="0" w:line="359" w:lineRule="auto"/>
        <w:tabs>
          <w:tab w:leader="none" w:pos="634" w:val="left"/>
        </w:tabs>
        <w:numPr>
          <w:ilvl w:val="0"/>
          <w:numId w:val="135"/>
        </w:numPr>
        <w:rPr>
          <w:rFonts w:ascii="Arial" w:cs="Arial" w:eastAsia="Arial" w:hAnsi="Arial"/>
          <w:sz w:val="15"/>
          <w:szCs w:val="15"/>
          <w:color w:val="auto"/>
        </w:rPr>
      </w:pPr>
      <w:r>
        <w:rPr>
          <w:rFonts w:ascii="Arial" w:cs="Arial" w:eastAsia="Arial" w:hAnsi="Arial"/>
          <w:sz w:val="15"/>
          <w:szCs w:val="15"/>
          <w:color w:val="auto"/>
        </w:rPr>
        <w:t>To prepare the Prospectus in a form approved by you and to file such Prospectus pursuant to Rule 424(b) under the Act not later than the Commission’s close of business on the second business day following the execution and delivery of this Agreement, or, if applicable, such earlier time as may be required</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320"/>
          </w:cols>
          <w:pgMar w:left="300" w:top="271" w:right="279" w:bottom="1440" w:gutter="0" w:footer="0" w:header="0"/>
        </w:sectPr>
      </w:pPr>
    </w:p>
    <w:bookmarkStart w:id="273" w:name="page274"/>
    <w:bookmarkEnd w:id="273"/>
    <w:p>
      <w:pPr>
        <w:ind w:right="20"/>
        <w:spacing w:after="0" w:line="30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by Rule 430A(a)(3) under the Act; to make no further amendment or any supplement to the Registration Statement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to advise you,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relating to the Shares or suspending any such qualification, to promptly use its best efforts to obtain the withdrawal of such order;</w:t>
      </w:r>
    </w:p>
    <w:p>
      <w:pPr>
        <w:spacing w:after="0" w:line="50" w:lineRule="exact"/>
        <w:rPr>
          <w:sz w:val="20"/>
          <w:szCs w:val="20"/>
          <w:color w:val="auto"/>
        </w:rPr>
      </w:pPr>
    </w:p>
    <w:p>
      <w:pPr>
        <w:ind w:firstLine="461"/>
        <w:spacing w:after="0" w:line="265" w:lineRule="auto"/>
        <w:tabs>
          <w:tab w:leader="none" w:pos="704" w:val="left"/>
        </w:tabs>
        <w:numPr>
          <w:ilvl w:val="0"/>
          <w:numId w:val="136"/>
        </w:numPr>
        <w:rPr>
          <w:rFonts w:ascii="Arial" w:cs="Arial" w:eastAsia="Arial" w:hAnsi="Arial"/>
          <w:sz w:val="17"/>
          <w:szCs w:val="17"/>
          <w:color w:val="auto"/>
        </w:rPr>
      </w:pPr>
      <w:r>
        <w:rPr>
          <w:rFonts w:ascii="Arial" w:cs="Arial" w:eastAsia="Arial" w:hAnsi="Arial"/>
          <w:sz w:val="17"/>
          <w:szCs w:val="17"/>
          <w:color w:val="auto"/>
        </w:rPr>
        <w:t>Promptly from time to time to take such action as you may reasonably request to qualify the Shares for offering and sale under the securities laws of such jurisdictions as you may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or to file a general consent to service of process in any jurisdiction or subject itself to taxation for doing business in any jurisdiction in which it is not otherwise subject to taxation;</w:t>
      </w:r>
    </w:p>
    <w:p>
      <w:pPr>
        <w:spacing w:after="0" w:line="73" w:lineRule="exact"/>
        <w:rPr>
          <w:rFonts w:ascii="Arial" w:cs="Arial" w:eastAsia="Arial" w:hAnsi="Arial"/>
          <w:sz w:val="17"/>
          <w:szCs w:val="17"/>
          <w:color w:val="auto"/>
        </w:rPr>
      </w:pPr>
    </w:p>
    <w:p>
      <w:pPr>
        <w:ind w:firstLine="461"/>
        <w:spacing w:after="0" w:line="280" w:lineRule="auto"/>
        <w:tabs>
          <w:tab w:leader="none" w:pos="694" w:val="left"/>
        </w:tabs>
        <w:numPr>
          <w:ilvl w:val="0"/>
          <w:numId w:val="136"/>
        </w:numPr>
        <w:rPr>
          <w:rFonts w:ascii="Arial" w:cs="Arial" w:eastAsia="Arial" w:hAnsi="Arial"/>
          <w:sz w:val="16"/>
          <w:szCs w:val="16"/>
          <w:color w:val="auto"/>
        </w:rPr>
      </w:pPr>
      <w:r>
        <w:rPr>
          <w:rFonts w:ascii="Arial" w:cs="Arial" w:eastAsia="Arial" w:hAnsi="Arial"/>
          <w:sz w:val="16"/>
          <w:szCs w:val="16"/>
          <w:color w:val="auto"/>
        </w:rPr>
        <w:t>Prior to 10:00 a.m., New York City time, on the New York Business Day next succeeding the date of this Agreement and from time to time, to furnish 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you and upon your request to prepare and furnish without charge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271" w:right="239" w:bottom="1440" w:gutter="0" w:footer="0" w:header="0"/>
        </w:sectPr>
      </w:pPr>
    </w:p>
    <w:bookmarkStart w:id="274" w:name="page275"/>
    <w:bookmarkEnd w:id="274"/>
    <w:p>
      <w:pPr>
        <w:ind w:right="40"/>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to each Underwriter and to any dealer (whose name and address the Underwriters shall furnish to the Company in connection with such request) in securities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spacing w:after="0" w:line="77" w:lineRule="exact"/>
        <w:rPr>
          <w:sz w:val="20"/>
          <w:szCs w:val="20"/>
          <w:color w:val="auto"/>
        </w:rPr>
      </w:pPr>
    </w:p>
    <w:p>
      <w:pPr>
        <w:ind w:right="340" w:firstLine="461"/>
        <w:spacing w:after="0" w:line="325" w:lineRule="auto"/>
        <w:tabs>
          <w:tab w:leader="none" w:pos="704" w:val="left"/>
        </w:tabs>
        <w:numPr>
          <w:ilvl w:val="0"/>
          <w:numId w:val="137"/>
        </w:numPr>
        <w:rPr>
          <w:rFonts w:ascii="Arial" w:cs="Arial" w:eastAsia="Arial" w:hAnsi="Arial"/>
          <w:sz w:val="15"/>
          <w:szCs w:val="15"/>
          <w:color w:val="auto"/>
        </w:rPr>
      </w:pPr>
      <w:r>
        <w:rPr>
          <w:rFonts w:ascii="Arial" w:cs="Arial" w:eastAsia="Arial" w:hAnsi="Arial"/>
          <w:sz w:val="15"/>
          <w:szCs w:val="15"/>
          <w:color w:val="auto"/>
        </w:rPr>
        <w:t>To make generally available to its securityholders as soon as practicable,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32" w:lineRule="exact"/>
        <w:rPr>
          <w:rFonts w:ascii="Arial" w:cs="Arial" w:eastAsia="Arial" w:hAnsi="Arial"/>
          <w:sz w:val="15"/>
          <w:szCs w:val="15"/>
          <w:color w:val="auto"/>
        </w:rPr>
      </w:pPr>
    </w:p>
    <w:p>
      <w:pPr>
        <w:ind w:right="80" w:firstLine="461"/>
        <w:spacing w:after="0" w:line="289" w:lineRule="auto"/>
        <w:tabs>
          <w:tab w:leader="none" w:pos="694"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To comply with all applicable securities and other laws, rules and regulations in each jurisdiction in which the Directed Shares are offered in connection with the Directed Share Program.</w:t>
      </w:r>
    </w:p>
    <w:p>
      <w:pPr>
        <w:spacing w:after="0" w:line="53"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(f)(1) During the period beginning from the date hereof and continuing to and including the date 180 days after the date of the Prospectus (the “Lock-Up Period”), not to (i) offer, sell, contract to sell, pledge, grant any option to purchase, make any short sale or otherwise transfer or dispose of, directly or indirectly, or file with or confidentially submit to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or publicly disclose the intention to make any offer, sale, pledge, disposition or filing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(other than the Shares to be sold hereunder or pursuant to employee stock option plans existing on, or upon the conversion or exchange of convertible or exchangeable securities outstanding as of, the date of this Agreement), without the prior written consent of the Representatives; provided, however, that the foregoing restrictions shall not apply to (A) the Shares sold hereunder, (B) the issuance by the Company of shares of Stock upon the exercise of an option or warrant or the conversion of a security outstanding on the date hereof, (C) the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00"/>
          </w:cols>
          <w:pgMar w:left="240" w:top="271" w:right="259" w:bottom="1440" w:gutter="0" w:footer="0" w:header="0"/>
        </w:sectPr>
      </w:pPr>
    </w:p>
    <w:bookmarkStart w:id="275" w:name="page276"/>
    <w:bookmarkEnd w:id="275"/>
    <w:p>
      <w:pPr>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issuance by the Company of Stock or other securities convertible or exercisable into Stock, in each case pursuant to the Company’s and its subsidiaries stock plans that are described in the Pricing Prospectus, (D) the filing of a registration statement on Form S-8 or any successor form thereto with respect to the registration of securities to be offered under any employee benefit or equity incentive plans of the Company or its subsidiaries, (E) the issuance of shares of Stock to Merck Sharp &amp; Dohme Corp. (or one or more of its affiliates) in a private placement, as described in the Pricing Prospectus, or (F) the issuance of shares of Stock or any security convertible into or exercisable for shares of Stock in connection with transactions that include a commercial relationship (including without limitation, joint ventures, marketing or distribution arrangements, collaboration agreements or intellectual property license agreements) or any acquisition by the Company or any of its subsidiaries of the securities, business, property or other assets of another person or entity or pursuant to any employee benefit plan assumed by the Company in connection with such acquisition, and the issuance of any such securities pursuant to any such agreement; provided further, that, in the case of clause (F), the aggregate number of shares of Stock that the Company may sell or issue or agree to sell or issue shall not exceed 5% of the total number of shares of Stock issued and outstanding immediately following the completion of the transactions contemplated by this Agreement, and provided further that the Company shall cause each recipient of such securities to execute and deliver to you, on or prior to the issuance of such securities, a lock-up letter as described in Section 8(j) hereof (and with the same date of expiration), and enter stop transfer instructions with the Company’s transfer agent and registrar of such securities, which the Company agrees it will not waive or amend without the prior written consent of the representatives.</w:t>
      </w:r>
    </w:p>
    <w:p>
      <w:pPr>
        <w:spacing w:after="0" w:line="68"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(f)(2) If the Representatives, in their sole discretion, agree to release or waive the restrictions set forth in a lock-up letter described in Section 5(f)(1) hereof, for an officer or director of the Company and provide the Company with notice of the impending release or waiver at least three business days before the effective date of the release or waiver, the Company agrees to announce the impending release or waiver by (A) a press release substantially in the form of Annex I hereto through a major news service, or (B) any other method that satisfies the obligations described in FINRA Rule 5131(d)(2), at least two business days before the effective date of the release or waiver;</w:t>
      </w:r>
    </w:p>
    <w:p>
      <w:pPr>
        <w:spacing w:after="0" w:line="73" w:lineRule="exact"/>
        <w:rPr>
          <w:sz w:val="20"/>
          <w:szCs w:val="20"/>
          <w:color w:val="auto"/>
        </w:rPr>
      </w:pPr>
    </w:p>
    <w:p>
      <w:pPr>
        <w:ind w:right="60" w:firstLine="461"/>
        <w:spacing w:after="0" w:line="263" w:lineRule="auto"/>
        <w:tabs>
          <w:tab w:leader="none" w:pos="704"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To furnish to its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 provided, however, that the Company may satisfy the requirements of this subsection by filing such information through the Commission’s Electronic Data Gathering, Analysis and Retrieval System (“EDGAR”);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380"/>
          </w:cols>
          <w:pgMar w:left="240" w:top="272" w:right="279" w:bottom="1440" w:gutter="0" w:footer="0" w:header="0"/>
        </w:sectPr>
      </w:pPr>
    </w:p>
    <w:bookmarkStart w:id="276" w:name="page277"/>
    <w:bookmarkEnd w:id="276"/>
    <w:p>
      <w:pPr>
        <w:ind w:left="-100" w:right="100" w:firstLine="461"/>
        <w:spacing w:after="0" w:line="283" w:lineRule="auto"/>
        <w:tabs>
          <w:tab w:leader="none" w:pos="604" w:val="left"/>
        </w:tabs>
        <w:numPr>
          <w:ilvl w:val="0"/>
          <w:numId w:val="1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During a period of five years from the effective date of the Registration Statement, to furnish to you copies of all reports or other communications (financial or other) furnished to stockholders, and to deliver to you (i) as soon as they are available, copies of any reports and financial statements furnished to or filed with the Commission or any national securities exchange on which any class of securities of the Company is listed; and (ii) such additional information concerning the business and financial condition of the Company as you may from time to time reasonably request (such financial statements to be on a consolidated basis to the extent the accounts of the Company and its subsidiaries are consolidated in reports furnished to its stockholders generally or to the Commission); provided, however, that the Company shall not be required to provide documents that are available through EDGAR;</w:t>
      </w:r>
    </w:p>
    <w:p>
      <w:pPr>
        <w:spacing w:after="0" w:line="60" w:lineRule="exact"/>
        <w:rPr>
          <w:rFonts w:ascii="Arial" w:cs="Arial" w:eastAsia="Arial" w:hAnsi="Arial"/>
          <w:sz w:val="16"/>
          <w:szCs w:val="16"/>
          <w:color w:val="auto"/>
        </w:rPr>
      </w:pPr>
    </w:p>
    <w:p>
      <w:pPr>
        <w:ind w:left="-100" w:right="40" w:firstLine="461"/>
        <w:spacing w:after="0" w:line="289" w:lineRule="auto"/>
        <w:tabs>
          <w:tab w:leader="none" w:pos="56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To use the net proceeds received by it from the sale of the Shares pursuant to this Agreement in the manner specified in the Pricing Prospectus under the caption “Use of Proceeds”;</w:t>
      </w:r>
    </w:p>
    <w:p>
      <w:pPr>
        <w:spacing w:after="0" w:line="53" w:lineRule="exact"/>
        <w:rPr>
          <w:rFonts w:ascii="Arial" w:cs="Arial" w:eastAsia="Arial" w:hAnsi="Arial"/>
          <w:sz w:val="17"/>
          <w:szCs w:val="17"/>
          <w:color w:val="auto"/>
        </w:rPr>
      </w:pPr>
    </w:p>
    <w:p>
      <w:pPr>
        <w:ind w:left="560" w:hanging="199"/>
        <w:spacing w:after="0"/>
        <w:tabs>
          <w:tab w:leader="none" w:pos="5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To use its best efforts to list for quotation the Shares on the Exchange;</w:t>
      </w:r>
    </w:p>
    <w:p>
      <w:pPr>
        <w:spacing w:after="0" w:line="118" w:lineRule="exact"/>
        <w:rPr>
          <w:rFonts w:ascii="Arial" w:cs="Arial" w:eastAsia="Arial" w:hAnsi="Arial"/>
          <w:sz w:val="17"/>
          <w:szCs w:val="17"/>
          <w:color w:val="auto"/>
        </w:rPr>
      </w:pPr>
    </w:p>
    <w:p>
      <w:pPr>
        <w:ind w:left="600" w:hanging="239"/>
        <w:spacing w:after="0"/>
        <w:tabs>
          <w:tab w:leader="none" w:pos="6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To file with the Commission such information on Form 10-Q or Form 10-K as may be required by Rule 463 under the Act;</w:t>
      </w:r>
    </w:p>
    <w:p>
      <w:pPr>
        <w:spacing w:after="0" w:line="118" w:lineRule="exact"/>
        <w:rPr>
          <w:rFonts w:ascii="Arial" w:cs="Arial" w:eastAsia="Arial" w:hAnsi="Arial"/>
          <w:sz w:val="17"/>
          <w:szCs w:val="17"/>
          <w:color w:val="auto"/>
        </w:rPr>
      </w:pPr>
    </w:p>
    <w:p>
      <w:pPr>
        <w:ind w:left="-100" w:right="140" w:firstLine="461"/>
        <w:spacing w:after="0" w:line="267" w:lineRule="auto"/>
        <w:tabs>
          <w:tab w:leader="none" w:pos="56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3a(c) of the Commission’s Informal and Other Procedures (16 CFR 202.3a);</w:t>
      </w:r>
    </w:p>
    <w:p>
      <w:pPr>
        <w:spacing w:after="0" w:line="72" w:lineRule="exact"/>
        <w:rPr>
          <w:rFonts w:ascii="Arial" w:cs="Arial" w:eastAsia="Arial" w:hAnsi="Arial"/>
          <w:sz w:val="17"/>
          <w:szCs w:val="17"/>
          <w:color w:val="auto"/>
        </w:rPr>
      </w:pPr>
    </w:p>
    <w:p>
      <w:pPr>
        <w:ind w:left="-100" w:firstLine="461"/>
        <w:spacing w:after="0" w:line="289" w:lineRule="auto"/>
        <w:tabs>
          <w:tab w:leader="none" w:pos="652"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To promptly notify you if the Company ceases to be an Emerging Growth Company at any time prior to the later of (i) completion of the distribution of the Shares within the meaning of the Act and (ii) completion of the 180-day restricted period referred to in Section 5(e) hereof;</w:t>
      </w:r>
    </w:p>
    <w:p>
      <w:pPr>
        <w:spacing w:after="0" w:line="53" w:lineRule="exact"/>
        <w:rPr>
          <w:rFonts w:ascii="Arial" w:cs="Arial" w:eastAsia="Arial" w:hAnsi="Arial"/>
          <w:sz w:val="17"/>
          <w:szCs w:val="17"/>
          <w:color w:val="auto"/>
        </w:rPr>
      </w:pPr>
    </w:p>
    <w:p>
      <w:pPr>
        <w:ind w:left="-100" w:right="80" w:firstLine="461"/>
        <w:spacing w:after="0" w:line="267" w:lineRule="auto"/>
        <w:tabs>
          <w:tab w:leader="none" w:pos="604"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License shall be used solely for the purpose described above, is granted without any fee and may not be assigned or transferred; and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240"/>
          </w:cols>
          <w:pgMar w:left="340" w:top="271" w:right="319" w:bottom="1440" w:gutter="0" w:footer="0" w:header="0"/>
        </w:sectPr>
      </w:pPr>
    </w:p>
    <w:bookmarkStart w:id="277" w:name="page278"/>
    <w:bookmarkEnd w:id="277"/>
    <w:p>
      <w:pPr>
        <w:ind w:left="-80" w:firstLine="461"/>
        <w:spacing w:after="0" w:line="263" w:lineRule="auto"/>
        <w:tabs>
          <w:tab w:leader="none" w:pos="624" w:val="left"/>
        </w:tabs>
        <w:numPr>
          <w:ilvl w:val="0"/>
          <w:numId w:val="1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To cause each participant in the Directed Share Program that holds Company securities prior to the public offering to execute a lock-up agreement in the form attached as Annex II and otherwise to cause the Directed Shares to be restricted from sale, transfer, assignment, pledge or hypothecation to such extent as may be required by FINRA and its rules (such shares, the “Restricted Directed Shares”); to direct the transfer agent to place stop transfer restrictions upon such Restricted Directed Shares during the Lock-Up Period or any such longer period of time as may be required by FINRA and its rules; and to comply with all applicable securities and other laws, rules and regulations in each jurisdiction in which the Directed Shares are offered in connection with the Directed Share Program.</w:t>
      </w:r>
    </w:p>
    <w:p>
      <w:pPr>
        <w:spacing w:after="0" w:line="77" w:lineRule="exact"/>
        <w:rPr>
          <w:sz w:val="20"/>
          <w:szCs w:val="20"/>
          <w:color w:val="auto"/>
        </w:rPr>
      </w:pPr>
    </w:p>
    <w:p>
      <w:pPr>
        <w:ind w:left="-80" w:right="20" w:firstLine="461"/>
        <w:spacing w:after="0" w:line="265" w:lineRule="auto"/>
        <w:tabs>
          <w:tab w:leader="none" w:pos="551"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 The Company represents and agrees that, without the prior consent of the Representatives, it has not made and will not make any offer relating to the Shares that would constitute a “free writing prospectus” as defined in Rule 405 under the Act; each Underwriter represents and agrees that, without the prior consent of the Company and the Representatives, it has not made and will not make any offer relating to the Shares that would constitute a free writing prospectus required to be filed with the Commission; any such free writing prospectus the use of which has been consented to by the Company and the Representatives is listed on Schedule II(a) or Schedule II(c) hereto;</w:t>
      </w:r>
    </w:p>
    <w:p>
      <w:pPr>
        <w:spacing w:after="0" w:line="73" w:lineRule="exact"/>
        <w:rPr>
          <w:sz w:val="20"/>
          <w:szCs w:val="20"/>
          <w:color w:val="auto"/>
        </w:rPr>
      </w:pPr>
    </w:p>
    <w:p>
      <w:pPr>
        <w:ind w:left="-80" w:right="60" w:firstLine="461"/>
        <w:spacing w:after="0" w:line="285" w:lineRule="auto"/>
        <w:tabs>
          <w:tab w:leader="none" w:pos="624"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Company represents and agrees that (i) it has not engaged in, or authorized any other person to engage in, any Section 5(d) Communications, other than Section 5(d) Communications with the prior consent of the Representatives with entities that are qualified institutional buyers as defined in Rule 144A under the Act or institutions that are accredited investors as defined in Rule 501(a) under the Act; and (ii) it has not distributed, or authorized any other person to distribute, any Section 5(d) Writings, other than those distributed with the prior consent of the Representatives that are listed on Schedule II(b) hereto; and the Company reconfirms that the Underwriters have been authorized to act on its behalf in engaging in Section 5(d) Communications;</w:t>
      </w:r>
    </w:p>
    <w:p>
      <w:pPr>
        <w:spacing w:after="0" w:line="59" w:lineRule="exact"/>
        <w:rPr>
          <w:rFonts w:ascii="Arial" w:cs="Arial" w:eastAsia="Arial" w:hAnsi="Arial"/>
          <w:sz w:val="16"/>
          <w:szCs w:val="16"/>
          <w:color w:val="auto"/>
        </w:rPr>
      </w:pPr>
    </w:p>
    <w:p>
      <w:pPr>
        <w:ind w:left="-80" w:right="300" w:firstLine="461"/>
        <w:spacing w:after="0" w:line="297" w:lineRule="auto"/>
        <w:tabs>
          <w:tab w:leader="none" w:pos="614"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50" w:lineRule="exact"/>
        <w:rPr>
          <w:rFonts w:ascii="Arial" w:cs="Arial" w:eastAsia="Arial" w:hAnsi="Arial"/>
          <w:sz w:val="16"/>
          <w:szCs w:val="16"/>
          <w:color w:val="auto"/>
        </w:rPr>
      </w:pPr>
    </w:p>
    <w:p>
      <w:pPr>
        <w:ind w:left="-80" w:right="20" w:firstLine="461"/>
        <w:spacing w:after="0" w:line="273" w:lineRule="auto"/>
        <w:tabs>
          <w:tab w:leader="none" w:pos="624"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Company agrees that if at any time following issuance of an Issuer Free Writing Prospectus or Section 5(d) Writing any event occurred or occurs as a result of which such Issuer Free Writing Prospectus or Section 5(d) Writing would conflict with the information in the Registration Statement, the Pricing Prospectus or the Prospectus or would include an untrue statement of a</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80"/>
          </w:cols>
          <w:pgMar w:left="320" w:top="271" w:right="299" w:bottom="1440" w:gutter="0" w:footer="0" w:header="0"/>
        </w:sectPr>
      </w:pPr>
    </w:p>
    <w:bookmarkStart w:id="278" w:name="page279"/>
    <w:bookmarkEnd w:id="278"/>
    <w:p>
      <w:pPr>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Section 5(d) Writing or other document which will correct such conflict, statement or omission; provided, however, that this representation and warranty shall not apply to any statements or omissions in an Issuer Free Writing Prospectus or Section 5(d) Writing made in reliance upon and in conformity with the Underwriter Information.</w:t>
      </w:r>
    </w:p>
    <w:p>
      <w:pPr>
        <w:spacing w:after="0" w:line="73" w:lineRule="exact"/>
        <w:rPr>
          <w:sz w:val="20"/>
          <w:szCs w:val="20"/>
          <w:color w:val="auto"/>
        </w:rPr>
      </w:pPr>
    </w:p>
    <w:p>
      <w:pPr>
        <w:ind w:right="120" w:firstLine="461"/>
        <w:spacing w:after="0" w:line="289" w:lineRule="auto"/>
        <w:tabs>
          <w:tab w:leader="none" w:pos="694" w:val="left"/>
        </w:tabs>
        <w:numPr>
          <w:ilvl w:val="0"/>
          <w:numId w:val="143"/>
        </w:numPr>
        <w:rPr>
          <w:rFonts w:ascii="Arial" w:cs="Arial" w:eastAsia="Arial" w:hAnsi="Arial"/>
          <w:sz w:val="17"/>
          <w:szCs w:val="17"/>
          <w:color w:val="auto"/>
        </w:rPr>
      </w:pPr>
      <w:r>
        <w:rPr>
          <w:rFonts w:ascii="Arial" w:cs="Arial" w:eastAsia="Arial" w:hAnsi="Arial"/>
          <w:sz w:val="17"/>
          <w:szCs w:val="17"/>
          <w:color w:val="auto"/>
        </w:rPr>
        <w:t>Each Underwriter represents and agrees that any Section 5(d) Communications undertaken by it were with entities that are qualified institutional buyers as defined in Rule 144A under the Act or institutions that are accredited investors as defined in Rule 501(a) under the Act.</w:t>
      </w:r>
    </w:p>
    <w:p>
      <w:pPr>
        <w:spacing w:after="0" w:line="53" w:lineRule="exact"/>
        <w:rPr>
          <w:sz w:val="20"/>
          <w:szCs w:val="20"/>
          <w:color w:val="auto"/>
        </w:rPr>
      </w:pPr>
    </w:p>
    <w:p>
      <w:pPr>
        <w:ind w:firstLine="461"/>
        <w:spacing w:after="0" w:line="276" w:lineRule="auto"/>
        <w:tabs>
          <w:tab w:leader="none" w:pos="631"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any Preliminary Prospectus, any Section 5(d) Writing,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fees and disbursements of counsel for the Underwriters in connection with such qualification and in connection with the Blue Sky survey, up to a maximum of $2,500; (iv) all fees and expenses in connection with listing the Shares on the Exchange; (v) the filing fees incident to, and the fees and disbursements of counsel for the Underwriters in connection with, any required review by FINRA of the terms of the sale of the Shares, (provided that the maximum aggregate amount payable by the Company pursuant to clause (iii) and this clause (v) for fees and disbursements of counsel to the Underwriters shall not together exceed $40,000); (vi) the cost of preparing stock certificates, if applicable; (vii) the cost and charges of any transfer agent or registrar; (viii) all fees and disbursements of counsel incurred by the Underwriters in connection with the Directed Share Program, all costs and expenses incurred by the Underwriters in connection with the printing (or reproduction) and delivery (including postage, air freight charges and charges for counting and packaging) of copies of the Directed Share Program material and stamp duties, similar taxes or duties or other taxes, if any, incurred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271" w:right="239" w:bottom="1440" w:gutter="0" w:footer="0" w:header="0"/>
        </w:sectPr>
      </w:pPr>
    </w:p>
    <w:bookmarkStart w:id="279" w:name="page280"/>
    <w:bookmarkEnd w:id="279"/>
    <w:p>
      <w:pPr>
        <w:spacing w:after="0" w:line="29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by the Underwriters in connection with the Directed Share Program; and (ix) all other costs and expenses incident to the performance of its obligations hereunder which are not otherwise specifically provided for in this Section, provided, however, that with respect to costs associated with the “road show” undertaken in connection with the marketing of the Shares, (A) the Company shall pay the costs relating to investor presentations, including, without limitation, expenses associated with the production of road show slides and graphics and fees and expenses of any consultants engaged in connection with the road show presentations,</w:t>
      </w:r>
    </w:p>
    <w:p>
      <w:pPr>
        <w:spacing w:after="0" w:line="2" w:lineRule="exact"/>
        <w:rPr>
          <w:sz w:val="20"/>
          <w:szCs w:val="20"/>
          <w:color w:val="auto"/>
        </w:rPr>
      </w:pPr>
    </w:p>
    <w:p>
      <w:pPr>
        <w:ind w:right="140" w:firstLine="5"/>
        <w:spacing w:after="0" w:line="260" w:lineRule="auto"/>
        <w:tabs>
          <w:tab w:leader="none" w:pos="276"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Company and the Underwriters shall each pay their respective lodging expenses in connection with attending such presentations or meetings and (C) the Company and the Underwriters shall each pay their respective travel expenses in connection with attending such presentations, except that ground transportation costs and the cost of any aircraft chartered in connection with the road show shall each be paid 50% by the Company and 50% by the Underwriters. It is understood, however, that, except as provided in this Section, and Sections 9 and 12 hereof, the Underwriters will pay all of their own costs and expenses, including the fees of their counsel, stock transfer taxes on resale of any of the Shares by them, and any advertising expenses connected with any offers they may make.</w:t>
      </w:r>
    </w:p>
    <w:p>
      <w:pPr>
        <w:spacing w:after="0" w:line="79" w:lineRule="exact"/>
        <w:rPr>
          <w:rFonts w:ascii="Arial" w:cs="Arial" w:eastAsia="Arial" w:hAnsi="Arial"/>
          <w:sz w:val="17"/>
          <w:szCs w:val="17"/>
          <w:color w:val="auto"/>
        </w:rPr>
      </w:pPr>
    </w:p>
    <w:p>
      <w:pPr>
        <w:ind w:firstLine="461"/>
        <w:spacing w:after="0" w:line="267" w:lineRule="auto"/>
        <w:tabs>
          <w:tab w:leader="none" w:pos="631" w:val="left"/>
        </w:tabs>
        <w:numPr>
          <w:ilvl w:val="1"/>
          <w:numId w:val="145"/>
        </w:numPr>
        <w:rPr>
          <w:rFonts w:ascii="Arial" w:cs="Arial" w:eastAsia="Arial" w:hAnsi="Arial"/>
          <w:sz w:val="17"/>
          <w:szCs w:val="17"/>
          <w:color w:val="auto"/>
        </w:rPr>
      </w:pPr>
      <w:r>
        <w:rPr>
          <w:rFonts w:ascii="Arial" w:cs="Arial" w:eastAsia="Arial" w:hAnsi="Arial"/>
          <w:sz w:val="17"/>
          <w:szCs w:val="17"/>
          <w:color w:val="auto"/>
        </w:rPr>
        <w:t>The obligations of the Underwriters hereunder, as to the Shares to be delivered at each Time of Delivery, shall be subject, in their discretion, to the condition that all representations and warranties and other statements of the Company herein are, at and as of the Applicable Time and such Time of Delivery, true and correct, the condition that the Company shall have performed all of its obligations hereunder theretofore to be performed, and the following additional conditions:</w:t>
      </w:r>
    </w:p>
    <w:p>
      <w:pPr>
        <w:spacing w:after="0" w:line="72" w:lineRule="exact"/>
        <w:rPr>
          <w:rFonts w:ascii="Arial" w:cs="Arial" w:eastAsia="Arial" w:hAnsi="Arial"/>
          <w:sz w:val="17"/>
          <w:szCs w:val="17"/>
          <w:color w:val="auto"/>
        </w:rPr>
      </w:pPr>
    </w:p>
    <w:p>
      <w:pPr>
        <w:ind w:left="460" w:right="60" w:firstLine="440"/>
        <w:spacing w:after="0" w:line="280" w:lineRule="auto"/>
        <w:tabs>
          <w:tab w:leader="none" w:pos="1136" w:val="left"/>
        </w:tabs>
        <w:numPr>
          <w:ilvl w:val="2"/>
          <w:numId w:val="145"/>
        </w:numPr>
        <w:rPr>
          <w:rFonts w:ascii="Arial" w:cs="Arial" w:eastAsia="Arial" w:hAnsi="Arial"/>
          <w:sz w:val="16"/>
          <w:szCs w:val="16"/>
          <w:color w:val="auto"/>
        </w:rPr>
      </w:pPr>
      <w:r>
        <w:rPr>
          <w:rFonts w:ascii="Arial" w:cs="Arial" w:eastAsia="Arial" w:hAnsi="Arial"/>
          <w:sz w:val="16"/>
          <w:szCs w:val="16"/>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shall have been initiated or threatened by the Commission; no stop order suspending or preventing the use of the Pricing Prospectus,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360"/>
          </w:cols>
          <w:pgMar w:left="240" w:top="271" w:right="299" w:bottom="1440" w:gutter="0" w:footer="0" w:header="0"/>
        </w:sectPr>
      </w:pPr>
    </w:p>
    <w:bookmarkStart w:id="280" w:name="page281"/>
    <w:bookmarkEnd w:id="280"/>
    <w:p>
      <w:pPr>
        <w:ind w:right="120" w:firstLine="440"/>
        <w:spacing w:after="0" w:line="273" w:lineRule="auto"/>
        <w:tabs>
          <w:tab w:leader="none" w:pos="686" w:val="left"/>
        </w:tabs>
        <w:numPr>
          <w:ilvl w:val="1"/>
          <w:numId w:val="1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4">
                      <a:extLst>
                        <a:ext uri="{28A0092B-C50C-407E-A947-70E740481C1C}"/>
                      </a:extLst>
                    </a:blip>
                    <a:srcRect/>
                    <a:stretch>
                      <a:fillRect/>
                    </a:stretch>
                  </pic:blipFill>
                  <pic:spPr bwMode="auto">
                    <a:xfrm>
                      <a:off x="0" y="0"/>
                      <a:ext cx="7292975" cy="38100"/>
                    </a:xfrm>
                    <a:prstGeom prst="rect">
                      <a:avLst/>
                    </a:prstGeom>
                    <a:noFill/>
                  </pic:spPr>
                </pic:pic>
              </a:graphicData>
            </a:graphic>
          </wp:anchor>
        </w:drawing>
        <w:t>Davis Polk &amp; Wardwell LLP, counsel for the Underwriters, shall have furnished to you such written opinion or opinions, dated such Time of Delivery, in form and substance satisfactory to you, with respect to such matters as you may reasonably request, and such counsel shall have received such papers and information as they may reasonably request to enable them to pass upon such matters;</w:t>
      </w:r>
    </w:p>
    <w:p>
      <w:pPr>
        <w:spacing w:after="0" w:line="66" w:lineRule="exact"/>
        <w:rPr>
          <w:rFonts w:ascii="Arial" w:cs="Arial" w:eastAsia="Arial" w:hAnsi="Arial"/>
          <w:sz w:val="17"/>
          <w:szCs w:val="17"/>
          <w:color w:val="auto"/>
        </w:rPr>
      </w:pPr>
    </w:p>
    <w:p>
      <w:pPr>
        <w:ind w:right="420" w:firstLine="440"/>
        <w:spacing w:after="0" w:line="289" w:lineRule="auto"/>
        <w:tabs>
          <w:tab w:leader="none" w:pos="676" w:val="left"/>
        </w:tabs>
        <w:numPr>
          <w:ilvl w:val="1"/>
          <w:numId w:val="146"/>
        </w:numPr>
        <w:rPr>
          <w:rFonts w:ascii="Arial" w:cs="Arial" w:eastAsia="Arial" w:hAnsi="Arial"/>
          <w:sz w:val="17"/>
          <w:szCs w:val="17"/>
          <w:color w:val="auto"/>
        </w:rPr>
      </w:pPr>
      <w:r>
        <w:rPr>
          <w:rFonts w:ascii="Arial" w:cs="Arial" w:eastAsia="Arial" w:hAnsi="Arial"/>
          <w:sz w:val="17"/>
          <w:szCs w:val="17"/>
          <w:color w:val="auto"/>
        </w:rPr>
        <w:t>Cooley LLP, counsel for the Company, shall have furnished to you their written opinion, dated such Time of Delivery, in form and substance reasonably satisfactory to you.</w:t>
      </w:r>
    </w:p>
    <w:p>
      <w:pPr>
        <w:spacing w:after="0" w:line="53" w:lineRule="exact"/>
        <w:rPr>
          <w:rFonts w:ascii="Arial" w:cs="Arial" w:eastAsia="Arial" w:hAnsi="Arial"/>
          <w:sz w:val="17"/>
          <w:szCs w:val="17"/>
          <w:color w:val="auto"/>
        </w:rPr>
      </w:pPr>
    </w:p>
    <w:p>
      <w:pPr>
        <w:ind w:right="200" w:firstLine="440"/>
        <w:spacing w:after="0" w:line="322" w:lineRule="auto"/>
        <w:tabs>
          <w:tab w:leader="none" w:pos="686" w:val="left"/>
        </w:tabs>
        <w:numPr>
          <w:ilvl w:val="1"/>
          <w:numId w:val="146"/>
        </w:numPr>
        <w:rPr>
          <w:rFonts w:ascii="Arial" w:cs="Arial" w:eastAsia="Arial" w:hAnsi="Arial"/>
          <w:sz w:val="16"/>
          <w:szCs w:val="16"/>
          <w:color w:val="auto"/>
        </w:rPr>
      </w:pPr>
      <w:r>
        <w:rPr>
          <w:rFonts w:ascii="Arial" w:cs="Arial" w:eastAsia="Arial" w:hAnsi="Arial"/>
          <w:sz w:val="16"/>
          <w:szCs w:val="16"/>
          <w:color w:val="auto"/>
        </w:rPr>
        <w:t>Each of Jones Day and Bozicevic, Field &amp; Francis LLP, intellectual property counsel for the Company, shall have furnished to you their written opinion with respect to certain intellectual property matters, dated such Time of Delivery, in form and substance reasonably satisfactory to you.</w:t>
      </w:r>
    </w:p>
    <w:p>
      <w:pPr>
        <w:spacing w:after="0" w:line="30" w:lineRule="exact"/>
        <w:rPr>
          <w:rFonts w:ascii="Arial" w:cs="Arial" w:eastAsia="Arial" w:hAnsi="Arial"/>
          <w:sz w:val="16"/>
          <w:szCs w:val="16"/>
          <w:color w:val="auto"/>
        </w:rPr>
      </w:pPr>
    </w:p>
    <w:p>
      <w:pPr>
        <w:jc w:val="both"/>
        <w:ind w:right="240" w:firstLine="440"/>
        <w:spacing w:after="0" w:line="297" w:lineRule="auto"/>
        <w:tabs>
          <w:tab w:leader="none" w:pos="676" w:val="left"/>
        </w:tabs>
        <w:numPr>
          <w:ilvl w:val="1"/>
          <w:numId w:val="146"/>
        </w:numPr>
        <w:rPr>
          <w:rFonts w:ascii="Arial" w:cs="Arial" w:eastAsia="Arial" w:hAnsi="Arial"/>
          <w:sz w:val="16"/>
          <w:szCs w:val="16"/>
          <w:color w:val="auto"/>
        </w:rPr>
      </w:pPr>
      <w:r>
        <w:rPr>
          <w:rFonts w:ascii="Arial" w:cs="Arial" w:eastAsia="Arial" w:hAnsi="Arial"/>
          <w:sz w:val="16"/>
          <w:szCs w:val="16"/>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Ernst &amp; Young LLP shall have furnished to you a letter or letters, dated the respective dates of delivery thereof, in form and substance satisfactory to you;</w:t>
      </w:r>
    </w:p>
    <w:p>
      <w:pPr>
        <w:spacing w:after="0" w:line="50" w:lineRule="exact"/>
        <w:rPr>
          <w:rFonts w:ascii="Arial" w:cs="Arial" w:eastAsia="Arial" w:hAnsi="Arial"/>
          <w:sz w:val="16"/>
          <w:szCs w:val="16"/>
          <w:color w:val="auto"/>
        </w:rPr>
      </w:pPr>
    </w:p>
    <w:p>
      <w:pPr>
        <w:ind w:right="20" w:firstLine="440"/>
        <w:spacing w:after="0" w:line="295" w:lineRule="auto"/>
        <w:tabs>
          <w:tab w:leader="none" w:pos="656" w:val="left"/>
        </w:tabs>
        <w:numPr>
          <w:ilvl w:val="1"/>
          <w:numId w:val="146"/>
        </w:numPr>
        <w:rPr>
          <w:rFonts w:ascii="Arial" w:cs="Arial" w:eastAsia="Arial" w:hAnsi="Arial"/>
          <w:sz w:val="15"/>
          <w:szCs w:val="15"/>
          <w:color w:val="auto"/>
        </w:rPr>
      </w:pPr>
      <w:r>
        <w:rPr>
          <w:rFonts w:ascii="Arial" w:cs="Arial" w:eastAsia="Arial" w:hAnsi="Arial"/>
          <w:sz w:val="15"/>
          <w:szCs w:val="15"/>
          <w:color w:val="auto"/>
        </w:rPr>
        <w:t>(i) Neither the Company nor any of its subsidiaries shall have sustained since the date of the latest audited financial statements included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(other than as a result of</w:t>
      </w:r>
    </w:p>
    <w:p>
      <w:pPr>
        <w:spacing w:after="0" w:line="2" w:lineRule="exact"/>
        <w:rPr>
          <w:rFonts w:ascii="Arial" w:cs="Arial" w:eastAsia="Arial" w:hAnsi="Arial"/>
          <w:sz w:val="15"/>
          <w:szCs w:val="15"/>
          <w:color w:val="auto"/>
        </w:rPr>
      </w:pPr>
    </w:p>
    <w:p>
      <w:pPr>
        <w:ind w:firstLine="1"/>
        <w:spacing w:after="0" w:line="260" w:lineRule="auto"/>
        <w:tabs>
          <w:tab w:leader="none" w:pos="286"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exercise or settlement (including any “net” or “cashless” exercise or settlements) of outstanding stock options or warrants, (B) the award of stock options in the ordinary course of business pursuant to the Company’s equity incentive plans that are described in the Pricing Prospectus or (C) the repurchase of stock from employees or consultants terminating their service to the Company) or long-term debt of the Company or any of its subsidiaries or any change or effect, or any development involving a prospective change or effect, in or affecting (x) the business, properties, general affairs, management, financial position, stockholders’ equity or results of operations of the Company and its subsidiaries, taken as a whole, except as set forth or contemplated in the Pricing Prospectus and the Prospectus, or (y) the ability of the Company to perform its obligations under this Agreement, including the issuance and sale of the Shares, or to consummate the</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920"/>
          </w:cols>
          <w:pgMar w:left="700" w:top="271" w:right="279" w:bottom="1440" w:gutter="0" w:footer="0" w:header="0"/>
        </w:sectPr>
      </w:pPr>
    </w:p>
    <w:bookmarkStart w:id="281" w:name="page282"/>
    <w:bookmarkEnd w:id="281"/>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transactions contemplated in the Pricing Prospectus and the Prospectus, the effect of which, in any such case described in clause (i) or (ii), is in your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66" w:lineRule="exact"/>
        <w:rPr>
          <w:sz w:val="20"/>
          <w:szCs w:val="20"/>
          <w:color w:val="auto"/>
        </w:rPr>
      </w:pPr>
    </w:p>
    <w:p>
      <w:pPr>
        <w:jc w:val="both"/>
        <w:ind w:right="140" w:firstLine="440"/>
        <w:spacing w:after="0" w:line="297" w:lineRule="auto"/>
        <w:tabs>
          <w:tab w:leader="none" w:pos="686" w:val="left"/>
        </w:tabs>
        <w:numPr>
          <w:ilvl w:val="1"/>
          <w:numId w:val="148"/>
        </w:numPr>
        <w:rPr>
          <w:rFonts w:ascii="Arial" w:cs="Arial" w:eastAsia="Arial" w:hAnsi="Arial"/>
          <w:sz w:val="16"/>
          <w:szCs w:val="16"/>
          <w:color w:val="auto"/>
        </w:rPr>
      </w:pPr>
      <w:r>
        <w:rPr>
          <w:rFonts w:ascii="Arial" w:cs="Arial" w:eastAsia="Arial" w:hAnsi="Arial"/>
          <w:sz w:val="16"/>
          <w:szCs w:val="16"/>
          <w:color w:val="auto"/>
        </w:rPr>
        <w:t>On or after the Applicable Time (i) no downgrading shall have occurred in the rating accorded the Company’s debt securities by any “nationally recognized statistical rating organization”, as defined in Section 3(a)(62) of the Exchange Act, and (ii) no such organization shall have publicly announced that it has under surveillance or review, with possible negative implications, its rating of any of the Company’s debt securities;</w:t>
      </w:r>
    </w:p>
    <w:p>
      <w:pPr>
        <w:spacing w:after="0" w:line="50" w:lineRule="exact"/>
        <w:rPr>
          <w:rFonts w:ascii="Arial" w:cs="Arial" w:eastAsia="Arial" w:hAnsi="Arial"/>
          <w:sz w:val="16"/>
          <w:szCs w:val="16"/>
          <w:color w:val="auto"/>
        </w:rPr>
      </w:pPr>
    </w:p>
    <w:p>
      <w:pPr>
        <w:ind w:firstLine="440"/>
        <w:spacing w:after="0" w:line="299" w:lineRule="auto"/>
        <w:tabs>
          <w:tab w:leader="none" w:pos="686" w:val="left"/>
        </w:tabs>
        <w:numPr>
          <w:ilvl w:val="1"/>
          <w:numId w:val="148"/>
        </w:numPr>
        <w:rPr>
          <w:rFonts w:ascii="Arial" w:cs="Arial" w:eastAsia="Arial" w:hAnsi="Arial"/>
          <w:sz w:val="15"/>
          <w:szCs w:val="15"/>
          <w:color w:val="auto"/>
        </w:rPr>
      </w:pPr>
      <w:r>
        <w:rPr>
          <w:rFonts w:ascii="Arial" w:cs="Arial" w:eastAsia="Arial" w:hAnsi="Arial"/>
          <w:sz w:val="15"/>
          <w:szCs w:val="15"/>
          <w:color w:val="auto"/>
        </w:rPr>
        <w:t>On or after the Applicable Time there shall not have occurred any of the following: (i) a suspension or material limitation in trading in securities generally on the New York Stock Exchange or the Exchange; (ii) a suspension or material limitation in trading in the Company’s securities on the Exchange;</w:t>
      </w:r>
    </w:p>
    <w:p>
      <w:pPr>
        <w:spacing w:after="0" w:line="1" w:lineRule="exact"/>
        <w:rPr>
          <w:rFonts w:ascii="Arial" w:cs="Arial" w:eastAsia="Arial" w:hAnsi="Arial"/>
          <w:sz w:val="15"/>
          <w:szCs w:val="15"/>
          <w:color w:val="auto"/>
        </w:rPr>
      </w:pPr>
    </w:p>
    <w:p>
      <w:pPr>
        <w:ind w:right="60" w:firstLine="1"/>
        <w:spacing w:after="0" w:line="260" w:lineRule="auto"/>
        <w:tabs>
          <w:tab w:leader="none" w:pos="30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sole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79" w:lineRule="exact"/>
        <w:rPr>
          <w:rFonts w:ascii="Arial" w:cs="Arial" w:eastAsia="Arial" w:hAnsi="Arial"/>
          <w:sz w:val="17"/>
          <w:szCs w:val="17"/>
          <w:color w:val="auto"/>
        </w:rPr>
      </w:pPr>
    </w:p>
    <w:p>
      <w:pPr>
        <w:ind w:left="640" w:hanging="200"/>
        <w:spacing w:after="0"/>
        <w:tabs>
          <w:tab w:leader="none" w:pos="640"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The Shares to be sold at such Time of Delivery shall have been duly listed for quotation on the Exchange;</w:t>
      </w:r>
    </w:p>
    <w:p>
      <w:pPr>
        <w:spacing w:after="0" w:line="118" w:lineRule="exact"/>
        <w:rPr>
          <w:rFonts w:ascii="Arial" w:cs="Arial" w:eastAsia="Arial" w:hAnsi="Arial"/>
          <w:sz w:val="17"/>
          <w:szCs w:val="17"/>
          <w:color w:val="auto"/>
        </w:rPr>
      </w:pPr>
    </w:p>
    <w:p>
      <w:pPr>
        <w:ind w:right="60" w:firstLine="440"/>
        <w:spacing w:after="0" w:line="273" w:lineRule="auto"/>
        <w:tabs>
          <w:tab w:leader="none" w:pos="647"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The Company shall have obtained and delivered to the Underwriters executed copies of an agreement from each of the Company’s directors and officers and such other holders of the Company’s securities as you may require, substantially to the effect set forth in Annex II hereto in form and substance satisfactory to you;</w:t>
      </w:r>
    </w:p>
    <w:p>
      <w:pPr>
        <w:spacing w:after="0" w:line="66" w:lineRule="exact"/>
        <w:rPr>
          <w:rFonts w:ascii="Arial" w:cs="Arial" w:eastAsia="Arial" w:hAnsi="Arial"/>
          <w:sz w:val="17"/>
          <w:szCs w:val="17"/>
          <w:color w:val="auto"/>
        </w:rPr>
      </w:pPr>
    </w:p>
    <w:p>
      <w:pPr>
        <w:ind w:right="420" w:firstLine="440"/>
        <w:spacing w:after="0" w:line="289" w:lineRule="auto"/>
        <w:tabs>
          <w:tab w:leader="none" w:pos="686"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The Company shall have complied with the provisions of Section 5(c) hereof with respect to the furnishing of prospectuses on the New York Business Day next succeeding the date of this Agreement; and</w:t>
      </w:r>
    </w:p>
    <w:p>
      <w:pPr>
        <w:spacing w:after="0" w:line="53" w:lineRule="exact"/>
        <w:rPr>
          <w:rFonts w:ascii="Arial" w:cs="Arial" w:eastAsia="Arial" w:hAnsi="Arial"/>
          <w:sz w:val="17"/>
          <w:szCs w:val="17"/>
          <w:color w:val="auto"/>
        </w:rPr>
      </w:pPr>
    </w:p>
    <w:p>
      <w:pPr>
        <w:ind w:right="120" w:firstLine="440"/>
        <w:spacing w:after="0" w:line="289" w:lineRule="auto"/>
        <w:tabs>
          <w:tab w:leader="none" w:pos="647"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The Company shall have furnished or caused to be furnished to you at the Time of Delivery certificates of officers of the Company satisfactory to you as to the accuracy of the representations and warranties</w:t>
      </w:r>
    </w:p>
    <w:p>
      <w:pPr>
        <w:spacing w:after="0" w:line="9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940"/>
          </w:cols>
          <w:pgMar w:left="700" w:top="272" w:right="259" w:bottom="1440" w:gutter="0" w:footer="0" w:header="0"/>
        </w:sectPr>
      </w:pPr>
    </w:p>
    <w:bookmarkStart w:id="282" w:name="page283"/>
    <w:bookmarkEnd w:id="282"/>
    <w:p>
      <w:pPr>
        <w:ind w:left="400" w:right="2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of the Company herein at and as of such Time of Delivery, as to the performance by the Company of all of its obligations hereunder to be performed at or prior to such Time of Delivery, as to the matters set forth in subsections (a) and (e) of this Section and as to such other matters as you may reasonably request.</w:t>
      </w:r>
    </w:p>
    <w:p>
      <w:pPr>
        <w:spacing w:after="0" w:line="66" w:lineRule="exact"/>
        <w:rPr>
          <w:sz w:val="20"/>
          <w:szCs w:val="20"/>
          <w:color w:val="auto"/>
        </w:rPr>
      </w:pPr>
    </w:p>
    <w:p>
      <w:pPr>
        <w:ind w:left="-60" w:firstLine="461"/>
        <w:spacing w:after="0" w:line="277" w:lineRule="auto"/>
        <w:tabs>
          <w:tab w:leader="none" w:pos="571"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as defined in Rule 433(h) under the Act (a “roadshow”), or any “issuer information” filed or required to be filed pursuant to Rule 433(d) under the Act, or any Section 5(d) Writing, or arise out of or are based upon the omission or alleged omission to state therein a material fact required to be stated therein or necessary to make the statements therein not misleading, or arise out of or are based upon the Directed Share Program except insofar as such loss, damage, expense, liability or claim is finally judicially determined to have resulted from the gross negligence or willful misconduct of the Underwriters in conducting the Directed Share Program, and will reimburse each Underwriter for any legal or other expenses reasonably incurred by such Underwriter in connection with investigating or defending any such action or claim as such expenses are incurred;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or any Section 5(d) Writing, in reliance upon and in conformity with the Underwriter Information.</w:t>
      </w:r>
    </w:p>
    <w:p>
      <w:pPr>
        <w:spacing w:after="0" w:line="68" w:lineRule="exact"/>
        <w:rPr>
          <w:sz w:val="20"/>
          <w:szCs w:val="20"/>
          <w:color w:val="auto"/>
        </w:rPr>
      </w:pPr>
    </w:p>
    <w:p>
      <w:pPr>
        <w:ind w:left="-60" w:right="80" w:firstLine="461"/>
        <w:spacing w:after="0" w:line="281" w:lineRule="auto"/>
        <w:tabs>
          <w:tab w:leader="none" w:pos="644" w:val="left"/>
        </w:tabs>
        <w:numPr>
          <w:ilvl w:val="0"/>
          <w:numId w:val="151"/>
        </w:numPr>
        <w:rPr>
          <w:rFonts w:ascii="Arial" w:cs="Arial" w:eastAsia="Arial" w:hAnsi="Arial"/>
          <w:sz w:val="16"/>
          <w:szCs w:val="16"/>
          <w:color w:val="auto"/>
        </w:rPr>
      </w:pPr>
      <w:r>
        <w:rPr>
          <w:rFonts w:ascii="Arial" w:cs="Arial" w:eastAsia="Arial" w:hAnsi="Arial"/>
          <w:sz w:val="16"/>
          <w:szCs w:val="16"/>
          <w:color w:val="auto"/>
        </w:rPr>
        <w:t>Each Underwriter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any roadshow or any Section 5(d) Writing,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320"/>
          </w:cols>
          <w:pgMar w:left="300" w:top="272" w:right="279" w:bottom="1440" w:gutter="0" w:footer="0" w:header="0"/>
        </w:sectPr>
      </w:pPr>
    </w:p>
    <w:bookmarkStart w:id="283" w:name="page284"/>
    <w:bookmarkEnd w:id="283"/>
    <w:p>
      <w:pPr>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or the Prospectus, or any amendment or supplement thereto, or any Issuer Free Writing Prospectus, or any roadshow or any Section 5(d) Writing,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and reallowance figures appearing in the [__] paragraph under the caption “Underwriting”, and the information contained in the [__] paragraph under the caption “Underwriting”.</w:t>
      </w:r>
    </w:p>
    <w:p>
      <w:pPr>
        <w:spacing w:after="0" w:line="78" w:lineRule="exact"/>
        <w:rPr>
          <w:sz w:val="20"/>
          <w:szCs w:val="20"/>
          <w:color w:val="auto"/>
        </w:rPr>
      </w:pPr>
    </w:p>
    <w:p>
      <w:pPr>
        <w:ind w:firstLine="461"/>
        <w:spacing w:after="0" w:line="276" w:lineRule="auto"/>
        <w:tabs>
          <w:tab w:leader="none" w:pos="694" w:val="left"/>
        </w:tabs>
        <w:numPr>
          <w:ilvl w:val="0"/>
          <w:numId w:val="152"/>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subsection (a) or (b) of this Section 9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271" w:right="239" w:bottom="1440" w:gutter="0" w:footer="0" w:header="0"/>
        </w:sectPr>
      </w:pPr>
    </w:p>
    <w:bookmarkStart w:id="284" w:name="page285"/>
    <w:bookmarkEnd w:id="284"/>
    <w:p>
      <w:pPr>
        <w:ind w:left="-40" w:firstLine="461"/>
        <w:spacing w:after="0" w:line="275" w:lineRule="auto"/>
        <w:tabs>
          <w:tab w:leader="none" w:pos="664" w:val="left"/>
        </w:tabs>
        <w:numPr>
          <w:ilvl w:val="0"/>
          <w:numId w:val="1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If the indemnification provided for in this Section 9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360"/>
          </w:cols>
          <w:pgMar w:left="280" w:top="271" w:right="259" w:bottom="1440" w:gutter="0" w:footer="0" w:header="0"/>
        </w:sectPr>
      </w:pPr>
    </w:p>
    <w:bookmarkStart w:id="285" w:name="page286"/>
    <w:bookmarkEnd w:id="285"/>
    <w:p>
      <w:pPr>
        <w:ind w:right="1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9">
                      <a:extLst>
                        <a:ext uri="{28A0092B-C50C-407E-A947-70E740481C1C}"/>
                      </a:extLst>
                    </a:blip>
                    <a:srcRect/>
                    <a:stretch>
                      <a:fillRect/>
                    </a:stretch>
                  </pic:blipFill>
                  <pic:spPr bwMode="auto">
                    <a:xfrm>
                      <a:off x="0" y="0"/>
                      <a:ext cx="7292975" cy="38100"/>
                    </a:xfrm>
                    <a:prstGeom prst="rect">
                      <a:avLst/>
                    </a:prstGeom>
                    <a:noFill/>
                  </pic:spPr>
                </pic:pic>
              </a:graphicData>
            </a:graphic>
          </wp:anchor>
        </w:drawing>
        <w:t>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66" w:lineRule="exact"/>
        <w:rPr>
          <w:sz w:val="20"/>
          <w:szCs w:val="20"/>
          <w:color w:val="auto"/>
        </w:rPr>
      </w:pPr>
    </w:p>
    <w:p>
      <w:pPr>
        <w:ind w:right="80" w:firstLine="461"/>
        <w:spacing w:after="0" w:line="263" w:lineRule="auto"/>
        <w:tabs>
          <w:tab w:leader="none" w:pos="694"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obligations of the Company under this Section 9 shall be in addition to any liability which the Company may otherwise have and shall extend, upon the same terms and conditions, to each officer, director, employee and agent of each Underwriter and each person, if any, who controls any Underwriter within the meaning of the Act and each broker-dealer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within the meaning of the Act.</w:t>
      </w:r>
    </w:p>
    <w:p>
      <w:pPr>
        <w:spacing w:after="0" w:line="76" w:lineRule="exact"/>
        <w:rPr>
          <w:rFonts w:ascii="Arial" w:cs="Arial" w:eastAsia="Arial" w:hAnsi="Arial"/>
          <w:sz w:val="17"/>
          <w:szCs w:val="17"/>
          <w:color w:val="auto"/>
        </w:rPr>
      </w:pPr>
    </w:p>
    <w:p>
      <w:pPr>
        <w:ind w:firstLine="461"/>
        <w:spacing w:after="0" w:line="276" w:lineRule="auto"/>
        <w:tabs>
          <w:tab w:leader="none" w:pos="675"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Without limitation of and in addition to their obligations under the other paragraphs of this Section 9, the Company agrees to indemnify and hold harmless the DSP Agent and its partners, directors, officers, employees and members, and any person who controls the DSP Agent within the meaning of the Act or the Exchange Act, and the successors and assigns of all of the foregoing persons, from and against any loss, damage, expense, liability or claim (including reasonable cost of investigation) which the DSP Agent or any such person may incur under the Act, the Exchange Act, the common law or otherwise, insofar as such loss, damage, expense, liability or claim (i) arises out of or is based upon any of the matters referred to in Section 9(a) hereof, (ii) arises out of or is based upon any untrue statement or alleged untrue statement of a material fact contained in any material prepared by or with the consent of the Company for distribution to Participants in connection with the Directed Share Program, or caused by any omission or alleged omission to state therein a material fact required to be stated therein or necessary to make the statements therein not misleading; (iii) is caused by the failure of any Participant to pay for and accept delivery of Directed Shares that the Participant has agreed to purchase; or (iv) is related to, arising out of, or in connection with the Directed Share Program, other than losses, claims, damages or liabilities (or expenses relating thereto) that are finally judicially determined to have resulted from the gross negligence or willful misconduct of the DSP Agent in conducting the Directed Share Program;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or any Section 5(d) Writing, or any material prepared by or with the consent of the Company for distribution to Participants in connection with the Directed Share Program, in reliance upon and in conformity with the Underwriter Information.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271" w:right="239" w:bottom="1440" w:gutter="0" w:footer="0" w:header="0"/>
        </w:sectPr>
      </w:pPr>
    </w:p>
    <w:bookmarkStart w:id="286" w:name="page287"/>
    <w:bookmarkEnd w:id="286"/>
    <w:p>
      <w:pPr>
        <w:ind w:firstLine="1"/>
        <w:spacing w:after="0" w:line="292" w:lineRule="auto"/>
        <w:tabs>
          <w:tab w:leader="none" w:pos="208" w:val="left"/>
        </w:tabs>
        <w:numPr>
          <w:ilvl w:val="0"/>
          <w:numId w:val="15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89535</wp:posOffset>
            </wp:positionV>
            <wp:extent cx="7292975" cy="3746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case any action or claim (including any governmental investigation) shall be instituted involving the DSP Agent in respect of which indemnity may be sought pursuant to this Section 9(f), the DSP Agent shall promptly notify the Company in writing, provided that the failure to notify the Company shall not relieve the Company from any liability that it may have under this Section 9(f) except to the extent that it has been materially prejudiced (through the forfeiture of substantive rights or defenses) by such failure. In case any such action shall be brought against DSP Agent and it shall notify the Company of the commencement thereof, the Company shall be entitled to participate therein and, to the extent that it shall wish, to assume the defense thereof, with counsel satisfactory to DSP Agent (who shall not, except with the consent of the DSP Agent, be counsel to the Company), and, after notice from the Company to the DSP Agent of the Company’s election so to assume the defense thereof, the Company shall not be liable to the DSP Agent under such subsection for any legal expenses of other counsel or any other expenses, in each case subsequently incurred by such indemnified party, in connection with the defense thereof other than reasonable costs of investigation. The Company shall not be liable for any settlement of any proceeding effected without its written consent, but if settled with such consent or if there be a final judgment for the plaintiff, the Company agrees to indemnify the DSP Agent from and against any loss or liability by reason of such settlement or judgment. The Company shall not, without the prior written consent of the DSP Agent, effect any settlement or compromise of, or consent to the entry of any judgment with respect to any pending or threatened action or claim in respect of which the DSP Agent is or could have been a party and indemnity could have been sought hereunder by the DSP Agent, unless such settlement, compromise or judgment</w:t>
      </w:r>
    </w:p>
    <w:p>
      <w:pPr>
        <w:spacing w:after="0" w:line="7" w:lineRule="exact"/>
        <w:rPr>
          <w:rFonts w:ascii="Arial" w:cs="Arial" w:eastAsia="Arial" w:hAnsi="Arial"/>
          <w:sz w:val="15"/>
          <w:szCs w:val="15"/>
          <w:color w:val="auto"/>
        </w:rPr>
      </w:pPr>
    </w:p>
    <w:p>
      <w:pPr>
        <w:ind w:right="220" w:firstLine="1"/>
        <w:spacing w:after="0" w:line="274" w:lineRule="auto"/>
        <w:tabs>
          <w:tab w:leader="none" w:pos="208"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includes an unconditional release of the DSP Agent from all liability arising out of such action or claim and (ii) does not include a statement as to or an admission of fault, culpability or a failure to act, by or on behalf of DSP Agent.</w:t>
      </w:r>
    </w:p>
    <w:p>
      <w:pPr>
        <w:spacing w:after="0" w:line="65" w:lineRule="exact"/>
        <w:rPr>
          <w:rFonts w:ascii="Arial" w:cs="Arial" w:eastAsia="Arial" w:hAnsi="Arial"/>
          <w:sz w:val="17"/>
          <w:szCs w:val="17"/>
          <w:color w:val="auto"/>
        </w:rPr>
      </w:pPr>
    </w:p>
    <w:p>
      <w:pPr>
        <w:ind w:right="80" w:firstLine="1"/>
        <w:spacing w:after="0" w:line="289" w:lineRule="auto"/>
        <w:tabs>
          <w:tab w:leader="none" w:pos="25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9(f) is unavailable to the DSP Agent or insufficient in respect of any losses, claims, damages or liabilities (or actions in respect thereof) referred to therein, then the Company in lieu of indemnifying the DSP Agent thereunder, shall contribute to the amount paid or payable by the DSP Agent as a result of such losses, claims, damages or liabilities (or actions in respect thereof) (A) in such proportion as is appropriate to reflect the relative benefits received by the Company on the one hand and the DSP Agent on the</w:t>
      </w:r>
    </w:p>
    <w:p>
      <w:pPr>
        <w:spacing w:after="0" w:line="96"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960"/>
          </w:cols>
          <w:pgMar w:left="700" w:top="272" w:right="239" w:bottom="1440" w:gutter="0" w:footer="0" w:header="0"/>
        </w:sectPr>
      </w:pPr>
    </w:p>
    <w:bookmarkStart w:id="287" w:name="page288"/>
    <w:bookmarkEnd w:id="287"/>
    <w:p>
      <w:pPr>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other hand from the offering of the Directed Shares or (B) if the allocation provided by clause 9(f)(ii)(A) above is not permitted by applicable law, in such proportion as is appropriate to reflect not only the relative benefits referred to in clause 9(f)(ii)(A) above but also the relative fault of the Company on the one hand and of the DSP Agent on the other hand in connection with any statements or omissions that resulted in such losses, claims, damages or liabilities, as well as any other relevant equitable considerations. The relative benefits received by the Company on the one hand and the DSP Agent on the other hand in connection with the offering of the Directed Shares shall be deemed to be in the same respective proportions as the net proceeds from the offering of the Directed Shares (before deducting expenses) and the total underwriting discounts and commissions received by the DSP Agent for the Directed Shares, bear to the aggregate Public Offering Price of the Directed Shares. If the loss, claim, damage or liability is caused by an untrue or alleged untrue statement of a material fact or the omission or alleged omission to state a material fact, the relative fault of the Company on the one hand and the DSP Agent on the other hand shall be determined by reference to, among other things, whether the untrue or alleged untrue statement or the omission or alleged omission relates to information supplied by the Company or by the DSP Agent and the parties’ relative intent, knowledge, access to information and opportunity to correct or prevent such statement or omission.</w:t>
      </w:r>
    </w:p>
    <w:p>
      <w:pPr>
        <w:spacing w:after="0" w:line="65" w:lineRule="exact"/>
        <w:rPr>
          <w:sz w:val="20"/>
          <w:szCs w:val="20"/>
          <w:color w:val="auto"/>
        </w:rPr>
      </w:pPr>
    </w:p>
    <w:p>
      <w:pPr>
        <w:ind w:right="100" w:firstLine="1"/>
        <w:spacing w:after="0" w:line="262" w:lineRule="auto"/>
        <w:tabs>
          <w:tab w:leader="none" w:pos="30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Company and the DSP Agent agree that it would not be just or equitable if contribution pursuant to this Section 9(f) were determined by pro rata allocation or by any other method of allocation that does not take account of the equitable considerations referred to in Section 9(f)(ii). The amount paid or payable by the DSP Agent as a result of the losses, claims, damages and liabilities referred to in the immediately preceding paragraph shall be deemed to include, subject to the limitations set forth above, any legal or other expenses reasonably incurred by the DSP Agent in connection with investigating or defending any such action or claim. Notwithstanding the provisions of this Section 9(f), the DSP Agent shall not be required to contribute any amount in excess of the amount by which the total price at which the Directed Shares distributed to the public were offered to the public exceeds the amount of any damages that the DSP Agent has otherwise been required to pay.</w:t>
      </w:r>
    </w:p>
    <w:p>
      <w:pPr>
        <w:spacing w:after="0" w:line="117"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920"/>
          </w:cols>
          <w:pgMar w:left="700" w:top="272" w:right="279" w:bottom="1440" w:gutter="0" w:footer="0" w:header="0"/>
        </w:sectPr>
      </w:pPr>
    </w:p>
    <w:bookmarkStart w:id="288" w:name="page289"/>
    <w:bookmarkEnd w:id="288"/>
    <w:p>
      <w:pPr>
        <w:ind w:left="-20" w:firstLine="461"/>
        <w:spacing w:after="0" w:line="260" w:lineRule="auto"/>
        <w:tabs>
          <w:tab w:leader="none" w:pos="698" w:val="left"/>
        </w:tabs>
        <w:numPr>
          <w:ilvl w:val="0"/>
          <w:numId w:val="15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 If any Underwriter shall default in its obligation to purchase the Shares which it has agreed to purchase hereunder at a Time of Delivery, you may in your discretion arrange for you or another party or other parties to purchase such Shares on the terms contained herein. If within thirty-six hours after such default by any Underwriter you do not arrange for the purchase of such Shares, then the Company shall be entitled to a further period of thirty-six hours within which to procure another party or other parties satisfactory to you to purchase such Shares on such terms. In the event that, within the respective prescribed periods, you notify the Company that you have so arranged for the purchase of such Shares, or the Company notifies you that it has so arranged for the purchase of such Shares,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82" w:lineRule="exact"/>
        <w:rPr>
          <w:sz w:val="20"/>
          <w:szCs w:val="20"/>
          <w:color w:val="auto"/>
        </w:rPr>
      </w:pPr>
    </w:p>
    <w:p>
      <w:pPr>
        <w:ind w:left="440" w:right="100" w:firstLine="1"/>
        <w:spacing w:after="0" w:line="262" w:lineRule="auto"/>
        <w:tabs>
          <w:tab w:leader="none" w:pos="687"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Shares of a defaulting Underwriter or Underwriters by you and the Company as provided in subsection (a) above, the aggregate number of such Shares which remains unpurchased does not exceed one-eleventh of the aggregate number of all of the Shares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77" w:lineRule="exact"/>
        <w:rPr>
          <w:rFonts w:ascii="Arial" w:cs="Arial" w:eastAsia="Arial" w:hAnsi="Arial"/>
          <w:sz w:val="17"/>
          <w:szCs w:val="17"/>
          <w:color w:val="auto"/>
        </w:rPr>
      </w:pPr>
    </w:p>
    <w:p>
      <w:pPr>
        <w:ind w:left="440" w:right="80" w:firstLine="1"/>
        <w:spacing w:after="0" w:line="261" w:lineRule="auto"/>
        <w:tabs>
          <w:tab w:leader="none" w:pos="677"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Shares of a defaulting Underwriter or Underwriters by you and the Company as provided in subsection (a) above, the aggregate number of such Shares which remains unpurchased exceeds one-eleventh of the aggregate number of all of the Shares to be purchased at such Time of Delivery, or if the Company shall not exercise the right described in subsection (b) above to require non-defaulting Underwriters to purchase Shares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00"/>
          </w:cols>
          <w:pgMar w:left="260" w:top="271" w:right="239" w:bottom="1440" w:gutter="0" w:footer="0" w:header="0"/>
        </w:sectPr>
      </w:pPr>
    </w:p>
    <w:bookmarkStart w:id="289" w:name="page290"/>
    <w:bookmarkEnd w:id="289"/>
    <w:p>
      <w:pPr>
        <w:ind w:right="100" w:firstLine="461"/>
        <w:spacing w:after="0" w:line="267" w:lineRule="auto"/>
        <w:tabs>
          <w:tab w:leader="none" w:pos="712" w:val="left"/>
        </w:tabs>
        <w:numPr>
          <w:ilvl w:val="0"/>
          <w:numId w:val="1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Shares.</w:t>
      </w:r>
    </w:p>
    <w:p>
      <w:pPr>
        <w:spacing w:after="0" w:line="72" w:lineRule="exact"/>
        <w:rPr>
          <w:rFonts w:ascii="Arial" w:cs="Arial" w:eastAsia="Arial" w:hAnsi="Arial"/>
          <w:sz w:val="17"/>
          <w:szCs w:val="17"/>
          <w:color w:val="auto"/>
        </w:rPr>
      </w:pPr>
    </w:p>
    <w:p>
      <w:pPr>
        <w:ind w:right="200" w:firstLine="461"/>
        <w:spacing w:after="0" w:line="285" w:lineRule="auto"/>
        <w:tabs>
          <w:tab w:leader="none" w:pos="71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If this Agreement shall be terminated pursuant to Section 10 hereof, the Company shall not then be under any liability to any Underwriter except as provided in Sections 7 and 9 hereof; but, if for any other reason, any Shares are not delivered by or on behalf of the Company as provided herein, the Company will reimburse the Underwriters through you for all reasonable and documented out-of-pocket expenses approved in writing by you, including fees and disbursements of counsel, reasonably incurred by the Underwriters in making preparations for the purchase, sale and delivery of the Shares not so delivered, but the Company shall then be under no further liability to any Underwriter except as provided in Sections 7 and 9 hereof.</w:t>
      </w:r>
    </w:p>
    <w:p>
      <w:pPr>
        <w:spacing w:after="0" w:line="59" w:lineRule="exact"/>
        <w:rPr>
          <w:rFonts w:ascii="Arial" w:cs="Arial" w:eastAsia="Arial" w:hAnsi="Arial"/>
          <w:sz w:val="16"/>
          <w:szCs w:val="16"/>
          <w:color w:val="auto"/>
        </w:rPr>
      </w:pPr>
    </w:p>
    <w:p>
      <w:pPr>
        <w:ind w:right="100" w:firstLine="461"/>
        <w:spacing w:after="0" w:line="289" w:lineRule="auto"/>
        <w:tabs>
          <w:tab w:leader="none" w:pos="718" w:val="left"/>
        </w:tabs>
        <w:numPr>
          <w:ilvl w:val="0"/>
          <w:numId w:val="160"/>
        </w:numPr>
        <w:rPr>
          <w:rFonts w:ascii="Arial" w:cs="Arial" w:eastAsia="Arial" w:hAnsi="Arial"/>
          <w:sz w:val="17"/>
          <w:szCs w:val="17"/>
          <w:color w:val="auto"/>
        </w:rPr>
      </w:pPr>
      <w:r>
        <w:rPr>
          <w:rFonts w:ascii="Arial" w:cs="Arial" w:eastAsia="Arial" w:hAnsi="Arial"/>
          <w:sz w:val="17"/>
          <w:szCs w:val="17"/>
          <w:color w:val="auto"/>
        </w:rPr>
        <w:t>In all dealings hereunder, you shall act on behalf of each of the Underwriters, and the parties hereto shall be entitled to act and rely upon any statement, request, notice or agreement on behalf of any Underwriter made or given by you jointly.</w:t>
      </w:r>
    </w:p>
    <w:p>
      <w:pPr>
        <w:spacing w:after="0" w:line="158" w:lineRule="exact"/>
        <w:rPr>
          <w:sz w:val="20"/>
          <w:szCs w:val="20"/>
          <w:color w:val="auto"/>
        </w:rPr>
      </w:pPr>
    </w:p>
    <w:p>
      <w:pPr>
        <w:ind w:firstLine="457"/>
        <w:spacing w:after="0" w:line="300" w:lineRule="auto"/>
        <w:rPr>
          <w:sz w:val="20"/>
          <w:szCs w:val="20"/>
          <w:color w:val="auto"/>
        </w:rPr>
      </w:pPr>
      <w:r>
        <w:rPr>
          <w:rFonts w:ascii="Arial" w:cs="Arial" w:eastAsia="Arial" w:hAnsi="Arial"/>
          <w:sz w:val="15"/>
          <w:szCs w:val="15"/>
          <w:color w:val="auto"/>
        </w:rPr>
        <w:t>All statements, requests, notices and agreements hereunder shall be in writing, and if to the Underwriters shall be delivered or sent by mail, telex or facsimile transmission to the Representatives at Goldman Sachs &amp; Co. LLC</w:t>
      </w:r>
      <w:r>
        <w:rPr>
          <w:rFonts w:ascii="Arial" w:cs="Arial" w:eastAsia="Arial" w:hAnsi="Arial"/>
          <w:sz w:val="15"/>
          <w:szCs w:val="15"/>
          <w:b w:val="1"/>
          <w:bCs w:val="1"/>
          <w:color w:val="auto"/>
        </w:rPr>
        <w:t>,</w:t>
      </w:r>
      <w:r>
        <w:rPr>
          <w:rFonts w:ascii="Arial" w:cs="Arial" w:eastAsia="Arial" w:hAnsi="Arial"/>
          <w:sz w:val="15"/>
          <w:szCs w:val="15"/>
          <w:color w:val="auto"/>
        </w:rPr>
        <w:t xml:space="preserve"> 200 West Street, New York, New York 10282, Attention: Registration Department, at Citigroup Global Markets Inc., 388 Greenwich Street, New York, New York 10013, Attention: General Counsel, and at Cowen and Company, LLC, 599 Lexington Avenue, New York, New York, 10022, Attention: General Counsel; if to the Company shall be delivered or sent by mail, telex or facsimile transmission to the address of the Company set forth on the cover of the Registration Statement, Attention: Secretary; and if to any stockholder that has delivered a lock-up letter described in Section 8(j) hereof shall be delivered or sent by mail to his, her or its respective address as such stockholder provides in writing to the Company; provided, however, that any notice to an Underwriter pursuant to Section 9(c) hereof shall be delivered or sent by mail, telex or facsimile transmission to such Underwriter at its address set forth in its Underwriters’ Questionnaire or telex constituting such Questionnaire, which address will be supplied to the Company by you upon request; provided further that notices under subsection 5(e) shall be in writing, and if to the Underwriters shall be delivered or sent by mail, telex or</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00"/>
          </w:cols>
          <w:pgMar w:left="240" w:top="271" w:right="259" w:bottom="1440" w:gutter="0" w:footer="0" w:header="0"/>
        </w:sectPr>
      </w:pPr>
    </w:p>
    <w:bookmarkStart w:id="290" w:name="page291"/>
    <w:bookmarkEnd w:id="29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facsimile transmission to the Representatives at Goldman Sachs &amp; Co. LLC, 200 West Street, New York, New York 10282, Attention: Control Room, at Citigroup</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Global Markets Inc., 388 Greenwich Street, New York, New York 10013, Attention: General Counsel, and at Cowen and Company, LLC, 599 Lexington Avenue,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10022, Attention: General Counsel. Any such statements, requests, notices or agreements shall take effect upon receipt thereof.</w:t>
      </w:r>
    </w:p>
    <w:p>
      <w:pPr>
        <w:spacing w:after="0" w:line="212" w:lineRule="exact"/>
        <w:rPr>
          <w:sz w:val="20"/>
          <w:szCs w:val="20"/>
          <w:color w:val="auto"/>
        </w:rPr>
      </w:pPr>
    </w:p>
    <w:p>
      <w:pPr>
        <w:ind w:right="140" w:firstLine="457"/>
        <w:spacing w:after="0" w:line="273" w:lineRule="auto"/>
        <w:rPr>
          <w:sz w:val="20"/>
          <w:szCs w:val="20"/>
          <w:color w:val="auto"/>
        </w:rPr>
      </w:pPr>
      <w:r>
        <w:rPr>
          <w:rFonts w:ascii="Arial" w:cs="Arial" w:eastAsia="Arial" w:hAnsi="Arial"/>
          <w:sz w:val="17"/>
          <w:szCs w:val="17"/>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66" w:lineRule="exact"/>
        <w:rPr>
          <w:sz w:val="20"/>
          <w:szCs w:val="20"/>
          <w:color w:val="auto"/>
        </w:rPr>
      </w:pPr>
    </w:p>
    <w:p>
      <w:pPr>
        <w:ind w:firstLine="461"/>
        <w:spacing w:after="0" w:line="267" w:lineRule="auto"/>
        <w:tabs>
          <w:tab w:leader="none" w:pos="71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This Agreement shall be binding upon, and inure solely to the benefit of, the Underwriters, the Company and, to the extent provided in Sections 9 and 11 hereof, the officers and directors of the Company and each person who controls the Company or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72" w:lineRule="exact"/>
        <w:rPr>
          <w:rFonts w:ascii="Arial" w:cs="Arial" w:eastAsia="Arial" w:hAnsi="Arial"/>
          <w:sz w:val="17"/>
          <w:szCs w:val="17"/>
          <w:color w:val="auto"/>
        </w:rPr>
      </w:pPr>
    </w:p>
    <w:p>
      <w:pPr>
        <w:ind w:right="800" w:firstLine="461"/>
        <w:spacing w:after="0" w:line="289" w:lineRule="auto"/>
        <w:tabs>
          <w:tab w:leader="none" w:pos="71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Time shall be of the essence of this Agreement. As used herein, the term “business day” shall mean any day when the Commission’s office in Washington, D.C. is open for business.</w:t>
      </w:r>
    </w:p>
    <w:p>
      <w:pPr>
        <w:spacing w:after="0" w:line="53" w:lineRule="exact"/>
        <w:rPr>
          <w:rFonts w:ascii="Arial" w:cs="Arial" w:eastAsia="Arial" w:hAnsi="Arial"/>
          <w:sz w:val="17"/>
          <w:szCs w:val="17"/>
          <w:color w:val="auto"/>
        </w:rPr>
      </w:pPr>
    </w:p>
    <w:p>
      <w:pPr>
        <w:ind w:firstLine="461"/>
        <w:spacing w:after="0" w:line="261" w:lineRule="auto"/>
        <w:tabs>
          <w:tab w:leader="none" w:pos="71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Company acknowledges and agrees that (i) the purchase and sale of the Shares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and (iv) the Company has consulted its own legal and financial advisors to the extent it deemed appropriate.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80" w:lineRule="exact"/>
        <w:rPr>
          <w:rFonts w:ascii="Arial" w:cs="Arial" w:eastAsia="Arial" w:hAnsi="Arial"/>
          <w:sz w:val="17"/>
          <w:szCs w:val="17"/>
          <w:color w:val="auto"/>
        </w:rPr>
      </w:pPr>
    </w:p>
    <w:p>
      <w:pPr>
        <w:ind w:right="320" w:firstLine="461"/>
        <w:spacing w:after="0" w:line="289" w:lineRule="auto"/>
        <w:tabs>
          <w:tab w:leader="none" w:pos="71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This Agreement supersedes all prior agreements and understandings (whether written or oral) between the Company and the Underwriters, or any of them, with respect to the subject matter hereof.</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00"/>
          </w:cols>
          <w:pgMar w:left="240" w:top="271" w:right="259" w:bottom="1440" w:gutter="0" w:footer="0" w:header="0"/>
        </w:sectPr>
      </w:pPr>
    </w:p>
    <w:bookmarkStart w:id="291" w:name="page292"/>
    <w:bookmarkEnd w:id="291"/>
    <w:p>
      <w:pPr>
        <w:ind w:right="140" w:firstLine="461"/>
        <w:spacing w:after="0" w:line="310" w:lineRule="auto"/>
        <w:tabs>
          <w:tab w:leader="none" w:pos="718" w:val="left"/>
        </w:tabs>
        <w:numPr>
          <w:ilvl w:val="0"/>
          <w:numId w:val="162"/>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This Agreement and any transaction contemplated by this Agreement shall be governed by and construed in accordance with the laws of the State of New York without regard to principles of conflict of laws that would results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44" w:lineRule="exact"/>
        <w:rPr>
          <w:rFonts w:ascii="Arial" w:cs="Arial" w:eastAsia="Arial" w:hAnsi="Arial"/>
          <w:sz w:val="15"/>
          <w:szCs w:val="15"/>
          <w:color w:val="auto"/>
        </w:rPr>
      </w:pPr>
    </w:p>
    <w:p>
      <w:pPr>
        <w:ind w:right="20" w:firstLine="461"/>
        <w:spacing w:after="0" w:line="267" w:lineRule="auto"/>
        <w:tabs>
          <w:tab w:leader="none" w:pos="718"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3" w:lineRule="exact"/>
        <w:rPr>
          <w:sz w:val="20"/>
          <w:szCs w:val="20"/>
          <w:color w:val="auto"/>
        </w:rPr>
      </w:pPr>
    </w:p>
    <w:p>
      <w:pPr>
        <w:ind w:right="40" w:firstLine="461"/>
        <w:spacing w:after="0" w:line="267" w:lineRule="auto"/>
        <w:tabs>
          <w:tab w:leader="none" w:pos="704" w:val="left"/>
        </w:tabs>
        <w:numPr>
          <w:ilvl w:val="0"/>
          <w:numId w:val="163"/>
        </w:numPr>
        <w:rPr>
          <w:rFonts w:ascii="Arial" w:cs="Arial" w:eastAsia="Arial" w:hAnsi="Arial"/>
          <w:sz w:val="17"/>
          <w:szCs w:val="17"/>
          <w:color w:val="auto"/>
        </w:rPr>
      </w:pPr>
      <w:r>
        <w:rPr>
          <w:rFonts w:ascii="Arial" w:cs="Arial" w:eastAsia="Arial" w:hAnsi="Arial"/>
          <w:sz w:val="17"/>
          <w:szCs w:val="17"/>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8"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For purposes of this Section a “BHC Act Affiliate” has the meaning assigned to the term “affiliate” in, and shall be interpreted in accordance with, 12 U.S.C. § 1841(k). “Covered Entity” means any of the following: (i) a “covered entity” as that term is defined in, and interpreted in accordance with, 12 C.F.R. §</w:t>
      </w:r>
    </w:p>
    <w:p>
      <w:pPr>
        <w:ind w:right="80"/>
        <w:spacing w:after="0" w:line="308" w:lineRule="auto"/>
        <w:rPr>
          <w:sz w:val="20"/>
          <w:szCs w:val="20"/>
          <w:color w:val="auto"/>
        </w:rPr>
      </w:pPr>
      <w:r>
        <w:rPr>
          <w:rFonts w:ascii="Arial" w:cs="Arial" w:eastAsia="Arial" w:hAnsi="Arial"/>
          <w:sz w:val="15"/>
          <w:szCs w:val="15"/>
          <w:color w:val="auto"/>
        </w:rPr>
        <w:t>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45" w:lineRule="exact"/>
        <w:rPr>
          <w:sz w:val="20"/>
          <w:szCs w:val="20"/>
          <w:color w:val="auto"/>
        </w:rPr>
      </w:pPr>
    </w:p>
    <w:p>
      <w:pPr>
        <w:ind w:right="80" w:firstLine="461"/>
        <w:spacing w:after="0" w:line="289" w:lineRule="auto"/>
        <w:tabs>
          <w:tab w:leader="none" w:pos="718"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265" w:right="239" w:bottom="1440" w:gutter="0" w:footer="0" w:header="0"/>
        </w:sectPr>
      </w:pPr>
    </w:p>
    <w:bookmarkStart w:id="292" w:name="page293"/>
    <w:bookmarkEnd w:id="292"/>
    <w:p>
      <w:pPr>
        <w:ind w:left="-40" w:right="500" w:firstLine="461"/>
        <w:spacing w:after="0" w:line="289" w:lineRule="auto"/>
        <w:tabs>
          <w:tab w:leader="none" w:pos="678" w:val="left"/>
        </w:tabs>
        <w:numPr>
          <w:ilvl w:val="0"/>
          <w:numId w:val="16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This Agreement may be executed by any one or more of the parties hereto in any number of counterparts, each of which shall be deemed to be an original, but all such counterparts shall together constitute one and the same instrument.</w:t>
      </w:r>
    </w:p>
    <w:p>
      <w:pPr>
        <w:spacing w:after="0" w:line="157" w:lineRule="exact"/>
        <w:rPr>
          <w:rFonts w:ascii="Arial" w:cs="Arial" w:eastAsia="Arial" w:hAnsi="Arial"/>
          <w:sz w:val="17"/>
          <w:szCs w:val="17"/>
          <w:color w:val="auto"/>
        </w:rPr>
      </w:pPr>
    </w:p>
    <w:p>
      <w:pPr>
        <w:ind w:left="-40" w:firstLine="461"/>
        <w:spacing w:after="0" w:line="265" w:lineRule="auto"/>
        <w:tabs>
          <w:tab w:leader="none" w:pos="678" w:val="left"/>
        </w:tabs>
        <w:numPr>
          <w:ilvl w:val="0"/>
          <w:numId w:val="165"/>
        </w:numPr>
        <w:rPr>
          <w:rFonts w:ascii="Arial" w:cs="Arial" w:eastAsia="Arial" w:hAnsi="Arial"/>
          <w:sz w:val="17"/>
          <w:szCs w:val="17"/>
          <w:color w:val="auto"/>
        </w:rPr>
      </w:pPr>
      <w:r>
        <w:rPr>
          <w:rFonts w:ascii="Arial" w:cs="Arial" w:eastAsia="Arial" w:hAnsi="Arial"/>
          <w:sz w:val="17"/>
          <w:szCs w:val="17"/>
          <w:color w:val="auto"/>
        </w:rPr>
        <w:t>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340"/>
          </w:cols>
          <w:pgMar w:left="280" w:top="271" w:right="279" w:bottom="1440" w:gutter="0" w:footer="0" w:header="0"/>
        </w:sectPr>
      </w:pPr>
    </w:p>
    <w:bookmarkStart w:id="293" w:name="page294"/>
    <w:bookmarkEnd w:id="293"/>
    <w:p>
      <w:pPr>
        <w:ind w:firstLine="457"/>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If the foregoing is in accordance with your understanding, please sign and return to us six counterparts hereof, and upon the acceptance hereof by you, on behalf of each of the Underwriters, this letter and such acceptance hereof shall constitute a binding agreement among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272" w:right="239" w:bottom="1440" w:gutter="0" w:footer="0" w:header="0"/>
        </w:sectPr>
      </w:pPr>
    </w:p>
    <w:bookmarkStart w:id="294" w:name="page295"/>
    <w:bookmarkEnd w:id="294"/>
    <w:p>
      <w:pPr>
        <w:ind w:left="6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Very truly yours,</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NGM BIOPHARMACEUTICALS, INC.</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w:t>
      </w:r>
    </w:p>
    <w:p>
      <w:pPr>
        <w:spacing w:after="0" w:line="1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GOLDMAN SACHS &amp; CO. LLC</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0</wp:posOffset>
            </wp:positionV>
            <wp:extent cx="266065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9">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spacing w:after="0" w:line="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Name:</w:t>
      </w:r>
    </w:p>
    <w:p>
      <w:pPr>
        <w:spacing w:after="0" w:line="1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CITIGROUP GLOBAL MARKETS INC.</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0</wp:posOffset>
            </wp:positionV>
            <wp:extent cx="266065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0">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spacing w:after="0" w:line="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Name:</w:t>
      </w:r>
    </w:p>
    <w:p>
      <w:pPr>
        <w:spacing w:after="0" w:line="1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Cowen and Company, LLC.</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0</wp:posOffset>
            </wp:positionV>
            <wp:extent cx="266065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1">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spacing w:after="0" w:line="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Name:</w:t>
      </w:r>
    </w:p>
    <w:p>
      <w:pPr>
        <w:spacing w:after="0" w:line="1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On behalf of each of the</w:t>
      </w:r>
    </w:p>
    <w:p>
      <w:pPr>
        <w:spacing w:after="0" w:line="2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Underwriters</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Underwriting Agreement</w:t>
      </w:r>
      <w:r>
        <w:rPr>
          <w:rFonts w:ascii="Arial" w:cs="Arial" w:eastAsia="Arial" w:hAnsi="Arial"/>
          <w:sz w:val="17"/>
          <w:szCs w:val="17"/>
          <w:color w:val="auto"/>
        </w:rPr>
        <w:t>]</w:t>
      </w:r>
    </w:p>
    <w:p>
      <w:pPr>
        <w:sectPr>
          <w:pgSz w:w="11900" w:h="16838" w:orient="portrait"/>
          <w:cols w:equalWidth="0" w:num="1">
            <w:col w:w="10219"/>
          </w:cols>
          <w:pgMar w:left="240" w:top="271" w:right="1440" w:bottom="1440" w:gutter="0" w:footer="0" w:header="0"/>
        </w:sectPr>
      </w:pPr>
    </w:p>
    <w:bookmarkStart w:id="295" w:name="page296"/>
    <w:bookmarkEnd w:id="2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80"/>
        <w:spacing w:after="0"/>
        <w:rPr>
          <w:sz w:val="20"/>
          <w:szCs w:val="20"/>
          <w:color w:val="auto"/>
        </w:rPr>
      </w:pPr>
      <w:r>
        <w:rPr>
          <w:rFonts w:ascii="Arial" w:cs="Arial" w:eastAsia="Arial" w:hAnsi="Arial"/>
          <w:sz w:val="14"/>
          <w:szCs w:val="14"/>
          <w:b w:val="1"/>
          <w:bCs w:val="1"/>
          <w:u w:val="single" w:color="auto"/>
          <w:color w:val="auto"/>
        </w:rPr>
        <w:t>Underwriter</w:t>
      </w:r>
    </w:p>
    <w:p>
      <w:pPr>
        <w:spacing w:after="0" w:line="20" w:lineRule="exact"/>
        <w:rPr>
          <w:sz w:val="20"/>
          <w:szCs w:val="20"/>
          <w:color w:val="auto"/>
        </w:rPr>
      </w:pPr>
    </w:p>
    <w:p>
      <w:pPr>
        <w:ind w:left="180" w:right="960"/>
        <w:spacing w:after="0" w:line="278" w:lineRule="auto"/>
        <w:rPr>
          <w:sz w:val="20"/>
          <w:szCs w:val="20"/>
          <w:color w:val="auto"/>
        </w:rPr>
      </w:pPr>
      <w:r>
        <w:rPr>
          <w:rFonts w:ascii="Arial" w:cs="Arial" w:eastAsia="Arial" w:hAnsi="Arial"/>
          <w:sz w:val="16"/>
          <w:szCs w:val="16"/>
          <w:color w:val="auto"/>
        </w:rPr>
        <w:t>Goldman, Sachs &amp; Co. Citigroup Global Markets Inc. Cowen and Company, LLC</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-203200</wp:posOffset>
            </wp:positionV>
            <wp:extent cx="7292975" cy="3746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spacing w:after="0" w:line="209" w:lineRule="exact"/>
        <w:rPr>
          <w:sz w:val="20"/>
          <w:szCs w:val="20"/>
          <w:color w:val="auto"/>
        </w:rPr>
      </w:pPr>
    </w:p>
    <w:tbl>
      <w:tblPr>
        <w:tblLayout w:type="fixed"/>
        <w:tblInd w:w="268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44"/>
        </w:trPr>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1"/>
              </w:rPr>
              <w:t>Optional</w:t>
            </w:r>
          </w:p>
        </w:tc>
        <w:tc>
          <w:tcPr>
            <w:tcW w:w="0" w:type="dxa"/>
            <w:vAlign w:val="bottom"/>
          </w:tcPr>
          <w:p>
            <w:pPr>
              <w:spacing w:after="0"/>
              <w:rPr>
                <w:sz w:val="1"/>
                <w:szCs w:val="1"/>
                <w:color w:val="auto"/>
              </w:rPr>
            </w:pPr>
          </w:p>
        </w:tc>
      </w:tr>
      <w:tr>
        <w:trPr>
          <w:trHeight w:val="144"/>
        </w:trPr>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840" w:type="dxa"/>
            <w:vAlign w:val="bottom"/>
          </w:tcPr>
          <w:p>
            <w:pPr>
              <w:spacing w:after="0"/>
              <w:rPr>
                <w:sz w:val="12"/>
                <w:szCs w:val="12"/>
                <w:color w:val="auto"/>
              </w:rPr>
            </w:pPr>
          </w:p>
        </w:tc>
        <w:tc>
          <w:tcPr>
            <w:tcW w:w="6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Shares to</w:t>
            </w:r>
          </w:p>
        </w:tc>
        <w:tc>
          <w:tcPr>
            <w:tcW w:w="0" w:type="dxa"/>
            <w:vAlign w:val="bottom"/>
          </w:tcPr>
          <w:p>
            <w:pPr>
              <w:spacing w:after="0"/>
              <w:rPr>
                <w:sz w:val="1"/>
                <w:szCs w:val="1"/>
                <w:color w:val="auto"/>
              </w:rPr>
            </w:pPr>
          </w:p>
        </w:tc>
      </w:tr>
      <w:tr>
        <w:trPr>
          <w:trHeight w:val="144"/>
        </w:trPr>
        <w:tc>
          <w:tcPr>
            <w:tcW w:w="66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5"/>
              </w:rPr>
              <w:t>be</w:t>
            </w:r>
          </w:p>
        </w:tc>
        <w:tc>
          <w:tcPr>
            <w:tcW w:w="0" w:type="dxa"/>
            <w:vAlign w:val="bottom"/>
          </w:tcPr>
          <w:p>
            <w:pPr>
              <w:spacing w:after="0"/>
              <w:rPr>
                <w:sz w:val="1"/>
                <w:szCs w:val="1"/>
                <w:color w:val="auto"/>
              </w:rPr>
            </w:pPr>
          </w:p>
        </w:tc>
      </w:tr>
      <w:tr>
        <w:trPr>
          <w:trHeight w:val="144"/>
        </w:trPr>
        <w:tc>
          <w:tcPr>
            <w:tcW w:w="6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4"/>
              </w:rPr>
              <w:t>Number of</w:t>
            </w:r>
          </w:p>
        </w:tc>
        <w:tc>
          <w:tcPr>
            <w:tcW w:w="840" w:type="dxa"/>
            <w:vAlign w:val="bottom"/>
          </w:tcPr>
          <w:p>
            <w:pPr>
              <w:spacing w:after="0"/>
              <w:rPr>
                <w:sz w:val="12"/>
                <w:szCs w:val="12"/>
                <w:color w:val="auto"/>
              </w:rPr>
            </w:pPr>
          </w:p>
        </w:tc>
        <w:tc>
          <w:tcPr>
            <w:tcW w:w="6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4"/>
        </w:trPr>
        <w:tc>
          <w:tcPr>
            <w:tcW w:w="6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8"/>
              </w:rPr>
              <w:t>Firm</w:t>
            </w:r>
          </w:p>
        </w:tc>
        <w:tc>
          <w:tcPr>
            <w:tcW w:w="840" w:type="dxa"/>
            <w:vAlign w:val="bottom"/>
          </w:tcPr>
          <w:p>
            <w:pPr>
              <w:spacing w:after="0"/>
              <w:rPr>
                <w:sz w:val="12"/>
                <w:szCs w:val="12"/>
                <w:color w:val="auto"/>
              </w:rPr>
            </w:pPr>
          </w:p>
        </w:tc>
        <w:tc>
          <w:tcPr>
            <w:tcW w:w="6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2"/>
              </w:rPr>
              <w:t>if</w:t>
            </w:r>
          </w:p>
        </w:tc>
        <w:tc>
          <w:tcPr>
            <w:tcW w:w="0" w:type="dxa"/>
            <w:vAlign w:val="bottom"/>
          </w:tcPr>
          <w:p>
            <w:pPr>
              <w:spacing w:after="0"/>
              <w:rPr>
                <w:sz w:val="1"/>
                <w:szCs w:val="1"/>
                <w:color w:val="auto"/>
              </w:rPr>
            </w:pPr>
          </w:p>
        </w:tc>
      </w:tr>
      <w:tr>
        <w:trPr>
          <w:trHeight w:val="144"/>
        </w:trPr>
        <w:tc>
          <w:tcPr>
            <w:tcW w:w="6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4"/>
              </w:rPr>
              <w:t>Shares to</w:t>
            </w:r>
          </w:p>
        </w:tc>
        <w:tc>
          <w:tcPr>
            <w:tcW w:w="840" w:type="dxa"/>
            <w:vAlign w:val="bottom"/>
          </w:tcPr>
          <w:p>
            <w:pPr>
              <w:spacing w:after="0"/>
              <w:rPr>
                <w:sz w:val="12"/>
                <w:szCs w:val="12"/>
                <w:color w:val="auto"/>
              </w:rPr>
            </w:pPr>
          </w:p>
        </w:tc>
        <w:tc>
          <w:tcPr>
            <w:tcW w:w="6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5"/>
              </w:rPr>
              <w:t>Maximum</w:t>
            </w:r>
          </w:p>
        </w:tc>
        <w:tc>
          <w:tcPr>
            <w:tcW w:w="0" w:type="dxa"/>
            <w:vAlign w:val="bottom"/>
          </w:tcPr>
          <w:p>
            <w:pPr>
              <w:spacing w:after="0"/>
              <w:rPr>
                <w:sz w:val="1"/>
                <w:szCs w:val="1"/>
                <w:color w:val="auto"/>
              </w:rPr>
            </w:pPr>
          </w:p>
        </w:tc>
      </w:tr>
      <w:tr>
        <w:trPr>
          <w:trHeight w:val="144"/>
        </w:trPr>
        <w:tc>
          <w:tcPr>
            <w:tcW w:w="6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5"/>
              </w:rPr>
              <w:t>be</w:t>
            </w:r>
          </w:p>
        </w:tc>
        <w:tc>
          <w:tcPr>
            <w:tcW w:w="840" w:type="dxa"/>
            <w:vAlign w:val="bottom"/>
          </w:tcPr>
          <w:p>
            <w:pPr>
              <w:spacing w:after="0"/>
              <w:rPr>
                <w:sz w:val="12"/>
                <w:szCs w:val="12"/>
                <w:color w:val="auto"/>
              </w:rPr>
            </w:pPr>
          </w:p>
        </w:tc>
        <w:tc>
          <w:tcPr>
            <w:tcW w:w="6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67"/>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8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Exercised</w:t>
            </w:r>
          </w:p>
        </w:tc>
        <w:tc>
          <w:tcPr>
            <w:tcW w:w="0" w:type="dxa"/>
            <w:vAlign w:val="bottom"/>
          </w:tcPr>
          <w:p>
            <w:pPr>
              <w:spacing w:after="0"/>
              <w:rPr>
                <w:sz w:val="1"/>
                <w:szCs w:val="1"/>
                <w:color w:val="auto"/>
              </w:rPr>
            </w:pPr>
          </w:p>
        </w:tc>
      </w:tr>
      <w:tr>
        <w:trPr>
          <w:trHeight w:val="609"/>
        </w:trPr>
        <w:tc>
          <w:tcPr>
            <w:tcW w:w="66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Borders>
              <w:bottom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-2412365</wp:posOffset>
            </wp:positionH>
            <wp:positionV relativeFrom="paragraph">
              <wp:posOffset>-573405</wp:posOffset>
            </wp:positionV>
            <wp:extent cx="5504815" cy="1333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3">
                      <a:extLst>
                        <a:ext uri="{28A0092B-C50C-407E-A947-70E740481C1C}"/>
                      </a:extLst>
                    </a:blip>
                    <a:srcRect/>
                    <a:stretch>
                      <a:fillRect/>
                    </a:stretch>
                  </pic:blipFill>
                  <pic:spPr bwMode="auto">
                    <a:xfrm>
                      <a:off x="0" y="0"/>
                      <a:ext cx="5504815" cy="133350"/>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-307340</wp:posOffset>
            </wp:positionV>
            <wp:extent cx="5504815" cy="1333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4">
                      <a:extLst>
                        <a:ext uri="{28A0092B-C50C-407E-A947-70E740481C1C}"/>
                      </a:extLst>
                    </a:blip>
                    <a:srcRect/>
                    <a:stretch>
                      <a:fillRect/>
                    </a:stretch>
                  </pic:blipFill>
                  <pic:spPr bwMode="auto">
                    <a:xfrm>
                      <a:off x="0" y="0"/>
                      <a:ext cx="5504815" cy="133350"/>
                    </a:xfrm>
                    <a:prstGeom prst="rect">
                      <a:avLst/>
                    </a:prstGeom>
                    <a:noFill/>
                  </pic:spPr>
                </pic:pic>
              </a:graphicData>
            </a:graphic>
          </wp:anchor>
        </w:drawing>
      </w:r>
    </w:p>
    <w:p>
      <w:pPr>
        <w:sectPr>
          <w:pgSz w:w="11900" w:h="16838" w:orient="portrait"/>
          <w:cols w:equalWidth="0" w:num="2">
            <w:col w:w="3260" w:space="720"/>
            <w:col w:w="5039"/>
          </w:cols>
          <w:pgMar w:left="1440" w:top="265" w:right="1440" w:bottom="1440" w:gutter="0" w:footer="0" w:header="0"/>
        </w:sectPr>
      </w:pPr>
    </w:p>
    <w:bookmarkStart w:id="296" w:name="page297"/>
    <w:bookmarkEnd w:id="296"/>
    <w:p>
      <w:pPr>
        <w:ind w:left="5135"/>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5">
                      <a:extLst>
                        <a:ext uri="{28A0092B-C50C-407E-A947-70E740481C1C}"/>
                      </a:extLst>
                    </a:blip>
                    <a:srcRect/>
                    <a:stretch>
                      <a:fillRect/>
                    </a:stretch>
                  </pic:blipFill>
                  <pic:spPr bwMode="auto">
                    <a:xfrm>
                      <a:off x="0" y="0"/>
                      <a:ext cx="7292975" cy="38100"/>
                    </a:xfrm>
                    <a:prstGeom prst="rect">
                      <a:avLst/>
                    </a:prstGeom>
                    <a:noFill/>
                  </pic:spPr>
                </pic:pic>
              </a:graphicData>
            </a:graphic>
          </wp:anchor>
        </w:drawing>
        <w:t>SCHEDULE II</w:t>
      </w:r>
    </w:p>
    <w:p>
      <w:pPr>
        <w:spacing w:after="0" w:line="125" w:lineRule="exact"/>
        <w:rPr>
          <w:sz w:val="20"/>
          <w:szCs w:val="20"/>
          <w:color w:val="auto"/>
        </w:rPr>
      </w:pPr>
    </w:p>
    <w:p>
      <w:pPr>
        <w:ind w:left="915" w:right="4379" w:hanging="915"/>
        <w:spacing w:after="0" w:line="385" w:lineRule="auto"/>
        <w:tabs>
          <w:tab w:leader="none" w:pos="239" w:val="left"/>
        </w:tabs>
        <w:numPr>
          <w:ilvl w:val="0"/>
          <w:numId w:val="166"/>
        </w:numPr>
        <w:rPr>
          <w:rFonts w:ascii="Arial" w:cs="Arial" w:eastAsia="Arial" w:hAnsi="Arial"/>
          <w:sz w:val="17"/>
          <w:szCs w:val="17"/>
          <w:color w:val="auto"/>
        </w:rPr>
      </w:pPr>
      <w:r>
        <w:rPr>
          <w:rFonts w:ascii="Arial" w:cs="Arial" w:eastAsia="Arial" w:hAnsi="Arial"/>
          <w:sz w:val="17"/>
          <w:szCs w:val="17"/>
          <w:color w:val="auto"/>
        </w:rPr>
        <w:t>Issuer Free Writing Prospectuses not included in the Pricing Disclosure Package [Electronic roadshow dated September 2018]</w:t>
      </w:r>
    </w:p>
    <w:p>
      <w:pPr>
        <w:spacing w:after="0" w:line="1" w:lineRule="exact"/>
        <w:rPr>
          <w:rFonts w:ascii="Arial" w:cs="Arial" w:eastAsia="Arial" w:hAnsi="Arial"/>
          <w:sz w:val="17"/>
          <w:szCs w:val="17"/>
          <w:color w:val="auto"/>
        </w:rPr>
      </w:pPr>
    </w:p>
    <w:p>
      <w:pPr>
        <w:ind w:left="235" w:hanging="235"/>
        <w:spacing w:after="0"/>
        <w:tabs>
          <w:tab w:leader="none" w:pos="235"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Additional documents incorporated by reference</w:t>
      </w:r>
    </w:p>
    <w:p>
      <w:pPr>
        <w:spacing w:after="0" w:line="119" w:lineRule="exact"/>
        <w:rPr>
          <w:sz w:val="20"/>
          <w:szCs w:val="20"/>
          <w:color w:val="auto"/>
        </w:rPr>
      </w:pPr>
    </w:p>
    <w:p>
      <w:pPr>
        <w:ind w:left="915"/>
        <w:spacing w:after="0"/>
        <w:rPr>
          <w:sz w:val="20"/>
          <w:szCs w:val="20"/>
          <w:color w:val="auto"/>
        </w:rPr>
      </w:pPr>
      <w:r>
        <w:rPr>
          <w:rFonts w:ascii="Arial" w:cs="Arial" w:eastAsia="Arial" w:hAnsi="Arial"/>
          <w:sz w:val="17"/>
          <w:szCs w:val="17"/>
          <w:color w:val="auto"/>
        </w:rPr>
        <w:t>[None]</w:t>
      </w:r>
    </w:p>
    <w:p>
      <w:pPr>
        <w:spacing w:after="0" w:line="119" w:lineRule="exact"/>
        <w:rPr>
          <w:sz w:val="20"/>
          <w:szCs w:val="20"/>
          <w:color w:val="auto"/>
        </w:rPr>
      </w:pPr>
    </w:p>
    <w:p>
      <w:pPr>
        <w:ind w:left="915" w:right="3579" w:hanging="915"/>
        <w:spacing w:after="0" w:line="385" w:lineRule="auto"/>
        <w:tabs>
          <w:tab w:leader="none" w:pos="239" w:val="left"/>
        </w:tabs>
        <w:numPr>
          <w:ilvl w:val="0"/>
          <w:numId w:val="167"/>
        </w:numPr>
        <w:rPr>
          <w:rFonts w:ascii="Arial" w:cs="Arial" w:eastAsia="Arial" w:hAnsi="Arial"/>
          <w:sz w:val="17"/>
          <w:szCs w:val="17"/>
          <w:color w:val="auto"/>
        </w:rPr>
      </w:pPr>
      <w:r>
        <w:rPr>
          <w:rFonts w:ascii="Arial" w:cs="Arial" w:eastAsia="Arial" w:hAnsi="Arial"/>
          <w:sz w:val="17"/>
          <w:szCs w:val="17"/>
          <w:color w:val="auto"/>
        </w:rPr>
        <w:t>Information other than the Pricing Prospectus that comprise the Pricing Disclosure Package The initial public offering price per share for the Shares is $[•]</w:t>
      </w:r>
    </w:p>
    <w:p>
      <w:pPr>
        <w:spacing w:after="0" w:line="1" w:lineRule="exact"/>
        <w:rPr>
          <w:rFonts w:ascii="Arial" w:cs="Arial" w:eastAsia="Arial" w:hAnsi="Arial"/>
          <w:sz w:val="17"/>
          <w:szCs w:val="17"/>
          <w:color w:val="auto"/>
        </w:rPr>
      </w:pPr>
    </w:p>
    <w:p>
      <w:pPr>
        <w:ind w:left="915" w:right="5139"/>
        <w:spacing w:after="0" w:line="417" w:lineRule="auto"/>
        <w:rPr>
          <w:rFonts w:ascii="Arial" w:cs="Arial" w:eastAsia="Arial" w:hAnsi="Arial"/>
          <w:sz w:val="17"/>
          <w:szCs w:val="17"/>
          <w:color w:val="auto"/>
        </w:rPr>
      </w:pPr>
      <w:r>
        <w:rPr>
          <w:rFonts w:ascii="Arial" w:cs="Arial" w:eastAsia="Arial" w:hAnsi="Arial"/>
          <w:sz w:val="17"/>
          <w:szCs w:val="17"/>
          <w:color w:val="auto"/>
        </w:rPr>
        <w:t>The number of Shares purchased by the Underwriters is [•]. [Add any other pricing disclosure.]</w:t>
      </w:r>
    </w:p>
    <w:p>
      <w:pPr>
        <w:sectPr>
          <w:pgSz w:w="11900" w:h="16838" w:orient="portrait"/>
          <w:cols w:equalWidth="0" w:num="1">
            <w:col w:w="10214"/>
          </w:cols>
          <w:pgMar w:left="245" w:top="265" w:right="1440" w:bottom="1440" w:gutter="0" w:footer="0" w:header="0"/>
        </w:sectPr>
      </w:pPr>
    </w:p>
    <w:bookmarkStart w:id="297" w:name="page298"/>
    <w:bookmarkEnd w:id="297"/>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ANNEX I</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Press Release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NGM Biopharmaceuticals,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w:t>
      </w:r>
    </w:p>
    <w:p>
      <w:pPr>
        <w:spacing w:after="0" w:line="212"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NGM Biopharmaceuticals, Inc. (the “Company”) announced today that Goldman Sachs &amp; Co. LLC, Citigroup Global Markets Inc. and Cowen and Company, LLC, the lead book-running managers in the recent public sale of shares of the Company’s common stock, is [waiving] [releasing] a lock-up restriction with respect to shares of the Company’s common stock held by [certain officers or directors] [an officer or director] of the Company. The [waiver] [release] will take</w:t>
      </w:r>
    </w:p>
    <w:p>
      <w:pPr>
        <w:spacing w:after="0" w:line="1" w:lineRule="exact"/>
        <w:rPr>
          <w:sz w:val="20"/>
          <w:szCs w:val="20"/>
          <w:color w:val="auto"/>
        </w:rPr>
      </w:pPr>
    </w:p>
    <w:p>
      <w:pPr>
        <w:spacing w:after="0"/>
        <w:tabs>
          <w:tab w:leader="none" w:pos="1200" w:val="left"/>
          <w:tab w:leader="none" w:pos="1900" w:val="left"/>
        </w:tabs>
        <w:rPr>
          <w:sz w:val="20"/>
          <w:szCs w:val="20"/>
          <w:color w:val="auto"/>
        </w:rPr>
      </w:pPr>
      <w:r>
        <w:rPr>
          <w:rFonts w:ascii="Arial" w:cs="Arial" w:eastAsia="Arial" w:hAnsi="Arial"/>
          <w:sz w:val="17"/>
          <w:szCs w:val="17"/>
          <w:color w:val="auto"/>
        </w:rPr>
        <w:t>effect on ,</w:t>
      </w:r>
      <w:r>
        <w:rPr>
          <w:sz w:val="20"/>
          <w:szCs w:val="20"/>
          <w:color w:val="auto"/>
        </w:rPr>
        <w:tab/>
      </w:r>
      <w:r>
        <w:rPr>
          <w:rFonts w:ascii="Arial" w:cs="Arial" w:eastAsia="Arial" w:hAnsi="Arial"/>
          <w:sz w:val="17"/>
          <w:szCs w:val="17"/>
          <w:color w:val="auto"/>
        </w:rPr>
        <w:t>20</w:t>
      </w:r>
      <w:r>
        <w:rPr>
          <w:sz w:val="20"/>
          <w:szCs w:val="20"/>
          <w:color w:val="auto"/>
        </w:rPr>
        <w:tab/>
      </w:r>
      <w:r>
        <w:rPr>
          <w:rFonts w:ascii="Arial" w:cs="Arial" w:eastAsia="Arial" w:hAnsi="Arial"/>
          <w:sz w:val="15"/>
          <w:szCs w:val="15"/>
          <w:color w:val="auto"/>
        </w:rPr>
        <w:t>, and the shares may be sold on or after such date.</w:t>
      </w:r>
    </w:p>
    <w:p>
      <w:pPr>
        <w:spacing w:after="0" w:line="31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Annex I</w:t>
      </w:r>
    </w:p>
    <w:p>
      <w:pPr>
        <w:sectPr>
          <w:pgSz w:w="11900" w:h="16838" w:orient="portrait"/>
          <w:cols w:equalWidth="0" w:num="1">
            <w:col w:w="11420"/>
          </w:cols>
          <w:pgMar w:left="240" w:top="265" w:right="239" w:bottom="1440" w:gutter="0" w:footer="0" w:header="0"/>
        </w:sectPr>
      </w:pPr>
    </w:p>
    <w:bookmarkStart w:id="298" w:name="page299"/>
    <w:bookmarkEnd w:id="298"/>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ANNEX II</w:t>
      </w:r>
    </w:p>
    <w:p>
      <w:pPr>
        <w:spacing w:after="0" w:line="200" w:lineRule="exact"/>
        <w:rPr>
          <w:sz w:val="20"/>
          <w:szCs w:val="20"/>
          <w:color w:val="auto"/>
        </w:rPr>
      </w:pPr>
    </w:p>
    <w:p>
      <w:pPr>
        <w:spacing w:after="0" w:line="233" w:lineRule="exact"/>
        <w:rPr>
          <w:sz w:val="20"/>
          <w:szCs w:val="20"/>
          <w:color w:val="auto"/>
        </w:rPr>
      </w:pPr>
    </w:p>
    <w:p>
      <w:pPr>
        <w:ind w:left="3100"/>
        <w:spacing w:after="0"/>
        <w:rPr>
          <w:sz w:val="20"/>
          <w:szCs w:val="20"/>
          <w:color w:val="auto"/>
        </w:rPr>
      </w:pPr>
      <w:r>
        <w:rPr>
          <w:rFonts w:ascii="Arial" w:cs="Arial" w:eastAsia="Arial" w:hAnsi="Arial"/>
          <w:sz w:val="17"/>
          <w:szCs w:val="17"/>
          <w:b w:val="1"/>
          <w:bCs w:val="1"/>
          <w:color w:val="auto"/>
        </w:rPr>
        <w:t>FORM OF LOCK UP AGREEMENT</w:t>
      </w:r>
    </w:p>
    <w:p>
      <w:pPr>
        <w:sectPr>
          <w:pgSz w:w="11900" w:h="16838" w:orient="portrait"/>
          <w:cols w:equalWidth="0" w:num="1">
            <w:col w:w="10220"/>
          </w:cols>
          <w:pgMar w:left="1440" w:top="266" w:right="239" w:bottom="1440" w:gutter="0" w:footer="0" w:header="0"/>
        </w:sectPr>
      </w:pPr>
    </w:p>
    <w:bookmarkStart w:id="299" w:name="page300"/>
    <w:bookmarkEnd w:id="299"/>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NGM Biopharmaceuticals, Inc.</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Lock-Up Agreement</w:t>
      </w:r>
    </w:p>
    <w:p>
      <w:pPr>
        <w:spacing w:after="0" w:line="224"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__________, 2019</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Goldman Sachs &amp; Co. LLC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Citigroup Global Markets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Cowen and Company, LLC</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c/o Goldman Sachs &amp; Co. LLC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200 West Street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New York, NY 10282-2198</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c/o Citigroup Global Markets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388 Greenwich Street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10013</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c/o Cowen and Company, LLC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599 Lexington Avenue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10022</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Re: </w:t>
      </w:r>
      <w:r>
        <w:rPr>
          <w:rFonts w:ascii="Arial" w:cs="Arial" w:eastAsia="Arial" w:hAnsi="Arial"/>
          <w:sz w:val="17"/>
          <w:szCs w:val="17"/>
          <w:u w:val="single" w:color="auto"/>
          <w:color w:val="auto"/>
        </w:rPr>
        <w:t>NGM Biopharmaceuticals, Inc. - Lock-Up Agreement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119"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The undersigned understands that you, as representatives (the “Representatives”), propose to enter into an underwriting agreement (the “Underwriting Agreement”) on behalf of the several underwriters to be named in Schedule I to such agreement (collectively, the “Underwriters”), with NGM Biopharmaceuticals, Inc., a Delaware corporation (the “Company”), providing for a public offering (the “Offering”) of the common stock, par value $0.001 per share, (the “Common Stock”) of the Company (the “Shares”) pursuant to a Registration Statement on Form S-1 (the “Registration Statement”) to be filed with the Securities and Exchange Commission (the “SEC”).</w:t>
      </w:r>
    </w:p>
    <w:p>
      <w:pPr>
        <w:spacing w:after="0" w:line="178"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auto"/>
        </w:rPr>
        <w:t>In consideration of the agreement by the Underwriters to offer and sell the Shares, and of other good and valuable consideration the receipt and sufficiency of which is hereby acknowledged, the undersigned agrees that, during the period specified in the following paragraph (the “Lock-Up Period”), the undersigned will not offer, sell, contract to sell, pledge, grant any option to purchase, make any short sale or otherwise dispose of any shares of Common Stock of the Company, or any options or warrants to purchase any shares of Common Stock of the Company, or any securities convertible into, exchangeable for or that represent the right to receive shares of Common Stock of the Company (including any preferred shares), whether now owned or hereafter acquired, owned directly by the undersigned (including holding as a custodian) or with respect to which the undersigned has beneficial ownership within the rules and regulations of the SEC (collectively the “Undersigned’s Shares”). The foregoing restriction is expressly agreed to preclude the undersigned from engaging in any hedging or other transaction which is designed to or which reasonably could be expected to lead to or result in a sale or disposition of the Undersigned’s Shares even if such Shares would be</w:t>
      </w:r>
    </w:p>
    <w:p>
      <w:pPr>
        <w:sectPr>
          <w:pgSz w:w="11900" w:h="16838" w:orient="portrait"/>
          <w:cols w:equalWidth="0" w:num="1">
            <w:col w:w="11420"/>
          </w:cols>
          <w:pgMar w:left="240" w:top="265" w:right="239" w:bottom="1440" w:gutter="0" w:footer="0" w:header="0"/>
        </w:sectPr>
      </w:pPr>
    </w:p>
    <w:bookmarkStart w:id="300" w:name="page301"/>
    <w:bookmarkEnd w:id="300"/>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disposed of by someone other than the undersigned. Such prohibited hedging or other transactions would include without limitation any short sale or any purchase, sale or grant of any right (including without limitation any put or call option) with respect to any of the Undersigned’s Shares or with respect to any security that includes, relates to, or derives any significant part of its value from such Shares. If the undersigned is an officer or director of the issuer, the undersigned further agrees that the foregoing provisions shall be equally applicable to any issuer-directed Shares the undersigned may purchase in the offering.</w:t>
      </w:r>
    </w:p>
    <w:p>
      <w:pPr>
        <w:spacing w:after="0" w:line="161" w:lineRule="exact"/>
        <w:rPr>
          <w:sz w:val="20"/>
          <w:szCs w:val="20"/>
          <w:color w:val="auto"/>
        </w:rPr>
      </w:pPr>
    </w:p>
    <w:p>
      <w:pPr>
        <w:ind w:right="280" w:firstLine="457"/>
        <w:spacing w:after="0" w:line="289" w:lineRule="auto"/>
        <w:rPr>
          <w:sz w:val="20"/>
          <w:szCs w:val="20"/>
          <w:color w:val="auto"/>
        </w:rPr>
      </w:pPr>
      <w:r>
        <w:rPr>
          <w:rFonts w:ascii="Arial" w:cs="Arial" w:eastAsia="Arial" w:hAnsi="Arial"/>
          <w:sz w:val="17"/>
          <w:szCs w:val="17"/>
          <w:color w:val="auto"/>
        </w:rPr>
        <w:t>The Lock-Up Period will commence on the date of this Lock-Up Agreement and continue for 180 days after the public offering date set forth on the final prospectus used to sell the Shares (the “Public Offering Date”) pursuant to the Underwriting Agreement.</w:t>
      </w:r>
    </w:p>
    <w:p>
      <w:pPr>
        <w:spacing w:after="0" w:line="158"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color w:val="auto"/>
        </w:rPr>
        <w:t>If the undersigned is an officer or director of the Company, (i) the Representatives agree that, at least three business days before the effective date of any release or waiver of the foregoing restrictions in connection with a transfer of shares of Common Stock, the Representatives will notify the Company of the impending release or waiver, and (ii) the Company has agreed or will agree in the Underwriting Agreement to announce the impending release or waiver by press release through a major news service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Notwithstanding the foregoing, the undersigned may:</w:t>
      </w:r>
    </w:p>
    <w:p>
      <w:pPr>
        <w:spacing w:after="0" w:line="119" w:lineRule="exact"/>
        <w:rPr>
          <w:sz w:val="20"/>
          <w:szCs w:val="20"/>
          <w:color w:val="auto"/>
        </w:rPr>
      </w:pPr>
    </w:p>
    <w:p>
      <w:pPr>
        <w:ind w:left="260" w:hanging="255"/>
        <w:spacing w:after="0"/>
        <w:tabs>
          <w:tab w:leader="none" w:pos="26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transfer the Undersigned’s Shares: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 xml:space="preserve">as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gift or gifts,</w:t>
      </w:r>
    </w:p>
    <w:p>
      <w:pPr>
        <w:spacing w:after="0" w:line="131" w:lineRule="exact"/>
        <w:rPr>
          <w:rFonts w:ascii="Arial" w:cs="Arial" w:eastAsia="Arial" w:hAnsi="Arial"/>
          <w:sz w:val="17"/>
          <w:szCs w:val="17"/>
          <w:color w:val="auto"/>
        </w:rPr>
      </w:pPr>
    </w:p>
    <w:p>
      <w:pPr>
        <w:ind w:left="900" w:right="120" w:hanging="450"/>
        <w:spacing w:after="0" w:line="273" w:lineRule="auto"/>
        <w:tabs>
          <w:tab w:leader="none" w:pos="90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 xml:space="preserve">to an immediate family member of the undersigned, or to any trust for the direct or indirect benefit of the undersigned or the immediate family of the undersigned, or if the undersigned is a trust, to any beneficiary (including such beneficiary’s estate) of the undersigned or otherwise for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estate planning purposes,</w:t>
      </w:r>
    </w:p>
    <w:p>
      <w:pPr>
        <w:spacing w:after="0" w:line="79" w:lineRule="exact"/>
        <w:rPr>
          <w:rFonts w:ascii="Arial" w:cs="Arial" w:eastAsia="Arial" w:hAnsi="Arial"/>
          <w:sz w:val="17"/>
          <w:szCs w:val="17"/>
          <w:color w:val="auto"/>
        </w:rPr>
      </w:pPr>
    </w:p>
    <w:p>
      <w:pPr>
        <w:ind w:left="900" w:hanging="450"/>
        <w:spacing w:after="0"/>
        <w:tabs>
          <w:tab w:leader="none" w:pos="90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by will or under the laws of descent,</w:t>
      </w:r>
    </w:p>
    <w:p>
      <w:pPr>
        <w:spacing w:after="0" w:line="131" w:lineRule="exact"/>
        <w:rPr>
          <w:rFonts w:ascii="Arial" w:cs="Arial" w:eastAsia="Arial" w:hAnsi="Arial"/>
          <w:sz w:val="17"/>
          <w:szCs w:val="17"/>
          <w:color w:val="auto"/>
        </w:rPr>
      </w:pPr>
    </w:p>
    <w:p>
      <w:pPr>
        <w:jc w:val="both"/>
        <w:ind w:left="900" w:right="740" w:hanging="450"/>
        <w:spacing w:after="0" w:line="297" w:lineRule="auto"/>
        <w:tabs>
          <w:tab w:leader="none" w:pos="90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to affiliates (within the meaning set forth in Rule 405 promulgated by the SEC under the Securities Act of 1933, as amended, and including subsidiaries of the undersigned if the undersigned is a corporation), limited partners, general partners, limited liability company members or stockholders of the undersigned to the extent that the undersigned is a partnership, limited liability company or corporation,</w:t>
      </w:r>
    </w:p>
    <w:p>
      <w:pPr>
        <w:spacing w:after="0" w:line="63" w:lineRule="exact"/>
        <w:rPr>
          <w:rFonts w:ascii="Arial" w:cs="Arial" w:eastAsia="Arial" w:hAnsi="Arial"/>
          <w:sz w:val="16"/>
          <w:szCs w:val="16"/>
          <w:color w:val="auto"/>
        </w:rPr>
      </w:pPr>
    </w:p>
    <w:p>
      <w:pPr>
        <w:ind w:left="900" w:right="560" w:hanging="450"/>
        <w:spacing w:after="0" w:line="289" w:lineRule="auto"/>
        <w:tabs>
          <w:tab w:leader="none" w:pos="90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any transfer pursuant to a bona fide third-party tender offer, merger, consolidation or other similar transaction made to all holders of the Shares involving a change in control of the Company,</w:t>
      </w:r>
    </w:p>
    <w:p>
      <w:pPr>
        <w:spacing w:after="0" w:line="66" w:lineRule="exact"/>
        <w:rPr>
          <w:rFonts w:ascii="Arial" w:cs="Arial" w:eastAsia="Arial" w:hAnsi="Arial"/>
          <w:sz w:val="17"/>
          <w:szCs w:val="17"/>
          <w:color w:val="auto"/>
        </w:rPr>
      </w:pPr>
    </w:p>
    <w:p>
      <w:pPr>
        <w:ind w:left="900" w:hanging="450"/>
        <w:spacing w:after="0" w:line="322" w:lineRule="auto"/>
        <w:tabs>
          <w:tab w:leader="none" w:pos="90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in connection with a sale of (a) any of the Undersigned’s Shares acquired in open market transactions after the Public Offering Date and, (b) unless the undersigned is a director or officer of the Company, any Shares the undersigned may purchase in the Offering, whether or not issuer-directed,</w:t>
      </w:r>
    </w:p>
    <w:p>
      <w:pPr>
        <w:sectPr>
          <w:pgSz w:w="11900" w:h="16838" w:orient="portrait"/>
          <w:cols w:equalWidth="0" w:num="1">
            <w:col w:w="11420"/>
          </w:cols>
          <w:pgMar w:left="240" w:top="272" w:right="239" w:bottom="1440" w:gutter="0" w:footer="0" w:header="0"/>
        </w:sectPr>
      </w:pPr>
    </w:p>
    <w:bookmarkStart w:id="301" w:name="page302"/>
    <w:bookmarkEnd w:id="301"/>
    <w:p>
      <w:pPr>
        <w:ind w:left="900" w:right="20" w:hanging="450"/>
        <w:spacing w:after="0" w:line="267" w:lineRule="auto"/>
        <w:tabs>
          <w:tab w:leader="none" w:pos="900" w:val="left"/>
        </w:tabs>
        <w:numPr>
          <w:ilvl w:val="0"/>
          <w:numId w:val="16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to the Company (a) as forfeitures to satisfy tax withholding and remittance obligations of the undersigned in connection with the vesting, settlement or exercise of equity awards granted pursuant to an employee benefit plan described in the Registration Statement, or (b) in connection with the repurchase of shares of Common Stock issued pursuant to an employee benefit plan described in the Registration Statement or pursuant to the agreements pursuant to which such shares were issued as disclosed in the Registration Statement, or</w:t>
      </w:r>
    </w:p>
    <w:p>
      <w:pPr>
        <w:spacing w:after="0" w:line="86" w:lineRule="exact"/>
        <w:rPr>
          <w:rFonts w:ascii="Arial" w:cs="Arial" w:eastAsia="Arial" w:hAnsi="Arial"/>
          <w:sz w:val="17"/>
          <w:szCs w:val="17"/>
          <w:color w:val="auto"/>
        </w:rPr>
      </w:pPr>
    </w:p>
    <w:p>
      <w:pPr>
        <w:ind w:left="900" w:hanging="450"/>
        <w:spacing w:after="0"/>
        <w:tabs>
          <w:tab w:leader="none" w:pos="90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with the prior written consent of the Representatives on behalf of the Underwriters;</w:t>
      </w:r>
    </w:p>
    <w:p>
      <w:pPr>
        <w:spacing w:after="0" w:line="224" w:lineRule="exact"/>
        <w:rPr>
          <w:sz w:val="20"/>
          <w:szCs w:val="20"/>
          <w:color w:val="auto"/>
        </w:rPr>
      </w:pPr>
    </w:p>
    <w:p>
      <w:pPr>
        <w:jc w:val="both"/>
        <w:ind w:right="60"/>
        <w:spacing w:after="0" w:line="295" w:lineRule="auto"/>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case of (i), (ii), (iii), (iv) and (v) above, it shall be a condition to the transfer that the donee, trustee, legatee, heir, distribute or other transferee, as the case may be, agrees to be bound in writing by the restrictions set forth herein;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in the case of (i), (ii), (iii) and (iv) above, (a) no public announcement or filing under Section 16 of the Securities Exchange Act of 1934, as amended (the “Exchange Act”) shall be required or shall be voluntarily made during the Lock-up Period with respect to such transfers and (b) such transfers shall not involve a disposition for value; provided, further, that in the case of</w:t>
      </w:r>
    </w:p>
    <w:p>
      <w:pPr>
        <w:spacing w:after="0" w:line="2" w:lineRule="exact"/>
        <w:rPr>
          <w:sz w:val="20"/>
          <w:szCs w:val="20"/>
          <w:color w:val="auto"/>
        </w:rPr>
      </w:pPr>
    </w:p>
    <w:p>
      <w:pPr>
        <w:ind w:right="100" w:firstLine="5"/>
        <w:spacing w:after="0" w:line="274" w:lineRule="auto"/>
        <w:tabs>
          <w:tab w:leader="none" w:pos="296"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and (vii) above, no public announcement or filing under Section 16(a) of the Exchange Act) shall be required or shall be voluntarily made during the Lock-up Period with respect to such transfers; or</w:t>
      </w:r>
    </w:p>
    <w:p>
      <w:pPr>
        <w:spacing w:after="0" w:line="170" w:lineRule="exact"/>
        <w:rPr>
          <w:sz w:val="20"/>
          <w:szCs w:val="20"/>
          <w:color w:val="auto"/>
        </w:rPr>
      </w:pPr>
    </w:p>
    <w:p>
      <w:pPr>
        <w:ind w:right="100" w:firstLine="5"/>
        <w:spacing w:after="0" w:line="260" w:lineRule="auto"/>
        <w:tabs>
          <w:tab w:leader="none" w:pos="247" w:val="left"/>
        </w:tabs>
        <w:numPr>
          <w:ilvl w:val="0"/>
          <w:numId w:val="171"/>
        </w:numPr>
        <w:rPr>
          <w:rFonts w:ascii="Arial" w:cs="Arial" w:eastAsia="Arial" w:hAnsi="Arial"/>
          <w:sz w:val="17"/>
          <w:szCs w:val="17"/>
          <w:color w:val="auto"/>
        </w:rPr>
      </w:pPr>
      <w:r>
        <w:rPr>
          <w:rFonts w:ascii="Arial" w:cs="Arial" w:eastAsia="Arial" w:hAnsi="Arial"/>
          <w:sz w:val="17"/>
          <w:szCs w:val="17"/>
          <w:color w:val="auto"/>
        </w:rPr>
        <w:t xml:space="preserve">exercise any stock options issued pursuant to the Company’s equity incentive plans or warrants (including, in each case, by way of net exercise, but for the avoidance of doubt, excluding all manners of exercise that would involve a sale of any securities relating to such options or warrants, whether to cover the applicable aggregate exercise price, withholding tax obligations or otherwise), which equity incentive plans and stock options or warrants are described in the Registration Statement; </w:t>
      </w:r>
      <w:r>
        <w:rPr>
          <w:rFonts w:ascii="Arial" w:cs="Arial" w:eastAsia="Arial" w:hAnsi="Arial"/>
          <w:sz w:val="17"/>
          <w:szCs w:val="17"/>
          <w:u w:val="single" w:color="auto"/>
          <w:color w:val="auto"/>
        </w:rPr>
        <w:t>provided</w:t>
      </w:r>
      <w:r>
        <w:rPr>
          <w:rFonts w:ascii="Arial" w:cs="Arial" w:eastAsia="Arial" w:hAnsi="Arial"/>
          <w:sz w:val="17"/>
          <w:szCs w:val="17"/>
          <w:color w:val="auto"/>
        </w:rPr>
        <w:t>, that any securities received upon such exercise will also be subject to this Lock-Up Agreement. For purposes of this Lock-Up Agreement, “immediate family” shall mean any relationship by blood, marriage or adoption, not more remote than first cousin. The undersigned now has, and, except as contemplated by clause (1) and (2) above, for the duration of this Lock-Up Agreement will have, good and marketable title to the Undersigned’s Shares, free and clear of all liens, encumbrances, and claims whatsoever. The undersigned also agrees and consents to the entry of stop transfer instructions with the Company’s transfer agent and registrar against the transfer of the Undersigned’s Shares except in compliance with the foregoing restrictions. In addition, the undersigned agrees that, without the prior written consent of the Representatives on behalf of the Underwriters, it will not, during the Lock-Up Period, make any demand for or exercise any right with respect to, the registration of any shares of Common Stock or any security convertible into or exercisable or exchangeable for Common Stock.</w:t>
      </w:r>
    </w:p>
    <w:p>
      <w:pPr>
        <w:spacing w:after="0" w:line="185"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 xml:space="preserve">The restrictions set forth in this Lock-Up Agreement shall not apply to the conversion of outstanding shares of preferred stock of the Company into shares of Common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securities received upon such conversion will also be subject to this Lock-Up Agreement. In addition, nothing in this Lock-Up Agreement shall preclude the establishment of a new trading plan meeting the requirements of Rule 10b5-1 under the Exchange Act; </w:t>
      </w:r>
      <w:r>
        <w:rPr>
          <w:rFonts w:ascii="Arial" w:cs="Arial" w:eastAsia="Arial" w:hAnsi="Arial"/>
          <w:sz w:val="17"/>
          <w:szCs w:val="17"/>
          <w:u w:val="single" w:color="auto"/>
          <w:color w:val="auto"/>
        </w:rPr>
        <w:t>provided</w:t>
      </w:r>
      <w:r>
        <w:rPr>
          <w:rFonts w:ascii="Arial" w:cs="Arial" w:eastAsia="Arial" w:hAnsi="Arial"/>
          <w:sz w:val="17"/>
          <w:szCs w:val="17"/>
          <w:color w:val="auto"/>
        </w:rPr>
        <w:t>, that (i) no public announcement or filing under Section 16(a) of the Exchange Act) regarding the establishment of such plan shall be required or shall be voluntarily made during the Lock-Up Period and (ii) no sales are made during the Lock-Up Period pursuant to such new plan.</w:t>
      </w:r>
    </w:p>
    <w:p>
      <w:pPr>
        <w:spacing w:after="0" w:line="178" w:lineRule="exact"/>
        <w:rPr>
          <w:sz w:val="20"/>
          <w:szCs w:val="20"/>
          <w:color w:val="auto"/>
        </w:rPr>
      </w:pPr>
    </w:p>
    <w:p>
      <w:pPr>
        <w:jc w:val="both"/>
        <w:ind w:right="60" w:firstLine="457"/>
        <w:spacing w:after="0" w:line="273" w:lineRule="auto"/>
        <w:rPr>
          <w:sz w:val="20"/>
          <w:szCs w:val="20"/>
          <w:color w:val="auto"/>
        </w:rPr>
      </w:pPr>
      <w:r>
        <w:rPr>
          <w:rFonts w:ascii="Arial" w:cs="Arial" w:eastAsia="Arial" w:hAnsi="Arial"/>
          <w:sz w:val="17"/>
          <w:szCs w:val="17"/>
          <w:color w:val="auto"/>
        </w:rPr>
        <w:t>The undersigned understands that the Company and the Underwriters are relying upon this Lock-Up Agreement in proceeding toward consummation of the offering. The undersigned further understands that this Lock-Up Agreement is irrevocable and shall be binding upon the undersigned’s heirs, legal representatives, successors, and assigns.</w:t>
      </w:r>
    </w:p>
    <w:p>
      <w:pPr>
        <w:sectPr>
          <w:pgSz w:w="11900" w:h="16838" w:orient="portrait"/>
          <w:cols w:equalWidth="0" w:num="1">
            <w:col w:w="11420"/>
          </w:cols>
          <w:pgMar w:left="240" w:top="271" w:right="239" w:bottom="1440" w:gutter="0" w:footer="0" w:header="0"/>
        </w:sectPr>
      </w:pPr>
    </w:p>
    <w:bookmarkStart w:id="302" w:name="page303"/>
    <w:bookmarkEnd w:id="302"/>
    <w:p>
      <w:pPr>
        <w:ind w:firstLine="457"/>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It is understood that, if (i) the Company notifies the Representatives, in writing, prior to the execution of the Underwriting Agreement, that it does not intend to proceed with the proposed public offering of Common Stock, (ii) the Underwriting Agreement (other than the provisions thereof which survive termination) shall terminate or be terminated prior to payment for and delivery of the Shares to be sold thereunder, or (iii) the proposed public offering of Shares shall not have been completed by September 30, 2019, this Lock-Up Agreement shall immediately be terminated and the undersigned shall be released from all obligations under this Lock-Up Agreement.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ectPr>
          <w:pgSz w:w="11900" w:h="16838" w:orient="portrait"/>
          <w:cols w:equalWidth="0" w:num="1">
            <w:col w:w="11420"/>
          </w:cols>
          <w:pgMar w:left="240" w:top="271" w:right="239" w:bottom="1440" w:gutter="0" w:footer="0" w:header="0"/>
        </w:sectPr>
      </w:pPr>
    </w:p>
    <w:bookmarkStart w:id="303" w:name="page304"/>
    <w:bookmarkEnd w:id="303"/>
    <w:tbl>
      <w:tblPr>
        <w:tblLayout w:type="fixed"/>
        <w:tblInd w:w="0" w:type="dxa"/>
        <w:tblCellMar>
          <w:top w:w="0" w:type="dxa"/>
          <w:left w:w="0" w:type="dxa"/>
          <w:bottom w:w="0" w:type="dxa"/>
          <w:right w:w="0" w:type="dxa"/>
        </w:tblCellMar>
      </w:tblPr>
      <w:tr>
        <w:trPr>
          <w:trHeight w:val="222"/>
        </w:trPr>
        <w:tc>
          <w:tcPr>
            <w:tcW w:w="5500" w:type="dxa"/>
            <w:vAlign w:val="bottom"/>
            <w:gridSpan w:val="3"/>
          </w:tcPr>
          <w:p>
            <w:pPr>
              <w:spacing w:after="0"/>
              <w:rPr>
                <w:sz w:val="20"/>
                <w:szCs w:val="20"/>
                <w:color w:val="auto"/>
              </w:rPr>
            </w:pPr>
            <w:r>
              <w:rPr>
                <w:rFonts w:ascii="Arial" w:cs="Arial" w:eastAsia="Arial" w:hAnsi="Arial"/>
                <w:sz w:val="17"/>
                <w:szCs w:val="17"/>
                <w:color w:val="auto"/>
              </w:rPr>
              <w:t>Very truly yours,</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45"/>
        </w:trPr>
        <w:tc>
          <w:tcPr>
            <w:tcW w:w="5500" w:type="dxa"/>
            <w:vAlign w:val="bottom"/>
            <w:gridSpan w:val="3"/>
          </w:tcPr>
          <w:p>
            <w:pPr>
              <w:spacing w:after="0"/>
              <w:rPr>
                <w:sz w:val="20"/>
                <w:szCs w:val="20"/>
                <w:color w:val="auto"/>
              </w:rPr>
            </w:pPr>
            <w:r>
              <w:rPr>
                <w:rFonts w:ascii="Arial" w:cs="Arial" w:eastAsia="Arial" w:hAnsi="Arial"/>
                <w:sz w:val="17"/>
                <w:szCs w:val="17"/>
                <w:b w:val="1"/>
                <w:bCs w:val="1"/>
                <w:color w:val="auto"/>
              </w:rPr>
              <w:t>IF AN INDIVIDUAL:</w:t>
            </w:r>
          </w:p>
        </w:tc>
        <w:tc>
          <w:tcPr>
            <w:tcW w:w="5920" w:type="dxa"/>
            <w:vAlign w:val="bottom"/>
            <w:gridSpan w:val="4"/>
          </w:tcPr>
          <w:p>
            <w:pPr>
              <w:ind w:left="560"/>
              <w:spacing w:after="0"/>
              <w:rPr>
                <w:sz w:val="20"/>
                <w:szCs w:val="20"/>
                <w:color w:val="auto"/>
              </w:rPr>
            </w:pPr>
            <w:r>
              <w:rPr>
                <w:rFonts w:ascii="Arial" w:cs="Arial" w:eastAsia="Arial" w:hAnsi="Arial"/>
                <w:sz w:val="17"/>
                <w:szCs w:val="17"/>
                <w:b w:val="1"/>
                <w:bCs w:val="1"/>
                <w:color w:val="auto"/>
              </w:rPr>
              <w:t>IF AN ENTITY:</w:t>
            </w:r>
          </w:p>
        </w:tc>
      </w:tr>
      <w:tr>
        <w:trPr>
          <w:trHeight w:val="629"/>
        </w:trPr>
        <w:tc>
          <w:tcPr>
            <w:tcW w:w="6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r>
        <w:trPr>
          <w:trHeight w:val="215"/>
        </w:trPr>
        <w:tc>
          <w:tcPr>
            <w:tcW w:w="600" w:type="dxa"/>
            <w:vAlign w:val="bottom"/>
          </w:tcPr>
          <w:p>
            <w:pPr>
              <w:spacing w:after="0"/>
              <w:rPr>
                <w:sz w:val="18"/>
                <w:szCs w:val="18"/>
                <w:color w:val="auto"/>
              </w:rPr>
            </w:pPr>
          </w:p>
        </w:tc>
        <w:tc>
          <w:tcPr>
            <w:tcW w:w="4900" w:type="dxa"/>
            <w:vAlign w:val="bottom"/>
            <w:gridSpan w:val="2"/>
          </w:tcPr>
          <w:p>
            <w:pPr>
              <w:ind w:left="1760"/>
              <w:spacing w:after="0"/>
              <w:rPr>
                <w:sz w:val="20"/>
                <w:szCs w:val="20"/>
                <w:color w:val="auto"/>
              </w:rPr>
            </w:pPr>
            <w:r>
              <w:rPr>
                <w:rFonts w:ascii="Arial" w:cs="Arial" w:eastAsia="Arial" w:hAnsi="Arial"/>
                <w:sz w:val="17"/>
                <w:szCs w:val="17"/>
                <w:i w:val="1"/>
                <w:iCs w:val="1"/>
                <w:color w:val="auto"/>
              </w:rPr>
              <w:t>(signature)</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80" w:type="dxa"/>
            <w:vAlign w:val="bottom"/>
            <w:gridSpan w:val="2"/>
          </w:tcPr>
          <w:p>
            <w:pPr>
              <w:ind w:left="780"/>
              <w:spacing w:after="0"/>
              <w:rPr>
                <w:sz w:val="20"/>
                <w:szCs w:val="20"/>
                <w:color w:val="auto"/>
              </w:rPr>
            </w:pPr>
            <w:r>
              <w:rPr>
                <w:rFonts w:ascii="Arial" w:cs="Arial" w:eastAsia="Arial" w:hAnsi="Arial"/>
                <w:sz w:val="17"/>
                <w:szCs w:val="17"/>
                <w:i w:val="1"/>
                <w:iCs w:val="1"/>
                <w:color w:val="auto"/>
              </w:rPr>
              <w:t>(please print complete name of entity)</w:t>
            </w:r>
          </w:p>
        </w:tc>
      </w:tr>
      <w:tr>
        <w:trPr>
          <w:trHeight w:val="432"/>
        </w:trPr>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4900" w:type="dxa"/>
            <w:vAlign w:val="bottom"/>
            <w:tcBorders>
              <w:bottom w:val="single" w:sz="8" w:color="auto"/>
            </w:tcBorders>
            <w:gridSpan w:val="2"/>
          </w:tcPr>
          <w:p>
            <w:pPr>
              <w:spacing w:after="0"/>
              <w:rPr>
                <w:sz w:val="24"/>
                <w:szCs w:val="24"/>
                <w:color w:val="auto"/>
              </w:rPr>
            </w:pPr>
          </w:p>
        </w:tc>
        <w:tc>
          <w:tcPr>
            <w:tcW w:w="1140" w:type="dxa"/>
            <w:vAlign w:val="bottom"/>
            <w:gridSpan w:val="2"/>
          </w:tcPr>
          <w:p>
            <w:pPr>
              <w:ind w:left="560"/>
              <w:spacing w:after="0"/>
              <w:rPr>
                <w:sz w:val="20"/>
                <w:szCs w:val="20"/>
                <w:color w:val="auto"/>
              </w:rPr>
            </w:pPr>
            <w:r>
              <w:rPr>
                <w:rFonts w:ascii="Arial" w:cs="Arial" w:eastAsia="Arial" w:hAnsi="Arial"/>
                <w:sz w:val="17"/>
                <w:szCs w:val="17"/>
                <w:color w:val="auto"/>
              </w:rPr>
              <w:t>By:</w:t>
            </w:r>
          </w:p>
        </w:tc>
        <w:tc>
          <w:tcPr>
            <w:tcW w:w="4780" w:type="dxa"/>
            <w:vAlign w:val="bottom"/>
            <w:tcBorders>
              <w:bottom w:val="single" w:sz="8" w:color="auto"/>
            </w:tcBorders>
            <w:gridSpan w:val="2"/>
          </w:tcPr>
          <w:p>
            <w:pPr>
              <w:spacing w:after="0"/>
              <w:rPr>
                <w:sz w:val="24"/>
                <w:szCs w:val="24"/>
                <w:color w:val="auto"/>
              </w:rPr>
            </w:pPr>
          </w:p>
        </w:tc>
      </w:tr>
      <w:tr>
        <w:trPr>
          <w:trHeight w:val="204"/>
        </w:trPr>
        <w:tc>
          <w:tcPr>
            <w:tcW w:w="5500" w:type="dxa"/>
            <w:vAlign w:val="bottom"/>
            <w:gridSpan w:val="3"/>
          </w:tcPr>
          <w:p>
            <w:pPr>
              <w:ind w:left="600"/>
              <w:spacing w:after="0"/>
              <w:rPr>
                <w:sz w:val="20"/>
                <w:szCs w:val="20"/>
                <w:color w:val="auto"/>
              </w:rPr>
            </w:pPr>
            <w:r>
              <w:rPr>
                <w:rFonts w:ascii="Arial" w:cs="Arial" w:eastAsia="Arial" w:hAnsi="Arial"/>
                <w:sz w:val="17"/>
                <w:szCs w:val="17"/>
                <w:i w:val="1"/>
                <w:iCs w:val="1"/>
                <w:color w:val="auto"/>
              </w:rPr>
              <w:t>(please print full name)</w:t>
            </w:r>
          </w:p>
        </w:tc>
        <w:tc>
          <w:tcPr>
            <w:tcW w:w="560" w:type="dxa"/>
            <w:vAlign w:val="bottom"/>
          </w:tcPr>
          <w:p>
            <w:pPr>
              <w:spacing w:after="0"/>
              <w:rPr>
                <w:sz w:val="17"/>
                <w:szCs w:val="17"/>
                <w:color w:val="auto"/>
              </w:rPr>
            </w:pPr>
          </w:p>
        </w:tc>
        <w:tc>
          <w:tcPr>
            <w:tcW w:w="5360" w:type="dxa"/>
            <w:vAlign w:val="bottom"/>
            <w:gridSpan w:val="3"/>
          </w:tcPr>
          <w:p>
            <w:pPr>
              <w:ind w:left="580"/>
              <w:spacing w:after="0"/>
              <w:rPr>
                <w:sz w:val="20"/>
                <w:szCs w:val="20"/>
                <w:color w:val="auto"/>
              </w:rPr>
            </w:pPr>
            <w:r>
              <w:rPr>
                <w:rFonts w:ascii="Arial" w:cs="Arial" w:eastAsia="Arial" w:hAnsi="Arial"/>
                <w:sz w:val="17"/>
                <w:szCs w:val="17"/>
                <w:i w:val="1"/>
                <w:iCs w:val="1"/>
                <w:color w:val="auto"/>
              </w:rPr>
              <w:t>(duly authorized signature)</w:t>
            </w:r>
          </w:p>
        </w:tc>
      </w:tr>
      <w:tr>
        <w:trPr>
          <w:trHeight w:val="222"/>
        </w:trPr>
        <w:tc>
          <w:tcPr>
            <w:tcW w:w="6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140" w:type="dxa"/>
            <w:vAlign w:val="bottom"/>
            <w:gridSpan w:val="2"/>
          </w:tcPr>
          <w:p>
            <w:pPr>
              <w:ind w:left="560"/>
              <w:spacing w:after="0"/>
              <w:rPr>
                <w:sz w:val="20"/>
                <w:szCs w:val="20"/>
                <w:color w:val="auto"/>
              </w:rPr>
            </w:pPr>
            <w:r>
              <w:rPr>
                <w:rFonts w:ascii="Arial" w:cs="Arial" w:eastAsia="Arial" w:hAnsi="Arial"/>
                <w:sz w:val="17"/>
                <w:szCs w:val="17"/>
                <w:color w:val="auto"/>
              </w:rPr>
              <w:t>Name:</w:t>
            </w:r>
          </w:p>
        </w:tc>
        <w:tc>
          <w:tcPr>
            <w:tcW w:w="4780" w:type="dxa"/>
            <w:vAlign w:val="bottom"/>
            <w:tcBorders>
              <w:bottom w:val="single" w:sz="8" w:color="auto"/>
            </w:tcBorders>
            <w:gridSpan w:val="2"/>
          </w:tcPr>
          <w:p>
            <w:pPr>
              <w:spacing w:after="0"/>
              <w:rPr>
                <w:sz w:val="19"/>
                <w:szCs w:val="19"/>
                <w:color w:val="auto"/>
              </w:rPr>
            </w:pPr>
          </w:p>
        </w:tc>
      </w:tr>
      <w:tr>
        <w:trPr>
          <w:trHeight w:val="216"/>
        </w:trPr>
        <w:tc>
          <w:tcPr>
            <w:tcW w:w="6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60" w:type="dxa"/>
            <w:vAlign w:val="bottom"/>
            <w:gridSpan w:val="3"/>
          </w:tcPr>
          <w:p>
            <w:pPr>
              <w:ind w:left="580"/>
              <w:spacing w:after="0"/>
              <w:rPr>
                <w:sz w:val="20"/>
                <w:szCs w:val="20"/>
                <w:color w:val="auto"/>
              </w:rPr>
            </w:pPr>
            <w:r>
              <w:rPr>
                <w:rFonts w:ascii="Arial" w:cs="Arial" w:eastAsia="Arial" w:hAnsi="Arial"/>
                <w:sz w:val="17"/>
                <w:szCs w:val="17"/>
                <w:i w:val="1"/>
                <w:iCs w:val="1"/>
                <w:color w:val="auto"/>
              </w:rPr>
              <w:t>(please print full name of signatory)</w:t>
            </w:r>
          </w:p>
        </w:tc>
      </w:tr>
      <w:tr>
        <w:trPr>
          <w:trHeight w:val="419"/>
        </w:trPr>
        <w:tc>
          <w:tcPr>
            <w:tcW w:w="5500" w:type="dxa"/>
            <w:vAlign w:val="bottom"/>
            <w:gridSpan w:val="3"/>
          </w:tcPr>
          <w:p>
            <w:pPr>
              <w:spacing w:after="0"/>
              <w:rPr>
                <w:sz w:val="20"/>
                <w:szCs w:val="20"/>
                <w:color w:val="auto"/>
              </w:rPr>
            </w:pPr>
            <w:r>
              <w:rPr>
                <w:rFonts w:ascii="Arial" w:cs="Arial" w:eastAsia="Arial" w:hAnsi="Arial"/>
                <w:sz w:val="17"/>
                <w:szCs w:val="17"/>
                <w:color w:val="auto"/>
              </w:rPr>
              <w:t>Email Address:</w:t>
            </w:r>
          </w:p>
        </w:tc>
        <w:tc>
          <w:tcPr>
            <w:tcW w:w="5920" w:type="dxa"/>
            <w:vAlign w:val="bottom"/>
            <w:gridSpan w:val="4"/>
          </w:tcPr>
          <w:p>
            <w:pPr>
              <w:ind w:left="560"/>
              <w:spacing w:after="0"/>
              <w:rPr>
                <w:sz w:val="20"/>
                <w:szCs w:val="20"/>
                <w:color w:val="auto"/>
              </w:rPr>
            </w:pPr>
            <w:r>
              <w:rPr>
                <w:rFonts w:ascii="Arial" w:cs="Arial" w:eastAsia="Arial" w:hAnsi="Arial"/>
                <w:sz w:val="17"/>
                <w:szCs w:val="17"/>
                <w:color w:val="auto"/>
              </w:rPr>
              <w:t>Email Address:</w:t>
            </w:r>
          </w:p>
        </w:tc>
      </w:tr>
      <w:tr>
        <w:trPr>
          <w:trHeight w:val="380"/>
        </w:trPr>
        <w:tc>
          <w:tcPr>
            <w:tcW w:w="3360" w:type="dxa"/>
            <w:vAlign w:val="bottom"/>
            <w:tcBorders>
              <w:bottom w:val="single" w:sz="8" w:color="auto"/>
            </w:tcBorders>
            <w:gridSpan w:val="2"/>
          </w:tcPr>
          <w:p>
            <w:pPr>
              <w:spacing w:after="0"/>
              <w:rPr>
                <w:sz w:val="24"/>
                <w:szCs w:val="24"/>
                <w:color w:val="auto"/>
              </w:rPr>
            </w:pPr>
          </w:p>
        </w:tc>
        <w:tc>
          <w:tcPr>
            <w:tcW w:w="2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60" w:type="dxa"/>
            <w:vAlign w:val="bottom"/>
            <w:tcBorders>
              <w:bottom w:val="single" w:sz="8" w:color="auto"/>
            </w:tcBorders>
            <w:gridSpan w:val="2"/>
          </w:tcPr>
          <w:p>
            <w:pPr>
              <w:spacing w:after="0"/>
              <w:rPr>
                <w:sz w:val="24"/>
                <w:szCs w:val="24"/>
                <w:color w:val="auto"/>
              </w:rPr>
            </w:pPr>
          </w:p>
        </w:tc>
        <w:tc>
          <w:tcPr>
            <w:tcW w:w="2000" w:type="dxa"/>
            <w:vAlign w:val="bottom"/>
          </w:tcPr>
          <w:p>
            <w:pPr>
              <w:spacing w:after="0"/>
              <w:rPr>
                <w:sz w:val="24"/>
                <w:szCs w:val="24"/>
                <w:color w:val="auto"/>
              </w:rPr>
            </w:pPr>
          </w:p>
        </w:tc>
      </w:tr>
      <w:tr>
        <w:trPr>
          <w:trHeight w:val="438"/>
        </w:trPr>
        <w:tc>
          <w:tcPr>
            <w:tcW w:w="5500" w:type="dxa"/>
            <w:vAlign w:val="bottom"/>
            <w:gridSpan w:val="3"/>
          </w:tcPr>
          <w:p>
            <w:pPr>
              <w:spacing w:after="0"/>
              <w:rPr>
                <w:sz w:val="20"/>
                <w:szCs w:val="20"/>
                <w:color w:val="auto"/>
              </w:rPr>
            </w:pPr>
            <w:r>
              <w:rPr>
                <w:rFonts w:ascii="Arial" w:cs="Arial" w:eastAsia="Arial" w:hAnsi="Arial"/>
                <w:sz w:val="17"/>
                <w:szCs w:val="17"/>
                <w:color w:val="auto"/>
              </w:rPr>
              <w:t>Address:</w:t>
            </w:r>
          </w:p>
        </w:tc>
        <w:tc>
          <w:tcPr>
            <w:tcW w:w="5920" w:type="dxa"/>
            <w:vAlign w:val="bottom"/>
            <w:gridSpan w:val="4"/>
          </w:tcPr>
          <w:p>
            <w:pPr>
              <w:ind w:left="560"/>
              <w:spacing w:after="0"/>
              <w:rPr>
                <w:sz w:val="20"/>
                <w:szCs w:val="20"/>
                <w:color w:val="auto"/>
              </w:rPr>
            </w:pPr>
            <w:r>
              <w:rPr>
                <w:rFonts w:ascii="Arial" w:cs="Arial" w:eastAsia="Arial" w:hAnsi="Arial"/>
                <w:sz w:val="17"/>
                <w:szCs w:val="17"/>
                <w:color w:val="auto"/>
              </w:rPr>
              <w:t>Address:</w:t>
            </w:r>
          </w:p>
        </w:tc>
      </w:tr>
      <w:tr>
        <w:trPr>
          <w:trHeight w:val="419"/>
        </w:trPr>
        <w:tc>
          <w:tcPr>
            <w:tcW w:w="6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r>
        <w:trPr>
          <w:trHeight w:val="425"/>
        </w:trPr>
        <w:tc>
          <w:tcPr>
            <w:tcW w:w="6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2" w:right="23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304" w:name="page305"/>
    <w:bookmarkEnd w:id="304"/>
    <w:p>
      <w:pPr>
        <w:jc w:val="right"/>
        <w:spacing w:after="0"/>
        <w:rPr>
          <w:sz w:val="20"/>
          <w:szCs w:val="20"/>
          <w:color w:val="auto"/>
        </w:rPr>
      </w:pPr>
      <w:r>
        <w:rPr>
          <w:rFonts w:ascii="Arial" w:cs="Arial" w:eastAsia="Arial" w:hAnsi="Arial"/>
          <w:sz w:val="17"/>
          <w:szCs w:val="17"/>
          <w:b w:val="1"/>
          <w:bCs w:val="1"/>
          <w:color w:val="auto"/>
        </w:rPr>
        <w:t>Exhibit 3.2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AMENDMENT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INCORPORATION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NGM BIOPHARMACEUTICALS, INC.</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undersigned hereby certifies that:</w:t>
      </w:r>
    </w:p>
    <w:p>
      <w:pPr>
        <w:spacing w:after="0" w:line="119" w:lineRule="exact"/>
        <w:rPr>
          <w:sz w:val="20"/>
          <w:szCs w:val="20"/>
          <w:color w:val="auto"/>
        </w:rPr>
      </w:pPr>
    </w:p>
    <w:p>
      <w:pPr>
        <w:ind w:left="640" w:hanging="179"/>
        <w:spacing w:after="0"/>
        <w:tabs>
          <w:tab w:leader="none" w:pos="64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He is the duly elected and acting Chief Executive Officer of NGM Biopharmaceuticals, Inc., a Delaware corporation (the “</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ind w:right="20" w:firstLine="461"/>
        <w:spacing w:after="0" w:line="322" w:lineRule="auto"/>
        <w:tabs>
          <w:tab w:leader="none" w:pos="631"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Certificate of Incorporation of the Corporation was originally filed with the Secretary of State of Delaware on December 20, 2007. The Amended and Restated Certificate of Incorporation of the Corporation was filed with the Secretary of State of Delaware on March 19, 2015 (the “</w:t>
      </w:r>
      <w:r>
        <w:rPr>
          <w:rFonts w:ascii="Arial" w:cs="Arial" w:eastAsia="Arial" w:hAnsi="Arial"/>
          <w:sz w:val="16"/>
          <w:szCs w:val="16"/>
          <w:b w:val="1"/>
          <w:bCs w:val="1"/>
          <w:i w:val="1"/>
          <w:iCs w:val="1"/>
          <w:color w:val="auto"/>
        </w:rPr>
        <w:t>Restated Certificate”)</w:t>
      </w:r>
      <w:r>
        <w:rPr>
          <w:rFonts w:ascii="Arial" w:cs="Arial" w:eastAsia="Arial" w:hAnsi="Arial"/>
          <w:sz w:val="16"/>
          <w:szCs w:val="16"/>
          <w:color w:val="auto"/>
        </w:rPr>
        <w:t>.</w:t>
      </w:r>
    </w:p>
    <w:p>
      <w:pPr>
        <w:spacing w:after="0" w:line="30" w:lineRule="exact"/>
        <w:rPr>
          <w:rFonts w:ascii="Arial" w:cs="Arial" w:eastAsia="Arial" w:hAnsi="Arial"/>
          <w:sz w:val="16"/>
          <w:szCs w:val="16"/>
          <w:color w:val="auto"/>
        </w:rPr>
      </w:pPr>
    </w:p>
    <w:p>
      <w:pPr>
        <w:ind w:right="440" w:firstLine="461"/>
        <w:spacing w:after="0" w:line="289" w:lineRule="auto"/>
        <w:tabs>
          <w:tab w:leader="none" w:pos="631" w:val="left"/>
        </w:tabs>
        <w:numPr>
          <w:ilvl w:val="0"/>
          <w:numId w:val="172"/>
        </w:numPr>
        <w:rPr>
          <w:rFonts w:ascii="Arial" w:cs="Arial" w:eastAsia="Arial" w:hAnsi="Arial"/>
          <w:sz w:val="17"/>
          <w:szCs w:val="17"/>
          <w:color w:val="auto"/>
        </w:rPr>
      </w:pPr>
      <w:r>
        <w:rPr>
          <w:rFonts w:ascii="Arial" w:cs="Arial" w:eastAsia="Arial" w:hAnsi="Arial"/>
          <w:sz w:val="17"/>
          <w:szCs w:val="17"/>
          <w:color w:val="auto"/>
        </w:rPr>
        <w:t>Pursuant to Section 242 of the General Corporation Law of the State of Delaware, this Certificate of Amendment of the Restated Certificate amends Article IV to strike out Article IV A. through H. and substituting in lieu of said sections the following:</w:t>
      </w:r>
    </w:p>
    <w:p>
      <w:pPr>
        <w:spacing w:after="0" w:line="151"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b w:val="1"/>
          <w:bCs w:val="1"/>
          <w:color w:val="auto"/>
        </w:rPr>
        <w:t>“ IV.</w:t>
      </w:r>
    </w:p>
    <w:p>
      <w:pPr>
        <w:spacing w:after="0" w:line="124" w:lineRule="exact"/>
        <w:rPr>
          <w:rFonts w:ascii="Arial" w:cs="Arial" w:eastAsia="Arial" w:hAnsi="Arial"/>
          <w:sz w:val="17"/>
          <w:szCs w:val="17"/>
          <w:color w:val="auto"/>
        </w:rPr>
      </w:pPr>
    </w:p>
    <w:p>
      <w:pPr>
        <w:jc w:val="both"/>
        <w:ind w:left="460" w:right="40" w:firstLine="440"/>
        <w:spacing w:after="0" w:line="267" w:lineRule="auto"/>
        <w:tabs>
          <w:tab w:leader="none" w:pos="1112" w:val="left"/>
        </w:tabs>
        <w:numPr>
          <w:ilvl w:val="1"/>
          <w:numId w:val="172"/>
        </w:numPr>
        <w:rPr>
          <w:rFonts w:ascii="Arial" w:cs="Arial" w:eastAsia="Arial" w:hAnsi="Arial"/>
          <w:sz w:val="17"/>
          <w:szCs w:val="17"/>
          <w:b w:val="1"/>
          <w:bCs w:val="1"/>
          <w:color w:val="auto"/>
        </w:rPr>
      </w:pPr>
      <w:r>
        <w:rPr>
          <w:rFonts w:ascii="Arial" w:cs="Arial" w:eastAsia="Arial" w:hAnsi="Arial"/>
          <w:sz w:val="17"/>
          <w:szCs w:val="17"/>
          <w:color w:val="auto"/>
        </w:rPr>
        <w:t>The Company is authorized to issue two classes of stock to be designated, respectively, “Common Stock” and “Preferred Stock.” The total number of shares which the Company is authorized to issue is 225,268,206 shares, 129,000,000 shares of which shall be Common Stock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and 96,268,206 shares of which shall be Preferred Stock (the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w:t>
      </w:r>
      <w:r>
        <w:rPr>
          <w:rFonts w:ascii="Arial" w:cs="Arial" w:eastAsia="Arial" w:hAnsi="Arial"/>
          <w:sz w:val="17"/>
          <w:szCs w:val="17"/>
          <w:b w:val="1"/>
          <w:bCs w:val="1"/>
          <w:i w:val="1"/>
          <w:iCs w:val="1"/>
          <w:color w:val="auto"/>
        </w:rPr>
        <w:t>)</w:t>
      </w:r>
      <w:r>
        <w:rPr>
          <w:rFonts w:ascii="Arial" w:cs="Arial" w:eastAsia="Arial" w:hAnsi="Arial"/>
          <w:sz w:val="17"/>
          <w:szCs w:val="17"/>
          <w:color w:val="auto"/>
        </w:rPr>
        <w:t>. The Preferred Stock shall have a par value of one tenth of one cent ($0.001) per share and the Common Stock shall have a par value of one tenth of one cent ($0.001) per share.</w:t>
      </w:r>
    </w:p>
    <w:p>
      <w:pPr>
        <w:spacing w:after="0" w:line="72" w:lineRule="exact"/>
        <w:rPr>
          <w:rFonts w:ascii="Arial" w:cs="Arial" w:eastAsia="Arial" w:hAnsi="Arial"/>
          <w:sz w:val="17"/>
          <w:szCs w:val="17"/>
          <w:b w:val="1"/>
          <w:bCs w:val="1"/>
          <w:color w:val="auto"/>
        </w:rPr>
      </w:pPr>
    </w:p>
    <w:p>
      <w:pPr>
        <w:ind w:left="460" w:right="280" w:firstLine="440"/>
        <w:spacing w:after="0" w:line="273" w:lineRule="auto"/>
        <w:tabs>
          <w:tab w:leader="none" w:pos="1102" w:val="left"/>
        </w:tabs>
        <w:numPr>
          <w:ilvl w:val="1"/>
          <w:numId w:val="172"/>
        </w:numPr>
        <w:rPr>
          <w:rFonts w:ascii="Arial" w:cs="Arial" w:eastAsia="Arial" w:hAnsi="Arial"/>
          <w:sz w:val="17"/>
          <w:szCs w:val="17"/>
          <w:b w:val="1"/>
          <w:bCs w:val="1"/>
          <w:color w:val="auto"/>
        </w:rPr>
      </w:pPr>
      <w:r>
        <w:rPr>
          <w:rFonts w:ascii="Arial" w:cs="Arial" w:eastAsia="Arial" w:hAnsi="Arial"/>
          <w:sz w:val="17"/>
          <w:szCs w:val="17"/>
          <w:color w:val="auto"/>
        </w:rPr>
        <w:t>The number of authorized shares of Common Stock may be increased or decreased (but not below the number of shares of Common Stock then outstanding) by the affirmative vote of the holders of a majority of the stock of the Company entitled to vote (voting together as a single class on an as-if-converted basis).</w:t>
      </w:r>
    </w:p>
    <w:p>
      <w:pPr>
        <w:spacing w:after="0" w:line="66" w:lineRule="exact"/>
        <w:rPr>
          <w:rFonts w:ascii="Arial" w:cs="Arial" w:eastAsia="Arial" w:hAnsi="Arial"/>
          <w:sz w:val="17"/>
          <w:szCs w:val="17"/>
          <w:b w:val="1"/>
          <w:bCs w:val="1"/>
          <w:color w:val="auto"/>
        </w:rPr>
      </w:pPr>
    </w:p>
    <w:p>
      <w:pPr>
        <w:ind w:left="1120" w:hanging="220"/>
        <w:spacing w:after="0"/>
        <w:tabs>
          <w:tab w:leader="none" w:pos="1120" w:val="left"/>
        </w:tabs>
        <w:numPr>
          <w:ilvl w:val="1"/>
          <w:numId w:val="172"/>
        </w:numPr>
        <w:rPr>
          <w:rFonts w:ascii="Arial" w:cs="Arial" w:eastAsia="Arial" w:hAnsi="Arial"/>
          <w:sz w:val="17"/>
          <w:szCs w:val="17"/>
          <w:b w:val="1"/>
          <w:bCs w:val="1"/>
          <w:color w:val="auto"/>
        </w:rPr>
      </w:pPr>
      <w:r>
        <w:rPr>
          <w:rFonts w:ascii="Arial" w:cs="Arial" w:eastAsia="Arial" w:hAnsi="Arial"/>
          <w:sz w:val="17"/>
          <w:szCs w:val="17"/>
          <w:color w:val="auto"/>
        </w:rPr>
        <w:t>26,589,274 of the authorized shares of Preferred Stock are hereby designated “Series A Preferred Stock” (the “</w:t>
      </w:r>
      <w:r>
        <w:rPr>
          <w:rFonts w:ascii="Arial" w:cs="Arial" w:eastAsia="Arial" w:hAnsi="Arial"/>
          <w:sz w:val="17"/>
          <w:szCs w:val="17"/>
          <w:b w:val="1"/>
          <w:bCs w:val="1"/>
          <w:i w:val="1"/>
          <w:iCs w:val="1"/>
          <w:color w:val="auto"/>
        </w:rPr>
        <w:t>Series A Preferred”)</w:t>
      </w:r>
      <w:r>
        <w:rPr>
          <w:rFonts w:ascii="Arial" w:cs="Arial" w:eastAsia="Arial" w:hAnsi="Arial"/>
          <w:sz w:val="17"/>
          <w:szCs w:val="17"/>
          <w:color w:val="auto"/>
        </w:rPr>
        <w:t>.</w:t>
      </w:r>
    </w:p>
    <w:p>
      <w:pPr>
        <w:spacing w:after="0" w:line="112" w:lineRule="exact"/>
        <w:rPr>
          <w:rFonts w:ascii="Arial" w:cs="Arial" w:eastAsia="Arial" w:hAnsi="Arial"/>
          <w:sz w:val="17"/>
          <w:szCs w:val="17"/>
          <w:b w:val="1"/>
          <w:bCs w:val="1"/>
          <w:color w:val="auto"/>
        </w:rPr>
      </w:pPr>
    </w:p>
    <w:p>
      <w:pPr>
        <w:ind w:left="1120" w:hanging="220"/>
        <w:spacing w:after="0"/>
        <w:tabs>
          <w:tab w:leader="none" w:pos="1120" w:val="left"/>
        </w:tabs>
        <w:numPr>
          <w:ilvl w:val="1"/>
          <w:numId w:val="172"/>
        </w:numPr>
        <w:rPr>
          <w:rFonts w:ascii="Arial" w:cs="Arial" w:eastAsia="Arial" w:hAnsi="Arial"/>
          <w:sz w:val="17"/>
          <w:szCs w:val="17"/>
          <w:b w:val="1"/>
          <w:bCs w:val="1"/>
          <w:color w:val="auto"/>
        </w:rPr>
      </w:pPr>
      <w:r>
        <w:rPr>
          <w:rFonts w:ascii="Arial" w:cs="Arial" w:eastAsia="Arial" w:hAnsi="Arial"/>
          <w:sz w:val="17"/>
          <w:szCs w:val="17"/>
          <w:color w:val="auto"/>
        </w:rPr>
        <w:t>22,155,600 of the authorized shares of Preferred Stock are hereby designated “Series B Preferred Stock” (the “</w:t>
      </w:r>
      <w:r>
        <w:rPr>
          <w:rFonts w:ascii="Arial" w:cs="Arial" w:eastAsia="Arial" w:hAnsi="Arial"/>
          <w:sz w:val="17"/>
          <w:szCs w:val="17"/>
          <w:b w:val="1"/>
          <w:bCs w:val="1"/>
          <w:i w:val="1"/>
          <w:iCs w:val="1"/>
          <w:color w:val="auto"/>
        </w:rPr>
        <w:t>Series B Preferred</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24" w:lineRule="exact"/>
        <w:rPr>
          <w:rFonts w:ascii="Arial" w:cs="Arial" w:eastAsia="Arial" w:hAnsi="Arial"/>
          <w:sz w:val="17"/>
          <w:szCs w:val="17"/>
          <w:b w:val="1"/>
          <w:bCs w:val="1"/>
          <w:color w:val="auto"/>
        </w:rPr>
      </w:pPr>
    </w:p>
    <w:p>
      <w:pPr>
        <w:ind w:left="1100" w:hanging="200"/>
        <w:spacing w:after="0"/>
        <w:tabs>
          <w:tab w:leader="none" w:pos="1100" w:val="left"/>
        </w:tabs>
        <w:numPr>
          <w:ilvl w:val="1"/>
          <w:numId w:val="172"/>
        </w:numPr>
        <w:rPr>
          <w:rFonts w:ascii="Arial" w:cs="Arial" w:eastAsia="Arial" w:hAnsi="Arial"/>
          <w:sz w:val="17"/>
          <w:szCs w:val="17"/>
          <w:b w:val="1"/>
          <w:bCs w:val="1"/>
          <w:color w:val="auto"/>
        </w:rPr>
      </w:pPr>
      <w:r>
        <w:rPr>
          <w:rFonts w:ascii="Arial" w:cs="Arial" w:eastAsia="Arial" w:hAnsi="Arial"/>
          <w:sz w:val="17"/>
          <w:szCs w:val="17"/>
          <w:color w:val="auto"/>
        </w:rPr>
        <w:t>16,656,666 of the authorized shares of Preferred Stock are hereby designated “Series C Preferred Stock” (the “</w:t>
      </w:r>
      <w:r>
        <w:rPr>
          <w:rFonts w:ascii="Arial" w:cs="Arial" w:eastAsia="Arial" w:hAnsi="Arial"/>
          <w:sz w:val="17"/>
          <w:szCs w:val="17"/>
          <w:b w:val="1"/>
          <w:bCs w:val="1"/>
          <w:i w:val="1"/>
          <w:iCs w:val="1"/>
          <w:color w:val="auto"/>
        </w:rPr>
        <w:t>Series C Preferred”)</w:t>
      </w:r>
      <w:r>
        <w:rPr>
          <w:rFonts w:ascii="Arial" w:cs="Arial" w:eastAsia="Arial" w:hAnsi="Arial"/>
          <w:sz w:val="17"/>
          <w:szCs w:val="17"/>
          <w:color w:val="auto"/>
        </w:rPr>
        <w:t>.</w:t>
      </w:r>
    </w:p>
    <w:p>
      <w:pPr>
        <w:spacing w:after="0" w:line="118" w:lineRule="exact"/>
        <w:rPr>
          <w:rFonts w:ascii="Arial" w:cs="Arial" w:eastAsia="Arial" w:hAnsi="Arial"/>
          <w:sz w:val="17"/>
          <w:szCs w:val="17"/>
          <w:b w:val="1"/>
          <w:bCs w:val="1"/>
          <w:color w:val="auto"/>
        </w:rPr>
      </w:pPr>
    </w:p>
    <w:p>
      <w:pPr>
        <w:ind w:left="1080" w:hanging="180"/>
        <w:spacing w:after="0"/>
        <w:tabs>
          <w:tab w:leader="none" w:pos="1080" w:val="left"/>
        </w:tabs>
        <w:numPr>
          <w:ilvl w:val="1"/>
          <w:numId w:val="172"/>
        </w:numPr>
        <w:rPr>
          <w:rFonts w:ascii="Arial" w:cs="Arial" w:eastAsia="Arial" w:hAnsi="Arial"/>
          <w:sz w:val="17"/>
          <w:szCs w:val="17"/>
          <w:b w:val="1"/>
          <w:bCs w:val="1"/>
          <w:color w:val="auto"/>
        </w:rPr>
      </w:pPr>
      <w:r>
        <w:rPr>
          <w:rFonts w:ascii="Arial" w:cs="Arial" w:eastAsia="Arial" w:hAnsi="Arial"/>
          <w:sz w:val="17"/>
          <w:szCs w:val="17"/>
          <w:color w:val="auto"/>
        </w:rPr>
        <w:t>13,200,000 of the authorized shares of Preferred Stock are hereby designated “Series D Preferred Stock” (the “</w:t>
      </w:r>
      <w:r>
        <w:rPr>
          <w:rFonts w:ascii="Arial" w:cs="Arial" w:eastAsia="Arial" w:hAnsi="Arial"/>
          <w:sz w:val="17"/>
          <w:szCs w:val="17"/>
          <w:b w:val="1"/>
          <w:bCs w:val="1"/>
          <w:i w:val="1"/>
          <w:iCs w:val="1"/>
          <w:color w:val="auto"/>
        </w:rPr>
        <w:t>Series D Preferred”)</w:t>
      </w:r>
      <w:r>
        <w:rPr>
          <w:rFonts w:ascii="Arial" w:cs="Arial" w:eastAsia="Arial" w:hAnsi="Arial"/>
          <w:sz w:val="17"/>
          <w:szCs w:val="17"/>
          <w:color w:val="auto"/>
        </w:rPr>
        <w:t>.</w:t>
      </w:r>
    </w:p>
    <w:p>
      <w:pPr>
        <w:sectPr>
          <w:pgSz w:w="11900" w:h="16838" w:orient="portrait"/>
          <w:cols w:equalWidth="0" w:num="1">
            <w:col w:w="11420"/>
          </w:cols>
          <w:pgMar w:left="240" w:top="121" w:right="239" w:bottom="1440" w:gutter="0" w:footer="0" w:header="0"/>
        </w:sectPr>
      </w:pPr>
    </w:p>
    <w:bookmarkStart w:id="305" w:name="page306"/>
    <w:bookmarkEnd w:id="305"/>
    <w:p>
      <w:pPr>
        <w:ind w:left="440" w:right="240" w:firstLine="438"/>
        <w:spacing w:after="0" w:line="296"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G. </w:t>
      </w:r>
      <w:r>
        <w:rPr>
          <w:rFonts w:ascii="Arial" w:cs="Arial" w:eastAsia="Arial" w:hAnsi="Arial"/>
          <w:sz w:val="17"/>
          <w:szCs w:val="17"/>
          <w:color w:val="auto"/>
        </w:rPr>
        <w:t>17,666,666 of the authorized shares of Preferred Stock are hereby designated “Series E Preferred Stock” (the “</w:t>
      </w:r>
      <w:r>
        <w:rPr>
          <w:rFonts w:ascii="Arial" w:cs="Arial" w:eastAsia="Arial" w:hAnsi="Arial"/>
          <w:sz w:val="17"/>
          <w:szCs w:val="17"/>
          <w:b w:val="1"/>
          <w:bCs w:val="1"/>
          <w:i w:val="1"/>
          <w:iCs w:val="1"/>
          <w:color w:val="auto"/>
        </w:rPr>
        <w:t>Series E Preferred</w:t>
      </w:r>
      <w:r>
        <w:rPr>
          <w:rFonts w:ascii="Arial" w:cs="Arial" w:eastAsia="Arial" w:hAnsi="Arial"/>
          <w:sz w:val="17"/>
          <w:szCs w:val="17"/>
          <w:color w:val="auto"/>
        </w:rPr>
        <w:t>” and together</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Series A Preferred, Series B Preferred, Series C Preferred and Series D Preferred, the “</w:t>
      </w:r>
      <w:r>
        <w:rPr>
          <w:rFonts w:ascii="Arial" w:cs="Arial" w:eastAsia="Arial" w:hAnsi="Arial"/>
          <w:sz w:val="17"/>
          <w:szCs w:val="17"/>
          <w:b w:val="1"/>
          <w:bCs w:val="1"/>
          <w:i w:val="1"/>
          <w:iCs w:val="1"/>
          <w:color w:val="auto"/>
        </w:rPr>
        <w:t>Series Preferred</w:t>
      </w:r>
      <w:r>
        <w:rPr>
          <w:rFonts w:ascii="Arial" w:cs="Arial" w:eastAsia="Arial" w:hAnsi="Arial"/>
          <w:sz w:val="17"/>
          <w:szCs w:val="17"/>
          <w:color w:val="auto"/>
        </w:rPr>
        <w:t>”</w:t>
      </w:r>
      <w:r>
        <w:rPr>
          <w:rFonts w:ascii="Arial" w:cs="Arial" w:eastAsia="Arial" w:hAnsi="Arial"/>
          <w:sz w:val="17"/>
          <w:szCs w:val="17"/>
          <w:b w:val="1"/>
          <w:bCs w:val="1"/>
          <w:i w:val="1"/>
          <w:iCs w:val="1"/>
          <w:color w:val="auto"/>
        </w:rPr>
        <w:t>)</w:t>
      </w:r>
      <w:r>
        <w:rPr>
          <w:rFonts w:ascii="Arial" w:cs="Arial" w:eastAsia="Arial" w:hAnsi="Arial"/>
          <w:sz w:val="17"/>
          <w:szCs w:val="17"/>
          <w:color w:val="auto"/>
        </w:rPr>
        <w:t>.</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H. </w:t>
      </w:r>
      <w:r>
        <w:rPr>
          <w:rFonts w:ascii="Arial" w:cs="Arial" w:eastAsia="Arial" w:hAnsi="Arial"/>
          <w:sz w:val="16"/>
          <w:szCs w:val="16"/>
          <w:color w:val="auto"/>
        </w:rPr>
        <w:t>Effective when this Certificate of Amendment of Certificate of Incorporation is filed with the Secretary of State of the State of Delaware, each two</w:t>
      </w:r>
    </w:p>
    <w:p>
      <w:pPr>
        <w:spacing w:after="0" w:line="44" w:lineRule="exact"/>
        <w:rPr>
          <w:sz w:val="20"/>
          <w:szCs w:val="20"/>
          <w:color w:val="auto"/>
        </w:rPr>
      </w:pPr>
    </w:p>
    <w:p>
      <w:pPr>
        <w:jc w:val="both"/>
        <w:ind w:left="440" w:firstLine="1"/>
        <w:spacing w:after="0" w:line="281" w:lineRule="auto"/>
        <w:tabs>
          <w:tab w:leader="none" w:pos="687" w:val="left"/>
        </w:tabs>
        <w:numPr>
          <w:ilvl w:val="0"/>
          <w:numId w:val="173"/>
        </w:numPr>
        <w:rPr>
          <w:rFonts w:ascii="Arial" w:cs="Arial" w:eastAsia="Arial" w:hAnsi="Arial"/>
          <w:sz w:val="16"/>
          <w:szCs w:val="16"/>
          <w:color w:val="auto"/>
        </w:rPr>
      </w:pPr>
      <w:r>
        <w:rPr>
          <w:rFonts w:ascii="Arial" w:cs="Arial" w:eastAsia="Arial" w:hAnsi="Arial"/>
          <w:sz w:val="16"/>
          <w:szCs w:val="16"/>
          <w:color w:val="auto"/>
        </w:rPr>
        <w:t>outstanding shares of Common Stock, par value of one tenth of one cent ($0.001) per share, shall, automatically and without any action on the part of the respective holders thereof, be combined and converted into one (1) share of Common Stock, par value of one tenth of one cent ($0.001) per share; provided, however, that the Company shall issue no fractional shares as a result of the actions set forth herein but shall instead pay to the holder, on a series by series basis, of such fractional share a sum in cash equal to such fraction multiplied by the fair market value of one share of Common Stock on the day before the date this Certificate of Amendment of Certificate of Incorporation is filed with the Secretary of State of the State of Delaware.</w:t>
      </w:r>
    </w:p>
    <w:p>
      <w:pPr>
        <w:spacing w:after="0" w:line="63" w:lineRule="exact"/>
        <w:rPr>
          <w:rFonts w:ascii="Arial" w:cs="Arial" w:eastAsia="Arial" w:hAnsi="Arial"/>
          <w:sz w:val="16"/>
          <w:szCs w:val="16"/>
          <w:color w:val="auto"/>
        </w:rPr>
      </w:pPr>
    </w:p>
    <w:p>
      <w:pPr>
        <w:ind w:left="1040" w:hanging="160"/>
        <w:spacing w:after="0"/>
        <w:tabs>
          <w:tab w:leader="none" w:pos="1040" w:val="left"/>
        </w:tabs>
        <w:numPr>
          <w:ilvl w:val="1"/>
          <w:numId w:val="173"/>
        </w:numPr>
        <w:rPr>
          <w:rFonts w:ascii="Arial" w:cs="Arial" w:eastAsia="Arial" w:hAnsi="Arial"/>
          <w:sz w:val="17"/>
          <w:szCs w:val="17"/>
          <w:b w:val="1"/>
          <w:bCs w:val="1"/>
          <w:color w:val="auto"/>
        </w:rPr>
      </w:pPr>
      <w:r>
        <w:rPr>
          <w:rFonts w:ascii="Arial" w:cs="Arial" w:eastAsia="Arial" w:hAnsi="Arial"/>
          <w:sz w:val="17"/>
          <w:szCs w:val="17"/>
          <w:color w:val="auto"/>
        </w:rPr>
        <w:t>The rights, preferences, privileges, restrictions and other matters relating to the Series Preferred are as follows:”</w:t>
      </w:r>
    </w:p>
    <w:p>
      <w:pPr>
        <w:spacing w:after="0" w:line="119" w:lineRule="exact"/>
        <w:rPr>
          <w:sz w:val="20"/>
          <w:szCs w:val="20"/>
          <w:color w:val="auto"/>
        </w:rPr>
      </w:pPr>
    </w:p>
    <w:p>
      <w:pPr>
        <w:ind w:left="-20" w:right="160" w:firstLine="461"/>
        <w:spacing w:after="0" w:line="289" w:lineRule="auto"/>
        <w:tabs>
          <w:tab w:leader="none" w:pos="611"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foregoing Certificate of Amendment of the Restated Certificate has been duly adopted by this Corporation’s Board of Directors and stockholders in accordance with the applicable provisions of Sections 228 and 242 of the General Corporation Law of the State of Delaware.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60" w:top="265" w:right="259" w:bottom="1440" w:gutter="0" w:footer="0" w:header="0"/>
        </w:sectPr>
      </w:pPr>
    </w:p>
    <w:bookmarkStart w:id="306" w:name="page307"/>
    <w:bookmarkEnd w:id="306"/>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 the Corporation has caused this Certificate of Amendment to be signed by its Chief Executive Officer this 22nd day of March, 2019.</w:t>
      </w:r>
    </w:p>
    <w:p>
      <w:pPr>
        <w:spacing w:after="0" w:line="267"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p>
      <w:pPr>
        <w:spacing w:after="0" w:line="23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  /s/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16510</wp:posOffset>
            </wp:positionV>
            <wp:extent cx="266065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5">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David J. Woodhouse, Ph.D.,</w:t>
      </w:r>
    </w:p>
    <w:p>
      <w:pPr>
        <w:spacing w:after="0" w:line="14"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Chief ExecutiveOfficer</w:t>
      </w:r>
    </w:p>
    <w:p>
      <w:pPr>
        <w:sectPr>
          <w:pgSz w:w="11900" w:h="16838" w:orient="portrait"/>
          <w:cols w:equalWidth="0" w:num="1">
            <w:col w:w="10740"/>
          </w:cols>
          <w:pgMar w:left="700" w:top="271" w:right="459" w:bottom="1440" w:gutter="0" w:footer="0" w:header="0"/>
        </w:sectPr>
      </w:pPr>
    </w:p>
    <w:bookmarkStart w:id="307" w:name="page308"/>
    <w:bookmarkEnd w:id="307"/>
    <w:p>
      <w:pPr>
        <w:jc w:val="right"/>
        <w:spacing w:after="0"/>
        <w:rPr>
          <w:sz w:val="20"/>
          <w:szCs w:val="20"/>
          <w:color w:val="auto"/>
        </w:rPr>
      </w:pPr>
      <w:r>
        <w:rPr>
          <w:rFonts w:ascii="Arial" w:cs="Arial" w:eastAsia="Arial" w:hAnsi="Arial"/>
          <w:sz w:val="17"/>
          <w:szCs w:val="17"/>
          <w:b w:val="1"/>
          <w:bCs w:val="1"/>
          <w:color w:val="auto"/>
        </w:rPr>
        <w:t>Exhibit 3.3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INCORPORATION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NGM BIOPHARMACEUTICALS, INC.</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David J. Woodhouse hereby certifies that:</w:t>
      </w:r>
    </w:p>
    <w:p>
      <w:pPr>
        <w:spacing w:after="0" w:line="113" w:lineRule="exact"/>
        <w:rPr>
          <w:sz w:val="20"/>
          <w:szCs w:val="20"/>
          <w:color w:val="auto"/>
        </w:rPr>
      </w:pPr>
    </w:p>
    <w:p>
      <w:pPr>
        <w:ind w:right="300" w:firstLine="427"/>
        <w:spacing w:after="0" w:line="296" w:lineRule="auto"/>
        <w:rPr>
          <w:sz w:val="20"/>
          <w:szCs w:val="20"/>
          <w:color w:val="auto"/>
        </w:rPr>
      </w:pPr>
      <w:r>
        <w:rPr>
          <w:rFonts w:ascii="Arial" w:cs="Arial" w:eastAsia="Arial" w:hAnsi="Arial"/>
          <w:sz w:val="17"/>
          <w:szCs w:val="17"/>
          <w:b w:val="1"/>
          <w:bCs w:val="1"/>
          <w:color w:val="auto"/>
        </w:rPr>
        <w:t>ONE</w:t>
      </w:r>
      <w:r>
        <w:rPr>
          <w:rFonts w:ascii="Arial" w:cs="Arial" w:eastAsia="Arial" w:hAnsi="Arial"/>
          <w:sz w:val="17"/>
          <w:szCs w:val="17"/>
          <w:color w:val="auto"/>
        </w:rPr>
        <w:t>: The original name of this corporation is NGM Biopharmaceuticals, Inc. and the date of filing the original Certificate of Incorporation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this corporation with the Secretary of State of the State of Delaware was December 20, 2007.</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TWO</w:t>
      </w:r>
      <w:r>
        <w:rPr>
          <w:rFonts w:ascii="Arial" w:cs="Arial" w:eastAsia="Arial" w:hAnsi="Arial"/>
          <w:sz w:val="17"/>
          <w:szCs w:val="17"/>
          <w:color w:val="auto"/>
        </w:rPr>
        <w:t>: He is the duly elected and acting Chief Executive Officer of NGM Biopharmaceuticals, Inc., a Delaware corporation.</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THREE</w:t>
      </w:r>
      <w:r>
        <w:rPr>
          <w:rFonts w:ascii="Arial" w:cs="Arial" w:eastAsia="Arial" w:hAnsi="Arial"/>
          <w:sz w:val="17"/>
          <w:szCs w:val="17"/>
          <w:color w:val="auto"/>
        </w:rPr>
        <w:t>: The Certificate of Incorporation of this corporation is hereby amended and restated to read as follows:</w:t>
      </w:r>
    </w:p>
    <w:p>
      <w:pPr>
        <w:spacing w:after="0" w:line="328"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I.</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name of this corporation is NGM Biopharmaceuticals,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II.</w:t>
      </w:r>
    </w:p>
    <w:p>
      <w:pPr>
        <w:spacing w:after="0" w:line="125" w:lineRule="exact"/>
        <w:rPr>
          <w:sz w:val="20"/>
          <w:szCs w:val="20"/>
          <w:color w:val="auto"/>
        </w:rPr>
      </w:pPr>
    </w:p>
    <w:p>
      <w:pPr>
        <w:ind w:right="80" w:firstLine="427"/>
        <w:spacing w:after="0" w:line="289" w:lineRule="auto"/>
        <w:rPr>
          <w:sz w:val="20"/>
          <w:szCs w:val="20"/>
          <w:color w:val="auto"/>
        </w:rPr>
      </w:pPr>
      <w:r>
        <w:rPr>
          <w:rFonts w:ascii="Arial" w:cs="Arial" w:eastAsia="Arial" w:hAnsi="Arial"/>
          <w:sz w:val="17"/>
          <w:szCs w:val="17"/>
          <w:color w:val="auto"/>
        </w:rPr>
        <w:t>The address of the registered office of this Company in the State of Delaware is 615 South DuPoint Highway, City of Dover, County of Kent, and the name of the registered agent of this corporation in the State of Delaware at such address is National Corporate Research, Ltd.</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III.</w:t>
      </w:r>
    </w:p>
    <w:p>
      <w:pPr>
        <w:spacing w:after="0" w:line="125" w:lineRule="exact"/>
        <w:rPr>
          <w:sz w:val="20"/>
          <w:szCs w:val="20"/>
          <w:color w:val="auto"/>
        </w:rPr>
      </w:pPr>
    </w:p>
    <w:p>
      <w:pPr>
        <w:ind w:right="400" w:firstLine="427"/>
        <w:spacing w:after="0" w:line="289" w:lineRule="auto"/>
        <w:rPr>
          <w:sz w:val="20"/>
          <w:szCs w:val="20"/>
          <w:color w:val="auto"/>
        </w:rPr>
      </w:pPr>
      <w:r>
        <w:rPr>
          <w:rFonts w:ascii="Arial" w:cs="Arial" w:eastAsia="Arial" w:hAnsi="Arial"/>
          <w:sz w:val="17"/>
          <w:szCs w:val="17"/>
          <w:color w:val="auto"/>
        </w:rPr>
        <w:t>The purpose of the Company is to engage in any lawful act or activity for which a corporation may be organized under the Delaware General Corporation Law (“</w:t>
      </w:r>
      <w:r>
        <w:rPr>
          <w:rFonts w:ascii="Arial" w:cs="Arial" w:eastAsia="Arial" w:hAnsi="Arial"/>
          <w:sz w:val="17"/>
          <w:szCs w:val="17"/>
          <w:b w:val="1"/>
          <w:bCs w:val="1"/>
          <w:i w:val="1"/>
          <w:iCs w:val="1"/>
          <w:color w:val="auto"/>
        </w:rPr>
        <w:t>DGCL</w:t>
      </w:r>
      <w:r>
        <w:rPr>
          <w:rFonts w:ascii="Arial" w:cs="Arial" w:eastAsia="Arial" w:hAnsi="Arial"/>
          <w:sz w:val="17"/>
          <w:szCs w:val="17"/>
          <w:color w:val="auto"/>
        </w:rPr>
        <w:t>”).</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IV.</w:t>
      </w:r>
    </w:p>
    <w:p>
      <w:pPr>
        <w:spacing w:after="0" w:line="125" w:lineRule="exact"/>
        <w:rPr>
          <w:sz w:val="20"/>
          <w:szCs w:val="20"/>
          <w:color w:val="auto"/>
        </w:rPr>
      </w:pPr>
    </w:p>
    <w:p>
      <w:pPr>
        <w:ind w:firstLine="419"/>
        <w:spacing w:after="0" w:line="267" w:lineRule="auto"/>
        <w:tabs>
          <w:tab w:leader="none" w:pos="768" w:val="left"/>
        </w:tabs>
        <w:numPr>
          <w:ilvl w:val="0"/>
          <w:numId w:val="175"/>
        </w:numPr>
        <w:rPr>
          <w:rFonts w:ascii="Arial" w:cs="Arial" w:eastAsia="Arial" w:hAnsi="Arial"/>
          <w:sz w:val="17"/>
          <w:szCs w:val="17"/>
          <w:b w:val="1"/>
          <w:bCs w:val="1"/>
          <w:color w:val="auto"/>
        </w:rPr>
      </w:pPr>
      <w:r>
        <w:rPr>
          <w:rFonts w:ascii="Arial" w:cs="Arial" w:eastAsia="Arial" w:hAnsi="Arial"/>
          <w:sz w:val="17"/>
          <w:szCs w:val="17"/>
          <w:color w:val="auto"/>
        </w:rPr>
        <w:t>This Company is authorized to issue two classes of stock to be designated, respectively,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The total number of shares which the Company is authorized to issue is four hundred ten million (410,000,000) shares. Four hundred million (400,000,000) shares shall be Common Stock, having a par value per share of $0.001. Ten million (10,000,000) shares shall be Preferred Stock, having a par value per share of $0.001.</w:t>
      </w:r>
    </w:p>
    <w:p>
      <w:pPr>
        <w:spacing w:after="0" w:line="177" w:lineRule="exact"/>
        <w:rPr>
          <w:rFonts w:ascii="Arial" w:cs="Arial" w:eastAsia="Arial" w:hAnsi="Arial"/>
          <w:sz w:val="17"/>
          <w:szCs w:val="17"/>
          <w:b w:val="1"/>
          <w:bCs w:val="1"/>
          <w:color w:val="auto"/>
        </w:rPr>
      </w:pPr>
    </w:p>
    <w:p>
      <w:pPr>
        <w:ind w:left="760" w:hanging="341"/>
        <w:spacing w:after="0"/>
        <w:tabs>
          <w:tab w:leader="none" w:pos="760" w:val="left"/>
        </w:tabs>
        <w:numPr>
          <w:ilvl w:val="0"/>
          <w:numId w:val="175"/>
        </w:numPr>
        <w:rPr>
          <w:rFonts w:ascii="Arial" w:cs="Arial" w:eastAsia="Arial" w:hAnsi="Arial"/>
          <w:sz w:val="17"/>
          <w:szCs w:val="17"/>
          <w:b w:val="1"/>
          <w:bCs w:val="1"/>
          <w:color w:val="auto"/>
        </w:rPr>
      </w:pPr>
      <w:r>
        <w:rPr>
          <w:rFonts w:ascii="Arial" w:cs="Arial" w:eastAsia="Arial" w:hAnsi="Arial"/>
          <w:sz w:val="17"/>
          <w:szCs w:val="17"/>
          <w:color w:val="auto"/>
        </w:rPr>
        <w:t>The Preferred Stock may be issued from time to time in one or more series. The Board of Directors of the Company (the “</w:t>
      </w:r>
      <w:r>
        <w:rPr>
          <w:rFonts w:ascii="Arial" w:cs="Arial" w:eastAsia="Arial" w:hAnsi="Arial"/>
          <w:sz w:val="17"/>
          <w:szCs w:val="17"/>
          <w:b w:val="1"/>
          <w:bCs w:val="1"/>
          <w:i w:val="1"/>
          <w:iCs w:val="1"/>
          <w:color w:val="auto"/>
        </w:rPr>
        <w:t>Board of</w:t>
      </w:r>
    </w:p>
    <w:p>
      <w:pPr>
        <w:spacing w:after="0" w:line="26"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b w:val="1"/>
          <w:bCs w:val="1"/>
          <w:i w:val="1"/>
          <w:iCs w:val="1"/>
          <w:color w:val="auto"/>
        </w:rPr>
        <w:t>Directors</w:t>
      </w:r>
      <w:r>
        <w:rPr>
          <w:rFonts w:ascii="Arial" w:cs="Arial" w:eastAsia="Arial" w:hAnsi="Arial"/>
          <w:sz w:val="16"/>
          <w:szCs w:val="16"/>
          <w:color w:val="auto"/>
        </w:rPr>
        <w:t>”) is hereby expressly authorized to provide for the issue of all or any of the shares of the Preferred Stock in one or more series, and to fix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of Directors providing for the issuance of such shares and as may be permitted by the DGCL. The Board of Directors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 The number of authorized shares of Preferred Stock may be increased or decreased (but not below the number of shares thereof then outstanding) by the affirmative vote of the holders of a majority of the voting power of the stock of the Company entitled to vote thereon, without a separate vote of the holders of the Preferred Stock, or of any series thereof, unless a vote of any such holders is required pursuant to the terms of any certificate of designation filed with respect to any series of Preferred Stock.</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680"/>
          </w:cols>
          <w:pgMar w:left="620" w:top="121" w:right="599" w:bottom="1440" w:gutter="0" w:footer="0" w:header="0"/>
        </w:sectPr>
      </w:pPr>
    </w:p>
    <w:bookmarkStart w:id="308" w:name="page309"/>
    <w:bookmarkEnd w:id="308"/>
    <w:p>
      <w:pPr>
        <w:ind w:firstLine="419"/>
        <w:spacing w:after="0" w:line="283" w:lineRule="auto"/>
        <w:tabs>
          <w:tab w:leader="none" w:pos="771" w:val="left"/>
        </w:tabs>
        <w:numPr>
          <w:ilvl w:val="0"/>
          <w:numId w:val="176"/>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Each outstanding share of Common Stock shall entitle the holder thereof to one vote on each matter properly submitted to the stockholders of the Company for their vote; provided, however, that, except as otherwise required by law, holders of Common Stock shall not be entitled to vote on any amendment to this Amended and Restated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Amended and Restated Certificate of Incorporation (including any certificate of designation filed with respect to any series of Preferred Stock).</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w:t>
      </w:r>
    </w:p>
    <w:p>
      <w:pPr>
        <w:spacing w:after="0" w:line="125" w:lineRule="exact"/>
        <w:rPr>
          <w:sz w:val="20"/>
          <w:szCs w:val="20"/>
          <w:color w:val="auto"/>
        </w:rPr>
      </w:pPr>
    </w:p>
    <w:p>
      <w:pPr>
        <w:ind w:right="220" w:firstLine="427"/>
        <w:spacing w:after="0" w:line="322" w:lineRule="auto"/>
        <w:rPr>
          <w:sz w:val="20"/>
          <w:szCs w:val="20"/>
          <w:color w:val="auto"/>
        </w:rPr>
      </w:pPr>
      <w:r>
        <w:rPr>
          <w:rFonts w:ascii="Arial" w:cs="Arial" w:eastAsia="Arial" w:hAnsi="Arial"/>
          <w:sz w:val="16"/>
          <w:szCs w:val="16"/>
          <w:color w:val="auto"/>
        </w:rPr>
        <w:t>For the management of the business and for the conduct of the affairs of the Company, and in further definition, limitation and regulation of the powers of the Company, of its directors and of its stockholders or any class thereof, as the case may be, it is further provided that:</w:t>
      </w:r>
    </w:p>
    <w:p>
      <w:pPr>
        <w:spacing w:after="0" w:line="129" w:lineRule="exact"/>
        <w:rPr>
          <w:sz w:val="20"/>
          <w:szCs w:val="20"/>
          <w:color w:val="auto"/>
        </w:rPr>
      </w:pPr>
    </w:p>
    <w:p>
      <w:pPr>
        <w:ind w:right="20" w:firstLine="419"/>
        <w:spacing w:after="0" w:line="276" w:lineRule="auto"/>
        <w:tabs>
          <w:tab w:leader="none" w:pos="771" w:val="left"/>
        </w:tabs>
        <w:numPr>
          <w:ilvl w:val="0"/>
          <w:numId w:val="177"/>
        </w:numPr>
        <w:rPr>
          <w:rFonts w:ascii="Arial" w:cs="Arial" w:eastAsia="Arial" w:hAnsi="Arial"/>
          <w:sz w:val="17"/>
          <w:szCs w:val="17"/>
          <w:b w:val="1"/>
          <w:bCs w:val="1"/>
          <w:color w:val="auto"/>
        </w:rPr>
      </w:pPr>
      <w:r>
        <w:rPr>
          <w:rFonts w:ascii="Arial" w:cs="Arial" w:eastAsia="Arial" w:hAnsi="Arial"/>
          <w:sz w:val="17"/>
          <w:szCs w:val="17"/>
          <w:b w:val="1"/>
          <w:bCs w:val="1"/>
          <w:color w:val="auto"/>
        </w:rPr>
        <w:t>M</w:t>
      </w:r>
      <w:r>
        <w:rPr>
          <w:rFonts w:ascii="Arial" w:cs="Arial" w:eastAsia="Arial" w:hAnsi="Arial"/>
          <w:sz w:val="14"/>
          <w:szCs w:val="14"/>
          <w:b w:val="1"/>
          <w:bCs w:val="1"/>
          <w:color w:val="auto"/>
        </w:rPr>
        <w:t>ANAGEMENT OF</w:t>
      </w:r>
      <w:r>
        <w:rPr>
          <w:rFonts w:ascii="Arial" w:cs="Arial" w:eastAsia="Arial" w:hAnsi="Arial"/>
          <w:sz w:val="17"/>
          <w:szCs w:val="17"/>
          <w:b w:val="1"/>
          <w:bCs w:val="1"/>
          <w:color w:val="auto"/>
        </w:rPr>
        <w:t xml:space="preserve"> B</w:t>
      </w:r>
      <w:r>
        <w:rPr>
          <w:rFonts w:ascii="Arial" w:cs="Arial" w:eastAsia="Arial" w:hAnsi="Arial"/>
          <w:sz w:val="14"/>
          <w:szCs w:val="14"/>
          <w:b w:val="1"/>
          <w:bCs w:val="1"/>
          <w:color w:val="auto"/>
        </w:rPr>
        <w:t>USINESS</w:t>
      </w:r>
      <w:r>
        <w:rPr>
          <w:rFonts w:ascii="Arial" w:cs="Arial" w:eastAsia="Arial" w:hAnsi="Arial"/>
          <w:sz w:val="17"/>
          <w:szCs w:val="17"/>
          <w:color w:val="auto"/>
        </w:rPr>
        <w:t>. The management of the business and the conduct of the affairs of the Company shall be vested in its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The number of directors which shall constitute the Board of Directors shall be fixed exclusively by resolutions adopted by a majority of the authorized number of directors constituting the Board of Directors.</w:t>
      </w:r>
    </w:p>
    <w:p>
      <w:pPr>
        <w:spacing w:after="0" w:line="163" w:lineRule="exact"/>
        <w:rPr>
          <w:rFonts w:ascii="Arial" w:cs="Arial" w:eastAsia="Arial" w:hAnsi="Arial"/>
          <w:sz w:val="17"/>
          <w:szCs w:val="17"/>
          <w:b w:val="1"/>
          <w:bCs w:val="1"/>
          <w:color w:val="auto"/>
        </w:rPr>
      </w:pPr>
    </w:p>
    <w:p>
      <w:pPr>
        <w:ind w:firstLine="419"/>
        <w:spacing w:after="0" w:line="280" w:lineRule="auto"/>
        <w:tabs>
          <w:tab w:leader="none" w:pos="762" w:val="left"/>
        </w:tabs>
        <w:numPr>
          <w:ilvl w:val="0"/>
          <w:numId w:val="177"/>
        </w:numPr>
        <w:rPr>
          <w:rFonts w:ascii="Arial" w:cs="Arial" w:eastAsia="Arial" w:hAnsi="Arial"/>
          <w:sz w:val="16"/>
          <w:szCs w:val="16"/>
          <w:b w:val="1"/>
          <w:bCs w:val="1"/>
          <w:color w:val="auto"/>
        </w:rPr>
      </w:pPr>
      <w:r>
        <w:rPr>
          <w:rFonts w:ascii="Arial" w:cs="Arial" w:eastAsia="Arial" w:hAnsi="Arial"/>
          <w:sz w:val="16"/>
          <w:szCs w:val="16"/>
          <w:b w:val="1"/>
          <w:bCs w:val="1"/>
          <w:color w:val="auto"/>
        </w:rPr>
        <w:t>B</w:t>
      </w:r>
      <w:r>
        <w:rPr>
          <w:rFonts w:ascii="Arial" w:cs="Arial" w:eastAsia="Arial" w:hAnsi="Arial"/>
          <w:sz w:val="13"/>
          <w:szCs w:val="13"/>
          <w:b w:val="1"/>
          <w:bCs w:val="1"/>
          <w:color w:val="auto"/>
        </w:rPr>
        <w:t>OARD OF</w:t>
      </w:r>
      <w:r>
        <w:rPr>
          <w:rFonts w:ascii="Arial" w:cs="Arial" w:eastAsia="Arial" w:hAnsi="Arial"/>
          <w:sz w:val="16"/>
          <w:szCs w:val="16"/>
          <w:b w:val="1"/>
          <w:bCs w:val="1"/>
          <w:color w:val="auto"/>
        </w:rPr>
        <w:t xml:space="preserve"> D</w:t>
      </w:r>
      <w:r>
        <w:rPr>
          <w:rFonts w:ascii="Arial" w:cs="Arial" w:eastAsia="Arial" w:hAnsi="Arial"/>
          <w:sz w:val="13"/>
          <w:szCs w:val="13"/>
          <w:b w:val="1"/>
          <w:bCs w:val="1"/>
          <w:color w:val="auto"/>
        </w:rPr>
        <w:t>IRECTORS</w:t>
      </w:r>
      <w:r>
        <w:rPr>
          <w:rFonts w:ascii="Arial" w:cs="Arial" w:eastAsia="Arial" w:hAnsi="Arial"/>
          <w:sz w:val="16"/>
          <w:szCs w:val="16"/>
          <w:color w:val="auto"/>
        </w:rPr>
        <w:t>. Subject to the rights of the holders of any series of Preferred Stock to elect additional directors under specified</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upon the filing of this Amended and Restated Certificate of Incorporation, the directors shall be divided into three classes designated as Class I, Class II and Class III, respectively. The Board of Directors is authorized to assign members of the Board of Directors already in office to such classes at the time the classification becomes effective. At the first annual meeting of stockholders following the initial classification of the Board of Directors, the term of office of the Class I directors shall expire and Class I directors shall be elected for a full term of three years. At the second annual meeting of stockholders following such initial classification, the term of office of the Class II directors shall expire and Class II directors shall be elected for a full term of three years. At the third annual meeting of stockholders following such initial classification,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169" w:lineRule="exact"/>
        <w:rPr>
          <w:sz w:val="20"/>
          <w:szCs w:val="20"/>
          <w:color w:val="auto"/>
        </w:rPr>
      </w:pPr>
    </w:p>
    <w:p>
      <w:pPr>
        <w:jc w:val="both"/>
        <w:ind w:right="120" w:firstLine="427"/>
        <w:spacing w:after="0" w:line="273" w:lineRule="auto"/>
        <w:rPr>
          <w:sz w:val="20"/>
          <w:szCs w:val="20"/>
          <w:color w:val="auto"/>
        </w:rPr>
      </w:pPr>
      <w:r>
        <w:rPr>
          <w:rFonts w:ascii="Arial" w:cs="Arial" w:eastAsia="Arial" w:hAnsi="Arial"/>
          <w:sz w:val="17"/>
          <w:szCs w:val="17"/>
          <w:color w:val="auto"/>
        </w:rPr>
        <w:t>Notwithstanding the foregoing provisions of this section, each director shall serve until his or her successor is duly elected and qualified or until his or her earlier death, resignation or removal. No decrease in the number of directors constituting the Board of Directors shall shorten the term of any incumbent director.</w:t>
      </w:r>
    </w:p>
    <w:p>
      <w:pPr>
        <w:spacing w:after="0" w:line="165" w:lineRule="exact"/>
        <w:rPr>
          <w:sz w:val="20"/>
          <w:szCs w:val="20"/>
          <w:color w:val="auto"/>
        </w:rPr>
      </w:pPr>
    </w:p>
    <w:p>
      <w:pPr>
        <w:ind w:left="760" w:hanging="341"/>
        <w:spacing w:after="0"/>
        <w:tabs>
          <w:tab w:leader="none" w:pos="760" w:val="left"/>
        </w:tabs>
        <w:numPr>
          <w:ilvl w:val="0"/>
          <w:numId w:val="178"/>
        </w:numPr>
        <w:rPr>
          <w:rFonts w:ascii="Arial" w:cs="Arial" w:eastAsia="Arial" w:hAnsi="Arial"/>
          <w:sz w:val="17"/>
          <w:szCs w:val="17"/>
          <w:b w:val="1"/>
          <w:bCs w:val="1"/>
          <w:color w:val="auto"/>
        </w:rPr>
      </w:pPr>
      <w:r>
        <w:rPr>
          <w:rFonts w:ascii="Arial" w:cs="Arial" w:eastAsia="Arial" w:hAnsi="Arial"/>
          <w:sz w:val="17"/>
          <w:szCs w:val="17"/>
          <w:b w:val="1"/>
          <w:bCs w:val="1"/>
          <w:color w:val="auto"/>
        </w:rPr>
        <w:t>R</w:t>
      </w:r>
      <w:r>
        <w:rPr>
          <w:rFonts w:ascii="Arial" w:cs="Arial" w:eastAsia="Arial" w:hAnsi="Arial"/>
          <w:sz w:val="14"/>
          <w:szCs w:val="14"/>
          <w:b w:val="1"/>
          <w:bCs w:val="1"/>
          <w:color w:val="auto"/>
        </w:rPr>
        <w:t>EMOVAL OF</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7"/>
          <w:szCs w:val="17"/>
          <w:color w:val="auto"/>
        </w:rPr>
        <w:t>.</w:t>
      </w:r>
    </w:p>
    <w:p>
      <w:pPr>
        <w:spacing w:after="0" w:line="229" w:lineRule="exact"/>
        <w:rPr>
          <w:rFonts w:ascii="Arial" w:cs="Arial" w:eastAsia="Arial" w:hAnsi="Arial"/>
          <w:sz w:val="17"/>
          <w:szCs w:val="17"/>
          <w:b w:val="1"/>
          <w:bCs w:val="1"/>
          <w:color w:val="auto"/>
        </w:rPr>
      </w:pPr>
    </w:p>
    <w:p>
      <w:pPr>
        <w:ind w:right="280" w:firstLine="846"/>
        <w:spacing w:after="0" w:line="289" w:lineRule="auto"/>
        <w:tabs>
          <w:tab w:leader="none" w:pos="1160" w:val="left"/>
        </w:tabs>
        <w:numPr>
          <w:ilvl w:val="1"/>
          <w:numId w:val="178"/>
        </w:numPr>
        <w:rPr>
          <w:rFonts w:ascii="Arial" w:cs="Arial" w:eastAsia="Arial" w:hAnsi="Arial"/>
          <w:sz w:val="17"/>
          <w:szCs w:val="17"/>
          <w:b w:val="1"/>
          <w:bCs w:val="1"/>
          <w:color w:val="auto"/>
        </w:rPr>
      </w:pPr>
      <w:r>
        <w:rPr>
          <w:rFonts w:ascii="Arial" w:cs="Arial" w:eastAsia="Arial" w:hAnsi="Arial"/>
          <w:sz w:val="17"/>
          <w:szCs w:val="17"/>
          <w:color w:val="auto"/>
        </w:rPr>
        <w:t>Subject to the rights of any series of Preferred Stock to elect additional directors under specified circumstances, neither the Board of Directors nor any individual director may be removed without cause.</w:t>
      </w:r>
    </w:p>
    <w:p>
      <w:pPr>
        <w:spacing w:after="0" w:line="53" w:lineRule="exact"/>
        <w:rPr>
          <w:rFonts w:ascii="Arial" w:cs="Arial" w:eastAsia="Arial" w:hAnsi="Arial"/>
          <w:sz w:val="17"/>
          <w:szCs w:val="17"/>
          <w:b w:val="1"/>
          <w:bCs w:val="1"/>
          <w:color w:val="auto"/>
        </w:rPr>
      </w:pPr>
    </w:p>
    <w:p>
      <w:pPr>
        <w:ind w:right="80" w:firstLine="846"/>
        <w:spacing w:after="0" w:line="273" w:lineRule="auto"/>
        <w:tabs>
          <w:tab w:leader="none" w:pos="1160" w:val="left"/>
        </w:tabs>
        <w:numPr>
          <w:ilvl w:val="1"/>
          <w:numId w:val="178"/>
        </w:numPr>
        <w:rPr>
          <w:rFonts w:ascii="Arial" w:cs="Arial" w:eastAsia="Arial" w:hAnsi="Arial"/>
          <w:sz w:val="17"/>
          <w:szCs w:val="17"/>
          <w:b w:val="1"/>
          <w:bCs w:val="1"/>
          <w:color w:val="auto"/>
        </w:rPr>
      </w:pPr>
      <w:r>
        <w:rPr>
          <w:rFonts w:ascii="Arial" w:cs="Arial" w:eastAsia="Arial" w:hAnsi="Arial"/>
          <w:sz w:val="17"/>
          <w:szCs w:val="17"/>
          <w:color w:val="auto"/>
        </w:rPr>
        <w:t>Subject to any limitation imposed by applicable law, any individual director or directors may be removed with cause by the affirmative vote of the holders of at least sixty-six and two-thirds percent (66 2/3%) of the voting power of all then-outstanding shares of capital stock of the Company entitled to vote generally at an election of directors.</w:t>
      </w:r>
    </w:p>
    <w:p>
      <w:pPr>
        <w:spacing w:after="0" w:line="165" w:lineRule="exact"/>
        <w:rPr>
          <w:rFonts w:ascii="Arial" w:cs="Arial" w:eastAsia="Arial" w:hAnsi="Arial"/>
          <w:sz w:val="17"/>
          <w:szCs w:val="17"/>
          <w:b w:val="1"/>
          <w:bCs w:val="1"/>
          <w:color w:val="auto"/>
        </w:rPr>
      </w:pPr>
    </w:p>
    <w:p>
      <w:pPr>
        <w:ind w:left="760" w:hanging="341"/>
        <w:spacing w:after="0"/>
        <w:tabs>
          <w:tab w:leader="none" w:pos="760" w:val="left"/>
        </w:tabs>
        <w:numPr>
          <w:ilvl w:val="0"/>
          <w:numId w:val="178"/>
        </w:numPr>
        <w:rPr>
          <w:rFonts w:ascii="Arial" w:cs="Arial" w:eastAsia="Arial" w:hAnsi="Arial"/>
          <w:sz w:val="16"/>
          <w:szCs w:val="16"/>
          <w:b w:val="1"/>
          <w:bCs w:val="1"/>
          <w:color w:val="auto"/>
        </w:rPr>
      </w:pPr>
      <w:r>
        <w:rPr>
          <w:rFonts w:ascii="Arial" w:cs="Arial" w:eastAsia="Arial" w:hAnsi="Arial"/>
          <w:sz w:val="16"/>
          <w:szCs w:val="16"/>
          <w:b w:val="1"/>
          <w:bCs w:val="1"/>
          <w:color w:val="auto"/>
        </w:rPr>
        <w:t>V</w:t>
      </w:r>
      <w:r>
        <w:rPr>
          <w:rFonts w:ascii="Arial" w:cs="Arial" w:eastAsia="Arial" w:hAnsi="Arial"/>
          <w:sz w:val="13"/>
          <w:szCs w:val="13"/>
          <w:b w:val="1"/>
          <w:bCs w:val="1"/>
          <w:color w:val="auto"/>
        </w:rPr>
        <w:t>ACANCIES</w:t>
      </w:r>
      <w:r>
        <w:rPr>
          <w:rFonts w:ascii="Arial" w:cs="Arial" w:eastAsia="Arial" w:hAnsi="Arial"/>
          <w:sz w:val="16"/>
          <w:szCs w:val="16"/>
          <w:color w:val="auto"/>
        </w:rPr>
        <w:t>. Subject to any limitations imposed by applicable law and subject to the rights of the holders of any series of Preferred Stock,</w:t>
      </w:r>
    </w:p>
    <w:p>
      <w:pPr>
        <w:spacing w:after="0" w:line="4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the stockholders and except as otherwise provided by applicable law, be filled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60"/>
          </w:cols>
          <w:pgMar w:left="620" w:top="271" w:right="619" w:bottom="1440" w:gutter="0" w:footer="0" w:header="0"/>
        </w:sectPr>
      </w:pPr>
    </w:p>
    <w:bookmarkStart w:id="309" w:name="page310"/>
    <w:bookmarkEnd w:id="309"/>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only by the affirmative vote of a majority of the directors then in office, even though less than a quorum of the Board of Directors, and not by the stockholders.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165" w:lineRule="exact"/>
        <w:rPr>
          <w:sz w:val="20"/>
          <w:szCs w:val="20"/>
          <w:color w:val="auto"/>
        </w:rPr>
      </w:pPr>
    </w:p>
    <w:p>
      <w:pPr>
        <w:ind w:left="760" w:hanging="341"/>
        <w:spacing w:after="0"/>
        <w:tabs>
          <w:tab w:leader="none" w:pos="760" w:val="left"/>
        </w:tabs>
        <w:numPr>
          <w:ilvl w:val="0"/>
          <w:numId w:val="179"/>
        </w:numPr>
        <w:rPr>
          <w:rFonts w:ascii="Arial" w:cs="Arial" w:eastAsia="Arial" w:hAnsi="Arial"/>
          <w:sz w:val="17"/>
          <w:szCs w:val="17"/>
          <w:b w:val="1"/>
          <w:bCs w:val="1"/>
          <w:color w:val="auto"/>
        </w:rPr>
      </w:pPr>
      <w:r>
        <w:rPr>
          <w:rFonts w:ascii="Arial" w:cs="Arial" w:eastAsia="Arial" w:hAnsi="Arial"/>
          <w:sz w:val="17"/>
          <w:szCs w:val="17"/>
          <w:b w:val="1"/>
          <w:bCs w:val="1"/>
          <w:color w:val="auto"/>
        </w:rPr>
        <w:t>B</w:t>
      </w:r>
      <w:r>
        <w:rPr>
          <w:rFonts w:ascii="Arial" w:cs="Arial" w:eastAsia="Arial" w:hAnsi="Arial"/>
          <w:sz w:val="14"/>
          <w:szCs w:val="14"/>
          <w:b w:val="1"/>
          <w:bCs w:val="1"/>
          <w:color w:val="auto"/>
        </w:rPr>
        <w:t>YLAW</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MENDMENTS</w:t>
      </w:r>
      <w:r>
        <w:rPr>
          <w:rFonts w:ascii="Arial" w:cs="Arial" w:eastAsia="Arial" w:hAnsi="Arial"/>
          <w:sz w:val="17"/>
          <w:szCs w:val="17"/>
          <w:color w:val="auto"/>
        </w:rPr>
        <w:t>.</w:t>
      </w:r>
    </w:p>
    <w:p>
      <w:pPr>
        <w:spacing w:after="0" w:line="229" w:lineRule="exact"/>
        <w:rPr>
          <w:rFonts w:ascii="Arial" w:cs="Arial" w:eastAsia="Arial" w:hAnsi="Arial"/>
          <w:sz w:val="17"/>
          <w:szCs w:val="17"/>
          <w:b w:val="1"/>
          <w:bCs w:val="1"/>
          <w:color w:val="auto"/>
        </w:rPr>
      </w:pPr>
    </w:p>
    <w:p>
      <w:pPr>
        <w:ind w:right="20" w:firstLine="846"/>
        <w:spacing w:after="0" w:line="283" w:lineRule="auto"/>
        <w:tabs>
          <w:tab w:leader="none" w:pos="1157" w:val="left"/>
        </w:tabs>
        <w:numPr>
          <w:ilvl w:val="1"/>
          <w:numId w:val="179"/>
        </w:numPr>
        <w:rPr>
          <w:rFonts w:ascii="Arial" w:cs="Arial" w:eastAsia="Arial" w:hAnsi="Arial"/>
          <w:sz w:val="16"/>
          <w:szCs w:val="16"/>
          <w:b w:val="1"/>
          <w:bCs w:val="1"/>
          <w:color w:val="auto"/>
        </w:rPr>
      </w:pPr>
      <w:r>
        <w:rPr>
          <w:rFonts w:ascii="Arial" w:cs="Arial" w:eastAsia="Arial" w:hAnsi="Arial"/>
          <w:sz w:val="16"/>
          <w:szCs w:val="16"/>
          <w:color w:val="auto"/>
        </w:rPr>
        <w:t>The Board of Directors is expressly empowered to adopt, amend or repeal the Bylaws of the Company. Any adoption, amendment or repeal of the Bylaws of the Company by the Board of Directors shall require the approval of a majority of the authorized number of directors. The stockholders shall also have power to adopt, amend or repeal the Bylaws of the Company; provided, however, that, in addition to any vote of the holders of any class or series of stock of the Company required by law or by this Amended and Restated Certificate of Incorporation, such action by stockholders shall require the affirmative vote of the holders of at least sixty-six and two-thirds percent (66 2/3%) of the voting power of all of the then-outstanding shares of the capital stock of the Company entitled to vote generally in the election of directors, voting together as a single class.</w:t>
      </w:r>
    </w:p>
    <w:p>
      <w:pPr>
        <w:spacing w:after="0" w:line="60" w:lineRule="exact"/>
        <w:rPr>
          <w:rFonts w:ascii="Arial" w:cs="Arial" w:eastAsia="Arial" w:hAnsi="Arial"/>
          <w:sz w:val="16"/>
          <w:szCs w:val="16"/>
          <w:b w:val="1"/>
          <w:bCs w:val="1"/>
          <w:color w:val="auto"/>
        </w:rPr>
      </w:pPr>
    </w:p>
    <w:p>
      <w:pPr>
        <w:ind w:left="1140" w:hanging="294"/>
        <w:spacing w:after="0"/>
        <w:tabs>
          <w:tab w:leader="none" w:pos="1140" w:val="left"/>
        </w:tabs>
        <w:numPr>
          <w:ilvl w:val="1"/>
          <w:numId w:val="179"/>
        </w:numPr>
        <w:rPr>
          <w:rFonts w:ascii="Arial" w:cs="Arial" w:eastAsia="Arial" w:hAnsi="Arial"/>
          <w:sz w:val="17"/>
          <w:szCs w:val="17"/>
          <w:b w:val="1"/>
          <w:bCs w:val="1"/>
          <w:color w:val="auto"/>
        </w:rPr>
      </w:pPr>
      <w:r>
        <w:rPr>
          <w:rFonts w:ascii="Arial" w:cs="Arial" w:eastAsia="Arial" w:hAnsi="Arial"/>
          <w:sz w:val="17"/>
          <w:szCs w:val="17"/>
          <w:color w:val="auto"/>
        </w:rPr>
        <w:t>The directors of the Company need not be elected by written ballot unless the Bylaws so provide.</w:t>
      </w:r>
    </w:p>
    <w:p>
      <w:pPr>
        <w:spacing w:after="0" w:line="118" w:lineRule="exact"/>
        <w:rPr>
          <w:rFonts w:ascii="Arial" w:cs="Arial" w:eastAsia="Arial" w:hAnsi="Arial"/>
          <w:sz w:val="17"/>
          <w:szCs w:val="17"/>
          <w:b w:val="1"/>
          <w:bCs w:val="1"/>
          <w:color w:val="auto"/>
        </w:rPr>
      </w:pPr>
    </w:p>
    <w:p>
      <w:pPr>
        <w:ind w:right="780" w:firstLine="846"/>
        <w:spacing w:after="0" w:line="322" w:lineRule="auto"/>
        <w:tabs>
          <w:tab w:leader="none" w:pos="1160" w:val="left"/>
        </w:tabs>
        <w:numPr>
          <w:ilvl w:val="1"/>
          <w:numId w:val="179"/>
        </w:numPr>
        <w:rPr>
          <w:rFonts w:ascii="Arial" w:cs="Arial" w:eastAsia="Arial" w:hAnsi="Arial"/>
          <w:sz w:val="16"/>
          <w:szCs w:val="16"/>
          <w:b w:val="1"/>
          <w:bCs w:val="1"/>
          <w:color w:val="auto"/>
        </w:rPr>
      </w:pPr>
      <w:r>
        <w:rPr>
          <w:rFonts w:ascii="Arial" w:cs="Arial" w:eastAsia="Arial" w:hAnsi="Arial"/>
          <w:sz w:val="16"/>
          <w:szCs w:val="16"/>
          <w:color w:val="auto"/>
        </w:rPr>
        <w:t>No action shall be taken by the stockholders of the Company except at an annual or special meeting of stockholders called in accordance with the Bylaws, and no action shall be taken by the stockholders by written consent or electronic transmission.</w:t>
      </w:r>
    </w:p>
    <w:p>
      <w:pPr>
        <w:spacing w:after="0" w:line="30" w:lineRule="exact"/>
        <w:rPr>
          <w:rFonts w:ascii="Arial" w:cs="Arial" w:eastAsia="Arial" w:hAnsi="Arial"/>
          <w:sz w:val="16"/>
          <w:szCs w:val="16"/>
          <w:b w:val="1"/>
          <w:bCs w:val="1"/>
          <w:color w:val="auto"/>
        </w:rPr>
      </w:pPr>
    </w:p>
    <w:p>
      <w:pPr>
        <w:ind w:right="500" w:firstLine="846"/>
        <w:spacing w:after="0" w:line="289" w:lineRule="auto"/>
        <w:tabs>
          <w:tab w:leader="none" w:pos="1150" w:val="left"/>
        </w:tabs>
        <w:numPr>
          <w:ilvl w:val="1"/>
          <w:numId w:val="179"/>
        </w:numPr>
        <w:rPr>
          <w:rFonts w:ascii="Arial" w:cs="Arial" w:eastAsia="Arial" w:hAnsi="Arial"/>
          <w:sz w:val="17"/>
          <w:szCs w:val="17"/>
          <w:b w:val="1"/>
          <w:bCs w:val="1"/>
          <w:color w:val="auto"/>
        </w:rPr>
      </w:pPr>
      <w:r>
        <w:rPr>
          <w:rFonts w:ascii="Arial" w:cs="Arial" w:eastAsia="Arial" w:hAnsi="Arial"/>
          <w:sz w:val="17"/>
          <w:szCs w:val="17"/>
          <w:color w:val="auto"/>
        </w:rPr>
        <w:t>Advance notice of stockholder nominations for the election of directors and of business to be brought by stockholders before any meeting of the stockholders of the Company shall be given in the manner provided in the Bylaws of the Company.</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w:t>
      </w:r>
    </w:p>
    <w:p>
      <w:pPr>
        <w:spacing w:after="0" w:line="125" w:lineRule="exact"/>
        <w:rPr>
          <w:sz w:val="20"/>
          <w:szCs w:val="20"/>
          <w:color w:val="auto"/>
        </w:rPr>
      </w:pPr>
    </w:p>
    <w:p>
      <w:pPr>
        <w:ind w:left="760" w:hanging="341"/>
        <w:spacing w:after="0"/>
        <w:tabs>
          <w:tab w:leader="none" w:pos="760" w:val="left"/>
        </w:tabs>
        <w:numPr>
          <w:ilvl w:val="0"/>
          <w:numId w:val="180"/>
        </w:numPr>
        <w:rPr>
          <w:rFonts w:ascii="Arial" w:cs="Arial" w:eastAsia="Arial" w:hAnsi="Arial"/>
          <w:sz w:val="17"/>
          <w:szCs w:val="17"/>
          <w:b w:val="1"/>
          <w:bCs w:val="1"/>
          <w:color w:val="auto"/>
        </w:rPr>
      </w:pPr>
      <w:r>
        <w:rPr>
          <w:rFonts w:ascii="Arial" w:cs="Arial" w:eastAsia="Arial" w:hAnsi="Arial"/>
          <w:sz w:val="17"/>
          <w:szCs w:val="17"/>
          <w:color w:val="auto"/>
        </w:rPr>
        <w:t>The liability of the directors for monetary damages shall be eliminated to the fullest extent under applicable law.</w:t>
      </w:r>
    </w:p>
    <w:p>
      <w:pPr>
        <w:spacing w:after="0" w:line="223" w:lineRule="exact"/>
        <w:rPr>
          <w:rFonts w:ascii="Arial" w:cs="Arial" w:eastAsia="Arial" w:hAnsi="Arial"/>
          <w:sz w:val="17"/>
          <w:szCs w:val="17"/>
          <w:b w:val="1"/>
          <w:bCs w:val="1"/>
          <w:color w:val="auto"/>
        </w:rPr>
      </w:pPr>
    </w:p>
    <w:p>
      <w:pPr>
        <w:ind w:right="60" w:firstLine="419"/>
        <w:spacing w:after="0" w:line="263" w:lineRule="auto"/>
        <w:tabs>
          <w:tab w:leader="none" w:pos="759" w:val="left"/>
        </w:tabs>
        <w:numPr>
          <w:ilvl w:val="0"/>
          <w:numId w:val="180"/>
        </w:numPr>
        <w:rPr>
          <w:rFonts w:ascii="Arial" w:cs="Arial" w:eastAsia="Arial" w:hAnsi="Arial"/>
          <w:sz w:val="17"/>
          <w:szCs w:val="17"/>
          <w:b w:val="1"/>
          <w:bCs w:val="1"/>
          <w:color w:val="auto"/>
        </w:rPr>
      </w:pPr>
      <w:r>
        <w:rPr>
          <w:rFonts w:ascii="Arial" w:cs="Arial" w:eastAsia="Arial" w:hAnsi="Arial"/>
          <w:sz w:val="17"/>
          <w:szCs w:val="17"/>
          <w:color w:val="auto"/>
        </w:rPr>
        <w:t>To the fullest extent permitted by applicable law, the Company is authorized to provide indemnification of (and advancement of expenses to) directors, officers and agents of the Company (and any other persons to which applicable law permits the Company to provide indemnification) through Bylaw provisions, agreements with such agents or other persons, vote of stockholders or disinterested directors or otherwise in excess of the indemnification and advancement otherwise permitted by such applicable law. If applicable law is amended after approval by the stockholders of this Article VI to authorize corporate action further eliminating or limiting the personal liability of directors, then the liability of a director to the Company shall be eliminated or limited to the fullest extent permitted by applicable law as so amended.</w:t>
      </w:r>
    </w:p>
    <w:p>
      <w:pPr>
        <w:spacing w:after="0" w:line="181" w:lineRule="exact"/>
        <w:rPr>
          <w:rFonts w:ascii="Arial" w:cs="Arial" w:eastAsia="Arial" w:hAnsi="Arial"/>
          <w:sz w:val="17"/>
          <w:szCs w:val="17"/>
          <w:b w:val="1"/>
          <w:bCs w:val="1"/>
          <w:color w:val="auto"/>
        </w:rPr>
      </w:pPr>
    </w:p>
    <w:p>
      <w:pPr>
        <w:ind w:right="80" w:firstLine="419"/>
        <w:spacing w:after="0" w:line="322" w:lineRule="auto"/>
        <w:tabs>
          <w:tab w:leader="none" w:pos="762" w:val="left"/>
        </w:tabs>
        <w:numPr>
          <w:ilvl w:val="0"/>
          <w:numId w:val="180"/>
        </w:numPr>
        <w:rPr>
          <w:rFonts w:ascii="Arial" w:cs="Arial" w:eastAsia="Arial" w:hAnsi="Arial"/>
          <w:sz w:val="16"/>
          <w:szCs w:val="16"/>
          <w:b w:val="1"/>
          <w:bCs w:val="1"/>
          <w:color w:val="auto"/>
        </w:rPr>
      </w:pPr>
      <w:r>
        <w:rPr>
          <w:rFonts w:ascii="Arial" w:cs="Arial" w:eastAsia="Arial" w:hAnsi="Arial"/>
          <w:sz w:val="16"/>
          <w:szCs w:val="16"/>
          <w:color w:val="auto"/>
        </w:rPr>
        <w:t>Any repeal or modification of this Article VI shall only be prospective and shall not affect the rights or protections or increase the liability of any director under this Article VI in effect at the time of the alleged occurrence of any act or omission to act giving rise to liability or indemnification.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VII.</w:t>
      </w:r>
    </w:p>
    <w:p>
      <w:pPr>
        <w:spacing w:after="0" w:line="125" w:lineRule="exact"/>
        <w:rPr>
          <w:sz w:val="20"/>
          <w:szCs w:val="20"/>
          <w:color w:val="auto"/>
        </w:rPr>
      </w:pPr>
    </w:p>
    <w:p>
      <w:pPr>
        <w:ind w:right="100" w:firstLine="419"/>
        <w:spacing w:after="0" w:line="262" w:lineRule="auto"/>
        <w:tabs>
          <w:tab w:leader="none" w:pos="815" w:val="left"/>
        </w:tabs>
        <w:numPr>
          <w:ilvl w:val="0"/>
          <w:numId w:val="181"/>
        </w:numPr>
        <w:rPr>
          <w:rFonts w:ascii="Arial" w:cs="Arial" w:eastAsia="Arial" w:hAnsi="Arial"/>
          <w:sz w:val="17"/>
          <w:szCs w:val="17"/>
          <w:b w:val="1"/>
          <w:bCs w:val="1"/>
          <w:color w:val="auto"/>
        </w:rPr>
      </w:pPr>
      <w:r>
        <w:rPr>
          <w:rFonts w:ascii="Arial" w:cs="Arial" w:eastAsia="Arial" w:hAnsi="Arial"/>
          <w:sz w:val="17"/>
          <w:szCs w:val="17"/>
          <w:color w:val="auto"/>
        </w:rPr>
        <w:t>Unless the Company consents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shall be the sole and exclusive forum for (A) any derivative action or proceeding brought on behalf of the Company; (B) any action or proceeding asserting a claim of breach of a fiduciary duty owed by any current or former director, officer or other employee of the Company to the Company or the Company’s stockholders; (C) any action or proceeding asserting a claim against the Company or any current or former director or officer or other employee of the Company arising out of or pursuant to 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60"/>
          </w:cols>
          <w:pgMar w:left="620" w:top="271" w:right="619" w:bottom="1440" w:gutter="0" w:footer="0" w:header="0"/>
        </w:sectPr>
      </w:pPr>
    </w:p>
    <w:bookmarkStart w:id="310" w:name="page311"/>
    <w:bookmarkEnd w:id="310"/>
    <w:p>
      <w:pPr>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provision of the DGCL, this Amended and Restated Certificate of Incorporation or the Bylaws of the Company (as each may be amended from time to time); or (D) any action or proceeding to interpret, apply, enforce or determine the validity of this Amended and Restated Certificate of Incorporation or the Bylaws of the Company (including any right, obligation, or remedy thereunder); (E) any action or proceeding as to which the DGCL confers jurisdiction to the Court of Chancery of the State of Delaware; (F) any action asserting a claim against the Company or any director or officer or other employee of the Company governed by the internal affairs doctrine, in all cases to the fullest extent permitted by law and subject to the courts having personal jurisdiction over the indispensable parties named as defendants. This paragraph A of Article VII shall not apply to suits brought to enforce a duty or liability created by the Securities Exchange Act of 1934, as amended, or any other claim for which the federal courts have exclusive jurisdiction.</w:t>
      </w:r>
    </w:p>
    <w:p>
      <w:pPr>
        <w:spacing w:after="0" w:line="157" w:lineRule="exact"/>
        <w:rPr>
          <w:sz w:val="20"/>
          <w:szCs w:val="20"/>
          <w:color w:val="auto"/>
        </w:rPr>
      </w:pPr>
    </w:p>
    <w:p>
      <w:pPr>
        <w:ind w:right="180" w:firstLine="419"/>
        <w:spacing w:after="0" w:line="359" w:lineRule="auto"/>
        <w:tabs>
          <w:tab w:leader="none" w:pos="805" w:val="left"/>
        </w:tabs>
        <w:numPr>
          <w:ilvl w:val="0"/>
          <w:numId w:val="182"/>
        </w:numPr>
        <w:rPr>
          <w:rFonts w:ascii="Arial" w:cs="Arial" w:eastAsia="Arial" w:hAnsi="Arial"/>
          <w:sz w:val="15"/>
          <w:szCs w:val="15"/>
          <w:b w:val="1"/>
          <w:bCs w:val="1"/>
          <w:color w:val="auto"/>
        </w:rPr>
      </w:pPr>
      <w:r>
        <w:rPr>
          <w:rFonts w:ascii="Arial" w:cs="Arial" w:eastAsia="Arial" w:hAnsi="Arial"/>
          <w:sz w:val="15"/>
          <w:szCs w:val="15"/>
          <w:color w:val="auto"/>
        </w:rPr>
        <w:t>Unless the Company consents in writing to the selection of an alternative forum, the federal district courts of the United States of America shall be the exclusive forum for the resolution of any complaint asserting a cause of action arising under the Securities Act of 1933, as amended.</w:t>
      </w:r>
    </w:p>
    <w:p>
      <w:pPr>
        <w:spacing w:after="0" w:line="112" w:lineRule="exact"/>
        <w:rPr>
          <w:rFonts w:ascii="Arial" w:cs="Arial" w:eastAsia="Arial" w:hAnsi="Arial"/>
          <w:sz w:val="15"/>
          <w:szCs w:val="15"/>
          <w:b w:val="1"/>
          <w:bCs w:val="1"/>
          <w:color w:val="auto"/>
        </w:rPr>
      </w:pPr>
    </w:p>
    <w:p>
      <w:pPr>
        <w:ind w:right="100" w:firstLine="419"/>
        <w:spacing w:after="0" w:line="289" w:lineRule="auto"/>
        <w:tabs>
          <w:tab w:leader="none" w:pos="805" w:val="left"/>
        </w:tabs>
        <w:numPr>
          <w:ilvl w:val="0"/>
          <w:numId w:val="182"/>
        </w:numPr>
        <w:rPr>
          <w:rFonts w:ascii="Arial" w:cs="Arial" w:eastAsia="Arial" w:hAnsi="Arial"/>
          <w:sz w:val="17"/>
          <w:szCs w:val="17"/>
          <w:b w:val="1"/>
          <w:bCs w:val="1"/>
          <w:color w:val="auto"/>
        </w:rPr>
      </w:pPr>
      <w:r>
        <w:rPr>
          <w:rFonts w:ascii="Arial" w:cs="Arial" w:eastAsia="Arial" w:hAnsi="Arial"/>
          <w:sz w:val="17"/>
          <w:szCs w:val="17"/>
          <w:color w:val="auto"/>
        </w:rPr>
        <w:t>Any person or entity holding, owning or otherwise acquiring any interest in shares of capital stock of the Company shall be deemed to have notice of and to have consented to the provisions of this Amended and Restated Certificate of Incorporation.</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VIII.</w:t>
      </w:r>
    </w:p>
    <w:p>
      <w:pPr>
        <w:spacing w:after="0" w:line="125" w:lineRule="exact"/>
        <w:rPr>
          <w:sz w:val="20"/>
          <w:szCs w:val="20"/>
          <w:color w:val="auto"/>
        </w:rPr>
      </w:pPr>
    </w:p>
    <w:p>
      <w:pPr>
        <w:ind w:right="40" w:firstLine="419"/>
        <w:spacing w:after="0" w:line="273" w:lineRule="auto"/>
        <w:tabs>
          <w:tab w:leader="none" w:pos="768" w:val="left"/>
        </w:tabs>
        <w:numPr>
          <w:ilvl w:val="0"/>
          <w:numId w:val="183"/>
        </w:numPr>
        <w:rPr>
          <w:rFonts w:ascii="Arial" w:cs="Arial" w:eastAsia="Arial" w:hAnsi="Arial"/>
          <w:sz w:val="17"/>
          <w:szCs w:val="17"/>
          <w:b w:val="1"/>
          <w:bCs w:val="1"/>
          <w:color w:val="auto"/>
        </w:rPr>
      </w:pPr>
      <w:r>
        <w:rPr>
          <w:rFonts w:ascii="Arial" w:cs="Arial" w:eastAsia="Arial" w:hAnsi="Arial"/>
          <w:sz w:val="17"/>
          <w:szCs w:val="17"/>
          <w:color w:val="auto"/>
        </w:rPr>
        <w:t>The Company reserves the right to amend, alter, change or repeal any provision contained in this Amended and Restated Certificate of Incorporation, in the manner now or hereafter prescribed by statute, except as provided in paragraph B of this Article VIII, and all rights conferred upon the stockholders herein are granted subject to this reservation.</w:t>
      </w:r>
    </w:p>
    <w:p>
      <w:pPr>
        <w:spacing w:after="0" w:line="171" w:lineRule="exact"/>
        <w:rPr>
          <w:rFonts w:ascii="Arial" w:cs="Arial" w:eastAsia="Arial" w:hAnsi="Arial"/>
          <w:sz w:val="17"/>
          <w:szCs w:val="17"/>
          <w:b w:val="1"/>
          <w:bCs w:val="1"/>
          <w:color w:val="auto"/>
        </w:rPr>
      </w:pPr>
    </w:p>
    <w:p>
      <w:pPr>
        <w:ind w:right="40" w:firstLine="419"/>
        <w:spacing w:after="0" w:line="263" w:lineRule="auto"/>
        <w:tabs>
          <w:tab w:leader="none" w:pos="762" w:val="left"/>
        </w:tabs>
        <w:numPr>
          <w:ilvl w:val="0"/>
          <w:numId w:val="183"/>
        </w:numPr>
        <w:rPr>
          <w:rFonts w:ascii="Arial" w:cs="Arial" w:eastAsia="Arial" w:hAnsi="Arial"/>
          <w:sz w:val="17"/>
          <w:szCs w:val="17"/>
          <w:b w:val="1"/>
          <w:bCs w:val="1"/>
          <w:color w:val="auto"/>
        </w:rPr>
      </w:pPr>
      <w:r>
        <w:rPr>
          <w:rFonts w:ascii="Arial" w:cs="Arial" w:eastAsia="Arial" w:hAnsi="Arial"/>
          <w:sz w:val="17"/>
          <w:szCs w:val="17"/>
          <w:color w:val="auto"/>
        </w:rPr>
        <w:t>Notwithstanding any other provisions of this Amended and Restated Certificate of Incorporation or any provision of applicable law which might otherwise permit a lesser vote or no vote, but in addition to any affirmative vote of the holders of any particular class or series of the capital stock of the Company required by law or by this Amended and Restated Certificate of Incorporation or any certificate of designation filed with respect to a series of Preferred Stock, the affirmative vote of the holders of at least sixty-six and two-thirds percent (66 2/3%) of the voting power of all of the then outstanding shares of capital stock of the Company entitled to vote generally in the election of directors, voting together as a single class, shall be required to alter, amend or repeal Articles V, VI, VII and VIII.</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 * *</w:t>
      </w:r>
    </w:p>
    <w:p>
      <w:pPr>
        <w:spacing w:after="0" w:line="322"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FOUR</w:t>
      </w:r>
      <w:r>
        <w:rPr>
          <w:rFonts w:ascii="Arial" w:cs="Arial" w:eastAsia="Arial" w:hAnsi="Arial"/>
          <w:sz w:val="17"/>
          <w:szCs w:val="17"/>
          <w:color w:val="auto"/>
        </w:rPr>
        <w:t>: This Amended and Restated Certificate of Incorporation has been duly approved by the Board of Directors of the Company.</w:t>
      </w:r>
    </w:p>
    <w:p>
      <w:pPr>
        <w:spacing w:after="0" w:line="224" w:lineRule="exact"/>
        <w:rPr>
          <w:sz w:val="20"/>
          <w:szCs w:val="20"/>
          <w:color w:val="auto"/>
        </w:rPr>
      </w:pPr>
    </w:p>
    <w:p>
      <w:pPr>
        <w:ind w:right="60" w:firstLine="427"/>
        <w:spacing w:after="0" w:line="276" w:lineRule="auto"/>
        <w:rPr>
          <w:sz w:val="20"/>
          <w:szCs w:val="20"/>
          <w:color w:val="auto"/>
        </w:rPr>
      </w:pPr>
      <w:r>
        <w:rPr>
          <w:rFonts w:ascii="Arial" w:cs="Arial" w:eastAsia="Arial" w:hAnsi="Arial"/>
          <w:sz w:val="17"/>
          <w:szCs w:val="17"/>
          <w:b w:val="1"/>
          <w:bCs w:val="1"/>
          <w:color w:val="auto"/>
        </w:rPr>
        <w:t>FIVE</w:t>
      </w:r>
      <w:r>
        <w:rPr>
          <w:rFonts w:ascii="Arial" w:cs="Arial" w:eastAsia="Arial" w:hAnsi="Arial"/>
          <w:sz w:val="17"/>
          <w:szCs w:val="17"/>
          <w:color w:val="auto"/>
        </w:rPr>
        <w:t>: This Amended and Restated Certificate of Incorporation was approved by the holders of the requisite number of shares of the Company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Section 228 of the DGCL. This Amended and Restated Certificate of Incorporation has been duly adopted in accordance with the provisions of Sections 242 and 245 of the DGCL by the stockholders of the Company.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640"/>
          </w:cols>
          <w:pgMar w:left="620" w:top="271" w:right="639" w:bottom="1440" w:gutter="0" w:footer="0" w:header="0"/>
        </w:sectPr>
      </w:pPr>
    </w:p>
    <w:bookmarkStart w:id="311" w:name="page312"/>
    <w:bookmarkEnd w:id="311"/>
    <w:p>
      <w:pPr>
        <w:ind w:firstLine="427"/>
        <w:spacing w:after="0" w:line="296"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7"/>
          <w:szCs w:val="17"/>
          <w:color w:val="auto"/>
        </w:rPr>
        <w:t>, NGM Biopharmaceuticals, Inc. has caused this</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ERTIFICATE OF</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to be</w:t>
      </w:r>
      <w:r>
        <w:rPr>
          <w:rFonts w:ascii="Arial" w:cs="Arial" w:eastAsia="Arial" w:hAnsi="Arial"/>
          <w:sz w:val="17"/>
          <w:szCs w:val="17"/>
          <w:b w:val="1"/>
          <w:bCs w:val="1"/>
          <w:color w:val="auto"/>
        </w:rPr>
        <w:t xml:space="preserve"> </w:t>
      </w:r>
      <w:r>
        <w:rPr>
          <w:rFonts w:ascii="Arial" w:cs="Arial" w:eastAsia="Arial" w:hAnsi="Arial"/>
          <w:sz w:val="17"/>
          <w:szCs w:val="17"/>
          <w:color w:val="auto"/>
        </w:rPr>
        <w:t>signed by its Chief Executive Officer this [ ] day of [ ], 2018.</w:t>
      </w:r>
    </w:p>
    <w:p>
      <w:pPr>
        <w:spacing w:after="0" w:line="173"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COMPANY:</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p>
      <w:pPr>
        <w:spacing w:after="0" w:line="23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Name: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4392930</wp:posOffset>
            </wp:positionH>
            <wp:positionV relativeFrom="paragraph">
              <wp:posOffset>-123190</wp:posOffset>
            </wp:positionV>
            <wp:extent cx="238633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0">
                      <a:extLst>
                        <a:ext uri="{28A0092B-C50C-407E-A947-70E740481C1C}"/>
                      </a:extLst>
                    </a:blip>
                    <a:srcRect/>
                    <a:stretch>
                      <a:fillRect/>
                    </a:stretch>
                  </pic:blipFill>
                  <pic:spPr bwMode="auto">
                    <a:xfrm>
                      <a:off x="0" y="0"/>
                      <a:ext cx="2386330" cy="8255"/>
                    </a:xfrm>
                    <a:prstGeom prst="rect">
                      <a:avLst/>
                    </a:prstGeom>
                    <a:noFill/>
                  </pic:spPr>
                </pic:pic>
              </a:graphicData>
            </a:graphic>
          </wp:anchor>
        </w:drawing>
      </w:r>
    </w:p>
    <w:p>
      <w:pPr>
        <w:spacing w:after="0" w:line="7"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7"/>
          <w:szCs w:val="17"/>
          <w:color w:val="auto"/>
        </w:rPr>
        <w:t>Title:</w:t>
        <w:tab/>
        <w:t>Chief Executive Officer</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IGNATURE</w:t>
      </w:r>
      <w:r>
        <w:rPr>
          <w:rFonts w:ascii="Arial" w:cs="Arial" w:eastAsia="Arial" w:hAnsi="Arial"/>
          <w:sz w:val="17"/>
          <w:szCs w:val="17"/>
          <w:color w:val="auto"/>
        </w:rPr>
        <w:t xml:space="preserve"> P</w:t>
      </w:r>
      <w:r>
        <w:rPr>
          <w:rFonts w:ascii="Arial" w:cs="Arial" w:eastAsia="Arial" w:hAnsi="Arial"/>
          <w:sz w:val="14"/>
          <w:szCs w:val="14"/>
          <w:color w:val="auto"/>
        </w:rPr>
        <w:t>AGE TO</w:t>
      </w:r>
      <w:r>
        <w:rPr>
          <w:rFonts w:ascii="Arial" w:cs="Arial" w:eastAsia="Arial" w:hAnsi="Arial"/>
          <w:sz w:val="17"/>
          <w:szCs w:val="17"/>
          <w:color w:val="auto"/>
        </w:rPr>
        <w:t xml:space="preserve"> A</w:t>
      </w:r>
      <w:r>
        <w:rPr>
          <w:rFonts w:ascii="Arial" w:cs="Arial" w:eastAsia="Arial" w:hAnsi="Arial"/>
          <w:sz w:val="14"/>
          <w:szCs w:val="14"/>
          <w:color w:val="auto"/>
        </w:rPr>
        <w:t>MENDED AND</w:t>
      </w:r>
      <w:r>
        <w:rPr>
          <w:rFonts w:ascii="Arial" w:cs="Arial" w:eastAsia="Arial" w:hAnsi="Arial"/>
          <w:sz w:val="17"/>
          <w:szCs w:val="17"/>
          <w:color w:val="auto"/>
        </w:rPr>
        <w:t xml:space="preserve"> R</w:t>
      </w:r>
      <w:r>
        <w:rPr>
          <w:rFonts w:ascii="Arial" w:cs="Arial" w:eastAsia="Arial" w:hAnsi="Arial"/>
          <w:sz w:val="14"/>
          <w:szCs w:val="14"/>
          <w:color w:val="auto"/>
        </w:rPr>
        <w:t>ESTATED</w:t>
      </w:r>
      <w:r>
        <w:rPr>
          <w:rFonts w:ascii="Arial" w:cs="Arial" w:eastAsia="Arial" w:hAnsi="Arial"/>
          <w:sz w:val="17"/>
          <w:szCs w:val="17"/>
          <w:color w:val="auto"/>
        </w:rPr>
        <w:t xml:space="preserve"> C</w:t>
      </w:r>
      <w:r>
        <w:rPr>
          <w:rFonts w:ascii="Arial" w:cs="Arial" w:eastAsia="Arial" w:hAnsi="Arial"/>
          <w:sz w:val="14"/>
          <w:szCs w:val="14"/>
          <w:color w:val="auto"/>
        </w:rPr>
        <w:t>ERTIFICATE OF</w:t>
      </w:r>
      <w:r>
        <w:rPr>
          <w:rFonts w:ascii="Arial" w:cs="Arial" w:eastAsia="Arial" w:hAnsi="Arial"/>
          <w:sz w:val="17"/>
          <w:szCs w:val="17"/>
          <w:color w:val="auto"/>
        </w:rPr>
        <w:t xml:space="preserve"> I</w:t>
      </w:r>
      <w:r>
        <w:rPr>
          <w:rFonts w:ascii="Arial" w:cs="Arial" w:eastAsia="Arial" w:hAnsi="Arial"/>
          <w:sz w:val="14"/>
          <w:szCs w:val="14"/>
          <w:color w:val="auto"/>
        </w:rPr>
        <w:t>NCORPORATION</w:t>
      </w:r>
    </w:p>
    <w:p>
      <w:pPr>
        <w:sectPr>
          <w:pgSz w:w="11900" w:h="16838" w:orient="portrait"/>
          <w:cols w:equalWidth="0" w:num="1">
            <w:col w:w="10540"/>
          </w:cols>
          <w:pgMar w:left="620" w:top="265" w:right="739" w:bottom="1440" w:gutter="0" w:footer="0" w:header="0"/>
        </w:sectPr>
      </w:pPr>
    </w:p>
    <w:bookmarkStart w:id="312" w:name="page313"/>
    <w:bookmarkEnd w:id="312"/>
    <w:p>
      <w:pPr>
        <w:ind w:left="9400"/>
        <w:spacing w:after="0"/>
        <w:rPr>
          <w:sz w:val="20"/>
          <w:szCs w:val="20"/>
          <w:color w:val="auto"/>
        </w:rPr>
      </w:pPr>
      <w:r>
        <w:rPr>
          <w:rFonts w:ascii="Arial" w:cs="Arial" w:eastAsia="Arial" w:hAnsi="Arial"/>
          <w:sz w:val="16"/>
          <w:szCs w:val="16"/>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27940</wp:posOffset>
            </wp:positionV>
            <wp:extent cx="7312025" cy="48812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1">
                      <a:extLst>
                        <a:ext uri="{28A0092B-C50C-407E-A947-70E740481C1C}"/>
                      </a:extLst>
                    </a:blip>
                    <a:srcRect/>
                    <a:stretch>
                      <a:fillRect/>
                    </a:stretch>
                  </pic:blipFill>
                  <pic:spPr bwMode="auto">
                    <a:xfrm>
                      <a:off x="0" y="0"/>
                      <a:ext cx="7312025" cy="48812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13" w:name="page314"/>
    <w:bookmarkEnd w:id="3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7408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2">
                      <a:extLst>
                        <a:ext uri="{28A0092B-C50C-407E-A947-70E740481C1C}"/>
                      </a:extLst>
                    </a:blip>
                    <a:srcRect/>
                    <a:stretch>
                      <a:fillRect/>
                    </a:stretch>
                  </pic:blipFill>
                  <pic:spPr bwMode="auto">
                    <a:xfrm>
                      <a:off x="0" y="0"/>
                      <a:ext cx="7292975" cy="7408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4" w:name="page315"/>
    <w:bookmarkEnd w:id="314"/>
    <w:p>
      <w:pPr>
        <w:jc w:val="right"/>
        <w:spacing w:after="0"/>
        <w:rPr>
          <w:sz w:val="20"/>
          <w:szCs w:val="20"/>
          <w:color w:val="auto"/>
        </w:rPr>
      </w:pPr>
      <w:r>
        <w:rPr>
          <w:rFonts w:ascii="Arial" w:cs="Arial" w:eastAsia="Arial" w:hAnsi="Arial"/>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1189355" cy="42418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3">
                      <a:extLst>
                        <a:ext uri="{28A0092B-C50C-407E-A947-70E740481C1C}"/>
                      </a:extLst>
                    </a:blip>
                    <a:srcRect/>
                    <a:stretch>
                      <a:fillRect/>
                    </a:stretch>
                  </pic:blipFill>
                  <pic:spPr bwMode="auto">
                    <a:xfrm>
                      <a:off x="0" y="0"/>
                      <a:ext cx="1189355" cy="424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Michael E. Tenta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+1 650 843 5636</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mtenta@cooley.com</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March 25, 2019</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NGM Biopharmaceuticals,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333 Oyster Point Blvd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South San Francisco, CA 94080</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119"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We have acted as counsel to NGM Biopharmaceuticals,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the filing by the Company of a Registration Statement (No. 333-227608) on Form S-1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with the Securities and Exchange Commission, including a related prospectus filed with the Registration Statement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covering an underwritten public offering of up to 7,666,667 shares of the Company’s common stock, par value $0.0001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including up to 1,000,000 Shares that may be sold by the Company upon exercise of an over-allotment option to be granted to the underwriters.</w:t>
      </w:r>
    </w:p>
    <w:p>
      <w:pPr>
        <w:spacing w:after="0" w:line="178"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In connection with this opinion, we have (i) examined and relied upon (a) the Registration Statement and Prospectus, (b) the Company’s Amended and Restated Certificate of Incorporation and Amended and Restated Bylaws, each as amended and in effect as of the date hereof, (c) the forms of the Company’s Amended and Restated Certificate of Incorporation and Amended and Restated Bylaws, filed as Exhibits 3.2 and 3.4 to the Registration Statement, respectively, each of which is to be in effect immediately following the closing of the offering contemplated by the Registration Statement, and (d) originals or copies certified to our satisfaction of such records, documents, certificates, memoranda and other instruments as in our judgment are necessary or appropriate to enable us to render the opinion expressed below and (ii) assumed the Board of Directors of the Company or a duly authorized committee thereof has taken action to set the sale price of the Shares.</w:t>
      </w:r>
    </w:p>
    <w:p>
      <w:pPr>
        <w:spacing w:after="0" w:line="16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have assumed the genuineness and authenticity of all documents submitted to us as originals, and the conformity to originals of all documents submitted to us as copies and the due execution and delivery, other than by the Company, of all documents where due execution and delivery are a prerequisite to the effectiveness thereof. As to certain factual matters, we have relied upon a certificate of an officer of the Company and have not sought independently to verify such matters.</w:t>
      </w:r>
    </w:p>
    <w:p>
      <w:pPr>
        <w:spacing w:after="0" w:line="17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1" w:lineRule="exact"/>
        <w:rPr>
          <w:sz w:val="20"/>
          <w:szCs w:val="20"/>
          <w:color w:val="auto"/>
        </w:rPr>
      </w:pPr>
    </w:p>
    <w:p>
      <w:pPr>
        <w:ind w:right="720"/>
        <w:spacing w:after="0" w:line="289" w:lineRule="auto"/>
        <w:rPr>
          <w:sz w:val="20"/>
          <w:szCs w:val="20"/>
          <w:color w:val="auto"/>
        </w:rPr>
      </w:pPr>
      <w:r>
        <w:rPr>
          <w:rFonts w:ascii="Arial" w:cs="Arial" w:eastAsia="Arial" w:hAnsi="Arial"/>
          <w:sz w:val="17"/>
          <w:szCs w:val="17"/>
          <w:color w:val="auto"/>
        </w:rPr>
        <w:t>On the basis of the foregoing, and in reliance thereon, we are of the opinion that the Shares, when sold and issued against payment therefore as described in with the Registration Statement and the Prospectus, will be validly issued, fully paid and non-assessable.</w:t>
      </w:r>
    </w:p>
    <w:p>
      <w:pPr>
        <w:spacing w:after="0" w:line="158"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We consent to the reference to our firm under the caption “Legal Matters” in the Prospectus included in the Registration Statement and to the filing of this opinion as an exhibit to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tabs>
          <w:tab w:leader="none" w:pos="140" w:val="left"/>
          <w:tab w:leader="none" w:pos="160" w:val="left"/>
        </w:tabs>
        <w:rPr>
          <w:sz w:val="20"/>
          <w:szCs w:val="20"/>
          <w:color w:val="auto"/>
        </w:rPr>
      </w:pPr>
      <w:r>
        <w:rPr>
          <w:rFonts w:ascii="Arial" w:cs="Arial" w:eastAsia="Arial" w:hAnsi="Arial"/>
          <w:sz w:val="17"/>
          <w:szCs w:val="17"/>
          <w:color w:val="auto"/>
        </w:rPr>
        <w:t>Cooley LLP</w:t>
        <w:tab/>
        <w:t>3175 Hanover Street Palo Alto, CA</w:t>
      </w:r>
      <w:r>
        <w:rPr>
          <w:sz w:val="20"/>
          <w:szCs w:val="20"/>
          <w:color w:val="auto"/>
        </w:rPr>
        <w:tab/>
      </w:r>
      <w:r>
        <w:rPr>
          <w:rFonts w:ascii="Arial" w:cs="Arial" w:eastAsia="Arial" w:hAnsi="Arial"/>
          <w:sz w:val="15"/>
          <w:szCs w:val="15"/>
          <w:color w:val="auto"/>
        </w:rPr>
        <w:t>94304-1130</w:t>
      </w:r>
    </w:p>
    <w:p>
      <w:pPr>
        <w:spacing w:after="0" w:line="26" w:lineRule="exact"/>
        <w:rPr>
          <w:sz w:val="20"/>
          <w:szCs w:val="20"/>
          <w:color w:val="auto"/>
        </w:rPr>
      </w:pPr>
    </w:p>
    <w:p>
      <w:pPr>
        <w:jc w:val="center"/>
        <w:ind w:right="20"/>
        <w:spacing w:after="0"/>
        <w:tabs>
          <w:tab w:leader="none" w:pos="200" w:val="left"/>
          <w:tab w:leader="none" w:pos="140" w:val="left"/>
        </w:tabs>
        <w:rPr>
          <w:sz w:val="20"/>
          <w:szCs w:val="20"/>
          <w:color w:val="auto"/>
        </w:rPr>
      </w:pPr>
      <w:r>
        <w:rPr>
          <w:rFonts w:ascii="Arial" w:cs="Arial" w:eastAsia="Arial" w:hAnsi="Arial"/>
          <w:sz w:val="17"/>
          <w:szCs w:val="17"/>
          <w:color w:val="auto"/>
        </w:rPr>
        <w:t>t: (650) 843-5000</w:t>
        <w:tab/>
        <w:t>f: (650) 849-7400</w:t>
      </w:r>
      <w:r>
        <w:rPr>
          <w:sz w:val="20"/>
          <w:szCs w:val="20"/>
          <w:color w:val="auto"/>
        </w:rPr>
        <w:tab/>
      </w:r>
      <w:r>
        <w:rPr>
          <w:rFonts w:ascii="Arial" w:cs="Arial" w:eastAsia="Arial" w:hAnsi="Arial"/>
          <w:sz w:val="15"/>
          <w:szCs w:val="15"/>
          <w:color w:val="auto"/>
        </w:rPr>
        <w:t>cooley.com</w:t>
      </w:r>
    </w:p>
    <w:p>
      <w:pPr>
        <w:sectPr>
          <w:pgSz w:w="11900" w:h="16838" w:orient="portrait"/>
          <w:cols w:equalWidth="0" w:num="1">
            <w:col w:w="10680"/>
          </w:cols>
          <w:pgMar w:left="620" w:top="121" w:right="599" w:bottom="1440" w:gutter="0" w:footer="0" w:header="0"/>
        </w:sectPr>
      </w:pPr>
    </w:p>
    <w:bookmarkStart w:id="315" w:name="page316"/>
    <w:bookmarkEnd w:id="31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387985</wp:posOffset>
            </wp:positionH>
            <wp:positionV relativeFrom="page">
              <wp:posOffset>180340</wp:posOffset>
            </wp:positionV>
            <wp:extent cx="1189355" cy="42418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5">
                      <a:clrChange>
                        <a:clrFrom>
                          <a:srgbClr val="FFFFFF"/>
                        </a:clrFrom>
                        <a:clrTo>
                          <a:srgbClr val="FFFFFF">
                            <a:alpha val="0"/>
                          </a:srgbClr>
                        </a:clrTo>
                      </a:clrChange>
                      <a:extLst>
                        <a:ext uri="{28A0092B-C50C-407E-A947-70E740481C1C}"/>
                      </a:extLst>
                    </a:blip>
                    <a:srcRect/>
                    <a:stretch>
                      <a:fillRect/>
                    </a:stretch>
                  </pic:blipFill>
                  <pic:spPr bwMode="auto">
                    <a:xfrm>
                      <a:off x="0" y="0"/>
                      <a:ext cx="1189355" cy="424180"/>
                    </a:xfrm>
                    <a:prstGeom prst="rect">
                      <a:avLst/>
                    </a:prstGeom>
                    <a:noFill/>
                  </pic:spPr>
                </pic:pic>
              </a:graphicData>
            </a:graphic>
          </wp:anchor>
        </w:drawing>
        <w:t>NGM Biopharmaceuticals,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March 25, 2019</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Page Two</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Cooley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By: /s/ Michael E. Tenta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16510</wp:posOffset>
            </wp:positionV>
            <wp:extent cx="25196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6">
                      <a:extLst>
                        <a:ext uri="{28A0092B-C50C-407E-A947-70E740481C1C}"/>
                      </a:extLst>
                    </a:blip>
                    <a:srcRect/>
                    <a:stretch>
                      <a:fillRect/>
                    </a:stretch>
                  </pic:blipFill>
                  <pic:spPr bwMode="auto">
                    <a:xfrm>
                      <a:off x="0" y="0"/>
                      <a:ext cx="251968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Michael E. Tenta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820"/>
        <w:spacing w:after="0"/>
        <w:tabs>
          <w:tab w:leader="none" w:pos="140" w:val="left"/>
          <w:tab w:leader="none" w:pos="160" w:val="left"/>
        </w:tabs>
        <w:rPr>
          <w:sz w:val="20"/>
          <w:szCs w:val="20"/>
          <w:color w:val="auto"/>
        </w:rPr>
      </w:pPr>
      <w:r>
        <w:rPr>
          <w:rFonts w:ascii="Arial" w:cs="Arial" w:eastAsia="Arial" w:hAnsi="Arial"/>
          <w:sz w:val="17"/>
          <w:szCs w:val="17"/>
          <w:color w:val="auto"/>
        </w:rPr>
        <w:t>Cooley LLP</w:t>
        <w:tab/>
        <w:t>3175 Hanover Street Palo Alto, CA</w:t>
      </w:r>
      <w:r>
        <w:rPr>
          <w:sz w:val="20"/>
          <w:szCs w:val="20"/>
          <w:color w:val="auto"/>
        </w:rPr>
        <w:tab/>
      </w:r>
      <w:r>
        <w:rPr>
          <w:rFonts w:ascii="Arial" w:cs="Arial" w:eastAsia="Arial" w:hAnsi="Arial"/>
          <w:sz w:val="15"/>
          <w:szCs w:val="15"/>
          <w:color w:val="auto"/>
        </w:rPr>
        <w:t>94304-1130</w:t>
      </w:r>
    </w:p>
    <w:p>
      <w:pPr>
        <w:spacing w:after="0" w:line="26" w:lineRule="exact"/>
        <w:rPr>
          <w:sz w:val="20"/>
          <w:szCs w:val="20"/>
          <w:color w:val="auto"/>
        </w:rPr>
      </w:pPr>
    </w:p>
    <w:p>
      <w:pPr>
        <w:jc w:val="center"/>
        <w:ind w:right="-820"/>
        <w:spacing w:after="0"/>
        <w:tabs>
          <w:tab w:leader="none" w:pos="160" w:val="left"/>
          <w:tab w:leader="none" w:pos="140" w:val="left"/>
        </w:tabs>
        <w:rPr>
          <w:sz w:val="20"/>
          <w:szCs w:val="20"/>
          <w:color w:val="auto"/>
        </w:rPr>
      </w:pPr>
      <w:r>
        <w:rPr>
          <w:rFonts w:ascii="Arial" w:cs="Arial" w:eastAsia="Arial" w:hAnsi="Arial"/>
          <w:sz w:val="17"/>
          <w:szCs w:val="17"/>
          <w:color w:val="auto"/>
        </w:rPr>
        <w:t>t: (650) 843-5000</w:t>
        <w:tab/>
        <w:t>f: (650) 849-7400</w:t>
      </w:r>
      <w:r>
        <w:rPr>
          <w:sz w:val="20"/>
          <w:szCs w:val="20"/>
          <w:color w:val="auto"/>
        </w:rPr>
        <w:tab/>
      </w:r>
      <w:r>
        <w:rPr>
          <w:rFonts w:ascii="Arial" w:cs="Arial" w:eastAsia="Arial" w:hAnsi="Arial"/>
          <w:sz w:val="15"/>
          <w:szCs w:val="15"/>
          <w:color w:val="auto"/>
        </w:rPr>
        <w:t>cooley.com</w:t>
      </w:r>
    </w:p>
    <w:p>
      <w:pPr>
        <w:sectPr>
          <w:pgSz w:w="11900" w:h="16838" w:orient="portrait"/>
          <w:cols w:equalWidth="0" w:num="1">
            <w:col w:w="9839"/>
          </w:cols>
          <w:pgMar w:left="620" w:top="1148" w:right="1440" w:bottom="1440" w:gutter="0" w:footer="0" w:header="0"/>
        </w:sectPr>
      </w:pPr>
    </w:p>
    <w:bookmarkStart w:id="316" w:name="page317"/>
    <w:bookmarkEnd w:id="316"/>
    <w:p>
      <w:pPr>
        <w:jc w:val="right"/>
        <w:spacing w:after="0"/>
        <w:rPr>
          <w:sz w:val="20"/>
          <w:szCs w:val="20"/>
          <w:color w:val="auto"/>
        </w:rPr>
      </w:pPr>
      <w:r>
        <w:rPr>
          <w:rFonts w:ascii="Arial" w:cs="Arial" w:eastAsia="Arial" w:hAnsi="Arial"/>
          <w:sz w:val="17"/>
          <w:szCs w:val="17"/>
          <w:b w:val="1"/>
          <w:bCs w:val="1"/>
          <w:color w:val="auto"/>
        </w:rPr>
        <w:t>Exhibit 10.3</w:t>
      </w:r>
    </w:p>
    <w:p>
      <w:pPr>
        <w:spacing w:after="0" w:line="200" w:lineRule="exact"/>
        <w:rPr>
          <w:sz w:val="20"/>
          <w:szCs w:val="20"/>
          <w:color w:val="auto"/>
        </w:rPr>
      </w:pPr>
    </w:p>
    <w:p>
      <w:pPr>
        <w:spacing w:after="0" w:line="233" w:lineRule="exact"/>
        <w:rPr>
          <w:sz w:val="20"/>
          <w:szCs w:val="20"/>
          <w:color w:val="auto"/>
        </w:rPr>
      </w:pPr>
    </w:p>
    <w:p>
      <w:pPr>
        <w:jc w:val="center"/>
        <w:ind w:right="-8"/>
        <w:spacing w:after="0"/>
        <w:rPr>
          <w:sz w:val="20"/>
          <w:szCs w:val="20"/>
          <w:color w:val="auto"/>
        </w:rPr>
      </w:pPr>
      <w:r>
        <w:rPr>
          <w:rFonts w:ascii="Arial" w:cs="Arial" w:eastAsia="Arial" w:hAnsi="Arial"/>
          <w:sz w:val="17"/>
          <w:szCs w:val="17"/>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p>
      <w:pPr>
        <w:spacing w:after="0" w:line="224" w:lineRule="exact"/>
        <w:rPr>
          <w:sz w:val="20"/>
          <w:szCs w:val="20"/>
          <w:color w:val="auto"/>
        </w:rPr>
      </w:pPr>
    </w:p>
    <w:p>
      <w:pPr>
        <w:jc w:val="center"/>
        <w:ind w:right="-8"/>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7"/>
          <w:szCs w:val="17"/>
          <w:b w:val="1"/>
          <w:bCs w:val="1"/>
          <w:color w:val="auto"/>
        </w:rPr>
        <w:t xml:space="preserve"> 2018 E</w:t>
      </w:r>
      <w:r>
        <w:rPr>
          <w:rFonts w:ascii="Arial" w:cs="Arial" w:eastAsia="Arial" w:hAnsi="Arial"/>
          <w:sz w:val="14"/>
          <w:szCs w:val="14"/>
          <w:b w:val="1"/>
          <w:bCs w:val="1"/>
          <w:color w:val="auto"/>
        </w:rPr>
        <w:t>QUITY</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p>
    <w:p>
      <w:pPr>
        <w:spacing w:after="0" w:line="230"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(as of March 22, 2019)</w:t>
      </w:r>
    </w:p>
    <w:p>
      <w:pPr>
        <w:spacing w:after="0" w:line="362" w:lineRule="exact"/>
        <w:rPr>
          <w:sz w:val="20"/>
          <w:szCs w:val="20"/>
          <w:color w:val="auto"/>
        </w:rPr>
      </w:pPr>
    </w:p>
    <w:p>
      <w:pPr>
        <w:ind w:left="429" w:hanging="429"/>
        <w:spacing w:after="0"/>
        <w:tabs>
          <w:tab w:leader="none" w:pos="429" w:val="left"/>
        </w:tabs>
        <w:numPr>
          <w:ilvl w:val="0"/>
          <w:numId w:val="184"/>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4"/>
          <w:szCs w:val="14"/>
          <w:b w:val="1"/>
          <w:bCs w:val="1"/>
          <w:color w:val="auto"/>
        </w:rPr>
        <w:t>ENERAL</w:t>
      </w:r>
      <w:r>
        <w:rPr>
          <w:rFonts w:ascii="Arial" w:cs="Arial" w:eastAsia="Arial" w:hAnsi="Arial"/>
          <w:sz w:val="17"/>
          <w:szCs w:val="17"/>
          <w:b w:val="1"/>
          <w:bCs w:val="1"/>
          <w:color w:val="auto"/>
        </w:rPr>
        <w:t>.</w:t>
      </w:r>
    </w:p>
    <w:p>
      <w:pPr>
        <w:spacing w:after="0" w:line="118" w:lineRule="exact"/>
        <w:rPr>
          <w:rFonts w:ascii="Arial" w:cs="Arial" w:eastAsia="Arial" w:hAnsi="Arial"/>
          <w:sz w:val="17"/>
          <w:szCs w:val="17"/>
          <w:b w:val="1"/>
          <w:bCs w:val="1"/>
          <w:color w:val="auto"/>
        </w:rPr>
      </w:pPr>
    </w:p>
    <w:p>
      <w:pPr>
        <w:ind w:left="669" w:hanging="241"/>
        <w:spacing w:after="0"/>
        <w:tabs>
          <w:tab w:leader="none" w:pos="669" w:val="left"/>
        </w:tabs>
        <w:numPr>
          <w:ilvl w:val="1"/>
          <w:numId w:val="184"/>
        </w:numPr>
        <w:rPr>
          <w:rFonts w:ascii="Arial" w:cs="Arial" w:eastAsia="Arial" w:hAnsi="Arial"/>
          <w:sz w:val="17"/>
          <w:szCs w:val="17"/>
          <w:b w:val="1"/>
          <w:bCs w:val="1"/>
          <w:color w:val="auto"/>
        </w:rPr>
      </w:pPr>
      <w:r>
        <w:rPr>
          <w:rFonts w:ascii="Arial" w:cs="Arial" w:eastAsia="Arial" w:hAnsi="Arial"/>
          <w:sz w:val="17"/>
          <w:szCs w:val="17"/>
          <w:b w:val="1"/>
          <w:bCs w:val="1"/>
          <w:color w:val="auto"/>
        </w:rPr>
        <w:t>Plan History</w:t>
      </w:r>
      <w:r>
        <w:rPr>
          <w:rFonts w:ascii="Arial" w:cs="Arial" w:eastAsia="Arial" w:hAnsi="Arial"/>
          <w:sz w:val="17"/>
          <w:szCs w:val="17"/>
          <w:color w:val="auto"/>
        </w:rPr>
        <w:t>.</w:t>
      </w:r>
    </w:p>
    <w:p>
      <w:pPr>
        <w:spacing w:after="0" w:line="124" w:lineRule="exact"/>
        <w:rPr>
          <w:rFonts w:ascii="Arial" w:cs="Arial" w:eastAsia="Arial" w:hAnsi="Arial"/>
          <w:sz w:val="17"/>
          <w:szCs w:val="17"/>
          <w:b w:val="1"/>
          <w:bCs w:val="1"/>
          <w:color w:val="auto"/>
        </w:rPr>
      </w:pPr>
    </w:p>
    <w:p>
      <w:pPr>
        <w:ind w:left="9" w:right="80" w:firstLine="846"/>
        <w:spacing w:after="0" w:line="273" w:lineRule="auto"/>
        <w:tabs>
          <w:tab w:leader="none" w:pos="1072" w:val="left"/>
        </w:tabs>
        <w:numPr>
          <w:ilvl w:val="2"/>
          <w:numId w:val="184"/>
        </w:numPr>
        <w:rPr>
          <w:rFonts w:ascii="Arial" w:cs="Arial" w:eastAsia="Arial" w:hAnsi="Arial"/>
          <w:sz w:val="17"/>
          <w:szCs w:val="17"/>
          <w:b w:val="1"/>
          <w:bCs w:val="1"/>
          <w:color w:val="auto"/>
        </w:rPr>
      </w:pPr>
      <w:r>
        <w:rPr>
          <w:rFonts w:ascii="Arial" w:cs="Arial" w:eastAsia="Arial" w:hAnsi="Arial"/>
          <w:sz w:val="17"/>
          <w:szCs w:val="17"/>
          <w:color w:val="auto"/>
        </w:rPr>
        <w:t>The Plan is the successor to and continuation of the NGM Biopharmaceuticals, Inc. 2008 Equity Incentive Plan, as amended, which expired on January 17, 2018 (the “</w:t>
      </w:r>
      <w:r>
        <w:rPr>
          <w:rFonts w:ascii="Arial" w:cs="Arial" w:eastAsia="Arial" w:hAnsi="Arial"/>
          <w:sz w:val="17"/>
          <w:szCs w:val="17"/>
          <w:b w:val="1"/>
          <w:bCs w:val="1"/>
          <w:i w:val="1"/>
          <w:iCs w:val="1"/>
          <w:color w:val="auto"/>
        </w:rPr>
        <w:t>Prior Plan</w:t>
      </w:r>
      <w:r>
        <w:rPr>
          <w:rFonts w:ascii="Arial" w:cs="Arial" w:eastAsia="Arial" w:hAnsi="Arial"/>
          <w:sz w:val="17"/>
          <w:szCs w:val="17"/>
          <w:color w:val="auto"/>
        </w:rPr>
        <w:t>”). All Awards granted on or after 12:01 a.m. Pacific Time on January 17, 2018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will be granted under this Plan. All awards granted under the Prior Plan remain subject to the terms of the Prior Plan.</w:t>
      </w:r>
    </w:p>
    <w:p>
      <w:pPr>
        <w:spacing w:after="0" w:line="66" w:lineRule="exact"/>
        <w:rPr>
          <w:rFonts w:ascii="Arial" w:cs="Arial" w:eastAsia="Arial" w:hAnsi="Arial"/>
          <w:sz w:val="17"/>
          <w:szCs w:val="17"/>
          <w:b w:val="1"/>
          <w:bCs w:val="1"/>
          <w:color w:val="auto"/>
        </w:rPr>
      </w:pPr>
    </w:p>
    <w:p>
      <w:pPr>
        <w:ind w:left="9" w:right="820" w:firstLine="846"/>
        <w:spacing w:after="0" w:line="289" w:lineRule="auto"/>
        <w:tabs>
          <w:tab w:leader="none" w:pos="1120" w:val="left"/>
        </w:tabs>
        <w:numPr>
          <w:ilvl w:val="2"/>
          <w:numId w:val="184"/>
        </w:numPr>
        <w:rPr>
          <w:rFonts w:ascii="Arial" w:cs="Arial" w:eastAsia="Arial" w:hAnsi="Arial"/>
          <w:sz w:val="17"/>
          <w:szCs w:val="17"/>
          <w:b w:val="1"/>
          <w:bCs w:val="1"/>
          <w:color w:val="auto"/>
        </w:rPr>
      </w:pPr>
      <w:r>
        <w:rPr>
          <w:rFonts w:ascii="Arial" w:cs="Arial" w:eastAsia="Arial" w:hAnsi="Arial"/>
          <w:sz w:val="17"/>
          <w:szCs w:val="17"/>
          <w:color w:val="auto"/>
        </w:rPr>
        <w:t>The Plan was amended and restated by the Board on March 22, 2019 and approved by the stockholders on March 22, 2019 to incorporate certain provisions in connection with the Company’s initial public offering (the “</w:t>
      </w:r>
      <w:r>
        <w:rPr>
          <w:rFonts w:ascii="Arial" w:cs="Arial" w:eastAsia="Arial" w:hAnsi="Arial"/>
          <w:sz w:val="17"/>
          <w:szCs w:val="17"/>
          <w:b w:val="1"/>
          <w:bCs w:val="1"/>
          <w:i w:val="1"/>
          <w:iCs w:val="1"/>
          <w:color w:val="auto"/>
        </w:rPr>
        <w:t>Restatement</w:t>
      </w:r>
      <w:r>
        <w:rPr>
          <w:rFonts w:ascii="Arial" w:cs="Arial" w:eastAsia="Arial" w:hAnsi="Arial"/>
          <w:sz w:val="17"/>
          <w:szCs w:val="17"/>
          <w:color w:val="auto"/>
        </w:rPr>
        <w:t>”).</w:t>
      </w:r>
    </w:p>
    <w:p>
      <w:pPr>
        <w:spacing w:after="0" w:line="47" w:lineRule="exact"/>
        <w:rPr>
          <w:rFonts w:ascii="Arial" w:cs="Arial" w:eastAsia="Arial" w:hAnsi="Arial"/>
          <w:sz w:val="17"/>
          <w:szCs w:val="17"/>
          <w:b w:val="1"/>
          <w:bCs w:val="1"/>
          <w:color w:val="auto"/>
        </w:rPr>
      </w:pPr>
    </w:p>
    <w:p>
      <w:pPr>
        <w:ind w:left="9" w:right="460" w:firstLine="419"/>
        <w:spacing w:after="0" w:line="276" w:lineRule="auto"/>
        <w:tabs>
          <w:tab w:leader="none" w:pos="693" w:val="left"/>
        </w:tabs>
        <w:numPr>
          <w:ilvl w:val="1"/>
          <w:numId w:val="18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Purpose. </w:t>
      </w:r>
      <w:r>
        <w:rPr>
          <w:rFonts w:ascii="Arial" w:cs="Arial" w:eastAsia="Arial" w:hAnsi="Arial"/>
          <w:sz w:val="17"/>
          <w:szCs w:val="17"/>
          <w:color w:val="auto"/>
        </w:rPr>
        <w:t>The Plan, through the granting of Awards, is intended to help the Company secure and retain the services of eligible award</w:t>
      </w:r>
      <w:r>
        <w:rPr>
          <w:rFonts w:ascii="Arial" w:cs="Arial" w:eastAsia="Arial" w:hAnsi="Arial"/>
          <w:sz w:val="17"/>
          <w:szCs w:val="17"/>
          <w:b w:val="1"/>
          <w:bCs w:val="1"/>
          <w:color w:val="auto"/>
        </w:rPr>
        <w:t xml:space="preserve"> </w:t>
      </w:r>
      <w:r>
        <w:rPr>
          <w:rFonts w:ascii="Arial" w:cs="Arial" w:eastAsia="Arial" w:hAnsi="Arial"/>
          <w:sz w:val="17"/>
          <w:szCs w:val="17"/>
          <w:color w:val="auto"/>
        </w:rPr>
        <w:t>recipients, provide incentives for such persons to exert maximum efforts for the success of the Company and any Affiliate and provide a means by which the eligible recipients may benefit from increases in value of the Common Stock.</w:t>
      </w:r>
    </w:p>
    <w:p>
      <w:pPr>
        <w:spacing w:after="0" w:line="58" w:lineRule="exact"/>
        <w:rPr>
          <w:rFonts w:ascii="Arial" w:cs="Arial" w:eastAsia="Arial" w:hAnsi="Arial"/>
          <w:sz w:val="17"/>
          <w:szCs w:val="17"/>
          <w:b w:val="1"/>
          <w:bCs w:val="1"/>
          <w:color w:val="auto"/>
        </w:rPr>
      </w:pPr>
    </w:p>
    <w:p>
      <w:pPr>
        <w:ind w:left="669" w:hanging="241"/>
        <w:spacing w:after="0"/>
        <w:tabs>
          <w:tab w:leader="none" w:pos="669" w:val="left"/>
        </w:tabs>
        <w:numPr>
          <w:ilvl w:val="1"/>
          <w:numId w:val="18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Eligible Award Recipients. </w:t>
      </w:r>
      <w:r>
        <w:rPr>
          <w:rFonts w:ascii="Arial" w:cs="Arial" w:eastAsia="Arial" w:hAnsi="Arial"/>
          <w:sz w:val="17"/>
          <w:szCs w:val="17"/>
          <w:color w:val="auto"/>
        </w:rPr>
        <w:t>Employees, Directors and Consultants are eligible to receive Awards.</w:t>
      </w:r>
    </w:p>
    <w:p>
      <w:pPr>
        <w:spacing w:after="0" w:line="118" w:lineRule="exact"/>
        <w:rPr>
          <w:rFonts w:ascii="Arial" w:cs="Arial" w:eastAsia="Arial" w:hAnsi="Arial"/>
          <w:sz w:val="17"/>
          <w:szCs w:val="17"/>
          <w:b w:val="1"/>
          <w:bCs w:val="1"/>
          <w:color w:val="auto"/>
        </w:rPr>
      </w:pPr>
    </w:p>
    <w:p>
      <w:pPr>
        <w:ind w:left="9" w:right="20" w:firstLine="419"/>
        <w:spacing w:after="0" w:line="276" w:lineRule="auto"/>
        <w:tabs>
          <w:tab w:leader="none" w:pos="693" w:val="left"/>
        </w:tabs>
        <w:numPr>
          <w:ilvl w:val="1"/>
          <w:numId w:val="18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Available Awards. </w:t>
      </w:r>
      <w:r>
        <w:rPr>
          <w:rFonts w:ascii="Arial" w:cs="Arial" w:eastAsia="Arial" w:hAnsi="Arial"/>
          <w:sz w:val="17"/>
          <w:szCs w:val="17"/>
          <w:color w:val="auto"/>
        </w:rPr>
        <w:t>The Plan provides for the grant of the following types of Awards: (i) Incentive Stock Options, (ii) Nonstatutory Stock</w:t>
      </w:r>
      <w:r>
        <w:rPr>
          <w:rFonts w:ascii="Arial" w:cs="Arial" w:eastAsia="Arial" w:hAnsi="Arial"/>
          <w:sz w:val="17"/>
          <w:szCs w:val="17"/>
          <w:b w:val="1"/>
          <w:bCs w:val="1"/>
          <w:color w:val="auto"/>
        </w:rPr>
        <w:t xml:space="preserve"> </w:t>
      </w:r>
      <w:r>
        <w:rPr>
          <w:rFonts w:ascii="Arial" w:cs="Arial" w:eastAsia="Arial" w:hAnsi="Arial"/>
          <w:sz w:val="17"/>
          <w:szCs w:val="17"/>
          <w:color w:val="auto"/>
        </w:rPr>
        <w:t>Options, (iii) Stock Appreciation Rights, (iv) Restricted Stock Awards, (v) Restricted Stock Unit Awards, (vi) Performance Awards, and (vi) Other Stock Awards.</w:t>
      </w:r>
    </w:p>
    <w:p>
      <w:pPr>
        <w:spacing w:after="0" w:line="307" w:lineRule="exact"/>
        <w:rPr>
          <w:rFonts w:ascii="Arial" w:cs="Arial" w:eastAsia="Arial" w:hAnsi="Arial"/>
          <w:sz w:val="17"/>
          <w:szCs w:val="17"/>
          <w:b w:val="1"/>
          <w:bCs w:val="1"/>
          <w:color w:val="auto"/>
        </w:rPr>
      </w:pPr>
    </w:p>
    <w:p>
      <w:pPr>
        <w:ind w:left="429" w:hanging="429"/>
        <w:spacing w:after="0"/>
        <w:tabs>
          <w:tab w:leader="none" w:pos="429" w:val="left"/>
        </w:tabs>
        <w:numPr>
          <w:ilvl w:val="0"/>
          <w:numId w:val="184"/>
        </w:numPr>
        <w:rPr>
          <w:rFonts w:ascii="Arial" w:cs="Arial" w:eastAsia="Arial" w:hAnsi="Arial"/>
          <w:sz w:val="17"/>
          <w:szCs w:val="17"/>
          <w:b w:val="1"/>
          <w:bCs w:val="1"/>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DMINISTRATION</w:t>
      </w:r>
      <w:r>
        <w:rPr>
          <w:rFonts w:ascii="Arial" w:cs="Arial" w:eastAsia="Arial" w:hAnsi="Arial"/>
          <w:sz w:val="17"/>
          <w:szCs w:val="17"/>
          <w:b w:val="1"/>
          <w:bCs w:val="1"/>
          <w:color w:val="auto"/>
        </w:rPr>
        <w:t>.</w:t>
      </w:r>
    </w:p>
    <w:p>
      <w:pPr>
        <w:spacing w:after="0" w:line="118" w:lineRule="exact"/>
        <w:rPr>
          <w:rFonts w:ascii="Arial" w:cs="Arial" w:eastAsia="Arial" w:hAnsi="Arial"/>
          <w:sz w:val="17"/>
          <w:szCs w:val="17"/>
          <w:b w:val="1"/>
          <w:bCs w:val="1"/>
          <w:color w:val="auto"/>
        </w:rPr>
      </w:pPr>
    </w:p>
    <w:p>
      <w:pPr>
        <w:ind w:left="9" w:right="640" w:firstLine="419"/>
        <w:spacing w:after="0" w:line="296" w:lineRule="auto"/>
        <w:tabs>
          <w:tab w:leader="none" w:pos="683" w:val="left"/>
        </w:tabs>
        <w:numPr>
          <w:ilvl w:val="1"/>
          <w:numId w:val="18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Administration by Board. </w:t>
      </w:r>
      <w:r>
        <w:rPr>
          <w:rFonts w:ascii="Arial" w:cs="Arial" w:eastAsia="Arial" w:hAnsi="Arial"/>
          <w:sz w:val="17"/>
          <w:szCs w:val="17"/>
          <w:color w:val="auto"/>
        </w:rPr>
        <w:t>The Board will administer the Plan. The Board may delegate administration of the Plan to a Committee or</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Committees, as provided in Section 2(c).</w:t>
      </w:r>
    </w:p>
    <w:p>
      <w:pPr>
        <w:spacing w:after="0" w:line="41" w:lineRule="exact"/>
        <w:rPr>
          <w:rFonts w:ascii="Arial" w:cs="Arial" w:eastAsia="Arial" w:hAnsi="Arial"/>
          <w:sz w:val="17"/>
          <w:szCs w:val="17"/>
          <w:b w:val="1"/>
          <w:bCs w:val="1"/>
          <w:color w:val="auto"/>
        </w:rPr>
      </w:pPr>
    </w:p>
    <w:p>
      <w:pPr>
        <w:ind w:left="689" w:hanging="261"/>
        <w:spacing w:after="0"/>
        <w:tabs>
          <w:tab w:leader="none" w:pos="689" w:val="left"/>
        </w:tabs>
        <w:numPr>
          <w:ilvl w:val="1"/>
          <w:numId w:val="18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Powers of Board. </w:t>
      </w:r>
      <w:r>
        <w:rPr>
          <w:rFonts w:ascii="Arial" w:cs="Arial" w:eastAsia="Arial" w:hAnsi="Arial"/>
          <w:sz w:val="17"/>
          <w:szCs w:val="17"/>
          <w:color w:val="auto"/>
        </w:rPr>
        <w:t>The Board will have the power, subject to, and within the limitations of, the express provisions of the Plan:</w:t>
      </w:r>
    </w:p>
    <w:p>
      <w:pPr>
        <w:spacing w:after="0" w:line="124" w:lineRule="exact"/>
        <w:rPr>
          <w:rFonts w:ascii="Arial" w:cs="Arial" w:eastAsia="Arial" w:hAnsi="Arial"/>
          <w:sz w:val="17"/>
          <w:szCs w:val="17"/>
          <w:b w:val="1"/>
          <w:bCs w:val="1"/>
          <w:color w:val="auto"/>
        </w:rPr>
      </w:pPr>
    </w:p>
    <w:p>
      <w:pPr>
        <w:ind w:left="1069" w:hanging="214"/>
        <w:spacing w:after="0"/>
        <w:tabs>
          <w:tab w:leader="none" w:pos="1069" w:val="left"/>
        </w:tabs>
        <w:numPr>
          <w:ilvl w:val="2"/>
          <w:numId w:val="184"/>
        </w:numPr>
        <w:rPr>
          <w:rFonts w:ascii="Arial" w:cs="Arial" w:eastAsia="Arial" w:hAnsi="Arial"/>
          <w:sz w:val="16"/>
          <w:szCs w:val="16"/>
          <w:b w:val="1"/>
          <w:bCs w:val="1"/>
          <w:color w:val="auto"/>
        </w:rPr>
      </w:pPr>
      <w:r>
        <w:rPr>
          <w:rFonts w:ascii="Arial" w:cs="Arial" w:eastAsia="Arial" w:hAnsi="Arial"/>
          <w:sz w:val="16"/>
          <w:szCs w:val="16"/>
          <w:color w:val="auto"/>
        </w:rPr>
        <w:t>To determine (A) who will be granted Awards; (B) when and how each Award will be granted; (C) what type of Award will be granted;</w:t>
      </w:r>
    </w:p>
    <w:p>
      <w:pPr>
        <w:spacing w:after="0" w:line="37" w:lineRule="exact"/>
        <w:rPr>
          <w:rFonts w:ascii="Arial" w:cs="Arial" w:eastAsia="Arial" w:hAnsi="Arial"/>
          <w:sz w:val="16"/>
          <w:szCs w:val="16"/>
          <w:b w:val="1"/>
          <w:bCs w:val="1"/>
          <w:color w:val="auto"/>
        </w:rPr>
      </w:pPr>
    </w:p>
    <w:p>
      <w:pPr>
        <w:ind w:left="9" w:right="460"/>
        <w:spacing w:after="0" w:line="265" w:lineRule="auto"/>
        <w:rPr>
          <w:rFonts w:ascii="Arial" w:cs="Arial" w:eastAsia="Arial" w:hAnsi="Arial"/>
          <w:sz w:val="16"/>
          <w:szCs w:val="16"/>
          <w:b w:val="1"/>
          <w:bCs w:val="1"/>
          <w:color w:val="auto"/>
        </w:rPr>
      </w:pPr>
      <w:r>
        <w:rPr>
          <w:rFonts w:ascii="Arial" w:cs="Arial" w:eastAsia="Arial" w:hAnsi="Arial"/>
          <w:sz w:val="17"/>
          <w:szCs w:val="17"/>
          <w:color w:val="auto"/>
        </w:rPr>
        <w:t>(D) the provisions of each Award (which need not be identical), including when a person will be permitted to exercise or otherwise receive cash or Common Stock under the Award; (E) the number of shares of Common Stock subject to an Award; and (F) the Fair Market Value applicable to an Award.</w:t>
      </w:r>
    </w:p>
    <w:p>
      <w:pPr>
        <w:spacing w:after="0" w:line="73" w:lineRule="exact"/>
        <w:rPr>
          <w:rFonts w:ascii="Arial" w:cs="Arial" w:eastAsia="Arial" w:hAnsi="Arial"/>
          <w:sz w:val="16"/>
          <w:szCs w:val="16"/>
          <w:b w:val="1"/>
          <w:bCs w:val="1"/>
          <w:color w:val="auto"/>
        </w:rPr>
      </w:pPr>
    </w:p>
    <w:p>
      <w:pPr>
        <w:ind w:left="9" w:right="220" w:firstLine="846"/>
        <w:spacing w:after="0" w:line="297" w:lineRule="auto"/>
        <w:tabs>
          <w:tab w:leader="none" w:pos="1120" w:val="left"/>
        </w:tabs>
        <w:numPr>
          <w:ilvl w:val="2"/>
          <w:numId w:val="184"/>
        </w:numPr>
        <w:rPr>
          <w:rFonts w:ascii="Arial" w:cs="Arial" w:eastAsia="Arial" w:hAnsi="Arial"/>
          <w:sz w:val="16"/>
          <w:szCs w:val="16"/>
          <w:b w:val="1"/>
          <w:bCs w:val="1"/>
          <w:color w:val="auto"/>
        </w:rPr>
      </w:pPr>
      <w:r>
        <w:rPr>
          <w:rFonts w:ascii="Arial" w:cs="Arial" w:eastAsia="Arial" w:hAnsi="Arial"/>
          <w:sz w:val="16"/>
          <w:szCs w:val="16"/>
          <w:color w:val="auto"/>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in a manner and to the extent it will deem necessary or expedient to make the Plan or Award fully effective.</w:t>
      </w:r>
    </w:p>
    <w:p>
      <w:pPr>
        <w:spacing w:after="0" w:line="90"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689"/>
          </w:cols>
          <w:pgMar w:left="611" w:top="121" w:right="599" w:bottom="1440" w:gutter="0" w:footer="0" w:header="0"/>
        </w:sectPr>
      </w:pPr>
    </w:p>
    <w:bookmarkStart w:id="317" w:name="page318"/>
    <w:bookmarkEnd w:id="317"/>
    <w:p>
      <w:pPr>
        <w:ind w:left="1169" w:hanging="314"/>
        <w:spacing w:after="0"/>
        <w:tabs>
          <w:tab w:leader="none" w:pos="1169" w:val="left"/>
        </w:tabs>
        <w:numPr>
          <w:ilvl w:val="1"/>
          <w:numId w:val="185"/>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To settle all controversies regarding the Plan and Awards granted under it.</w:t>
      </w:r>
    </w:p>
    <w:p>
      <w:pPr>
        <w:spacing w:after="0" w:line="118" w:lineRule="exact"/>
        <w:rPr>
          <w:rFonts w:ascii="Arial" w:cs="Arial" w:eastAsia="Arial" w:hAnsi="Arial"/>
          <w:sz w:val="17"/>
          <w:szCs w:val="17"/>
          <w:b w:val="1"/>
          <w:bCs w:val="1"/>
          <w:color w:val="auto"/>
        </w:rPr>
      </w:pPr>
    </w:p>
    <w:p>
      <w:pPr>
        <w:ind w:left="1149" w:hanging="294"/>
        <w:spacing w:after="0"/>
        <w:tabs>
          <w:tab w:leader="none" w:pos="1149" w:val="left"/>
        </w:tabs>
        <w:numPr>
          <w:ilvl w:val="1"/>
          <w:numId w:val="185"/>
        </w:numPr>
        <w:rPr>
          <w:rFonts w:ascii="Arial" w:cs="Arial" w:eastAsia="Arial" w:hAnsi="Arial"/>
          <w:sz w:val="16"/>
          <w:szCs w:val="16"/>
          <w:b w:val="1"/>
          <w:bCs w:val="1"/>
          <w:color w:val="auto"/>
        </w:rPr>
      </w:pPr>
      <w:r>
        <w:rPr>
          <w:rFonts w:ascii="Arial" w:cs="Arial" w:eastAsia="Arial" w:hAnsi="Arial"/>
          <w:sz w:val="16"/>
          <w:szCs w:val="16"/>
          <w:color w:val="auto"/>
        </w:rPr>
        <w:t>To accelerate, in whole or in part, the time at which an Award may be exercised or vest (or at which cash or shares of Common Stock</w:t>
      </w:r>
    </w:p>
    <w:p>
      <w:pPr>
        <w:spacing w:after="0" w:line="37" w:lineRule="exact"/>
        <w:rPr>
          <w:rFonts w:ascii="Arial" w:cs="Arial" w:eastAsia="Arial" w:hAnsi="Arial"/>
          <w:sz w:val="16"/>
          <w:szCs w:val="16"/>
          <w:b w:val="1"/>
          <w:bCs w:val="1"/>
          <w:color w:val="auto"/>
        </w:rPr>
      </w:pPr>
    </w:p>
    <w:p>
      <w:pPr>
        <w:ind w:left="9"/>
        <w:spacing w:after="0"/>
        <w:rPr>
          <w:rFonts w:ascii="Arial" w:cs="Arial" w:eastAsia="Arial" w:hAnsi="Arial"/>
          <w:sz w:val="16"/>
          <w:szCs w:val="16"/>
          <w:b w:val="1"/>
          <w:bCs w:val="1"/>
          <w:color w:val="auto"/>
        </w:rPr>
      </w:pPr>
      <w:r>
        <w:rPr>
          <w:rFonts w:ascii="Arial" w:cs="Arial" w:eastAsia="Arial" w:hAnsi="Arial"/>
          <w:sz w:val="17"/>
          <w:szCs w:val="17"/>
          <w:color w:val="auto"/>
        </w:rPr>
        <w:t>may be issued).</w:t>
      </w:r>
    </w:p>
    <w:p>
      <w:pPr>
        <w:spacing w:after="0" w:line="106" w:lineRule="exact"/>
        <w:rPr>
          <w:rFonts w:ascii="Arial" w:cs="Arial" w:eastAsia="Arial" w:hAnsi="Arial"/>
          <w:sz w:val="16"/>
          <w:szCs w:val="16"/>
          <w:b w:val="1"/>
          <w:bCs w:val="1"/>
          <w:color w:val="auto"/>
        </w:rPr>
      </w:pPr>
    </w:p>
    <w:p>
      <w:pPr>
        <w:ind w:left="1109" w:hanging="254"/>
        <w:spacing w:after="0"/>
        <w:tabs>
          <w:tab w:leader="none" w:pos="1109" w:val="left"/>
        </w:tabs>
        <w:numPr>
          <w:ilvl w:val="1"/>
          <w:numId w:val="185"/>
        </w:numPr>
        <w:rPr>
          <w:rFonts w:ascii="Arial" w:cs="Arial" w:eastAsia="Arial" w:hAnsi="Arial"/>
          <w:sz w:val="17"/>
          <w:szCs w:val="17"/>
          <w:b w:val="1"/>
          <w:bCs w:val="1"/>
          <w:color w:val="auto"/>
        </w:rPr>
      </w:pPr>
      <w:r>
        <w:rPr>
          <w:rFonts w:ascii="Arial" w:cs="Arial" w:eastAsia="Arial" w:hAnsi="Arial"/>
          <w:sz w:val="17"/>
          <w:szCs w:val="17"/>
          <w:color w:val="auto"/>
        </w:rPr>
        <w:t>To amend, suspend or terminate the Plan at any time, subject to Section 10.</w:t>
      </w:r>
    </w:p>
    <w:p>
      <w:pPr>
        <w:spacing w:after="0" w:line="118" w:lineRule="exact"/>
        <w:rPr>
          <w:rFonts w:ascii="Arial" w:cs="Arial" w:eastAsia="Arial" w:hAnsi="Arial"/>
          <w:sz w:val="17"/>
          <w:szCs w:val="17"/>
          <w:b w:val="1"/>
          <w:bCs w:val="1"/>
          <w:color w:val="auto"/>
        </w:rPr>
      </w:pPr>
    </w:p>
    <w:p>
      <w:pPr>
        <w:ind w:left="9" w:right="40" w:firstLine="846"/>
        <w:spacing w:after="0" w:line="278" w:lineRule="auto"/>
        <w:tabs>
          <w:tab w:leader="none" w:pos="1159" w:val="left"/>
        </w:tabs>
        <w:numPr>
          <w:ilvl w:val="1"/>
          <w:numId w:val="185"/>
        </w:numPr>
        <w:rPr>
          <w:rFonts w:ascii="Arial" w:cs="Arial" w:eastAsia="Arial" w:hAnsi="Arial"/>
          <w:sz w:val="16"/>
          <w:szCs w:val="16"/>
          <w:b w:val="1"/>
          <w:bCs w:val="1"/>
          <w:color w:val="auto"/>
        </w:rPr>
      </w:pPr>
      <w:r>
        <w:rPr>
          <w:rFonts w:ascii="Arial" w:cs="Arial" w:eastAsia="Arial" w:hAnsi="Arial"/>
          <w:sz w:val="16"/>
          <w:szCs w:val="16"/>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Participant’s rights under any Award may not be materially impaired by any such amendment unless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or (D) to comply with Applicable Law or listing requirements.</w:t>
      </w:r>
    </w:p>
    <w:p>
      <w:pPr>
        <w:spacing w:after="0" w:line="68" w:lineRule="exact"/>
        <w:rPr>
          <w:rFonts w:ascii="Arial" w:cs="Arial" w:eastAsia="Arial" w:hAnsi="Arial"/>
          <w:sz w:val="16"/>
          <w:szCs w:val="16"/>
          <w:b w:val="1"/>
          <w:bCs w:val="1"/>
          <w:color w:val="auto"/>
        </w:rPr>
      </w:pPr>
    </w:p>
    <w:p>
      <w:pPr>
        <w:ind w:left="9" w:right="100" w:firstLine="846"/>
        <w:spacing w:after="0" w:line="267" w:lineRule="auto"/>
        <w:tabs>
          <w:tab w:leader="none" w:pos="1207" w:val="left"/>
        </w:tabs>
        <w:numPr>
          <w:ilvl w:val="1"/>
          <w:numId w:val="185"/>
        </w:numPr>
        <w:rPr>
          <w:rFonts w:ascii="Arial" w:cs="Arial" w:eastAsia="Arial" w:hAnsi="Arial"/>
          <w:sz w:val="17"/>
          <w:szCs w:val="17"/>
          <w:b w:val="1"/>
          <w:bCs w:val="1"/>
          <w:color w:val="auto"/>
        </w:rPr>
      </w:pPr>
      <w:r>
        <w:rPr>
          <w:rFonts w:ascii="Arial" w:cs="Arial" w:eastAsia="Arial" w:hAnsi="Arial"/>
          <w:sz w:val="17"/>
          <w:szCs w:val="17"/>
          <w:color w:val="auto"/>
        </w:rPr>
        <w:t>To adopt such rules, procedures and sub-plans related to the operation of the Plan as are necessary or appropriate to facilitate participation in the Plan by Employees, Directors or Consultants who are foreign nationals or employed outside the United States (provided that Board approval will not be necessary for modifications to the Plan or any Award Agreement of a ministerial nature that are made to facilitate compliance with Applicable Law in the relevant foreign jurisdiction).</w:t>
      </w:r>
    </w:p>
    <w:p>
      <w:pPr>
        <w:spacing w:after="0" w:line="72" w:lineRule="exact"/>
        <w:rPr>
          <w:rFonts w:ascii="Arial" w:cs="Arial" w:eastAsia="Arial" w:hAnsi="Arial"/>
          <w:sz w:val="17"/>
          <w:szCs w:val="17"/>
          <w:b w:val="1"/>
          <w:bCs w:val="1"/>
          <w:color w:val="auto"/>
        </w:rPr>
      </w:pPr>
    </w:p>
    <w:p>
      <w:pPr>
        <w:ind w:left="9" w:right="160" w:firstLine="846"/>
        <w:spacing w:after="0" w:line="281" w:lineRule="auto"/>
        <w:tabs>
          <w:tab w:leader="none" w:pos="1256" w:val="left"/>
        </w:tabs>
        <w:numPr>
          <w:ilvl w:val="1"/>
          <w:numId w:val="185"/>
        </w:numPr>
        <w:rPr>
          <w:rFonts w:ascii="Arial" w:cs="Arial" w:eastAsia="Arial" w:hAnsi="Arial"/>
          <w:sz w:val="16"/>
          <w:szCs w:val="16"/>
          <w:b w:val="1"/>
          <w:bCs w:val="1"/>
          <w:color w:val="auto"/>
        </w:rPr>
      </w:pPr>
      <w:r>
        <w:rPr>
          <w:rFonts w:ascii="Arial" w:cs="Arial" w:eastAsia="Arial" w:hAnsi="Arial"/>
          <w:sz w:val="16"/>
          <w:szCs w:val="16"/>
          <w:color w:val="auto"/>
        </w:rPr>
        <w:t>To effect, with the consent of any materially adversely affected Participant, (A) the reduction of the exercise, purchase or strike price of any outstanding Award; (B) the cancellation of any outstanding Award and the grant in substitution therefor of a new (1) Option or SAR,</w:t>
      </w:r>
    </w:p>
    <w:p>
      <w:pPr>
        <w:ind w:left="9" w:hanging="9"/>
        <w:spacing w:after="0" w:line="262" w:lineRule="auto"/>
        <w:tabs>
          <w:tab w:leader="none" w:pos="256" w:val="left"/>
        </w:tabs>
        <w:numPr>
          <w:ilvl w:val="0"/>
          <w:numId w:val="186"/>
        </w:numPr>
        <w:rPr>
          <w:rFonts w:ascii="Arial" w:cs="Arial" w:eastAsia="Arial" w:hAnsi="Arial"/>
          <w:sz w:val="17"/>
          <w:szCs w:val="17"/>
          <w:color w:val="auto"/>
        </w:rPr>
      </w:pPr>
      <w:r>
        <w:rPr>
          <w:rFonts w:ascii="Arial" w:cs="Arial" w:eastAsia="Arial" w:hAnsi="Arial"/>
          <w:sz w:val="17"/>
          <w:szCs w:val="17"/>
          <w:color w:val="auto"/>
        </w:rPr>
        <w:t>Restricted Stock Award, (3) Restricted Stock Unit Award, (4) Other Stock Award, (5) cash and/or (6) other valuable consideration determined by the Board, in its sole discretion, with any such substituted award (x) covering the same or a different number of shares of Common Stock as the cancelled Award and (y) granted under the Plan or another equity or compensatory plan of the Company; or (C) any other action that is treated as a repricing under generally accepted accounting principles.</w:t>
      </w:r>
    </w:p>
    <w:p>
      <w:pPr>
        <w:spacing w:after="0" w:line="77" w:lineRule="exact"/>
        <w:rPr>
          <w:rFonts w:ascii="Arial" w:cs="Arial" w:eastAsia="Arial" w:hAnsi="Arial"/>
          <w:sz w:val="17"/>
          <w:szCs w:val="17"/>
          <w:color w:val="auto"/>
        </w:rPr>
      </w:pPr>
    </w:p>
    <w:p>
      <w:pPr>
        <w:ind w:left="9" w:right="100" w:firstLine="846"/>
        <w:spacing w:after="0" w:line="289" w:lineRule="auto"/>
        <w:tabs>
          <w:tab w:leader="none" w:pos="1159" w:val="left"/>
        </w:tabs>
        <w:numPr>
          <w:ilvl w:val="1"/>
          <w:numId w:val="186"/>
        </w:numPr>
        <w:rPr>
          <w:rFonts w:ascii="Arial" w:cs="Arial" w:eastAsia="Arial" w:hAnsi="Arial"/>
          <w:sz w:val="17"/>
          <w:szCs w:val="17"/>
          <w:b w:val="1"/>
          <w:bCs w:val="1"/>
          <w:color w:val="auto"/>
        </w:rPr>
      </w:pPr>
      <w:r>
        <w:rPr>
          <w:rFonts w:ascii="Arial" w:cs="Arial" w:eastAsia="Arial" w:hAnsi="Arial"/>
          <w:sz w:val="17"/>
          <w:szCs w:val="17"/>
          <w:color w:val="auto"/>
        </w:rPr>
        <w:t>Generally, to exercise such powers and to perform such acts as the Board deems necessary or expedient to promote the best interests of the Company and that are not in conflict with the provisions of the Plan or Awards.</w:t>
      </w:r>
    </w:p>
    <w:p>
      <w:pPr>
        <w:spacing w:after="0" w:line="92"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69"/>
          </w:cols>
          <w:pgMar w:left="611" w:top="271" w:right="619" w:bottom="1440" w:gutter="0" w:footer="0" w:header="0"/>
        </w:sectPr>
      </w:pPr>
    </w:p>
    <w:bookmarkStart w:id="318" w:name="page319"/>
    <w:bookmarkEnd w:id="318"/>
    <w:p>
      <w:pPr>
        <w:ind w:left="669" w:hanging="241"/>
        <w:spacing w:after="0"/>
        <w:tabs>
          <w:tab w:leader="none" w:pos="669" w:val="left"/>
        </w:tabs>
        <w:numPr>
          <w:ilvl w:val="1"/>
          <w:numId w:val="187"/>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Delegation to Committee.</w:t>
      </w:r>
    </w:p>
    <w:p>
      <w:pPr>
        <w:spacing w:after="0" w:line="118" w:lineRule="exact"/>
        <w:rPr>
          <w:rFonts w:ascii="Arial" w:cs="Arial" w:eastAsia="Arial" w:hAnsi="Arial"/>
          <w:sz w:val="17"/>
          <w:szCs w:val="17"/>
          <w:b w:val="1"/>
          <w:bCs w:val="1"/>
          <w:color w:val="auto"/>
        </w:rPr>
      </w:pPr>
    </w:p>
    <w:p>
      <w:pPr>
        <w:ind w:left="9" w:firstLine="846"/>
        <w:spacing w:after="0" w:line="262" w:lineRule="auto"/>
        <w:tabs>
          <w:tab w:leader="none" w:pos="1072" w:val="left"/>
        </w:tabs>
        <w:numPr>
          <w:ilvl w:val="2"/>
          <w:numId w:val="18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General. </w:t>
      </w:r>
      <w:r>
        <w:rPr>
          <w:rFonts w:ascii="Arial" w:cs="Arial" w:eastAsia="Arial" w:hAnsi="Arial"/>
          <w:sz w:val="17"/>
          <w:szCs w:val="17"/>
          <w:color w:val="auto"/>
        </w:rPr>
        <w:t>The Board may delegate some or all of the administration of the Plan to a Committee or Committees. If administration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Any delegation of administrative powers will be reflected in resolutions, not inconsistent with the provisions of the Plan, adopted from time to time by the Board or Committee (as applicable). The Committee may, at any time, abolish the subcommittee and/or revest in the Committee any powers delegated to the subcommittee. The Board retains the authority to concurrently administer the Plan with the Committee and may, at any time, revest in the Board some or all of the powers previously delegated.</w:t>
      </w:r>
    </w:p>
    <w:p>
      <w:pPr>
        <w:spacing w:after="0" w:line="73" w:lineRule="exact"/>
        <w:rPr>
          <w:rFonts w:ascii="Arial" w:cs="Arial" w:eastAsia="Arial" w:hAnsi="Arial"/>
          <w:sz w:val="17"/>
          <w:szCs w:val="17"/>
          <w:b w:val="1"/>
          <w:bCs w:val="1"/>
          <w:color w:val="auto"/>
        </w:rPr>
      </w:pPr>
    </w:p>
    <w:p>
      <w:pPr>
        <w:ind w:left="9" w:firstLine="846"/>
        <w:spacing w:after="0" w:line="276" w:lineRule="auto"/>
        <w:tabs>
          <w:tab w:leader="none" w:pos="1120" w:val="left"/>
        </w:tabs>
        <w:numPr>
          <w:ilvl w:val="2"/>
          <w:numId w:val="18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Rule 16b-3 Compliance. </w:t>
      </w:r>
      <w:r>
        <w:rPr>
          <w:rFonts w:ascii="Arial" w:cs="Arial" w:eastAsia="Arial" w:hAnsi="Arial"/>
          <w:sz w:val="17"/>
          <w:szCs w:val="17"/>
          <w:color w:val="auto"/>
        </w:rPr>
        <w:t>The Committee may consist solely of two or more Non-Employee Directors, in accordance with Rule 16b-3 of</w:t>
      </w:r>
      <w:r>
        <w:rPr>
          <w:rFonts w:ascii="Arial" w:cs="Arial" w:eastAsia="Arial" w:hAnsi="Arial"/>
          <w:sz w:val="17"/>
          <w:szCs w:val="17"/>
          <w:b w:val="1"/>
          <w:bCs w:val="1"/>
          <w:color w:val="auto"/>
        </w:rPr>
        <w:t xml:space="preserve"> </w:t>
      </w:r>
      <w:r>
        <w:rPr>
          <w:rFonts w:ascii="Arial" w:cs="Arial" w:eastAsia="Arial" w:hAnsi="Arial"/>
          <w:sz w:val="17"/>
          <w:szCs w:val="17"/>
          <w:color w:val="auto"/>
        </w:rPr>
        <w:t>the Exchange Act. In addition, the Board or the Committee, in its sole discretion, may delegate to a Committee (who need not be Non-Employee Directors) the authority to grant Awards to eligible persons who are not then subject to Section 16 of the Exchange Act.</w:t>
      </w:r>
    </w:p>
    <w:p>
      <w:pPr>
        <w:spacing w:after="0" w:line="58" w:lineRule="exact"/>
        <w:rPr>
          <w:rFonts w:ascii="Arial" w:cs="Arial" w:eastAsia="Arial" w:hAnsi="Arial"/>
          <w:sz w:val="17"/>
          <w:szCs w:val="17"/>
          <w:b w:val="1"/>
          <w:bCs w:val="1"/>
          <w:color w:val="auto"/>
        </w:rPr>
      </w:pPr>
    </w:p>
    <w:p>
      <w:pPr>
        <w:jc w:val="both"/>
        <w:ind w:left="9" w:right="140" w:firstLine="419"/>
        <w:spacing w:after="0" w:line="304" w:lineRule="auto"/>
        <w:tabs>
          <w:tab w:leader="none" w:pos="693" w:val="left"/>
        </w:tabs>
        <w:numPr>
          <w:ilvl w:val="1"/>
          <w:numId w:val="18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Delegation to an Officer. </w:t>
      </w:r>
      <w:r>
        <w:rPr>
          <w:rFonts w:ascii="Arial" w:cs="Arial" w:eastAsia="Arial" w:hAnsi="Arial"/>
          <w:sz w:val="15"/>
          <w:szCs w:val="15"/>
          <w:color w:val="auto"/>
        </w:rPr>
        <w:t>The Board may delegate to one (1) or more Officers the authority to do one or both of the following: (i) designate</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Employees who are not Officers or Directors to be recipients of Awards and, to the extent permitted by Applicable Law, the terms of such Awards, and</w:t>
      </w:r>
    </w:p>
    <w:p>
      <w:pPr>
        <w:ind w:left="9" w:hanging="9"/>
        <w:spacing w:after="0" w:line="260" w:lineRule="auto"/>
        <w:tabs>
          <w:tab w:leader="none" w:pos="265" w:val="left"/>
        </w:tabs>
        <w:numPr>
          <w:ilvl w:val="0"/>
          <w:numId w:val="188"/>
        </w:numPr>
        <w:rPr>
          <w:rFonts w:ascii="Arial" w:cs="Arial" w:eastAsia="Arial" w:hAnsi="Arial"/>
          <w:sz w:val="17"/>
          <w:szCs w:val="17"/>
          <w:color w:val="auto"/>
        </w:rPr>
      </w:pPr>
      <w:r>
        <w:rPr>
          <w:rFonts w:ascii="Arial" w:cs="Arial" w:eastAsia="Arial" w:hAnsi="Arial"/>
          <w:sz w:val="17"/>
          <w:szCs w:val="17"/>
          <w:color w:val="auto"/>
        </w:rPr>
        <w:t xml:space="preserve">determine the number of shares of Common Stock to be subject to such Awards granted to such Employees;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Board resolutions regarding such delegation will specify the total number of shares of Common Stock that may be subject to the Awards granted by such Officer and that such Officer may not grant an Award to himself or herself. Any such Awards will be granted on the form of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pursuant to Section 14(q)(iii) below.</w:t>
      </w:r>
    </w:p>
    <w:p>
      <w:pPr>
        <w:spacing w:after="0" w:line="73" w:lineRule="exact"/>
        <w:rPr>
          <w:rFonts w:ascii="Arial" w:cs="Arial" w:eastAsia="Arial" w:hAnsi="Arial"/>
          <w:sz w:val="17"/>
          <w:szCs w:val="17"/>
          <w:color w:val="auto"/>
        </w:rPr>
      </w:pPr>
    </w:p>
    <w:p>
      <w:pPr>
        <w:jc w:val="both"/>
        <w:ind w:left="9" w:right="80" w:firstLine="419"/>
        <w:spacing w:after="0" w:line="301" w:lineRule="auto"/>
        <w:tabs>
          <w:tab w:leader="none" w:pos="673" w:val="left"/>
        </w:tabs>
        <w:numPr>
          <w:ilvl w:val="1"/>
          <w:numId w:val="18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Plan Administrator. </w:t>
      </w:r>
      <w:r>
        <w:rPr>
          <w:rFonts w:ascii="Arial" w:cs="Arial" w:eastAsia="Arial" w:hAnsi="Arial"/>
          <w:sz w:val="16"/>
          <w:szCs w:val="16"/>
          <w:color w:val="auto"/>
        </w:rPr>
        <w:t>The Board or Committee may also appoint a Stock Plan Administrator, who will have the authority to administer</w:t>
      </w:r>
      <w:r>
        <w:rPr>
          <w:rFonts w:ascii="Arial" w:cs="Arial" w:eastAsia="Arial" w:hAnsi="Arial"/>
          <w:sz w:val="16"/>
          <w:szCs w:val="16"/>
          <w:b w:val="1"/>
          <w:bCs w:val="1"/>
          <w:color w:val="auto"/>
        </w:rPr>
        <w:t xml:space="preserve"> </w:t>
      </w:r>
      <w:r>
        <w:rPr>
          <w:rFonts w:ascii="Arial" w:cs="Arial" w:eastAsia="Arial" w:hAnsi="Arial"/>
          <w:sz w:val="16"/>
          <w:szCs w:val="16"/>
          <w:color w:val="auto"/>
        </w:rPr>
        <w:t>the day-to-day operations of the Plan and to make certain ministerial decisions without Board or Committee approval as expressly provided in the Plan, an Award Agreement or pursuant to resolutions adopted by the Board or the Committee. The Stock Plan Administrator may not grant Awards.</w:t>
      </w:r>
    </w:p>
    <w:p>
      <w:pPr>
        <w:spacing w:after="0" w:line="41" w:lineRule="exact"/>
        <w:rPr>
          <w:rFonts w:ascii="Arial" w:cs="Arial" w:eastAsia="Arial" w:hAnsi="Arial"/>
          <w:sz w:val="16"/>
          <w:szCs w:val="16"/>
          <w:b w:val="1"/>
          <w:bCs w:val="1"/>
          <w:color w:val="auto"/>
        </w:rPr>
      </w:pPr>
    </w:p>
    <w:p>
      <w:pPr>
        <w:ind w:left="9" w:right="500" w:firstLine="419"/>
        <w:spacing w:after="0" w:line="296" w:lineRule="auto"/>
        <w:tabs>
          <w:tab w:leader="none" w:pos="654" w:val="left"/>
        </w:tabs>
        <w:numPr>
          <w:ilvl w:val="1"/>
          <w:numId w:val="18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Effect of Decisions. </w:t>
      </w:r>
      <w:r>
        <w:rPr>
          <w:rFonts w:ascii="Arial" w:cs="Arial" w:eastAsia="Arial" w:hAnsi="Arial"/>
          <w:sz w:val="17"/>
          <w:szCs w:val="17"/>
          <w:color w:val="auto"/>
        </w:rPr>
        <w:t>All determinations, interpretations and constructions made by the Board or any Committee in good faith will not be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review by any person and will be final, binding and conclusive on all persons.</w:t>
      </w:r>
    </w:p>
    <w:p>
      <w:pPr>
        <w:spacing w:after="0" w:line="290" w:lineRule="exact"/>
        <w:rPr>
          <w:sz w:val="20"/>
          <w:szCs w:val="20"/>
          <w:color w:val="auto"/>
        </w:rPr>
      </w:pPr>
    </w:p>
    <w:p>
      <w:pPr>
        <w:ind w:left="429" w:hanging="429"/>
        <w:spacing w:after="0"/>
        <w:tabs>
          <w:tab w:leader="none" w:pos="429" w:val="left"/>
        </w:tabs>
        <w:numPr>
          <w:ilvl w:val="0"/>
          <w:numId w:val="189"/>
        </w:numPr>
        <w:rPr>
          <w:rFonts w:ascii="Arial" w:cs="Arial" w:eastAsia="Arial" w:hAnsi="Arial"/>
          <w:sz w:val="17"/>
          <w:szCs w:val="17"/>
          <w:b w:val="1"/>
          <w:bCs w:val="1"/>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HARES</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p>
    <w:p>
      <w:pPr>
        <w:spacing w:after="0" w:line="118" w:lineRule="exact"/>
        <w:rPr>
          <w:rFonts w:ascii="Arial" w:cs="Arial" w:eastAsia="Arial" w:hAnsi="Arial"/>
          <w:sz w:val="17"/>
          <w:szCs w:val="17"/>
          <w:b w:val="1"/>
          <w:bCs w:val="1"/>
          <w:color w:val="auto"/>
        </w:rPr>
      </w:pPr>
    </w:p>
    <w:p>
      <w:pPr>
        <w:ind w:left="669" w:hanging="241"/>
        <w:spacing w:after="0"/>
        <w:tabs>
          <w:tab w:leader="none" w:pos="669" w:val="left"/>
        </w:tabs>
        <w:numPr>
          <w:ilvl w:val="1"/>
          <w:numId w:val="189"/>
        </w:numPr>
        <w:rPr>
          <w:rFonts w:ascii="Arial" w:cs="Arial" w:eastAsia="Arial" w:hAnsi="Arial"/>
          <w:sz w:val="17"/>
          <w:szCs w:val="17"/>
          <w:b w:val="1"/>
          <w:bCs w:val="1"/>
          <w:color w:val="auto"/>
        </w:rPr>
      </w:pPr>
      <w:r>
        <w:rPr>
          <w:rFonts w:ascii="Arial" w:cs="Arial" w:eastAsia="Arial" w:hAnsi="Arial"/>
          <w:sz w:val="17"/>
          <w:szCs w:val="17"/>
          <w:b w:val="1"/>
          <w:bCs w:val="1"/>
          <w:color w:val="auto"/>
        </w:rPr>
        <w:t>Share Reserve.</w:t>
      </w:r>
    </w:p>
    <w:p>
      <w:pPr>
        <w:spacing w:after="0" w:line="124" w:lineRule="exact"/>
        <w:rPr>
          <w:rFonts w:ascii="Arial" w:cs="Arial" w:eastAsia="Arial" w:hAnsi="Arial"/>
          <w:sz w:val="17"/>
          <w:szCs w:val="17"/>
          <w:b w:val="1"/>
          <w:bCs w:val="1"/>
          <w:color w:val="auto"/>
        </w:rPr>
      </w:pPr>
    </w:p>
    <w:p>
      <w:pPr>
        <w:ind w:left="9" w:right="180" w:firstLine="846"/>
        <w:spacing w:after="0" w:line="314" w:lineRule="auto"/>
        <w:tabs>
          <w:tab w:leader="none" w:pos="1072" w:val="left"/>
        </w:tabs>
        <w:numPr>
          <w:ilvl w:val="2"/>
          <w:numId w:val="189"/>
        </w:numPr>
        <w:rPr>
          <w:rFonts w:ascii="Arial" w:cs="Arial" w:eastAsia="Arial" w:hAnsi="Arial"/>
          <w:sz w:val="15"/>
          <w:szCs w:val="15"/>
          <w:b w:val="1"/>
          <w:bCs w:val="1"/>
          <w:color w:val="auto"/>
        </w:rPr>
      </w:pPr>
      <w:r>
        <w:rPr>
          <w:rFonts w:ascii="Arial" w:cs="Arial" w:eastAsia="Arial" w:hAnsi="Arial"/>
          <w:sz w:val="15"/>
          <w:szCs w:val="15"/>
          <w:color w:val="auto"/>
        </w:rPr>
        <w:t>Subject to any Capitalization Adjustment and the Evergreen Increase, the aggregate number of shares of Common Stock that may be issued pursuant to Awards from and after the Effective Date will not exceed 17,874,624 shares (post-split), which number is the sum of (A) 9,432,839 shares of Common Stock, and (B) Returning Shares from the Prior Plan, if any, which become available for grant under this Plan from time to time, in an aggregate amount not to exceed 8,441,785 shares (such aggregate number of shares described in (A) and (B) above, the “</w:t>
      </w:r>
      <w:r>
        <w:rPr>
          <w:rFonts w:ascii="Arial" w:cs="Arial" w:eastAsia="Arial" w:hAnsi="Arial"/>
          <w:sz w:val="15"/>
          <w:szCs w:val="15"/>
          <w:b w:val="1"/>
          <w:bCs w:val="1"/>
          <w:i w:val="1"/>
          <w:iCs w:val="1"/>
          <w:color w:val="auto"/>
        </w:rPr>
        <w:t>Share Reserve</w:t>
      </w:r>
      <w:r>
        <w:rPr>
          <w:rFonts w:ascii="Arial" w:cs="Arial" w:eastAsia="Arial" w:hAnsi="Arial"/>
          <w:sz w:val="15"/>
          <w:szCs w:val="15"/>
          <w:color w:val="auto"/>
        </w:rPr>
        <w:t>”).</w:t>
      </w:r>
    </w:p>
    <w:p>
      <w:pPr>
        <w:spacing w:after="0" w:line="79"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69"/>
          </w:cols>
          <w:pgMar w:left="611" w:top="265" w:right="619" w:bottom="1440" w:gutter="0" w:footer="0" w:header="0"/>
        </w:sectPr>
      </w:pPr>
    </w:p>
    <w:bookmarkStart w:id="319" w:name="page320"/>
    <w:bookmarkEnd w:id="319"/>
    <w:p>
      <w:pPr>
        <w:ind w:right="40" w:firstLine="846"/>
        <w:spacing w:after="0" w:line="285" w:lineRule="auto"/>
        <w:tabs>
          <w:tab w:leader="none" w:pos="1111" w:val="left"/>
        </w:tabs>
        <w:numPr>
          <w:ilvl w:val="1"/>
          <w:numId w:val="190"/>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addition, the Share Reserve will automatically increase on January 1</w:t>
      </w:r>
      <w:r>
        <w:rPr>
          <w:rFonts w:ascii="Arial" w:cs="Arial" w:eastAsia="Arial" w:hAnsi="Arial"/>
          <w:sz w:val="13"/>
          <w:szCs w:val="13"/>
          <w:color w:val="auto"/>
        </w:rPr>
        <w:t>st</w:t>
      </w:r>
      <w:r>
        <w:rPr>
          <w:rFonts w:ascii="Arial" w:cs="Arial" w:eastAsia="Arial" w:hAnsi="Arial"/>
          <w:sz w:val="16"/>
          <w:szCs w:val="16"/>
          <w:color w:val="auto"/>
        </w:rPr>
        <w:t xml:space="preserve"> of each year, for a period of not more than ten years, commencing on January 1, 2020 and ending on (and including) January 1, 2029 in an amount equal to 4.0% of the total number of shares of Capital Stock outstanding on the December 31st immediately preceding calendar year (the “</w:t>
      </w:r>
      <w:r>
        <w:rPr>
          <w:rFonts w:ascii="Arial" w:cs="Arial" w:eastAsia="Arial" w:hAnsi="Arial"/>
          <w:sz w:val="16"/>
          <w:szCs w:val="16"/>
          <w:b w:val="1"/>
          <w:bCs w:val="1"/>
          <w:i w:val="1"/>
          <w:iCs w:val="1"/>
          <w:color w:val="auto"/>
        </w:rPr>
        <w:t>Evergreen Increase</w:t>
      </w:r>
      <w:r>
        <w:rPr>
          <w:rFonts w:ascii="Arial" w:cs="Arial" w:eastAsia="Arial" w:hAnsi="Arial"/>
          <w:sz w:val="16"/>
          <w:szCs w:val="16"/>
          <w:color w:val="auto"/>
        </w:rPr>
        <w:t>”). Notwithstanding the foregoing, the Board may act prior to January 1</w:t>
      </w:r>
      <w:r>
        <w:rPr>
          <w:rFonts w:ascii="Arial" w:cs="Arial" w:eastAsia="Arial" w:hAnsi="Arial"/>
          <w:sz w:val="13"/>
          <w:szCs w:val="13"/>
          <w:color w:val="auto"/>
        </w:rPr>
        <w:t>st</w:t>
      </w:r>
      <w:r>
        <w:rPr>
          <w:rFonts w:ascii="Arial" w:cs="Arial" w:eastAsia="Arial" w:hAnsi="Arial"/>
          <w:sz w:val="16"/>
          <w:szCs w:val="16"/>
          <w:color w:val="auto"/>
        </w:rPr>
        <w:t xml:space="preserve"> of a given year to provide that there will be no Evergreen Increase for such year or that the Evergreen Increase for such year will be a lesser number of shares of Common Stock than would otherwise occur pursuant to the preceding sentence.</w:t>
      </w:r>
    </w:p>
    <w:p>
      <w:pPr>
        <w:spacing w:after="0" w:line="60" w:lineRule="exact"/>
        <w:rPr>
          <w:rFonts w:ascii="Arial" w:cs="Arial" w:eastAsia="Arial" w:hAnsi="Arial"/>
          <w:sz w:val="16"/>
          <w:szCs w:val="16"/>
          <w:b w:val="1"/>
          <w:bCs w:val="1"/>
          <w:color w:val="auto"/>
        </w:rPr>
      </w:pPr>
    </w:p>
    <w:p>
      <w:pPr>
        <w:jc w:val="both"/>
        <w:ind w:right="120" w:firstLine="846"/>
        <w:spacing w:after="0" w:line="273" w:lineRule="auto"/>
        <w:tabs>
          <w:tab w:leader="none" w:pos="1160" w:val="left"/>
        </w:tabs>
        <w:numPr>
          <w:ilvl w:val="1"/>
          <w:numId w:val="190"/>
        </w:numPr>
        <w:rPr>
          <w:rFonts w:ascii="Arial" w:cs="Arial" w:eastAsia="Arial" w:hAnsi="Arial"/>
          <w:sz w:val="17"/>
          <w:szCs w:val="17"/>
          <w:b w:val="1"/>
          <w:bCs w:val="1"/>
          <w:color w:val="auto"/>
        </w:rPr>
      </w:pPr>
      <w:r>
        <w:rPr>
          <w:rFonts w:ascii="Arial" w:cs="Arial" w:eastAsia="Arial" w:hAnsi="Arial"/>
          <w:sz w:val="17"/>
          <w:szCs w:val="17"/>
          <w:color w:val="auto"/>
        </w:rPr>
        <w:t>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spacing w:after="0" w:line="66" w:lineRule="exact"/>
        <w:rPr>
          <w:rFonts w:ascii="Arial" w:cs="Arial" w:eastAsia="Arial" w:hAnsi="Arial"/>
          <w:sz w:val="17"/>
          <w:szCs w:val="17"/>
          <w:b w:val="1"/>
          <w:bCs w:val="1"/>
          <w:color w:val="auto"/>
        </w:rPr>
      </w:pPr>
    </w:p>
    <w:p>
      <w:pPr>
        <w:ind w:right="60" w:firstLine="846"/>
        <w:spacing w:after="0" w:line="267" w:lineRule="auto"/>
        <w:tabs>
          <w:tab w:leader="none" w:pos="1150" w:val="left"/>
        </w:tabs>
        <w:numPr>
          <w:ilvl w:val="1"/>
          <w:numId w:val="190"/>
        </w:numPr>
        <w:rPr>
          <w:rFonts w:ascii="Arial" w:cs="Arial" w:eastAsia="Arial" w:hAnsi="Arial"/>
          <w:sz w:val="17"/>
          <w:szCs w:val="17"/>
          <w:b w:val="1"/>
          <w:bCs w:val="1"/>
          <w:color w:val="auto"/>
        </w:rPr>
      </w:pPr>
      <w:r>
        <w:rPr>
          <w:rFonts w:ascii="Arial" w:cs="Arial" w:eastAsia="Arial" w:hAnsi="Arial"/>
          <w:sz w:val="17"/>
          <w:szCs w:val="17"/>
          <w:color w:val="auto"/>
        </w:rPr>
        <w:t>For clarity, the Share Reserve in this Section 3(a) is a limitation on the number of shares of Common Stock that may be issued pursuant to the Plan. As a single share may be subject to grant more than once (e.g., if a share subject to an Award is forfeited, it may be returned the Share Reserve and be made subject to grant again as provided in Section 3(b) below), the Share Reserve is not a limit on the number of Awards that can be granted.</w:t>
      </w:r>
    </w:p>
    <w:p>
      <w:pPr>
        <w:spacing w:after="0" w:line="66" w:lineRule="exact"/>
        <w:rPr>
          <w:rFonts w:ascii="Arial" w:cs="Arial" w:eastAsia="Arial" w:hAnsi="Arial"/>
          <w:sz w:val="17"/>
          <w:szCs w:val="17"/>
          <w:b w:val="1"/>
          <w:bCs w:val="1"/>
          <w:color w:val="auto"/>
        </w:rPr>
      </w:pPr>
    </w:p>
    <w:p>
      <w:pPr>
        <w:ind w:right="160" w:firstLine="419"/>
        <w:spacing w:after="0" w:line="284" w:lineRule="auto"/>
        <w:tabs>
          <w:tab w:leader="none" w:pos="684" w:val="left"/>
        </w:tabs>
        <w:numPr>
          <w:ilvl w:val="0"/>
          <w:numId w:val="191"/>
        </w:numPr>
        <w:rPr>
          <w:rFonts w:ascii="Arial" w:cs="Arial" w:eastAsia="Arial" w:hAnsi="Arial"/>
          <w:sz w:val="16"/>
          <w:szCs w:val="16"/>
          <w:b w:val="1"/>
          <w:bCs w:val="1"/>
          <w:color w:val="auto"/>
        </w:rPr>
      </w:pPr>
      <w:r>
        <w:rPr>
          <w:rFonts w:ascii="Arial" w:cs="Arial" w:eastAsia="Arial" w:hAnsi="Arial"/>
          <w:sz w:val="16"/>
          <w:szCs w:val="16"/>
          <w:b w:val="1"/>
          <w:bCs w:val="1"/>
          <w:color w:val="auto"/>
        </w:rPr>
        <w:t>Reversion of Shares to the Share Reserve</w:t>
      </w:r>
      <w:r>
        <w:rPr>
          <w:rFonts w:ascii="Arial" w:cs="Arial" w:eastAsia="Arial" w:hAnsi="Arial"/>
          <w:sz w:val="16"/>
          <w:szCs w:val="16"/>
          <w:color w:val="auto"/>
        </w:rPr>
        <w:t>. From and after the Effective Date, any shares subject to an outstanding award granted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or the Prior Plan will be returned to the Share Reserve and will be available for issuance under the Plan (up to the maximum number set forth in Section 3(a)) (“</w:t>
      </w:r>
      <w:r>
        <w:rPr>
          <w:rFonts w:ascii="Arial" w:cs="Arial" w:eastAsia="Arial" w:hAnsi="Arial"/>
          <w:sz w:val="16"/>
          <w:szCs w:val="16"/>
          <w:b w:val="1"/>
          <w:bCs w:val="1"/>
          <w:i w:val="1"/>
          <w:iCs w:val="1"/>
          <w:color w:val="auto"/>
        </w:rPr>
        <w:t>Returning Shares</w:t>
      </w:r>
      <w:r>
        <w:rPr>
          <w:rFonts w:ascii="Arial" w:cs="Arial" w:eastAsia="Arial" w:hAnsi="Arial"/>
          <w:sz w:val="16"/>
          <w:szCs w:val="16"/>
          <w:color w:val="auto"/>
        </w:rPr>
        <w:t>”), if such shares are not issued because an award or any portion thereof: (i) expires or otherwise terminates for any reason prior to exercise or settlement; (ii) is settled in cash (</w:t>
      </w:r>
      <w:r>
        <w:rPr>
          <w:rFonts w:ascii="Arial" w:cs="Arial" w:eastAsia="Arial" w:hAnsi="Arial"/>
          <w:sz w:val="16"/>
          <w:szCs w:val="16"/>
          <w:i w:val="1"/>
          <w:iCs w:val="1"/>
          <w:color w:val="auto"/>
        </w:rPr>
        <w:t>i.e.</w:t>
      </w:r>
      <w:r>
        <w:rPr>
          <w:rFonts w:ascii="Arial" w:cs="Arial" w:eastAsia="Arial" w:hAnsi="Arial"/>
          <w:sz w:val="16"/>
          <w:szCs w:val="16"/>
          <w:color w:val="auto"/>
        </w:rPr>
        <w:t>, the Participant receives cash rather than stock); (iii) the shares are forfeited back to or repurchased by the Company because of the failure to meet a contingency or condition required to vest; or (iv) the shares are reacquired by the Company in satisfaction of tax withholding obligations or as consideration for the exercise or purchase price of an award.</w:t>
      </w:r>
    </w:p>
    <w:p>
      <w:pPr>
        <w:spacing w:after="0" w:line="55" w:lineRule="exact"/>
        <w:rPr>
          <w:rFonts w:ascii="Arial" w:cs="Arial" w:eastAsia="Arial" w:hAnsi="Arial"/>
          <w:sz w:val="16"/>
          <w:szCs w:val="16"/>
          <w:b w:val="1"/>
          <w:bCs w:val="1"/>
          <w:color w:val="auto"/>
        </w:rPr>
      </w:pPr>
    </w:p>
    <w:p>
      <w:pPr>
        <w:ind w:right="240" w:firstLine="419"/>
        <w:spacing w:after="0" w:line="296" w:lineRule="auto"/>
        <w:tabs>
          <w:tab w:leader="none" w:pos="664" w:val="left"/>
        </w:tabs>
        <w:numPr>
          <w:ilvl w:val="0"/>
          <w:numId w:val="19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Incentive Stock Option Limit. </w:t>
      </w:r>
      <w:r>
        <w:rPr>
          <w:rFonts w:ascii="Arial" w:cs="Arial" w:eastAsia="Arial" w:hAnsi="Arial"/>
          <w:sz w:val="17"/>
          <w:szCs w:val="17"/>
          <w:color w:val="auto"/>
        </w:rPr>
        <w:t>Subject to Section 9(a) relating to Capitalization Adjustments, the aggregate maximum number of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that may be issued pursuant to the exercise of Incentive Stock Options will be 36,000,000.</w:t>
      </w:r>
    </w:p>
    <w:p>
      <w:pPr>
        <w:spacing w:after="0" w:line="41" w:lineRule="exact"/>
        <w:rPr>
          <w:rFonts w:ascii="Arial" w:cs="Arial" w:eastAsia="Arial" w:hAnsi="Arial"/>
          <w:sz w:val="17"/>
          <w:szCs w:val="17"/>
          <w:b w:val="1"/>
          <w:bCs w:val="1"/>
          <w:color w:val="auto"/>
        </w:rPr>
      </w:pPr>
    </w:p>
    <w:p>
      <w:pPr>
        <w:ind w:firstLine="419"/>
        <w:spacing w:after="0" w:line="276" w:lineRule="auto"/>
        <w:tabs>
          <w:tab w:leader="none" w:pos="684" w:val="left"/>
        </w:tabs>
        <w:numPr>
          <w:ilvl w:val="0"/>
          <w:numId w:val="19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Source of Shares; Use of Proceeds. </w:t>
      </w:r>
      <w:r>
        <w:rPr>
          <w:rFonts w:ascii="Arial" w:cs="Arial" w:eastAsia="Arial" w:hAnsi="Arial"/>
          <w:sz w:val="17"/>
          <w:szCs w:val="17"/>
          <w:color w:val="auto"/>
        </w:rPr>
        <w:t>The stock issuable under the Plan will be shares of authorized but unissued or reacquired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shares repurchased by the Company on the open market or otherwise. Proceeds from the sale of shares of Common Stock pursuant to Awards will constitute general funds of the Company.</w:t>
      </w:r>
    </w:p>
    <w:p>
      <w:pPr>
        <w:spacing w:after="0" w:line="58" w:lineRule="exact"/>
        <w:rPr>
          <w:rFonts w:ascii="Arial" w:cs="Arial" w:eastAsia="Arial" w:hAnsi="Arial"/>
          <w:sz w:val="17"/>
          <w:szCs w:val="17"/>
          <w:b w:val="1"/>
          <w:bCs w:val="1"/>
          <w:color w:val="auto"/>
        </w:rPr>
      </w:pPr>
    </w:p>
    <w:p>
      <w:pPr>
        <w:ind w:right="20" w:firstLine="419"/>
        <w:spacing w:after="0" w:line="265" w:lineRule="auto"/>
        <w:tabs>
          <w:tab w:leader="none" w:pos="664" w:val="left"/>
        </w:tabs>
        <w:numPr>
          <w:ilvl w:val="0"/>
          <w:numId w:val="19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Limitation on Compensation of Non-Employee Directors. </w:t>
      </w:r>
      <w:r>
        <w:rPr>
          <w:rFonts w:ascii="Arial" w:cs="Arial" w:eastAsia="Arial" w:hAnsi="Arial"/>
          <w:sz w:val="17"/>
          <w:szCs w:val="17"/>
          <w:color w:val="auto"/>
        </w:rPr>
        <w:t>The maximum number of shares of Common Stock subject to awards granted</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Plan or under any other equity plan maintained by the Company during a single fiscal year to any Non-Employee Director, taken together with any cash fees paid by the Company to such Non-Employee Director during such year for service on the Board, will not exceed $500,000 in total value, or $1,000,000 in the case of a Non-Employee Director’s first year of service (calculating the value of any such awards based on the grant date fair value of such awards for financial reporting purposes and excluding, for this purpose, the value of any dividend equivalent payments paid pursuant to any award granted in a previous fiscal year).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660"/>
          </w:cols>
          <w:pgMar w:left="620" w:top="270" w:right="619" w:bottom="1440" w:gutter="0" w:footer="0" w:header="0"/>
        </w:sectPr>
      </w:pPr>
    </w:p>
    <w:bookmarkStart w:id="320" w:name="page321"/>
    <w:bookmarkEnd w:id="320"/>
    <w:p>
      <w:pPr>
        <w:ind w:left="429" w:hanging="429"/>
        <w:spacing w:after="0"/>
        <w:tabs>
          <w:tab w:leader="none" w:pos="429" w:val="left"/>
        </w:tabs>
        <w:numPr>
          <w:ilvl w:val="0"/>
          <w:numId w:val="192"/>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w:t>
      </w:r>
      <w:r>
        <w:rPr>
          <w:rFonts w:ascii="Arial" w:cs="Arial" w:eastAsia="Arial" w:hAnsi="Arial"/>
          <w:sz w:val="14"/>
          <w:szCs w:val="14"/>
          <w:b w:val="1"/>
          <w:bCs w:val="1"/>
          <w:color w:val="auto"/>
        </w:rPr>
        <w:t>LIGIBILITY</w:t>
      </w:r>
      <w:r>
        <w:rPr>
          <w:rFonts w:ascii="Arial" w:cs="Arial" w:eastAsia="Arial" w:hAnsi="Arial"/>
          <w:sz w:val="17"/>
          <w:szCs w:val="17"/>
          <w:b w:val="1"/>
          <w:bCs w:val="1"/>
          <w:color w:val="auto"/>
        </w:rPr>
        <w:t>.</w:t>
      </w:r>
    </w:p>
    <w:p>
      <w:pPr>
        <w:spacing w:after="0" w:line="118" w:lineRule="exact"/>
        <w:rPr>
          <w:rFonts w:ascii="Arial" w:cs="Arial" w:eastAsia="Arial" w:hAnsi="Arial"/>
          <w:sz w:val="17"/>
          <w:szCs w:val="17"/>
          <w:b w:val="1"/>
          <w:bCs w:val="1"/>
          <w:color w:val="auto"/>
        </w:rPr>
      </w:pPr>
    </w:p>
    <w:p>
      <w:pPr>
        <w:ind w:left="9" w:firstLine="419"/>
        <w:spacing w:after="0" w:line="282" w:lineRule="auto"/>
        <w:tabs>
          <w:tab w:leader="none" w:pos="683" w:val="left"/>
        </w:tabs>
        <w:numPr>
          <w:ilvl w:val="1"/>
          <w:numId w:val="192"/>
        </w:numPr>
        <w:rPr>
          <w:rFonts w:ascii="Arial" w:cs="Arial" w:eastAsia="Arial" w:hAnsi="Arial"/>
          <w:sz w:val="16"/>
          <w:szCs w:val="16"/>
          <w:b w:val="1"/>
          <w:bCs w:val="1"/>
          <w:color w:val="auto"/>
        </w:rPr>
      </w:pPr>
      <w:r>
        <w:rPr>
          <w:rFonts w:ascii="Arial" w:cs="Arial" w:eastAsia="Arial" w:hAnsi="Arial"/>
          <w:sz w:val="16"/>
          <w:szCs w:val="16"/>
          <w:b w:val="1"/>
          <w:bCs w:val="1"/>
          <w:color w:val="auto"/>
        </w:rPr>
        <w:t>Eligibility for Specific Awards</w:t>
      </w:r>
      <w:r>
        <w:rPr>
          <w:rFonts w:ascii="Arial" w:cs="Arial" w:eastAsia="Arial" w:hAnsi="Arial"/>
          <w:sz w:val="16"/>
          <w:szCs w:val="16"/>
          <w:color w:val="auto"/>
        </w:rPr>
        <w:t>. Incentive Stock Options may be granted only to employees of the Company or a “parent corporation”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“subsidiary corporation” thereof (as such terms are defined in Sections 424(e) and 424(f) of the Code). Awards other than Incentive Stock Options may be granted to Employees, Directors and Consultants; </w:t>
      </w:r>
      <w:r>
        <w:rPr>
          <w:rFonts w:ascii="Arial" w:cs="Arial" w:eastAsia="Arial" w:hAnsi="Arial"/>
          <w:sz w:val="16"/>
          <w:szCs w:val="16"/>
          <w:i w:val="1"/>
          <w:iCs w:val="1"/>
          <w:color w:val="auto"/>
        </w:rPr>
        <w:t>provided, however</w:t>
      </w:r>
      <w:r>
        <w:rPr>
          <w:rFonts w:ascii="Arial" w:cs="Arial" w:eastAsia="Arial" w:hAnsi="Arial"/>
          <w:sz w:val="16"/>
          <w:szCs w:val="16"/>
          <w:color w:val="auto"/>
        </w:rPr>
        <w:t>, that Awards may not be granted to Employees, Directors and Consultants who are providing Continuous Service only to any “parent” of the Company, as such term is defined in Rule 405, unless (i) the stock underlying such Awards is treated as “service recipient stock” under Section 409A of the Code (for example, because the Awards are granted pursuant to a corporate transaction such as a spin off transaction), or (ii) the Company, in consultation with its legal counsel, has determined that such Awards are otherwise exempt from or alternatively comply with the distribution requirements of Section 409A of the Code.</w:t>
      </w:r>
    </w:p>
    <w:p>
      <w:pPr>
        <w:spacing w:after="0" w:line="58" w:lineRule="exact"/>
        <w:rPr>
          <w:rFonts w:ascii="Arial" w:cs="Arial" w:eastAsia="Arial" w:hAnsi="Arial"/>
          <w:sz w:val="16"/>
          <w:szCs w:val="16"/>
          <w:b w:val="1"/>
          <w:bCs w:val="1"/>
          <w:color w:val="auto"/>
        </w:rPr>
      </w:pPr>
    </w:p>
    <w:p>
      <w:pPr>
        <w:jc w:val="both"/>
        <w:ind w:left="9" w:right="60" w:firstLine="419"/>
        <w:spacing w:after="0" w:line="276" w:lineRule="auto"/>
        <w:tabs>
          <w:tab w:leader="none" w:pos="693" w:val="left"/>
        </w:tabs>
        <w:numPr>
          <w:ilvl w:val="1"/>
          <w:numId w:val="192"/>
        </w:numPr>
        <w:rPr>
          <w:rFonts w:ascii="Arial" w:cs="Arial" w:eastAsia="Arial" w:hAnsi="Arial"/>
          <w:sz w:val="17"/>
          <w:szCs w:val="17"/>
          <w:b w:val="1"/>
          <w:bCs w:val="1"/>
          <w:color w:val="auto"/>
        </w:rPr>
      </w:pPr>
      <w:r>
        <w:rPr>
          <w:rFonts w:ascii="Arial" w:cs="Arial" w:eastAsia="Arial" w:hAnsi="Arial"/>
          <w:sz w:val="17"/>
          <w:szCs w:val="17"/>
          <w:b w:val="1"/>
          <w:bCs w:val="1"/>
          <w:color w:val="auto"/>
        </w:rPr>
        <w:t>Ten Percent Stockholders</w:t>
      </w:r>
      <w:r>
        <w:rPr>
          <w:rFonts w:ascii="Arial" w:cs="Arial" w:eastAsia="Arial" w:hAnsi="Arial"/>
          <w:sz w:val="17"/>
          <w:szCs w:val="17"/>
          <w:color w:val="auto"/>
        </w:rPr>
        <w:t>. A Ten Percent Stockholder will not be granted an Incentive Stock Option unless the exercise price of such Option</w:t>
      </w:r>
      <w:r>
        <w:rPr>
          <w:rFonts w:ascii="Arial" w:cs="Arial" w:eastAsia="Arial" w:hAnsi="Arial"/>
          <w:sz w:val="17"/>
          <w:szCs w:val="17"/>
          <w:b w:val="1"/>
          <w:bCs w:val="1"/>
          <w:color w:val="auto"/>
        </w:rPr>
        <w:t xml:space="preserve"> </w:t>
      </w:r>
      <w:r>
        <w:rPr>
          <w:rFonts w:ascii="Arial" w:cs="Arial" w:eastAsia="Arial" w:hAnsi="Arial"/>
          <w:sz w:val="17"/>
          <w:szCs w:val="17"/>
          <w:color w:val="auto"/>
        </w:rPr>
        <w:t>is at least one hundred ten percent (110%) of the Fair Market Value on the date of grant and the Option is not exercisable after the expiration of five (5) years from the date of grant.</w:t>
      </w:r>
    </w:p>
    <w:p>
      <w:pPr>
        <w:spacing w:after="0" w:line="307" w:lineRule="exact"/>
        <w:rPr>
          <w:rFonts w:ascii="Arial" w:cs="Arial" w:eastAsia="Arial" w:hAnsi="Arial"/>
          <w:sz w:val="17"/>
          <w:szCs w:val="17"/>
          <w:b w:val="1"/>
          <w:bCs w:val="1"/>
          <w:color w:val="auto"/>
        </w:rPr>
      </w:pPr>
    </w:p>
    <w:p>
      <w:pPr>
        <w:ind w:left="429" w:hanging="429"/>
        <w:spacing w:after="0"/>
        <w:tabs>
          <w:tab w:leader="none" w:pos="429" w:val="left"/>
        </w:tabs>
        <w:numPr>
          <w:ilvl w:val="0"/>
          <w:numId w:val="192"/>
        </w:numPr>
        <w:rPr>
          <w:rFonts w:ascii="Arial" w:cs="Arial" w:eastAsia="Arial" w:hAnsi="Arial"/>
          <w:sz w:val="17"/>
          <w:szCs w:val="17"/>
          <w:b w:val="1"/>
          <w:bCs w:val="1"/>
          <w:color w:val="auto"/>
        </w:rPr>
      </w:pPr>
      <w:r>
        <w:rPr>
          <w:rFonts w:ascii="Arial" w:cs="Arial" w:eastAsia="Arial" w:hAnsi="Arial"/>
          <w:sz w:val="17"/>
          <w:szCs w:val="17"/>
          <w:b w:val="1"/>
          <w:bCs w:val="1"/>
          <w:color w:val="auto"/>
        </w:rPr>
        <w:t>P</w:t>
      </w:r>
      <w:r>
        <w:rPr>
          <w:rFonts w:ascii="Arial" w:cs="Arial" w:eastAsia="Arial" w:hAnsi="Arial"/>
          <w:sz w:val="14"/>
          <w:szCs w:val="14"/>
          <w:b w:val="1"/>
          <w:bCs w:val="1"/>
          <w:color w:val="auto"/>
        </w:rPr>
        <w:t>ROVISIONS</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ELATING TO</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7"/>
          <w:szCs w:val="17"/>
          <w:b w:val="1"/>
          <w:bCs w:val="1"/>
          <w:color w:val="auto"/>
        </w:rPr>
        <w:t>.</w:t>
      </w:r>
    </w:p>
    <w:p>
      <w:pPr>
        <w:spacing w:after="0" w:line="125" w:lineRule="exact"/>
        <w:rPr>
          <w:sz w:val="20"/>
          <w:szCs w:val="20"/>
          <w:color w:val="auto"/>
        </w:rPr>
      </w:pPr>
    </w:p>
    <w:p>
      <w:pPr>
        <w:ind w:left="9" w:right="40" w:firstLine="427"/>
        <w:spacing w:after="0" w:line="281" w:lineRule="auto"/>
        <w:rPr>
          <w:sz w:val="20"/>
          <w:szCs w:val="20"/>
          <w:color w:val="auto"/>
        </w:rPr>
      </w:pPr>
      <w:r>
        <w:rPr>
          <w:rFonts w:ascii="Arial" w:cs="Arial" w:eastAsia="Arial" w:hAnsi="Arial"/>
          <w:sz w:val="16"/>
          <w:szCs w:val="16"/>
          <w:color w:val="auto"/>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Arial" w:cs="Arial" w:eastAsia="Arial" w:hAnsi="Arial"/>
          <w:sz w:val="16"/>
          <w:szCs w:val="16"/>
          <w:i w:val="1"/>
          <w:iCs w:val="1"/>
          <w:color w:val="auto"/>
        </w:rPr>
        <w:t>provided, however</w:t>
      </w:r>
      <w:r>
        <w:rPr>
          <w:rFonts w:ascii="Arial" w:cs="Arial" w:eastAsia="Arial" w:hAnsi="Arial"/>
          <w:sz w:val="16"/>
          <w:szCs w:val="16"/>
          <w:color w:val="auto"/>
        </w:rPr>
        <w:t>, that each Award Agreement will conform to (through incorporation of provisions hereof by reference in the applicable Award Agreement or otherwise) the substance of each of the following provisions:</w:t>
      </w:r>
    </w:p>
    <w:p>
      <w:pPr>
        <w:spacing w:after="0" w:line="57" w:lineRule="exact"/>
        <w:rPr>
          <w:sz w:val="20"/>
          <w:szCs w:val="20"/>
          <w:color w:val="auto"/>
        </w:rPr>
      </w:pPr>
    </w:p>
    <w:p>
      <w:pPr>
        <w:ind w:left="9" w:right="60" w:firstLine="419"/>
        <w:spacing w:after="0" w:line="296" w:lineRule="auto"/>
        <w:tabs>
          <w:tab w:leader="none" w:pos="683" w:val="left"/>
        </w:tabs>
        <w:numPr>
          <w:ilvl w:val="0"/>
          <w:numId w:val="19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 </w:t>
      </w:r>
      <w:r>
        <w:rPr>
          <w:rFonts w:ascii="Arial" w:cs="Arial" w:eastAsia="Arial" w:hAnsi="Arial"/>
          <w:sz w:val="17"/>
          <w:szCs w:val="17"/>
          <w:color w:val="auto"/>
        </w:rPr>
        <w:t>Subject to the provisions of Section 4(b) regarding Ten Percent Stockholders, no Option or SAR will be exercisable after the expiration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ten (10) years from the date of its grant or such shorter period specified in the Award Agreement.</w:t>
      </w:r>
    </w:p>
    <w:p>
      <w:pPr>
        <w:spacing w:after="0" w:line="41" w:lineRule="exact"/>
        <w:rPr>
          <w:rFonts w:ascii="Arial" w:cs="Arial" w:eastAsia="Arial" w:hAnsi="Arial"/>
          <w:sz w:val="17"/>
          <w:szCs w:val="17"/>
          <w:b w:val="1"/>
          <w:bCs w:val="1"/>
          <w:color w:val="auto"/>
        </w:rPr>
      </w:pPr>
    </w:p>
    <w:p>
      <w:pPr>
        <w:ind w:left="9" w:right="280" w:firstLine="419"/>
        <w:spacing w:after="0" w:line="284" w:lineRule="auto"/>
        <w:tabs>
          <w:tab w:leader="none" w:pos="693" w:val="left"/>
        </w:tabs>
        <w:numPr>
          <w:ilvl w:val="0"/>
          <w:numId w:val="19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Exercise Price. </w:t>
      </w:r>
      <w:r>
        <w:rPr>
          <w:rFonts w:ascii="Arial" w:cs="Arial" w:eastAsia="Arial" w:hAnsi="Arial"/>
          <w:sz w:val="16"/>
          <w:szCs w:val="16"/>
          <w:color w:val="auto"/>
        </w:rPr>
        <w:t>Subject to the provisions of Section 4(b) regarding Ten Percent Stockholders, the exercise or strike price of each Option or</w:t>
      </w:r>
      <w:r>
        <w:rPr>
          <w:rFonts w:ascii="Arial" w:cs="Arial" w:eastAsia="Arial" w:hAnsi="Arial"/>
          <w:sz w:val="16"/>
          <w:szCs w:val="16"/>
          <w:b w:val="1"/>
          <w:bCs w:val="1"/>
          <w:color w:val="auto"/>
        </w:rPr>
        <w:t xml:space="preserve"> </w:t>
      </w:r>
      <w:r>
        <w:rPr>
          <w:rFonts w:ascii="Arial" w:cs="Arial" w:eastAsia="Arial" w:hAnsi="Arial"/>
          <w:sz w:val="16"/>
          <w:szCs w:val="16"/>
          <w:color w:val="auto"/>
        </w:rPr>
        <w:t>SAR will be not less than one hundred percent (100%) of the Fair Market Value of the Common Stock subject to the Option or SAR on the date the Award is granted. Notwithstanding the foregoing, an Option or SAR may be granted with an exercise or strike price lower than one hundred percent (100%) of the Fair Market Value of the Common Stock subject to the Award if such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w:t>
      </w:r>
    </w:p>
    <w:p>
      <w:pPr>
        <w:spacing w:after="0" w:line="101"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669"/>
          </w:cols>
          <w:pgMar w:left="611" w:top="265" w:right="619" w:bottom="1440" w:gutter="0" w:footer="0" w:header="0"/>
        </w:sectPr>
      </w:pPr>
    </w:p>
    <w:bookmarkStart w:id="321" w:name="page322"/>
    <w:bookmarkEnd w:id="321"/>
    <w:p>
      <w:pPr>
        <w:ind w:right="40" w:firstLine="419"/>
        <w:spacing w:after="0" w:line="265" w:lineRule="auto"/>
        <w:tabs>
          <w:tab w:leader="none" w:pos="664" w:val="left"/>
        </w:tabs>
        <w:numPr>
          <w:ilvl w:val="0"/>
          <w:numId w:val="194"/>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Exercise Procedure and Payment of Exercise Price for Options. </w:t>
      </w:r>
      <w:r>
        <w:rPr>
          <w:rFonts w:ascii="Arial" w:cs="Arial" w:eastAsia="Arial" w:hAnsi="Arial"/>
          <w:sz w:val="17"/>
          <w:szCs w:val="17"/>
          <w:color w:val="auto"/>
        </w:rPr>
        <w:t>In order to exercise an Option, the Participant must provide notice of</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to the Stock Plan Administrator in compliance with the provisions of the Award Agreement or other procedures established by the Stock Plan Administrator. The exercise price of an Option may be paid, to the extent 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72" w:lineRule="exact"/>
        <w:rPr>
          <w:rFonts w:ascii="Arial" w:cs="Arial" w:eastAsia="Arial" w:hAnsi="Arial"/>
          <w:sz w:val="17"/>
          <w:szCs w:val="17"/>
          <w:b w:val="1"/>
          <w:bCs w:val="1"/>
          <w:color w:val="auto"/>
        </w:rPr>
      </w:pPr>
    </w:p>
    <w:p>
      <w:pPr>
        <w:ind w:left="1060" w:hanging="214"/>
        <w:spacing w:after="0"/>
        <w:tabs>
          <w:tab w:leader="none" w:pos="1060" w:val="left"/>
        </w:tabs>
        <w:numPr>
          <w:ilvl w:val="1"/>
          <w:numId w:val="194"/>
        </w:numPr>
        <w:rPr>
          <w:rFonts w:ascii="Arial" w:cs="Arial" w:eastAsia="Arial" w:hAnsi="Arial"/>
          <w:sz w:val="17"/>
          <w:szCs w:val="17"/>
          <w:b w:val="1"/>
          <w:bCs w:val="1"/>
          <w:color w:val="auto"/>
        </w:rPr>
      </w:pPr>
      <w:r>
        <w:rPr>
          <w:rFonts w:ascii="Arial" w:cs="Arial" w:eastAsia="Arial" w:hAnsi="Arial"/>
          <w:sz w:val="17"/>
          <w:szCs w:val="17"/>
          <w:color w:val="auto"/>
        </w:rPr>
        <w:t>by cash, check, bank draft, wire transfer, or money order payable to the Company;</w:t>
      </w:r>
    </w:p>
    <w:p>
      <w:pPr>
        <w:spacing w:after="0" w:line="118" w:lineRule="exact"/>
        <w:rPr>
          <w:rFonts w:ascii="Arial" w:cs="Arial" w:eastAsia="Arial" w:hAnsi="Arial"/>
          <w:sz w:val="17"/>
          <w:szCs w:val="17"/>
          <w:b w:val="1"/>
          <w:bCs w:val="1"/>
          <w:color w:val="auto"/>
        </w:rPr>
      </w:pPr>
    </w:p>
    <w:p>
      <w:pPr>
        <w:jc w:val="both"/>
        <w:ind w:right="20" w:firstLine="846"/>
        <w:spacing w:after="0" w:line="289" w:lineRule="auto"/>
        <w:tabs>
          <w:tab w:leader="none" w:pos="1111" w:val="left"/>
        </w:tabs>
        <w:numPr>
          <w:ilvl w:val="1"/>
          <w:numId w:val="194"/>
        </w:numPr>
        <w:rPr>
          <w:rFonts w:ascii="Arial" w:cs="Arial" w:eastAsia="Arial" w:hAnsi="Arial"/>
          <w:sz w:val="16"/>
          <w:szCs w:val="16"/>
          <w:b w:val="1"/>
          <w:bCs w:val="1"/>
          <w:color w:val="auto"/>
        </w:rPr>
      </w:pPr>
      <w:r>
        <w:rPr>
          <w:rFonts w:ascii="Arial" w:cs="Arial" w:eastAsia="Arial" w:hAnsi="Arial"/>
          <w:sz w:val="16"/>
          <w:szCs w:val="16"/>
          <w:color w:val="auto"/>
        </w:rPr>
        <w:t>provided that at the time of exercise the Common Stock is publicly traded and the Company has established procedures for cashless exercise, pursuant to a “broker-assisted exercise”, “same day sale”, or “sell to cover”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56" w:lineRule="exact"/>
        <w:rPr>
          <w:rFonts w:ascii="Arial" w:cs="Arial" w:eastAsia="Arial" w:hAnsi="Arial"/>
          <w:sz w:val="16"/>
          <w:szCs w:val="16"/>
          <w:b w:val="1"/>
          <w:bCs w:val="1"/>
          <w:color w:val="auto"/>
        </w:rPr>
      </w:pPr>
    </w:p>
    <w:p>
      <w:pPr>
        <w:ind w:right="220" w:firstLine="846"/>
        <w:spacing w:after="0" w:line="267" w:lineRule="auto"/>
        <w:tabs>
          <w:tab w:leader="none" w:pos="1160" w:val="left"/>
        </w:tabs>
        <w:numPr>
          <w:ilvl w:val="1"/>
          <w:numId w:val="194"/>
        </w:numPr>
        <w:rPr>
          <w:rFonts w:ascii="Arial" w:cs="Arial" w:eastAsia="Arial" w:hAnsi="Arial"/>
          <w:sz w:val="17"/>
          <w:szCs w:val="17"/>
          <w:b w:val="1"/>
          <w:bCs w:val="1"/>
          <w:color w:val="auto"/>
        </w:rPr>
      </w:pPr>
      <w:r>
        <w:rPr>
          <w:rFonts w:ascii="Arial" w:cs="Arial" w:eastAsia="Arial" w:hAnsi="Arial"/>
          <w:sz w:val="17"/>
          <w:szCs w:val="17"/>
          <w:color w:val="auto"/>
        </w:rPr>
        <w:t>by delivery to the Company (either by actual delivery or attestation) of shares of Common Stock that are owned free and clear of any liens, claims, encumbrances or security interests, provided that (A) such tender would not violate the provisions of any Applicable Law, (B) any certificated shares must be endorsed or accompanied by an executed assignment separate from certificate, and (C) such shares have been held by the Participant for the minimum period necessary to avoid adverse accounting treatment;</w:t>
      </w:r>
    </w:p>
    <w:p>
      <w:pPr>
        <w:spacing w:after="0" w:line="72" w:lineRule="exact"/>
        <w:rPr>
          <w:rFonts w:ascii="Arial" w:cs="Arial" w:eastAsia="Arial" w:hAnsi="Arial"/>
          <w:sz w:val="17"/>
          <w:szCs w:val="17"/>
          <w:b w:val="1"/>
          <w:bCs w:val="1"/>
          <w:color w:val="auto"/>
        </w:rPr>
      </w:pPr>
    </w:p>
    <w:p>
      <w:pPr>
        <w:ind w:right="20" w:firstLine="846"/>
        <w:spacing w:after="0" w:line="283" w:lineRule="auto"/>
        <w:tabs>
          <w:tab w:leader="none" w:pos="1150" w:val="left"/>
        </w:tabs>
        <w:numPr>
          <w:ilvl w:val="1"/>
          <w:numId w:val="194"/>
        </w:numPr>
        <w:rPr>
          <w:rFonts w:ascii="Arial" w:cs="Arial" w:eastAsia="Arial" w:hAnsi="Arial"/>
          <w:sz w:val="16"/>
          <w:szCs w:val="16"/>
          <w:b w:val="1"/>
          <w:bCs w:val="1"/>
          <w:color w:val="auto"/>
        </w:rPr>
      </w:pPr>
      <w:r>
        <w:rPr>
          <w:rFonts w:ascii="Arial" w:cs="Arial" w:eastAsia="Arial" w:hAnsi="Arial"/>
          <w:sz w:val="16"/>
          <w:szCs w:val="16"/>
          <w:color w:val="auto"/>
        </w:rPr>
        <w:t>by a “net exercise” arrangement pursuant to which the Company will reduce the number of shares of Common Stock issuable upon exercise by the largest whole number of shares with a Fair Market Value that does not exceed the aggregate exercise price; provided, however,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spacing w:after="0" w:line="60" w:lineRule="exact"/>
        <w:rPr>
          <w:rFonts w:ascii="Arial" w:cs="Arial" w:eastAsia="Arial" w:hAnsi="Arial"/>
          <w:sz w:val="16"/>
          <w:szCs w:val="16"/>
          <w:b w:val="1"/>
          <w:bCs w:val="1"/>
          <w:color w:val="auto"/>
        </w:rPr>
      </w:pPr>
    </w:p>
    <w:p>
      <w:pPr>
        <w:ind w:left="1100" w:hanging="254"/>
        <w:spacing w:after="0"/>
        <w:tabs>
          <w:tab w:leader="none" w:pos="1100" w:val="left"/>
        </w:tabs>
        <w:numPr>
          <w:ilvl w:val="1"/>
          <w:numId w:val="194"/>
        </w:numPr>
        <w:rPr>
          <w:rFonts w:ascii="Arial" w:cs="Arial" w:eastAsia="Arial" w:hAnsi="Arial"/>
          <w:sz w:val="17"/>
          <w:szCs w:val="17"/>
          <w:b w:val="1"/>
          <w:bCs w:val="1"/>
          <w:color w:val="auto"/>
        </w:rPr>
      </w:pPr>
      <w:r>
        <w:rPr>
          <w:rFonts w:ascii="Arial" w:cs="Arial" w:eastAsia="Arial" w:hAnsi="Arial"/>
          <w:sz w:val="17"/>
          <w:szCs w:val="17"/>
          <w:color w:val="auto"/>
        </w:rPr>
        <w:t>in any other form of legal consideration that may be acceptable to the Board.</w:t>
      </w:r>
    </w:p>
    <w:p>
      <w:pPr>
        <w:spacing w:after="0" w:line="112" w:lineRule="exact"/>
        <w:rPr>
          <w:rFonts w:ascii="Arial" w:cs="Arial" w:eastAsia="Arial" w:hAnsi="Arial"/>
          <w:sz w:val="17"/>
          <w:szCs w:val="17"/>
          <w:b w:val="1"/>
          <w:bCs w:val="1"/>
          <w:color w:val="auto"/>
        </w:rPr>
      </w:pPr>
    </w:p>
    <w:p>
      <w:pPr>
        <w:ind w:firstLine="419"/>
        <w:spacing w:after="0" w:line="262" w:lineRule="auto"/>
        <w:tabs>
          <w:tab w:leader="none" w:pos="684" w:val="left"/>
        </w:tabs>
        <w:numPr>
          <w:ilvl w:val="0"/>
          <w:numId w:val="19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Exercise and Payment of a SAR. </w:t>
      </w:r>
      <w:r>
        <w:rPr>
          <w:rFonts w:ascii="Arial" w:cs="Arial" w:eastAsia="Arial" w:hAnsi="Arial"/>
          <w:sz w:val="17"/>
          <w:szCs w:val="17"/>
          <w:color w:val="auto"/>
        </w:rPr>
        <w:t>To exercise any outstanding SAR, the Participant must provide written notice of exercise to the Stock Plan</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Administrator in compliance with the provisions of the Award Agreement or other procedures established by the Stock Plan Administrator.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Agreement evidencing such SAR.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660"/>
          </w:cols>
          <w:pgMar w:left="620" w:top="265" w:right="619" w:bottom="1440" w:gutter="0" w:footer="0" w:header="0"/>
        </w:sectPr>
      </w:pPr>
    </w:p>
    <w:bookmarkStart w:id="322" w:name="page323"/>
    <w:bookmarkEnd w:id="322"/>
    <w:p>
      <w:pPr>
        <w:ind w:left="-20" w:right="20" w:firstLine="419"/>
        <w:spacing w:after="0" w:line="281" w:lineRule="auto"/>
        <w:tabs>
          <w:tab w:leader="none" w:pos="644" w:val="left"/>
        </w:tabs>
        <w:numPr>
          <w:ilvl w:val="0"/>
          <w:numId w:val="195"/>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Termination of Continuous Service. </w:t>
      </w:r>
      <w:r>
        <w:rPr>
          <w:rFonts w:ascii="Arial" w:cs="Arial" w:eastAsia="Arial" w:hAnsi="Arial"/>
          <w:sz w:val="16"/>
          <w:szCs w:val="16"/>
          <w:color w:val="auto"/>
        </w:rPr>
        <w:t>Except as otherwise provided in the applicable Award Agreement or other agreement between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three (3) months following the termination of the Participant’s Continuous Service (or such longer or shorter period specified in the applicable Award Agreement, which period will not be less than thirty (30) days if necessary to comply with Applicable Law unless such termination is for Cause)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57" w:lineRule="exact"/>
        <w:rPr>
          <w:rFonts w:ascii="Arial" w:cs="Arial" w:eastAsia="Arial" w:hAnsi="Arial"/>
          <w:sz w:val="16"/>
          <w:szCs w:val="16"/>
          <w:b w:val="1"/>
          <w:bCs w:val="1"/>
          <w:color w:val="auto"/>
        </w:rPr>
      </w:pPr>
    </w:p>
    <w:p>
      <w:pPr>
        <w:ind w:left="-20" w:firstLine="419"/>
        <w:spacing w:after="0" w:line="260" w:lineRule="auto"/>
        <w:tabs>
          <w:tab w:leader="none" w:pos="625" w:val="left"/>
        </w:tabs>
        <w:numPr>
          <w:ilvl w:val="0"/>
          <w:numId w:val="19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Automatic Extension of Termination Date. </w:t>
      </w:r>
      <w:r>
        <w:rPr>
          <w:rFonts w:ascii="Arial" w:cs="Arial" w:eastAsia="Arial" w:hAnsi="Arial"/>
          <w:sz w:val="17"/>
          <w:szCs w:val="17"/>
          <w:color w:val="auto"/>
        </w:rPr>
        <w:t>Except as otherwise provided in the applicable Award Agreement, if the exercise of an Option or</w:t>
      </w:r>
      <w:r>
        <w:rPr>
          <w:rFonts w:ascii="Arial" w:cs="Arial" w:eastAsia="Arial" w:hAnsi="Arial"/>
          <w:sz w:val="17"/>
          <w:szCs w:val="17"/>
          <w:b w:val="1"/>
          <w:bCs w:val="1"/>
          <w:color w:val="auto"/>
        </w:rPr>
        <w:t xml:space="preserve"> </w:t>
      </w:r>
      <w:r>
        <w:rPr>
          <w:rFonts w:ascii="Arial" w:cs="Arial" w:eastAsia="Arial" w:hAnsi="Arial"/>
          <w:sz w:val="17"/>
          <w:szCs w:val="17"/>
          <w:color w:val="auto"/>
        </w:rPr>
        <w:t>SAR following the termination of the Participant’s 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 termination exercise period after the termination of the Participant’s Continuous Service during which the exercise of the Option or SAR would not be in violation of such registration requirements, or (ii) the expiration of the term of the Option or SAR as set forth in the applicable Award Agreement. In addition, unless otherwise provided in a Participant’s Award Agreement, if the sale of any Common Stock received upon exercise of an Option or SAR following the termination of the Participant’s Continuous Service (other than for Cause) would violate the Trading Policy, then the Option or SAR will terminate on the earlier of (i) the expiration of a period of time (that need not be consecutive) equal to the applicable post-termination exercise period after the termination of the Participant’s Continuous Service during which the sale of the Common Stock received upon exercise of the Option or SAR would not be in violation of the Trading Policy, or (ii) the expiration of the term of the Option or SAR as set forth in the applicable Award Agreement.</w:t>
      </w:r>
    </w:p>
    <w:p>
      <w:pPr>
        <w:spacing w:after="0" w:line="77" w:lineRule="exact"/>
        <w:rPr>
          <w:rFonts w:ascii="Arial" w:cs="Arial" w:eastAsia="Arial" w:hAnsi="Arial"/>
          <w:sz w:val="17"/>
          <w:szCs w:val="17"/>
          <w:b w:val="1"/>
          <w:bCs w:val="1"/>
          <w:color w:val="auto"/>
        </w:rPr>
      </w:pPr>
    </w:p>
    <w:p>
      <w:pPr>
        <w:ind w:left="-20" w:firstLine="419"/>
        <w:spacing w:after="0" w:line="284" w:lineRule="auto"/>
        <w:tabs>
          <w:tab w:leader="none" w:pos="654" w:val="left"/>
        </w:tabs>
        <w:numPr>
          <w:ilvl w:val="0"/>
          <w:numId w:val="19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Disability of Participant. </w:t>
      </w:r>
      <w:r>
        <w:rPr>
          <w:rFonts w:ascii="Arial" w:cs="Arial" w:eastAsia="Arial" w:hAnsi="Arial"/>
          <w:sz w:val="16"/>
          <w:szCs w:val="16"/>
          <w:color w:val="auto"/>
        </w:rPr>
        <w:t>Except as otherwise provided in the applicable Award Agreement or other agreement between the Participant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twelve (12) months following such termination of Continuous Service,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55" w:lineRule="exact"/>
        <w:rPr>
          <w:rFonts w:ascii="Arial" w:cs="Arial" w:eastAsia="Arial" w:hAnsi="Arial"/>
          <w:sz w:val="16"/>
          <w:szCs w:val="16"/>
          <w:b w:val="1"/>
          <w:bCs w:val="1"/>
          <w:color w:val="auto"/>
        </w:rPr>
      </w:pPr>
    </w:p>
    <w:p>
      <w:pPr>
        <w:ind w:left="-20" w:firstLine="419"/>
        <w:spacing w:after="0" w:line="267" w:lineRule="auto"/>
        <w:tabs>
          <w:tab w:leader="none" w:pos="664" w:val="left"/>
        </w:tabs>
        <w:numPr>
          <w:ilvl w:val="0"/>
          <w:numId w:val="19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Death of Participant. </w:t>
      </w:r>
      <w:r>
        <w:rPr>
          <w:rFonts w:ascii="Arial" w:cs="Arial" w:eastAsia="Arial" w:hAnsi="Arial"/>
          <w:sz w:val="17"/>
          <w:szCs w:val="17"/>
          <w:color w:val="auto"/>
        </w:rPr>
        <w:t>Except as otherwise provided in the applicable Award Agreement or other agreement between the Participant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620"/>
          </w:cols>
          <w:pgMar w:left="640" w:top="265" w:right="639" w:bottom="1440" w:gutter="0" w:footer="0" w:header="0"/>
        </w:sectPr>
      </w:pPr>
    </w:p>
    <w:bookmarkStart w:id="323" w:name="page324"/>
    <w:bookmarkEnd w:id="323"/>
    <w:p>
      <w:pPr>
        <w:ind w:right="16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by a person who acquired the right to exercise the Option or SAR by bequest or inheritance or by a person designated to exercise the Option or SAR upon the Participant’s death, but only within the period ending on the earlier of (i) the date twelve (12) months following the date of death, and (ii) the expiration of the term of such Option or SAR as set forth in the Award Agreement. If, after the Participant’s death, the Option or SAR is not exercised within the applicable time frame, the Option or SAR (as applicable) will terminate.</w:t>
      </w:r>
    </w:p>
    <w:p>
      <w:pPr>
        <w:spacing w:after="0" w:line="67" w:lineRule="exact"/>
        <w:rPr>
          <w:sz w:val="20"/>
          <w:szCs w:val="20"/>
          <w:color w:val="auto"/>
        </w:rPr>
      </w:pPr>
    </w:p>
    <w:p>
      <w:pPr>
        <w:ind w:right="280" w:firstLine="419"/>
        <w:spacing w:after="0" w:line="270" w:lineRule="auto"/>
        <w:tabs>
          <w:tab w:leader="none" w:pos="636" w:val="left"/>
        </w:tabs>
        <w:numPr>
          <w:ilvl w:val="0"/>
          <w:numId w:val="19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for Cause. </w:t>
      </w:r>
      <w:r>
        <w:rPr>
          <w:rFonts w:ascii="Arial" w:cs="Arial" w:eastAsia="Arial" w:hAnsi="Arial"/>
          <w:sz w:val="17"/>
          <w:szCs w:val="17"/>
          <w:color w:val="auto"/>
        </w:rPr>
        <w:t>Except as explicitly provided otherwise in a Participant’s Award Agreement or other individual written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the Company or any Affiliate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time of such termination of Continuous Service.</w:t>
      </w:r>
    </w:p>
    <w:p>
      <w:pPr>
        <w:spacing w:after="0" w:line="63" w:lineRule="exact"/>
        <w:rPr>
          <w:rFonts w:ascii="Arial" w:cs="Arial" w:eastAsia="Arial" w:hAnsi="Arial"/>
          <w:sz w:val="17"/>
          <w:szCs w:val="17"/>
          <w:b w:val="1"/>
          <w:bCs w:val="1"/>
          <w:color w:val="auto"/>
        </w:rPr>
      </w:pPr>
    </w:p>
    <w:p>
      <w:pPr>
        <w:ind w:firstLine="419"/>
        <w:spacing w:after="0" w:line="280" w:lineRule="auto"/>
        <w:tabs>
          <w:tab w:leader="none" w:pos="645" w:val="left"/>
        </w:tabs>
        <w:numPr>
          <w:ilvl w:val="0"/>
          <w:numId w:val="19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Non-Exempt Employees. </w:t>
      </w:r>
      <w:r>
        <w:rPr>
          <w:rFonts w:ascii="Arial" w:cs="Arial" w:eastAsia="Arial" w:hAnsi="Arial"/>
          <w:sz w:val="16"/>
          <w:szCs w:val="16"/>
          <w:color w:val="auto"/>
        </w:rPr>
        <w:t>If an Option or SAR is granted to an Employee who is a non-exempt employee for purposes of the U.S. Fair Labor</w:t>
      </w:r>
      <w:r>
        <w:rPr>
          <w:rFonts w:ascii="Arial" w:cs="Arial" w:eastAsia="Arial" w:hAnsi="Arial"/>
          <w:sz w:val="16"/>
          <w:szCs w:val="16"/>
          <w:b w:val="1"/>
          <w:bCs w:val="1"/>
          <w:color w:val="auto"/>
        </w:rPr>
        <w:t xml:space="preserve"> </w:t>
      </w:r>
      <w:r>
        <w:rPr>
          <w:rFonts w:ascii="Arial" w:cs="Arial" w:eastAsia="Arial" w:hAnsi="Arial"/>
          <w:sz w:val="16"/>
          <w:szCs w:val="16"/>
          <w:color w:val="auto"/>
        </w:rPr>
        <w:t>Standards Act of 1938, as amended, the Option or SAR will not be first exercisable for any shares of Common Stock until at least six (6) months following the date of grant of the Option or SAR (although the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 exercised earlier than six (6) months following the date of grant. The foregoing provision is intended to operate so that any income derived by a non-exempt employee in connection with the exercise or vesting of an Option or SAR will be exempt from his or her regular rate of pay.</w:t>
      </w:r>
    </w:p>
    <w:p>
      <w:pPr>
        <w:spacing w:after="0" w:line="58" w:lineRule="exact"/>
        <w:rPr>
          <w:rFonts w:ascii="Arial" w:cs="Arial" w:eastAsia="Arial" w:hAnsi="Arial"/>
          <w:sz w:val="16"/>
          <w:szCs w:val="16"/>
          <w:b w:val="1"/>
          <w:bCs w:val="1"/>
          <w:color w:val="auto"/>
        </w:rPr>
      </w:pPr>
    </w:p>
    <w:p>
      <w:pPr>
        <w:ind w:right="60" w:firstLine="419"/>
        <w:spacing w:after="0" w:line="287" w:lineRule="auto"/>
        <w:tabs>
          <w:tab w:leader="none" w:pos="684" w:val="left"/>
        </w:tabs>
        <w:numPr>
          <w:ilvl w:val="0"/>
          <w:numId w:val="19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Early Exercise of Options. </w:t>
      </w:r>
      <w:r>
        <w:rPr>
          <w:rFonts w:ascii="Arial" w:cs="Arial" w:eastAsia="Arial" w:hAnsi="Arial"/>
          <w:sz w:val="16"/>
          <w:szCs w:val="16"/>
          <w:color w:val="auto"/>
        </w:rPr>
        <w:t>An Option may, but need not, include a provision whereby the Participant may elect at any time before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Continuous Service terminates to exercise the Option as to any part or all of the shares of Common Stock subject to the Option prior to the full vesting of the Option. The Company will not be required to exercise any repurchase right covering unvested shares until at least six (6) months (or such longer or shorter period of time required to avoid classification of the Option as a liability for financial accounting purposes) have elapsed following exercise of the Option unless the Board otherwise specifically provides in the Award Agreement.</w:t>
      </w:r>
    </w:p>
    <w:p>
      <w:pPr>
        <w:spacing w:after="0" w:line="52" w:lineRule="exact"/>
        <w:rPr>
          <w:rFonts w:ascii="Arial" w:cs="Arial" w:eastAsia="Arial" w:hAnsi="Arial"/>
          <w:sz w:val="16"/>
          <w:szCs w:val="16"/>
          <w:b w:val="1"/>
          <w:bCs w:val="1"/>
          <w:color w:val="auto"/>
        </w:rPr>
      </w:pPr>
    </w:p>
    <w:p>
      <w:pPr>
        <w:ind w:right="120" w:firstLine="419"/>
        <w:spacing w:after="0" w:line="265" w:lineRule="auto"/>
        <w:tabs>
          <w:tab w:leader="none" w:pos="636" w:val="left"/>
        </w:tabs>
        <w:numPr>
          <w:ilvl w:val="0"/>
          <w:numId w:val="19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Incentive Stock Option Limitations. </w:t>
      </w:r>
      <w:r>
        <w:rPr>
          <w:rFonts w:ascii="Arial" w:cs="Arial" w:eastAsia="Arial" w:hAnsi="Arial"/>
          <w:sz w:val="17"/>
          <w:szCs w:val="17"/>
          <w:color w:val="auto"/>
        </w:rPr>
        <w:t>To the extent that the aggregate Fair Market Value (determined at the time of grant) of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which Incentive Stock Options are exercisable for the first time by any Participant during any calendar year (under all plans of the Company and any Affiliates) exceeds one hundred thousand dollars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Award Agreement(s).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640"/>
          </w:cols>
          <w:pgMar w:left="620" w:top="271" w:right="639" w:bottom="1440" w:gutter="0" w:footer="0" w:header="0"/>
        </w:sectPr>
      </w:pPr>
    </w:p>
    <w:bookmarkStart w:id="324" w:name="page325"/>
    <w:bookmarkEnd w:id="324"/>
    <w:p>
      <w:pPr>
        <w:ind w:left="429" w:hanging="429"/>
        <w:spacing w:after="0"/>
        <w:tabs>
          <w:tab w:leader="none" w:pos="429" w:val="left"/>
        </w:tabs>
        <w:numPr>
          <w:ilvl w:val="0"/>
          <w:numId w:val="197"/>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w:t>
      </w:r>
      <w:r>
        <w:rPr>
          <w:rFonts w:ascii="Arial" w:cs="Arial" w:eastAsia="Arial" w:hAnsi="Arial"/>
          <w:sz w:val="14"/>
          <w:szCs w:val="14"/>
          <w:b w:val="1"/>
          <w:bCs w:val="1"/>
          <w:color w:val="auto"/>
        </w:rPr>
        <w:t>ROVISIONS OF</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WARDS</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THER THAN</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17"/>
          <w:szCs w:val="17"/>
          <w:b w:val="1"/>
          <w:bCs w:val="1"/>
          <w:color w:val="auto"/>
        </w:rPr>
        <w:t xml:space="preserve"> SAR</w:t>
      </w:r>
      <w:r>
        <w:rPr>
          <w:rFonts w:ascii="Arial" w:cs="Arial" w:eastAsia="Arial" w:hAnsi="Arial"/>
          <w:sz w:val="14"/>
          <w:szCs w:val="14"/>
          <w:b w:val="1"/>
          <w:bCs w:val="1"/>
          <w:color w:val="auto"/>
        </w:rPr>
        <w:t>S</w:t>
      </w:r>
      <w:r>
        <w:rPr>
          <w:rFonts w:ascii="Arial" w:cs="Arial" w:eastAsia="Arial" w:hAnsi="Arial"/>
          <w:sz w:val="17"/>
          <w:szCs w:val="17"/>
          <w:b w:val="1"/>
          <w:bCs w:val="1"/>
          <w:color w:val="auto"/>
        </w:rPr>
        <w:t>.</w:t>
      </w:r>
    </w:p>
    <w:p>
      <w:pPr>
        <w:spacing w:after="0" w:line="118" w:lineRule="exact"/>
        <w:rPr>
          <w:rFonts w:ascii="Arial" w:cs="Arial" w:eastAsia="Arial" w:hAnsi="Arial"/>
          <w:sz w:val="17"/>
          <w:szCs w:val="17"/>
          <w:b w:val="1"/>
          <w:bCs w:val="1"/>
          <w:color w:val="auto"/>
        </w:rPr>
      </w:pPr>
    </w:p>
    <w:p>
      <w:pPr>
        <w:ind w:left="9" w:right="120" w:firstLine="419"/>
        <w:spacing w:after="0" w:line="292" w:lineRule="auto"/>
        <w:tabs>
          <w:tab w:leader="none" w:pos="683" w:val="left"/>
        </w:tabs>
        <w:numPr>
          <w:ilvl w:val="1"/>
          <w:numId w:val="1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Restricted Stock Awards. </w:t>
      </w:r>
      <w:r>
        <w:rPr>
          <w:rFonts w:ascii="Arial" w:cs="Arial" w:eastAsia="Arial" w:hAnsi="Arial"/>
          <w:sz w:val="16"/>
          <w:szCs w:val="16"/>
          <w:color w:val="auto"/>
        </w:rPr>
        <w:t>Each Restricted Stock Award will be in such form and will contain such terms and conditions as the Board deems</w:t>
      </w:r>
      <w:r>
        <w:rPr>
          <w:rFonts w:ascii="Arial" w:cs="Arial" w:eastAsia="Arial" w:hAnsi="Arial"/>
          <w:sz w:val="16"/>
          <w:szCs w:val="16"/>
          <w:b w:val="1"/>
          <w:bCs w:val="1"/>
          <w:color w:val="auto"/>
        </w:rPr>
        <w:t xml:space="preserve"> </w:t>
      </w:r>
      <w:r>
        <w:rPr>
          <w:rFonts w:ascii="Arial" w:cs="Arial" w:eastAsia="Arial" w:hAnsi="Arial"/>
          <w:sz w:val="16"/>
          <w:szCs w:val="16"/>
          <w:color w:val="auto"/>
        </w:rPr>
        <w:t>appropriate. The terms and conditions of Restricted Stock Awards may change from time to time, and the terms and conditions of separate Award Agreements need not be identical. Each Award Agreement evidencing a Restricted Stock Award will conform to (through incorporation of the provisions hereof by reference in the agreement or otherwise) the substance of each of the following provisions:</w:t>
      </w:r>
    </w:p>
    <w:p>
      <w:pPr>
        <w:spacing w:after="0" w:line="47" w:lineRule="exact"/>
        <w:rPr>
          <w:rFonts w:ascii="Arial" w:cs="Arial" w:eastAsia="Arial" w:hAnsi="Arial"/>
          <w:sz w:val="16"/>
          <w:szCs w:val="16"/>
          <w:b w:val="1"/>
          <w:bCs w:val="1"/>
          <w:color w:val="auto"/>
        </w:rPr>
      </w:pPr>
    </w:p>
    <w:p>
      <w:pPr>
        <w:ind w:left="9" w:right="200" w:firstLine="846"/>
        <w:spacing w:after="0" w:line="276" w:lineRule="auto"/>
        <w:tabs>
          <w:tab w:leader="none" w:pos="1072" w:val="left"/>
        </w:tabs>
        <w:numPr>
          <w:ilvl w:val="2"/>
          <w:numId w:val="197"/>
        </w:numPr>
        <w:rPr>
          <w:rFonts w:ascii="Arial" w:cs="Arial" w:eastAsia="Arial" w:hAnsi="Arial"/>
          <w:sz w:val="17"/>
          <w:szCs w:val="17"/>
          <w:b w:val="1"/>
          <w:bCs w:val="1"/>
          <w:color w:val="auto"/>
        </w:rPr>
      </w:pPr>
      <w:r>
        <w:rPr>
          <w:rFonts w:ascii="Arial" w:cs="Arial" w:eastAsia="Arial" w:hAnsi="Arial"/>
          <w:sz w:val="17"/>
          <w:szCs w:val="17"/>
          <w:b w:val="1"/>
          <w:bCs w:val="1"/>
          <w:color w:val="auto"/>
        </w:rPr>
        <w:t>Consideration</w:t>
      </w:r>
      <w:r>
        <w:rPr>
          <w:rFonts w:ascii="Arial" w:cs="Arial" w:eastAsia="Arial" w:hAnsi="Arial"/>
          <w:sz w:val="17"/>
          <w:szCs w:val="17"/>
          <w:color w:val="auto"/>
        </w:rPr>
        <w:t>. A Restricted Stock Award may be awarded in consideration for (A) cash, check, bank draft or money order payable to</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(B) past services to the Company or an Affiliate, or (C) any other form of legal consideration (including future services) that may be acceptable to the Board, in its sole discretion, and permissible under Applicable Law.</w:t>
      </w:r>
    </w:p>
    <w:p>
      <w:pPr>
        <w:spacing w:after="0" w:line="58" w:lineRule="exact"/>
        <w:rPr>
          <w:rFonts w:ascii="Arial" w:cs="Arial" w:eastAsia="Arial" w:hAnsi="Arial"/>
          <w:sz w:val="17"/>
          <w:szCs w:val="17"/>
          <w:b w:val="1"/>
          <w:bCs w:val="1"/>
          <w:color w:val="auto"/>
        </w:rPr>
      </w:pPr>
    </w:p>
    <w:p>
      <w:pPr>
        <w:ind w:left="9" w:firstLine="846"/>
        <w:spacing w:after="0" w:line="301" w:lineRule="auto"/>
        <w:tabs>
          <w:tab w:leader="none" w:pos="1120" w:val="left"/>
        </w:tabs>
        <w:numPr>
          <w:ilvl w:val="2"/>
          <w:numId w:val="197"/>
        </w:numPr>
        <w:rPr>
          <w:rFonts w:ascii="Arial" w:cs="Arial" w:eastAsia="Arial" w:hAnsi="Arial"/>
          <w:sz w:val="16"/>
          <w:szCs w:val="16"/>
          <w:b w:val="1"/>
          <w:bCs w:val="1"/>
          <w:color w:val="auto"/>
        </w:rPr>
      </w:pPr>
      <w:r>
        <w:rPr>
          <w:rFonts w:ascii="Arial" w:cs="Arial" w:eastAsia="Arial" w:hAnsi="Arial"/>
          <w:sz w:val="16"/>
          <w:szCs w:val="16"/>
          <w:b w:val="1"/>
          <w:bCs w:val="1"/>
          <w:color w:val="auto"/>
        </w:rPr>
        <w:t>Transferability</w:t>
      </w:r>
      <w:r>
        <w:rPr>
          <w:rFonts w:ascii="Arial" w:cs="Arial" w:eastAsia="Arial" w:hAnsi="Arial"/>
          <w:sz w:val="16"/>
          <w:szCs w:val="16"/>
          <w:color w:val="auto"/>
        </w:rPr>
        <w:t>. Rights to acquire shares of Common Stock under the Restricted Award Agreement will be transferable by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only upon such terms and conditions as are set forth in the applicable Award Agreement, as the Board will determine in its sole discretion, so long as Common Stock awarded under the Restricted Stock Award remains subject to the terms of the applicable Award Agreement.</w:t>
      </w:r>
    </w:p>
    <w:p>
      <w:pPr>
        <w:spacing w:after="0" w:line="41" w:lineRule="exact"/>
        <w:rPr>
          <w:rFonts w:ascii="Arial" w:cs="Arial" w:eastAsia="Arial" w:hAnsi="Arial"/>
          <w:sz w:val="16"/>
          <w:szCs w:val="16"/>
          <w:b w:val="1"/>
          <w:bCs w:val="1"/>
          <w:color w:val="auto"/>
        </w:rPr>
      </w:pPr>
    </w:p>
    <w:p>
      <w:pPr>
        <w:ind w:left="9" w:right="60" w:firstLine="846"/>
        <w:spacing w:after="0" w:line="364" w:lineRule="auto"/>
        <w:tabs>
          <w:tab w:leader="none" w:pos="1168" w:val="left"/>
        </w:tabs>
        <w:numPr>
          <w:ilvl w:val="2"/>
          <w:numId w:val="19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Dividends. </w:t>
      </w:r>
      <w:r>
        <w:rPr>
          <w:rFonts w:ascii="Arial" w:cs="Arial" w:eastAsia="Arial" w:hAnsi="Arial"/>
          <w:sz w:val="15"/>
          <w:szCs w:val="15"/>
          <w:color w:val="auto"/>
        </w:rPr>
        <w:t>A Restricted Stock Award may provide that any dividends paid on shares of Common Stock subject to the Restricted Stock</w:t>
      </w:r>
      <w:r>
        <w:rPr>
          <w:rFonts w:ascii="Arial" w:cs="Arial" w:eastAsia="Arial" w:hAnsi="Arial"/>
          <w:sz w:val="15"/>
          <w:szCs w:val="15"/>
          <w:b w:val="1"/>
          <w:bCs w:val="1"/>
          <w:color w:val="auto"/>
        </w:rPr>
        <w:t xml:space="preserve"> </w:t>
      </w:r>
      <w:r>
        <w:rPr>
          <w:rFonts w:ascii="Arial" w:cs="Arial" w:eastAsia="Arial" w:hAnsi="Arial"/>
          <w:sz w:val="15"/>
          <w:szCs w:val="15"/>
          <w:color w:val="auto"/>
        </w:rPr>
        <w:t>Award will be subject to the same vesting and forfeiture restrictions as apply to the shares subject to the Restricted Stock Award to which they relate.</w:t>
      </w:r>
    </w:p>
    <w:p>
      <w:pPr>
        <w:ind w:left="9" w:right="180" w:firstLine="846"/>
        <w:spacing w:after="0" w:line="296" w:lineRule="auto"/>
        <w:tabs>
          <w:tab w:leader="none" w:pos="1159" w:val="left"/>
        </w:tabs>
        <w:numPr>
          <w:ilvl w:val="2"/>
          <w:numId w:val="197"/>
        </w:numPr>
        <w:rPr>
          <w:rFonts w:ascii="Arial" w:cs="Arial" w:eastAsia="Arial" w:hAnsi="Arial"/>
          <w:sz w:val="17"/>
          <w:szCs w:val="17"/>
          <w:b w:val="1"/>
          <w:bCs w:val="1"/>
          <w:color w:val="auto"/>
        </w:rPr>
      </w:pPr>
      <w:r>
        <w:rPr>
          <w:rFonts w:ascii="Arial" w:cs="Arial" w:eastAsia="Arial" w:hAnsi="Arial"/>
          <w:sz w:val="17"/>
          <w:szCs w:val="17"/>
          <w:b w:val="1"/>
          <w:bCs w:val="1"/>
          <w:color w:val="auto"/>
        </w:rPr>
        <w:t>Right of Repurchase</w:t>
      </w:r>
      <w:r>
        <w:rPr>
          <w:rFonts w:ascii="Arial" w:cs="Arial" w:eastAsia="Arial" w:hAnsi="Arial"/>
          <w:sz w:val="17"/>
          <w:szCs w:val="17"/>
          <w:color w:val="auto"/>
        </w:rPr>
        <w:t>. The Restricted Stock Award may include a provision whereby the Company may elect to repurchase all or any</w:t>
      </w:r>
      <w:r>
        <w:rPr>
          <w:rFonts w:ascii="Arial" w:cs="Arial" w:eastAsia="Arial" w:hAnsi="Arial"/>
          <w:sz w:val="17"/>
          <w:szCs w:val="17"/>
          <w:b w:val="1"/>
          <w:bCs w:val="1"/>
          <w:color w:val="auto"/>
        </w:rPr>
        <w:t xml:space="preserve"> </w:t>
      </w:r>
      <w:r>
        <w:rPr>
          <w:rFonts w:ascii="Arial" w:cs="Arial" w:eastAsia="Arial" w:hAnsi="Arial"/>
          <w:sz w:val="17"/>
          <w:szCs w:val="17"/>
          <w:color w:val="auto"/>
        </w:rPr>
        <w:t>part of the unvested shares of Common Stock acquired by the Participant pursuant to the Restricted Stock Award.</w:t>
      </w:r>
    </w:p>
    <w:p>
      <w:pPr>
        <w:spacing w:after="0" w:line="41" w:lineRule="exact"/>
        <w:rPr>
          <w:rFonts w:ascii="Arial" w:cs="Arial" w:eastAsia="Arial" w:hAnsi="Arial"/>
          <w:sz w:val="17"/>
          <w:szCs w:val="17"/>
          <w:b w:val="1"/>
          <w:bCs w:val="1"/>
          <w:color w:val="auto"/>
        </w:rPr>
      </w:pPr>
    </w:p>
    <w:p>
      <w:pPr>
        <w:jc w:val="both"/>
        <w:ind w:left="9" w:right="300" w:firstLine="419"/>
        <w:spacing w:after="0" w:line="317" w:lineRule="auto"/>
        <w:tabs>
          <w:tab w:leader="none" w:pos="693" w:val="left"/>
        </w:tabs>
        <w:numPr>
          <w:ilvl w:val="1"/>
          <w:numId w:val="19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Restricted Stock Unit Awards. </w:t>
      </w:r>
      <w:r>
        <w:rPr>
          <w:rFonts w:ascii="Arial" w:cs="Arial" w:eastAsia="Arial" w:hAnsi="Arial"/>
          <w:sz w:val="15"/>
          <w:szCs w:val="15"/>
          <w:color w:val="auto"/>
        </w:rPr>
        <w:t>Each Restricted Stock Unit Award will be in such form and will contain such terms and conditions as the</w:t>
      </w:r>
      <w:r>
        <w:rPr>
          <w:rFonts w:ascii="Arial" w:cs="Arial" w:eastAsia="Arial" w:hAnsi="Arial"/>
          <w:sz w:val="15"/>
          <w:szCs w:val="15"/>
          <w:b w:val="1"/>
          <w:bCs w:val="1"/>
          <w:color w:val="auto"/>
        </w:rPr>
        <w:t xml:space="preserve"> </w:t>
      </w:r>
      <w:r>
        <w:rPr>
          <w:rFonts w:ascii="Arial" w:cs="Arial" w:eastAsia="Arial" w:hAnsi="Arial"/>
          <w:sz w:val="15"/>
          <w:szCs w:val="15"/>
          <w:color w:val="auto"/>
        </w:rPr>
        <w:t>Board deems appropriate. The terms and conditions of Restricted Stock Unit Awards may change from time to time, and the terms and conditions of separate Restricted Stock Unit Awards need not be identical. Each Award Agreement evidencing a Restricted Stock Unit Award will conform to (through incorporation of the provisions hereof by reference in the Agreement or otherwise) the substance of each of the following provisions:</w:t>
      </w:r>
    </w:p>
    <w:p>
      <w:pPr>
        <w:spacing w:after="0" w:line="31" w:lineRule="exact"/>
        <w:rPr>
          <w:rFonts w:ascii="Arial" w:cs="Arial" w:eastAsia="Arial" w:hAnsi="Arial"/>
          <w:sz w:val="15"/>
          <w:szCs w:val="15"/>
          <w:b w:val="1"/>
          <w:bCs w:val="1"/>
          <w:color w:val="auto"/>
        </w:rPr>
      </w:pPr>
    </w:p>
    <w:p>
      <w:pPr>
        <w:jc w:val="both"/>
        <w:ind w:left="9" w:right="160" w:firstLine="846"/>
        <w:spacing w:after="0" w:line="270" w:lineRule="auto"/>
        <w:tabs>
          <w:tab w:leader="none" w:pos="1072" w:val="left"/>
        </w:tabs>
        <w:numPr>
          <w:ilvl w:val="2"/>
          <w:numId w:val="19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Consideration. </w:t>
      </w:r>
      <w:r>
        <w:rPr>
          <w:rFonts w:ascii="Arial" w:cs="Arial" w:eastAsia="Arial" w:hAnsi="Arial"/>
          <w:sz w:val="17"/>
          <w:szCs w:val="17"/>
          <w:color w:val="auto"/>
        </w:rPr>
        <w:t>At the time of grant of a Restricted Stock Unit Award, the Board will determine the consideration, if any, to be paid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63" w:lineRule="exact"/>
        <w:rPr>
          <w:rFonts w:ascii="Arial" w:cs="Arial" w:eastAsia="Arial" w:hAnsi="Arial"/>
          <w:sz w:val="17"/>
          <w:szCs w:val="17"/>
          <w:b w:val="1"/>
          <w:bCs w:val="1"/>
          <w:color w:val="auto"/>
        </w:rPr>
      </w:pPr>
    </w:p>
    <w:p>
      <w:pPr>
        <w:ind w:left="9" w:right="480" w:firstLine="846"/>
        <w:spacing w:after="0" w:line="330" w:lineRule="auto"/>
        <w:tabs>
          <w:tab w:leader="none" w:pos="1120" w:val="left"/>
        </w:tabs>
        <w:numPr>
          <w:ilvl w:val="2"/>
          <w:numId w:val="197"/>
        </w:numPr>
        <w:rPr>
          <w:rFonts w:ascii="Arial" w:cs="Arial" w:eastAsia="Arial" w:hAnsi="Arial"/>
          <w:sz w:val="16"/>
          <w:szCs w:val="16"/>
          <w:b w:val="1"/>
          <w:bCs w:val="1"/>
          <w:color w:val="auto"/>
        </w:rPr>
      </w:pPr>
      <w:r>
        <w:rPr>
          <w:rFonts w:ascii="Arial" w:cs="Arial" w:eastAsia="Arial" w:hAnsi="Arial"/>
          <w:sz w:val="16"/>
          <w:szCs w:val="16"/>
          <w:b w:val="1"/>
          <w:bCs w:val="1"/>
          <w:color w:val="auto"/>
        </w:rPr>
        <w:t>Settlement</w:t>
      </w:r>
      <w:r>
        <w:rPr>
          <w:rFonts w:ascii="Arial" w:cs="Arial" w:eastAsia="Arial" w:hAnsi="Arial"/>
          <w:sz w:val="16"/>
          <w:szCs w:val="16"/>
          <w:color w:val="auto"/>
        </w:rPr>
        <w:t>. A Restricted Stock Unit Award may be settled by the delivery of shares of Common Stock, their cash equivalent, any</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thereof or in any other form of consideration, as determined by the Board and contained in the applicable Award Agreement.</w:t>
      </w:r>
    </w:p>
    <w:p>
      <w:pPr>
        <w:spacing w:after="0" w:line="17" w:lineRule="exact"/>
        <w:rPr>
          <w:rFonts w:ascii="Arial" w:cs="Arial" w:eastAsia="Arial" w:hAnsi="Arial"/>
          <w:sz w:val="16"/>
          <w:szCs w:val="16"/>
          <w:b w:val="1"/>
          <w:bCs w:val="1"/>
          <w:color w:val="auto"/>
        </w:rPr>
      </w:pPr>
    </w:p>
    <w:p>
      <w:pPr>
        <w:ind w:left="9" w:right="20" w:firstLine="846"/>
        <w:spacing w:after="0" w:line="276" w:lineRule="auto"/>
        <w:tabs>
          <w:tab w:leader="none" w:pos="1168" w:val="left"/>
        </w:tabs>
        <w:numPr>
          <w:ilvl w:val="2"/>
          <w:numId w:val="19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Additional Restrictions. </w:t>
      </w:r>
      <w:r>
        <w:rPr>
          <w:rFonts w:ascii="Arial" w:cs="Arial" w:eastAsia="Arial" w:hAnsi="Arial"/>
          <w:sz w:val="17"/>
          <w:szCs w:val="17"/>
          <w:color w:val="auto"/>
        </w:rPr>
        <w:t>At the time of the grant of a Restricted Stock Unit Award, the Board, as it deems appropriate, may impose</w:t>
      </w:r>
      <w:r>
        <w:rPr>
          <w:rFonts w:ascii="Arial" w:cs="Arial" w:eastAsia="Arial" w:hAnsi="Arial"/>
          <w:sz w:val="17"/>
          <w:szCs w:val="17"/>
          <w:b w:val="1"/>
          <w:bCs w:val="1"/>
          <w:color w:val="auto"/>
        </w:rPr>
        <w:t xml:space="preserve"> </w:t>
      </w:r>
      <w:r>
        <w:rPr>
          <w:rFonts w:ascii="Arial" w:cs="Arial" w:eastAsia="Arial" w:hAnsi="Arial"/>
          <w:sz w:val="17"/>
          <w:szCs w:val="17"/>
          <w:color w:val="auto"/>
        </w:rPr>
        <w:t>such restrictions or conditions that delay the delivery of the shares of Common Stock (or their cash equivalent) subject to a Restricted Stock Unit Award to a time after the vesting of such Restricted Stock Unit Award.</w:t>
      </w:r>
    </w:p>
    <w:p>
      <w:pPr>
        <w:spacing w:after="0" w:line="104" w:lineRule="exact"/>
        <w:rPr>
          <w:sz w:val="20"/>
          <w:szCs w:val="20"/>
          <w:color w:val="auto"/>
        </w:rPr>
      </w:pPr>
    </w:p>
    <w:p>
      <w:pPr>
        <w:jc w:val="center"/>
        <w:ind w:right="-28"/>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649"/>
          </w:cols>
          <w:pgMar w:left="611" w:top="265" w:right="639" w:bottom="1440" w:gutter="0" w:footer="0" w:header="0"/>
        </w:sectPr>
      </w:pPr>
    </w:p>
    <w:bookmarkStart w:id="325" w:name="page326"/>
    <w:bookmarkEnd w:id="325"/>
    <w:p>
      <w:pPr>
        <w:ind w:left="9" w:firstLine="846"/>
        <w:spacing w:after="0" w:line="287" w:lineRule="auto"/>
        <w:tabs>
          <w:tab w:leader="none" w:pos="1159" w:val="left"/>
        </w:tabs>
        <w:numPr>
          <w:ilvl w:val="2"/>
          <w:numId w:val="19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Dividend Equivalents. </w:t>
      </w:r>
      <w:r>
        <w:rPr>
          <w:rFonts w:ascii="Arial" w:cs="Arial" w:eastAsia="Arial" w:hAnsi="Arial"/>
          <w:sz w:val="16"/>
          <w:szCs w:val="16"/>
          <w:color w:val="auto"/>
        </w:rPr>
        <w:t>Dividend equivalents may be credited in respect of shares of Common Stock covered by a Restricted Stock Unit</w:t>
      </w:r>
      <w:r>
        <w:rPr>
          <w:rFonts w:ascii="Arial" w:cs="Arial" w:eastAsia="Arial" w:hAnsi="Arial"/>
          <w:sz w:val="16"/>
          <w:szCs w:val="16"/>
          <w:b w:val="1"/>
          <w:bCs w:val="1"/>
          <w:color w:val="auto"/>
        </w:rPr>
        <w:t xml:space="preserve"> </w:t>
      </w:r>
      <w:r>
        <w:rPr>
          <w:rFonts w:ascii="Arial" w:cs="Arial" w:eastAsia="Arial" w:hAnsi="Arial"/>
          <w:sz w:val="16"/>
          <w:szCs w:val="16"/>
          <w:color w:val="auto"/>
        </w:rPr>
        <w:t>Award, as determined by the Board and contained in the applicable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52" w:lineRule="exact"/>
        <w:rPr>
          <w:rFonts w:ascii="Arial" w:cs="Arial" w:eastAsia="Arial" w:hAnsi="Arial"/>
          <w:sz w:val="16"/>
          <w:szCs w:val="16"/>
          <w:b w:val="1"/>
          <w:bCs w:val="1"/>
          <w:color w:val="auto"/>
        </w:rPr>
      </w:pPr>
    </w:p>
    <w:p>
      <w:pPr>
        <w:ind w:left="9" w:right="80" w:firstLine="419"/>
        <w:spacing w:after="0" w:line="263" w:lineRule="auto"/>
        <w:tabs>
          <w:tab w:leader="none" w:pos="673" w:val="left"/>
        </w:tabs>
        <w:numPr>
          <w:ilvl w:val="1"/>
          <w:numId w:val="19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Performance Awards. </w:t>
      </w:r>
      <w:r>
        <w:rPr>
          <w:rFonts w:ascii="Arial" w:cs="Arial" w:eastAsia="Arial" w:hAnsi="Arial"/>
          <w:sz w:val="17"/>
          <w:szCs w:val="17"/>
          <w:color w:val="auto"/>
        </w:rPr>
        <w:t>A Performance Award is an Award that may be granted, may vest or may be exercised contingent upon the attainment</w:t>
      </w:r>
      <w:r>
        <w:rPr>
          <w:rFonts w:ascii="Arial" w:cs="Arial" w:eastAsia="Arial" w:hAnsi="Arial"/>
          <w:sz w:val="17"/>
          <w:szCs w:val="17"/>
          <w:b w:val="1"/>
          <w:bCs w:val="1"/>
          <w:color w:val="auto"/>
        </w:rPr>
        <w:t xml:space="preserve"> </w:t>
      </w:r>
      <w:r>
        <w:rPr>
          <w:rFonts w:ascii="Arial" w:cs="Arial" w:eastAsia="Arial" w:hAnsi="Arial"/>
          <w:sz w:val="17"/>
          <w:szCs w:val="17"/>
          <w:color w:val="auto"/>
        </w:rPr>
        <w:t>during a Performance Period of certain Performance Goals. A Performance Award may but need not require the Participant’s completion of a specified period of Continuous Service. The length of any Performance Period, the Performance Goals to be achieved during the Performance Period, the manner of calculating the Performance Criteria and the measure of whether and to what degree such Performance Goals have been attained will be conclusively determined by the Board in its sole discretion. The Board may adjust or eliminate the compensation or economic benefit due upon attainment of Performance Goals. In addition, to the extent permitted by Applicable Law and the applicable Award Agreement, the Board may determine that cash may be used in payment of Performance Awards.</w:t>
      </w:r>
    </w:p>
    <w:p>
      <w:pPr>
        <w:spacing w:after="0" w:line="71" w:lineRule="exact"/>
        <w:rPr>
          <w:rFonts w:ascii="Arial" w:cs="Arial" w:eastAsia="Arial" w:hAnsi="Arial"/>
          <w:sz w:val="17"/>
          <w:szCs w:val="17"/>
          <w:b w:val="1"/>
          <w:bCs w:val="1"/>
          <w:color w:val="auto"/>
        </w:rPr>
      </w:pPr>
    </w:p>
    <w:p>
      <w:pPr>
        <w:ind w:left="9" w:right="20" w:firstLine="419"/>
        <w:spacing w:after="0" w:line="284" w:lineRule="auto"/>
        <w:tabs>
          <w:tab w:leader="none" w:pos="693" w:val="left"/>
        </w:tabs>
        <w:numPr>
          <w:ilvl w:val="1"/>
          <w:numId w:val="199"/>
        </w:numPr>
        <w:rPr>
          <w:rFonts w:ascii="Arial" w:cs="Arial" w:eastAsia="Arial" w:hAnsi="Arial"/>
          <w:sz w:val="16"/>
          <w:szCs w:val="16"/>
          <w:b w:val="1"/>
          <w:bCs w:val="1"/>
          <w:color w:val="auto"/>
        </w:rPr>
      </w:pPr>
      <w:r>
        <w:rPr>
          <w:rFonts w:ascii="Arial" w:cs="Arial" w:eastAsia="Arial" w:hAnsi="Arial"/>
          <w:sz w:val="16"/>
          <w:szCs w:val="16"/>
          <w:b w:val="1"/>
          <w:bCs w:val="1"/>
          <w:color w:val="auto"/>
        </w:rPr>
        <w:t>Other Stock Awards</w:t>
      </w:r>
      <w:r>
        <w:rPr>
          <w:rFonts w:ascii="Arial" w:cs="Arial" w:eastAsia="Arial" w:hAnsi="Arial"/>
          <w:sz w:val="16"/>
          <w:szCs w:val="16"/>
          <w:color w:val="auto"/>
        </w:rPr>
        <w:t>. Other forms of Awards valued in whole or in part by reference to, or otherwise based on, Common Stock, including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appreciation in value thereof (e.g., options or stock rights with an exercise price or strike price less than one hundred percent (100%) of the Fair Market Value of the Common Stock at the time of grant) may be granted either alone or in addition to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304" w:lineRule="exact"/>
        <w:rPr>
          <w:rFonts w:ascii="Arial" w:cs="Arial" w:eastAsia="Arial" w:hAnsi="Arial"/>
          <w:sz w:val="16"/>
          <w:szCs w:val="16"/>
          <w:b w:val="1"/>
          <w:bCs w:val="1"/>
          <w:color w:val="auto"/>
        </w:rPr>
      </w:pPr>
    </w:p>
    <w:p>
      <w:pPr>
        <w:ind w:left="429" w:hanging="429"/>
        <w:spacing w:after="0"/>
        <w:tabs>
          <w:tab w:leader="none" w:pos="429" w:val="left"/>
        </w:tabs>
        <w:numPr>
          <w:ilvl w:val="0"/>
          <w:numId w:val="200"/>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4"/>
          <w:szCs w:val="14"/>
          <w:b w:val="1"/>
          <w:bCs w:val="1"/>
          <w:color w:val="auto"/>
        </w:rPr>
        <w:t>OVENANTS OF THE</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7"/>
          <w:szCs w:val="17"/>
          <w:b w:val="1"/>
          <w:bCs w:val="1"/>
          <w:color w:val="auto"/>
        </w:rPr>
        <w:t>.</w:t>
      </w:r>
    </w:p>
    <w:p>
      <w:pPr>
        <w:spacing w:after="0" w:line="118" w:lineRule="exact"/>
        <w:rPr>
          <w:rFonts w:ascii="Arial" w:cs="Arial" w:eastAsia="Arial" w:hAnsi="Arial"/>
          <w:sz w:val="17"/>
          <w:szCs w:val="17"/>
          <w:b w:val="1"/>
          <w:bCs w:val="1"/>
          <w:color w:val="auto"/>
        </w:rPr>
      </w:pPr>
    </w:p>
    <w:p>
      <w:pPr>
        <w:ind w:left="9" w:right="240" w:firstLine="419"/>
        <w:spacing w:after="0" w:line="296" w:lineRule="auto"/>
        <w:tabs>
          <w:tab w:leader="none" w:pos="683" w:val="left"/>
        </w:tabs>
        <w:numPr>
          <w:ilvl w:val="1"/>
          <w:numId w:val="20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Availability of Shares. </w:t>
      </w:r>
      <w:r>
        <w:rPr>
          <w:rFonts w:ascii="Arial" w:cs="Arial" w:eastAsia="Arial" w:hAnsi="Arial"/>
          <w:sz w:val="17"/>
          <w:szCs w:val="17"/>
          <w:color w:val="auto"/>
        </w:rPr>
        <w:t>The Company will keep available at all times the number of shares of Common Stock reasonably required to satisfy</w:t>
      </w:r>
      <w:r>
        <w:rPr>
          <w:rFonts w:ascii="Arial" w:cs="Arial" w:eastAsia="Arial" w:hAnsi="Arial"/>
          <w:sz w:val="17"/>
          <w:szCs w:val="17"/>
          <w:b w:val="1"/>
          <w:bCs w:val="1"/>
          <w:color w:val="auto"/>
        </w:rPr>
        <w:t xml:space="preserve"> </w:t>
      </w:r>
      <w:r>
        <w:rPr>
          <w:rFonts w:ascii="Arial" w:cs="Arial" w:eastAsia="Arial" w:hAnsi="Arial"/>
          <w:sz w:val="17"/>
          <w:szCs w:val="17"/>
          <w:color w:val="auto"/>
        </w:rPr>
        <w:t>then-outstanding Awards.</w:t>
      </w:r>
    </w:p>
    <w:p>
      <w:pPr>
        <w:spacing w:after="0" w:line="41" w:lineRule="exact"/>
        <w:rPr>
          <w:rFonts w:ascii="Arial" w:cs="Arial" w:eastAsia="Arial" w:hAnsi="Arial"/>
          <w:sz w:val="17"/>
          <w:szCs w:val="17"/>
          <w:b w:val="1"/>
          <w:bCs w:val="1"/>
          <w:color w:val="auto"/>
        </w:rPr>
      </w:pPr>
    </w:p>
    <w:p>
      <w:pPr>
        <w:ind w:left="9" w:right="80" w:firstLine="419"/>
        <w:spacing w:after="0" w:line="281" w:lineRule="auto"/>
        <w:tabs>
          <w:tab w:leader="none" w:pos="693" w:val="left"/>
        </w:tabs>
        <w:numPr>
          <w:ilvl w:val="1"/>
          <w:numId w:val="20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w:t>
      </w:r>
      <w:r>
        <w:rPr>
          <w:rFonts w:ascii="Arial" w:cs="Arial" w:eastAsia="Arial" w:hAnsi="Arial"/>
          <w:sz w:val="16"/>
          <w:szCs w:val="16"/>
          <w:color w:val="auto"/>
        </w:rPr>
        <w:t>The Company will seek to obtain from each regulatory commission or agency having jurisdiction over the Plan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authority as may be required to grant Awards and to issue and sell shares of Common Stock upon exercise or vesting of the Awards;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this undertaking will not require the Company to register the Plan, any Award or any Common Stock issued or issuable pursuant to any such Award under the Securities Act or other Applicable Law.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will not be eligible for the grant of an Award or the subsequent issuance of cash or Common Stock pursuant to the Award if such grant or issuance would be in violation of any Applicable Law.</w:t>
      </w:r>
    </w:p>
    <w:p>
      <w:pPr>
        <w:spacing w:after="0" w:line="57" w:lineRule="exact"/>
        <w:rPr>
          <w:rFonts w:ascii="Arial" w:cs="Arial" w:eastAsia="Arial" w:hAnsi="Arial"/>
          <w:sz w:val="16"/>
          <w:szCs w:val="16"/>
          <w:b w:val="1"/>
          <w:bCs w:val="1"/>
          <w:color w:val="auto"/>
        </w:rPr>
      </w:pPr>
    </w:p>
    <w:p>
      <w:pPr>
        <w:jc w:val="both"/>
        <w:ind w:left="9" w:right="140" w:firstLine="419"/>
        <w:spacing w:after="0" w:line="270" w:lineRule="auto"/>
        <w:tabs>
          <w:tab w:leader="none" w:pos="673" w:val="left"/>
        </w:tabs>
        <w:numPr>
          <w:ilvl w:val="1"/>
          <w:numId w:val="20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Obligation to Notify or Minimize Taxes. </w:t>
      </w:r>
      <w:r>
        <w:rPr>
          <w:rFonts w:ascii="Arial" w:cs="Arial" w:eastAsia="Arial" w:hAnsi="Arial"/>
          <w:sz w:val="17"/>
          <w:szCs w:val="17"/>
          <w:color w:val="auto"/>
        </w:rPr>
        <w:t>The Company will have no duty or obligation to any Participant to advise such holder as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time or manner or tax treatment of exercising such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108"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689"/>
          </w:cols>
          <w:pgMar w:left="611" w:top="265" w:right="599" w:bottom="1440" w:gutter="0" w:footer="0" w:header="0"/>
        </w:sectPr>
      </w:pPr>
    </w:p>
    <w:bookmarkStart w:id="326" w:name="page327"/>
    <w:bookmarkEnd w:id="326"/>
    <w:p>
      <w:pPr>
        <w:ind w:left="429" w:hanging="429"/>
        <w:spacing w:after="0"/>
        <w:tabs>
          <w:tab w:leader="none" w:pos="429" w:val="left"/>
        </w:tabs>
        <w:numPr>
          <w:ilvl w:val="0"/>
          <w:numId w:val="201"/>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w:t>
      </w:r>
      <w:r>
        <w:rPr>
          <w:rFonts w:ascii="Arial" w:cs="Arial" w:eastAsia="Arial" w:hAnsi="Arial"/>
          <w:sz w:val="14"/>
          <w:szCs w:val="14"/>
          <w:b w:val="1"/>
          <w:bCs w:val="1"/>
          <w:color w:val="auto"/>
        </w:rPr>
        <w:t>AX</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ITHHOLDING AND</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ESPONSIBILITY FOR</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AXES</w:t>
      </w:r>
      <w:r>
        <w:rPr>
          <w:rFonts w:ascii="Arial" w:cs="Arial" w:eastAsia="Arial" w:hAnsi="Arial"/>
          <w:sz w:val="17"/>
          <w:szCs w:val="17"/>
          <w:b w:val="1"/>
          <w:bCs w:val="1"/>
          <w:color w:val="auto"/>
        </w:rPr>
        <w:t>.</w:t>
      </w:r>
    </w:p>
    <w:p>
      <w:pPr>
        <w:spacing w:after="0" w:line="118" w:lineRule="exact"/>
        <w:rPr>
          <w:rFonts w:ascii="Arial" w:cs="Arial" w:eastAsia="Arial" w:hAnsi="Arial"/>
          <w:sz w:val="17"/>
          <w:szCs w:val="17"/>
          <w:b w:val="1"/>
          <w:bCs w:val="1"/>
          <w:color w:val="auto"/>
        </w:rPr>
      </w:pPr>
    </w:p>
    <w:p>
      <w:pPr>
        <w:ind w:left="9" w:right="200" w:firstLine="419"/>
        <w:spacing w:after="0" w:line="279" w:lineRule="auto"/>
        <w:tabs>
          <w:tab w:leader="none" w:pos="683" w:val="left"/>
        </w:tabs>
        <w:numPr>
          <w:ilvl w:val="1"/>
          <w:numId w:val="20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Satisfaction of Withholding Obligation. </w:t>
      </w:r>
      <w:r>
        <w:rPr>
          <w:rFonts w:ascii="Arial" w:cs="Arial" w:eastAsia="Arial" w:hAnsi="Arial"/>
          <w:sz w:val="16"/>
          <w:szCs w:val="16"/>
          <w:color w:val="auto"/>
        </w:rPr>
        <w:t>Unless otherwise provided in an Award Agreement, and subject to Applicable Law,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may, in its sole discretion, satisfy any U.S. or non-U.S. obligation to withhold any Tax-Related Items relating to an Award by any of the following means or by a combination of such means: (i) causing the Participant to tender a cash payment; (ii) withholding shares of Common Stock from the shares issued or otherwise issuable to the Participant in connection with the Award; (iii) withholding cash from an Award settled in cash;</w:t>
      </w:r>
    </w:p>
    <w:p>
      <w:pPr>
        <w:jc w:val="both"/>
        <w:ind w:left="9" w:right="20"/>
        <w:spacing w:after="0" w:line="265" w:lineRule="auto"/>
        <w:rPr>
          <w:rFonts w:ascii="Arial" w:cs="Arial" w:eastAsia="Arial" w:hAnsi="Arial"/>
          <w:sz w:val="16"/>
          <w:szCs w:val="16"/>
          <w:b w:val="1"/>
          <w:bCs w:val="1"/>
          <w:color w:val="auto"/>
        </w:rPr>
      </w:pPr>
      <w:r>
        <w:rPr>
          <w:rFonts w:ascii="Arial" w:cs="Arial" w:eastAsia="Arial" w:hAnsi="Arial"/>
          <w:sz w:val="17"/>
          <w:szCs w:val="17"/>
          <w:color w:val="auto"/>
        </w:rPr>
        <w:t>(iv) withholding payment from any amounts otherwise payable to the Participant; or (v) withholding from the proceeds of the sale of shares of Common Stock acquired at exercise or settlement of an Award and sold either through a voluntary sale or through a mandatory sale arranged by the Company (on the Participant’s behalf without further consent).</w:t>
      </w:r>
    </w:p>
    <w:p>
      <w:pPr>
        <w:spacing w:after="0" w:line="67" w:lineRule="exact"/>
        <w:rPr>
          <w:rFonts w:ascii="Arial" w:cs="Arial" w:eastAsia="Arial" w:hAnsi="Arial"/>
          <w:sz w:val="16"/>
          <w:szCs w:val="16"/>
          <w:b w:val="1"/>
          <w:bCs w:val="1"/>
          <w:color w:val="auto"/>
        </w:rPr>
      </w:pPr>
    </w:p>
    <w:p>
      <w:pPr>
        <w:ind w:left="9" w:right="20" w:firstLine="419"/>
        <w:spacing w:after="0" w:line="262" w:lineRule="auto"/>
        <w:tabs>
          <w:tab w:leader="none" w:pos="693" w:val="left"/>
        </w:tabs>
        <w:numPr>
          <w:ilvl w:val="1"/>
          <w:numId w:val="20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Withholding Tax Rates. </w:t>
      </w:r>
      <w:r>
        <w:rPr>
          <w:rFonts w:ascii="Arial" w:cs="Arial" w:eastAsia="Arial" w:hAnsi="Arial"/>
          <w:sz w:val="17"/>
          <w:szCs w:val="17"/>
          <w:color w:val="auto"/>
        </w:rPr>
        <w:t>Depending on the withholding method, the Company or an Affiliate may withhold or account for Tax-Related Items</w:t>
      </w:r>
      <w:r>
        <w:rPr>
          <w:rFonts w:ascii="Arial" w:cs="Arial" w:eastAsia="Arial" w:hAnsi="Arial"/>
          <w:sz w:val="17"/>
          <w:szCs w:val="17"/>
          <w:b w:val="1"/>
          <w:bCs w:val="1"/>
          <w:color w:val="auto"/>
        </w:rPr>
        <w:t xml:space="preserve"> </w:t>
      </w:r>
      <w:r>
        <w:rPr>
          <w:rFonts w:ascii="Arial" w:cs="Arial" w:eastAsia="Arial" w:hAnsi="Arial"/>
          <w:sz w:val="17"/>
          <w:szCs w:val="17"/>
          <w:color w:val="auto"/>
        </w:rPr>
        <w:t>by considering applicable minimum statutory withholding amounts or other applicable withholding rates, including maximum applicable rates, in which case a Participant may receive a refund of any over-withheld amount in cash and will have no entitlement to the Common Stock equivalent. If the obligation for Tax-Related Items is satisfied by withholding a number of shares of Common Stock, for tax purposes, a Participant is deemed to have been issued the full number of shares of Common Stock, notwithstanding that a number of the shares of Common Stock is held back solely for the purpose of paying the Tax-Related Items. In the event that the amount of the Company’s withholding obligation in connection with such Award was greater than the amount actually withheld by the Company, a Participant will indemnify and hold the Company harmless from any failure by the Company to withhold the proper amount.</w:t>
      </w:r>
    </w:p>
    <w:p>
      <w:pPr>
        <w:spacing w:after="0" w:line="322" w:lineRule="exact"/>
        <w:rPr>
          <w:rFonts w:ascii="Arial" w:cs="Arial" w:eastAsia="Arial" w:hAnsi="Arial"/>
          <w:sz w:val="17"/>
          <w:szCs w:val="17"/>
          <w:b w:val="1"/>
          <w:bCs w:val="1"/>
          <w:color w:val="auto"/>
        </w:rPr>
      </w:pPr>
    </w:p>
    <w:p>
      <w:pPr>
        <w:ind w:left="429" w:hanging="429"/>
        <w:spacing w:after="0"/>
        <w:tabs>
          <w:tab w:leader="none" w:pos="429" w:val="left"/>
        </w:tabs>
        <w:numPr>
          <w:ilvl w:val="0"/>
          <w:numId w:val="201"/>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4"/>
          <w:szCs w:val="14"/>
          <w:b w:val="1"/>
          <w:bCs w:val="1"/>
          <w:color w:val="auto"/>
        </w:rPr>
        <w:t>ENERAL</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ROVISIONS</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PPLICABLE TO</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LL</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WARDS</w:t>
      </w:r>
      <w:r>
        <w:rPr>
          <w:rFonts w:ascii="Arial" w:cs="Arial" w:eastAsia="Arial" w:hAnsi="Arial"/>
          <w:sz w:val="17"/>
          <w:szCs w:val="17"/>
          <w:b w:val="1"/>
          <w:bCs w:val="1"/>
          <w:color w:val="auto"/>
        </w:rPr>
        <w:t>.</w:t>
      </w:r>
    </w:p>
    <w:p>
      <w:pPr>
        <w:spacing w:after="0" w:line="118" w:lineRule="exact"/>
        <w:rPr>
          <w:rFonts w:ascii="Arial" w:cs="Arial" w:eastAsia="Arial" w:hAnsi="Arial"/>
          <w:sz w:val="17"/>
          <w:szCs w:val="17"/>
          <w:b w:val="1"/>
          <w:bCs w:val="1"/>
          <w:color w:val="auto"/>
        </w:rPr>
      </w:pPr>
    </w:p>
    <w:p>
      <w:pPr>
        <w:ind w:left="9" w:right="60" w:firstLine="419"/>
        <w:spacing w:after="0" w:line="306" w:lineRule="auto"/>
        <w:tabs>
          <w:tab w:leader="none" w:pos="683" w:val="left"/>
        </w:tabs>
        <w:numPr>
          <w:ilvl w:val="1"/>
          <w:numId w:val="20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Corporate Action Constituting Grant of Awards. </w:t>
      </w:r>
      <w:r>
        <w:rPr>
          <w:rFonts w:ascii="Arial" w:cs="Arial" w:eastAsia="Arial" w:hAnsi="Arial"/>
          <w:sz w:val="15"/>
          <w:szCs w:val="15"/>
          <w:color w:val="auto"/>
        </w:rPr>
        <w:t>Corporate action constituting a grant by the Company of an Award to any Participant will</w:t>
      </w:r>
      <w:r>
        <w:rPr>
          <w:rFonts w:ascii="Arial" w:cs="Arial" w:eastAsia="Arial" w:hAnsi="Arial"/>
          <w:sz w:val="15"/>
          <w:szCs w:val="15"/>
          <w:b w:val="1"/>
          <w:bCs w:val="1"/>
          <w:color w:val="auto"/>
        </w:rPr>
        <w:t xml:space="preserve"> </w:t>
      </w:r>
      <w:r>
        <w:rPr>
          <w:rFonts w:ascii="Arial" w:cs="Arial" w:eastAsia="Arial" w:hAnsi="Arial"/>
          <w:sz w:val="15"/>
          <w:szCs w:val="15"/>
          <w:color w:val="auto"/>
        </w:rPr>
        <w:t>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Agreement as a result of a clerical error in the papering of the Award Agreement, the corporate records will control and the Participant will have no legally binding right to the incorrect term in the Award Agreement.</w:t>
      </w:r>
    </w:p>
    <w:p>
      <w:pPr>
        <w:spacing w:after="0" w:line="42" w:lineRule="exact"/>
        <w:rPr>
          <w:rFonts w:ascii="Arial" w:cs="Arial" w:eastAsia="Arial" w:hAnsi="Arial"/>
          <w:sz w:val="15"/>
          <w:szCs w:val="15"/>
          <w:b w:val="1"/>
          <w:bCs w:val="1"/>
          <w:color w:val="auto"/>
        </w:rPr>
      </w:pPr>
    </w:p>
    <w:p>
      <w:pPr>
        <w:ind w:left="9" w:right="220" w:firstLine="419"/>
        <w:spacing w:after="0" w:line="276" w:lineRule="auto"/>
        <w:tabs>
          <w:tab w:leader="none" w:pos="693" w:val="left"/>
        </w:tabs>
        <w:numPr>
          <w:ilvl w:val="1"/>
          <w:numId w:val="20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Vesting. </w:t>
      </w:r>
      <w:r>
        <w:rPr>
          <w:rFonts w:ascii="Arial" w:cs="Arial" w:eastAsia="Arial" w:hAnsi="Arial"/>
          <w:sz w:val="17"/>
          <w:szCs w:val="17"/>
          <w:color w:val="auto"/>
        </w:rPr>
        <w:t>The total number of shares of Common Stock subject to an Award may vest in periodic installments that may or may not be equal,</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vesting provisions of individual Awards may vary. The Board may also impose such restrictions on or conditions to the vesting and/or exercisability of an Award in its sole discretion.</w:t>
      </w:r>
    </w:p>
    <w:p>
      <w:pPr>
        <w:spacing w:after="0" w:line="58" w:lineRule="exact"/>
        <w:rPr>
          <w:rFonts w:ascii="Arial" w:cs="Arial" w:eastAsia="Arial" w:hAnsi="Arial"/>
          <w:sz w:val="17"/>
          <w:szCs w:val="17"/>
          <w:b w:val="1"/>
          <w:bCs w:val="1"/>
          <w:color w:val="auto"/>
        </w:rPr>
      </w:pPr>
    </w:p>
    <w:p>
      <w:pPr>
        <w:ind w:left="9" w:firstLine="419"/>
        <w:spacing w:after="0" w:line="267" w:lineRule="auto"/>
        <w:tabs>
          <w:tab w:leader="none" w:pos="673" w:val="left"/>
        </w:tabs>
        <w:numPr>
          <w:ilvl w:val="1"/>
          <w:numId w:val="20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Continuous Service. </w:t>
      </w:r>
      <w:r>
        <w:rPr>
          <w:rFonts w:ascii="Arial" w:cs="Arial" w:eastAsia="Arial" w:hAnsi="Arial"/>
          <w:sz w:val="17"/>
          <w:szCs w:val="17"/>
          <w:color w:val="auto"/>
        </w:rPr>
        <w:t>Except as otherwise provided in the applicable Award Agreement or as determined by the Board, if a</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Participant’s Continuous Service terminates for any reason, vesting of an Award will cease and such portion of an Award that has not vested will be forfeited, and the Participant will have no further right, title or interest in any then-unvested portion of the Award. In addition, the Company may receive through a forfeiture condition or a repurchase right any or all of the shares of Common Stock held by the Participant that have not vested as of the date of such termination, subject to the terms of the applicable Award Agreement.</w:t>
      </w:r>
    </w:p>
    <w:p>
      <w:pPr>
        <w:spacing w:after="0" w:line="110" w:lineRule="exact"/>
        <w:rPr>
          <w:sz w:val="20"/>
          <w:szCs w:val="20"/>
          <w:color w:val="auto"/>
        </w:rPr>
      </w:pPr>
    </w:p>
    <w:p>
      <w:pPr>
        <w:jc w:val="center"/>
        <w:ind w:right="-28"/>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649"/>
          </w:cols>
          <w:pgMar w:left="611" w:top="265" w:right="639" w:bottom="1440" w:gutter="0" w:footer="0" w:header="0"/>
        </w:sectPr>
      </w:pPr>
    </w:p>
    <w:bookmarkStart w:id="327" w:name="page328"/>
    <w:bookmarkEnd w:id="327"/>
    <w:p>
      <w:pPr>
        <w:ind w:left="9" w:right="20" w:firstLine="419"/>
        <w:spacing w:after="0" w:line="297" w:lineRule="auto"/>
        <w:tabs>
          <w:tab w:leader="none" w:pos="693" w:val="left"/>
        </w:tabs>
        <w:numPr>
          <w:ilvl w:val="1"/>
          <w:numId w:val="202"/>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Transfer Restrictions. </w:t>
      </w:r>
      <w:r>
        <w:rPr>
          <w:rFonts w:ascii="Arial" w:cs="Arial" w:eastAsia="Arial" w:hAnsi="Arial"/>
          <w:sz w:val="15"/>
          <w:szCs w:val="15"/>
          <w:color w:val="auto"/>
        </w:rPr>
        <w:t>Except as expressly provided in the Plan or an applicable Award Agreement, or otherwise determined by the Board or</w:t>
      </w:r>
      <w:r>
        <w:rPr>
          <w:rFonts w:ascii="Arial" w:cs="Arial" w:eastAsia="Arial" w:hAnsi="Arial"/>
          <w:sz w:val="15"/>
          <w:szCs w:val="15"/>
          <w:b w:val="1"/>
          <w:bCs w:val="1"/>
          <w:color w:val="auto"/>
        </w:rPr>
        <w:t xml:space="preserve"> </w:t>
      </w:r>
      <w:r>
        <w:rPr>
          <w:rFonts w:ascii="Arial" w:cs="Arial" w:eastAsia="Arial" w:hAnsi="Arial"/>
          <w:sz w:val="15"/>
          <w:szCs w:val="15"/>
          <w:color w:val="auto"/>
        </w:rPr>
        <w:t>the Stock Plan Administrator, Awards granted under the Plan may not be transferred or assigned by the Participant, except by will or by the laws of descent and distribution, and any Options, SARs or Other Awards that are exercisable may only be exercisable during the lifetime of the Participant only by the Participant. In addition, to the extent consistent with the Company’s bylaws, unvested shares of Common Stock underlying an Award may be</w:t>
      </w:r>
    </w:p>
    <w:p>
      <w:pPr>
        <w:spacing w:after="0" w:line="2" w:lineRule="exact"/>
        <w:rPr>
          <w:rFonts w:ascii="Arial" w:cs="Arial" w:eastAsia="Arial" w:hAnsi="Arial"/>
          <w:sz w:val="15"/>
          <w:szCs w:val="15"/>
          <w:b w:val="1"/>
          <w:bCs w:val="1"/>
          <w:color w:val="auto"/>
        </w:rPr>
      </w:pPr>
    </w:p>
    <w:p>
      <w:pPr>
        <w:ind w:left="9" w:right="140" w:hanging="9"/>
        <w:spacing w:after="0" w:line="279" w:lineRule="auto"/>
        <w:tabs>
          <w:tab w:leader="none" w:pos="217"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held in book entry form subject to the Company’s instructions until any restrictions relating to the Award lapse; or (ii) evidenced by a certificate, which certificate will be held in such form and manner as determined by the Stock Plan Administrator. After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 The Stock Plan Administrator may permit transfer of Awards in a manner that is not prohibited by Applicable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Option or SAR may be transferred for consideration.</w:t>
      </w:r>
    </w:p>
    <w:p>
      <w:pPr>
        <w:spacing w:after="0" w:line="60" w:lineRule="exact"/>
        <w:rPr>
          <w:rFonts w:ascii="Arial" w:cs="Arial" w:eastAsia="Arial" w:hAnsi="Arial"/>
          <w:sz w:val="16"/>
          <w:szCs w:val="16"/>
          <w:color w:val="auto"/>
        </w:rPr>
      </w:pPr>
    </w:p>
    <w:p>
      <w:pPr>
        <w:ind w:left="669" w:hanging="241"/>
        <w:spacing w:after="0"/>
        <w:tabs>
          <w:tab w:leader="none" w:pos="669" w:val="left"/>
        </w:tabs>
        <w:numPr>
          <w:ilvl w:val="1"/>
          <w:numId w:val="20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Beneficiary Designation. </w:t>
      </w:r>
      <w:r>
        <w:rPr>
          <w:rFonts w:ascii="Arial" w:cs="Arial" w:eastAsia="Arial" w:hAnsi="Arial"/>
          <w:sz w:val="17"/>
          <w:szCs w:val="17"/>
          <w:color w:val="auto"/>
        </w:rPr>
        <w:t>A Participant may, by delivering written notice to the Company (or designated broker or third party service</w:t>
      </w:r>
    </w:p>
    <w:p>
      <w:pPr>
        <w:spacing w:after="0" w:line="32" w:lineRule="exact"/>
        <w:rPr>
          <w:rFonts w:ascii="Arial" w:cs="Arial" w:eastAsia="Arial" w:hAnsi="Arial"/>
          <w:sz w:val="17"/>
          <w:szCs w:val="17"/>
          <w:b w:val="1"/>
          <w:bCs w:val="1"/>
          <w:color w:val="auto"/>
        </w:rPr>
      </w:pPr>
    </w:p>
    <w:p>
      <w:pPr>
        <w:ind w:left="9"/>
        <w:spacing w:after="0" w:line="262" w:lineRule="auto"/>
        <w:rPr>
          <w:rFonts w:ascii="Arial" w:cs="Arial" w:eastAsia="Arial" w:hAnsi="Arial"/>
          <w:sz w:val="17"/>
          <w:szCs w:val="17"/>
          <w:b w:val="1"/>
          <w:bCs w:val="1"/>
          <w:color w:val="auto"/>
        </w:rPr>
      </w:pPr>
      <w:r>
        <w:rPr>
          <w:rFonts w:ascii="Arial" w:cs="Arial" w:eastAsia="Arial" w:hAnsi="Arial"/>
          <w:sz w:val="17"/>
          <w:szCs w:val="17"/>
          <w:color w:val="auto"/>
        </w:rPr>
        <w:t>provider) in a form approved by the Stock Plan Administrator, designate a third party who, upon the death of the Participant, will thereafter be entitled to exercise any Award and receive the Common Stock or other consideration resulting from exercise or settlement of an Award. However, the Company may prohibit designation of a beneficiary at any time, including due to any conclusion by the Stock Plan Administrator that such designation would be inconsistent with the provisions of Applicable Law.</w:t>
      </w:r>
    </w:p>
    <w:p>
      <w:pPr>
        <w:spacing w:after="0" w:line="71" w:lineRule="exact"/>
        <w:rPr>
          <w:rFonts w:ascii="Arial" w:cs="Arial" w:eastAsia="Arial" w:hAnsi="Arial"/>
          <w:sz w:val="17"/>
          <w:szCs w:val="17"/>
          <w:b w:val="1"/>
          <w:bCs w:val="1"/>
          <w:color w:val="auto"/>
        </w:rPr>
      </w:pPr>
    </w:p>
    <w:p>
      <w:pPr>
        <w:ind w:left="9" w:right="120" w:firstLine="419"/>
        <w:spacing w:after="0" w:line="270" w:lineRule="auto"/>
        <w:tabs>
          <w:tab w:leader="none" w:pos="654" w:val="left"/>
        </w:tabs>
        <w:numPr>
          <w:ilvl w:val="1"/>
          <w:numId w:val="20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 Rights. </w:t>
      </w:r>
      <w:r>
        <w:rPr>
          <w:rFonts w:ascii="Arial" w:cs="Arial" w:eastAsia="Arial" w:hAnsi="Arial"/>
          <w:sz w:val="17"/>
          <w:szCs w:val="17"/>
          <w:color w:val="auto"/>
        </w:rPr>
        <w:t>No Participant will be deemed to be the holder of, or to have any of the rights of a holder with respect to, any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subject to an Award unless and until (i) such Participant has satisfied all requirements for exercise of, or the issuance of shares of Common Stock under, the Award pursuant to its terms, and (ii) the issuance of the Common Stock subject to the Award has been entered into the books and records of the Company.</w:t>
      </w:r>
    </w:p>
    <w:p>
      <w:pPr>
        <w:spacing w:after="0" w:line="63" w:lineRule="exact"/>
        <w:rPr>
          <w:rFonts w:ascii="Arial" w:cs="Arial" w:eastAsia="Arial" w:hAnsi="Arial"/>
          <w:sz w:val="17"/>
          <w:szCs w:val="17"/>
          <w:b w:val="1"/>
          <w:bCs w:val="1"/>
          <w:color w:val="auto"/>
        </w:rPr>
      </w:pPr>
    </w:p>
    <w:p>
      <w:pPr>
        <w:ind w:left="9" w:right="20" w:firstLine="419"/>
        <w:spacing w:after="0" w:line="261" w:lineRule="auto"/>
        <w:tabs>
          <w:tab w:leader="none" w:pos="683" w:val="left"/>
        </w:tabs>
        <w:numPr>
          <w:ilvl w:val="1"/>
          <w:numId w:val="20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Employment or Other Service Rights. </w:t>
      </w:r>
      <w:r>
        <w:rPr>
          <w:rFonts w:ascii="Arial" w:cs="Arial" w:eastAsia="Arial" w:hAnsi="Arial"/>
          <w:sz w:val="17"/>
          <w:szCs w:val="17"/>
          <w:color w:val="auto"/>
        </w:rPr>
        <w:t>Nothing in the Plan, any Award Agreement or any other instrument executed thereunder or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domiciled or incorporated, as the case may be. Furthermore, to the extent the Company is not the employer of a Participant, the grant of an Award will not establish an employment or other service relationship between the Company and the Participant. Nothing in the Plan, any Award Agreement or any other instrument executed in connection with any Award will constitute any promise or commitment by the Company or an Affiliate regarding future work assignments, future compensation or any other term or condition of employment or service.</w:t>
      </w:r>
    </w:p>
    <w:p>
      <w:pPr>
        <w:spacing w:after="0" w:line="119"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689"/>
          </w:cols>
          <w:pgMar w:left="611" w:top="265" w:right="599" w:bottom="1440" w:gutter="0" w:footer="0" w:header="0"/>
        </w:sectPr>
      </w:pPr>
    </w:p>
    <w:bookmarkStart w:id="328" w:name="page329"/>
    <w:bookmarkEnd w:id="328"/>
    <w:p>
      <w:pPr>
        <w:ind w:left="9" w:right="20" w:firstLine="419"/>
        <w:spacing w:after="0" w:line="270" w:lineRule="auto"/>
        <w:tabs>
          <w:tab w:leader="none" w:pos="693" w:val="left"/>
        </w:tabs>
        <w:numPr>
          <w:ilvl w:val="1"/>
          <w:numId w:val="204"/>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Effect on Other Employee Benefit Plans. </w:t>
      </w:r>
      <w:r>
        <w:rPr>
          <w:rFonts w:ascii="Arial" w:cs="Arial" w:eastAsia="Arial" w:hAnsi="Arial"/>
          <w:sz w:val="17"/>
          <w:szCs w:val="17"/>
          <w:color w:val="auto"/>
        </w:rPr>
        <w:t>The value of any Award granted under the Plan, as determined upon grant, vesting or settlement,</w:t>
      </w:r>
      <w:r>
        <w:rPr>
          <w:rFonts w:ascii="Arial" w:cs="Arial" w:eastAsia="Arial" w:hAnsi="Arial"/>
          <w:sz w:val="17"/>
          <w:szCs w:val="17"/>
          <w:b w:val="1"/>
          <w:bCs w:val="1"/>
          <w:color w:val="auto"/>
        </w:rPr>
        <w:t xml:space="preserve"> </w:t>
      </w:r>
      <w:r>
        <w:rPr>
          <w:rFonts w:ascii="Arial" w:cs="Arial" w:eastAsia="Arial" w:hAnsi="Arial"/>
          <w:sz w:val="17"/>
          <w:szCs w:val="17"/>
          <w:color w:val="auto"/>
        </w:rPr>
        <w:t>will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63" w:lineRule="exact"/>
        <w:rPr>
          <w:rFonts w:ascii="Arial" w:cs="Arial" w:eastAsia="Arial" w:hAnsi="Arial"/>
          <w:sz w:val="17"/>
          <w:szCs w:val="17"/>
          <w:b w:val="1"/>
          <w:bCs w:val="1"/>
          <w:color w:val="auto"/>
        </w:rPr>
      </w:pPr>
    </w:p>
    <w:p>
      <w:pPr>
        <w:ind w:left="9" w:firstLine="419"/>
        <w:spacing w:after="0" w:line="263" w:lineRule="auto"/>
        <w:tabs>
          <w:tab w:leader="none" w:pos="644" w:val="left"/>
        </w:tabs>
        <w:numPr>
          <w:ilvl w:val="1"/>
          <w:numId w:val="204"/>
        </w:numPr>
        <w:rPr>
          <w:rFonts w:ascii="Arial" w:cs="Arial" w:eastAsia="Arial" w:hAnsi="Arial"/>
          <w:sz w:val="17"/>
          <w:szCs w:val="17"/>
          <w:b w:val="1"/>
          <w:bCs w:val="1"/>
          <w:color w:val="auto"/>
        </w:rPr>
      </w:pPr>
      <w:r>
        <w:rPr>
          <w:rFonts w:ascii="Arial" w:cs="Arial" w:eastAsia="Arial" w:hAnsi="Arial"/>
          <w:sz w:val="17"/>
          <w:szCs w:val="17"/>
          <w:b w:val="1"/>
          <w:bCs w:val="1"/>
          <w:color w:val="auto"/>
        </w:rPr>
        <w:t>Change in Time Commitment</w:t>
      </w:r>
      <w:r>
        <w:rPr>
          <w:rFonts w:ascii="Arial" w:cs="Arial" w:eastAsia="Arial" w:hAnsi="Arial"/>
          <w:sz w:val="17"/>
          <w:szCs w:val="17"/>
          <w:color w:val="auto"/>
        </w:rPr>
        <w:t>. In the event a Participant’s regular level of time commitment in the performance of his or her services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any Affiliates is reduced (for example, and without limitation, if the Participant is an Employee of the Company and the Employee has a change in status from a full-time Employee to a part-time Employee) after the date of grant of any Award to the Participant, the Board has the right in its sole discretion to (x) make a corresponding reduction in the number of shares subject to any portion of such Award that is scheduled to vest or become payable after the date of such change in time commitment, and (y) in lieu of or in combination with such a reduction, modify the vesting or payment schedule applicable to such Award. In the event of any such reduction, the Participant will have no right with respect to any portion of the Award that is so reduced or modified.</w:t>
      </w:r>
    </w:p>
    <w:p>
      <w:pPr>
        <w:spacing w:after="0" w:line="71" w:lineRule="exact"/>
        <w:rPr>
          <w:rFonts w:ascii="Arial" w:cs="Arial" w:eastAsia="Arial" w:hAnsi="Arial"/>
          <w:sz w:val="17"/>
          <w:szCs w:val="17"/>
          <w:b w:val="1"/>
          <w:bCs w:val="1"/>
          <w:color w:val="auto"/>
        </w:rPr>
      </w:pPr>
    </w:p>
    <w:p>
      <w:pPr>
        <w:ind w:left="649" w:hanging="221"/>
        <w:spacing w:after="0"/>
        <w:tabs>
          <w:tab w:leader="none" w:pos="649" w:val="left"/>
        </w:tabs>
        <w:numPr>
          <w:ilvl w:val="1"/>
          <w:numId w:val="204"/>
        </w:numPr>
        <w:rPr>
          <w:rFonts w:ascii="Arial" w:cs="Arial" w:eastAsia="Arial" w:hAnsi="Arial"/>
          <w:sz w:val="17"/>
          <w:szCs w:val="17"/>
          <w:b w:val="1"/>
          <w:bCs w:val="1"/>
          <w:color w:val="auto"/>
        </w:rPr>
      </w:pPr>
      <w:r>
        <w:rPr>
          <w:rFonts w:ascii="Arial" w:cs="Arial" w:eastAsia="Arial" w:hAnsi="Arial"/>
          <w:sz w:val="17"/>
          <w:szCs w:val="17"/>
          <w:b w:val="1"/>
          <w:bCs w:val="1"/>
          <w:color w:val="auto"/>
        </w:rPr>
        <w:t>Changes in Service Status; Transfers; Leaves of Absence.</w:t>
      </w:r>
    </w:p>
    <w:p>
      <w:pPr>
        <w:spacing w:after="0" w:line="124" w:lineRule="exact"/>
        <w:rPr>
          <w:rFonts w:ascii="Arial" w:cs="Arial" w:eastAsia="Arial" w:hAnsi="Arial"/>
          <w:sz w:val="17"/>
          <w:szCs w:val="17"/>
          <w:b w:val="1"/>
          <w:bCs w:val="1"/>
          <w:color w:val="auto"/>
        </w:rPr>
      </w:pPr>
    </w:p>
    <w:p>
      <w:pPr>
        <w:jc w:val="both"/>
        <w:ind w:left="9" w:right="60" w:firstLine="846"/>
        <w:spacing w:after="0" w:line="305" w:lineRule="auto"/>
        <w:tabs>
          <w:tab w:leader="none" w:pos="1072" w:val="left"/>
        </w:tabs>
        <w:numPr>
          <w:ilvl w:val="2"/>
          <w:numId w:val="204"/>
        </w:numPr>
        <w:rPr>
          <w:rFonts w:ascii="Arial" w:cs="Arial" w:eastAsia="Arial" w:hAnsi="Arial"/>
          <w:sz w:val="15"/>
          <w:szCs w:val="15"/>
          <w:b w:val="1"/>
          <w:bCs w:val="1"/>
          <w:color w:val="auto"/>
        </w:rPr>
      </w:pPr>
      <w:r>
        <w:rPr>
          <w:rFonts w:ascii="Arial" w:cs="Arial" w:eastAsia="Arial" w:hAnsi="Arial"/>
          <w:sz w:val="15"/>
          <w:szCs w:val="15"/>
          <w:color w:val="auto"/>
        </w:rPr>
        <w:t xml:space="preserve">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w:t>
      </w:r>
      <w:r>
        <w:rPr>
          <w:rFonts w:ascii="Arial" w:cs="Arial" w:eastAsia="Arial" w:hAnsi="Arial"/>
          <w:sz w:val="15"/>
          <w:szCs w:val="15"/>
          <w:i w:val="1"/>
          <w:iCs w:val="1"/>
          <w:color w:val="auto"/>
        </w:rPr>
        <w:t>provided, however</w:t>
      </w:r>
      <w:r>
        <w:rPr>
          <w:rFonts w:ascii="Arial" w:cs="Arial" w:eastAsia="Arial" w:hAnsi="Arial"/>
          <w:sz w:val="15"/>
          <w:szCs w:val="15"/>
          <w:color w:val="auto"/>
        </w:rPr>
        <w:t>, that if the Entity for which a Participant is rendering services ceases to qualify as an Affiliate, as determined by the Board or the Stock Plan Administrator in its sole discretion,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w:t>
      </w:r>
    </w:p>
    <w:p>
      <w:pPr>
        <w:spacing w:after="0" w:line="46" w:lineRule="exact"/>
        <w:rPr>
          <w:rFonts w:ascii="Arial" w:cs="Arial" w:eastAsia="Arial" w:hAnsi="Arial"/>
          <w:sz w:val="15"/>
          <w:szCs w:val="15"/>
          <w:b w:val="1"/>
          <w:bCs w:val="1"/>
          <w:color w:val="auto"/>
        </w:rPr>
      </w:pPr>
    </w:p>
    <w:p>
      <w:pPr>
        <w:ind w:left="9" w:right="140" w:firstLine="846"/>
        <w:spacing w:after="0" w:line="265" w:lineRule="auto"/>
        <w:tabs>
          <w:tab w:leader="none" w:pos="1120" w:val="left"/>
        </w:tabs>
        <w:numPr>
          <w:ilvl w:val="2"/>
          <w:numId w:val="204"/>
        </w:numPr>
        <w:rPr>
          <w:rFonts w:ascii="Arial" w:cs="Arial" w:eastAsia="Arial" w:hAnsi="Arial"/>
          <w:sz w:val="17"/>
          <w:szCs w:val="17"/>
          <w:b w:val="1"/>
          <w:bCs w:val="1"/>
          <w:color w:val="auto"/>
        </w:rPr>
      </w:pPr>
      <w:r>
        <w:rPr>
          <w:rFonts w:ascii="Arial" w:cs="Arial" w:eastAsia="Arial" w:hAnsi="Arial"/>
          <w:sz w:val="17"/>
          <w:szCs w:val="17"/>
          <w:color w:val="auto"/>
        </w:rPr>
        <w:t>To the extent permitted by Applicable Law, the Board or the Stock Plan Administrator, in that party’s sole discretion, may determine whether Continuous Service will be considered interrupted in the case of any leave of absence approved by the Board or the Stock Plan Administrator, including sick leave, military leave or any other personal leave. A leave of absence will be treated as Continuous Service for purposes of vesting in an Award only to such extent as may be provided in the written terms of any leave of absence agreement or policy applicable to the Participant, or as otherwise required by Applicable Law.</w:t>
      </w:r>
    </w:p>
    <w:p>
      <w:pPr>
        <w:spacing w:after="0" w:line="67" w:lineRule="exact"/>
        <w:rPr>
          <w:rFonts w:ascii="Arial" w:cs="Arial" w:eastAsia="Arial" w:hAnsi="Arial"/>
          <w:sz w:val="17"/>
          <w:szCs w:val="17"/>
          <w:b w:val="1"/>
          <w:bCs w:val="1"/>
          <w:color w:val="auto"/>
        </w:rPr>
      </w:pPr>
    </w:p>
    <w:p>
      <w:pPr>
        <w:ind w:left="689" w:hanging="261"/>
        <w:spacing w:after="0"/>
        <w:tabs>
          <w:tab w:leader="none" w:pos="689" w:val="left"/>
        </w:tabs>
        <w:numPr>
          <w:ilvl w:val="1"/>
          <w:numId w:val="20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Investment Assurances. </w:t>
      </w:r>
      <w:r>
        <w:rPr>
          <w:rFonts w:ascii="Arial" w:cs="Arial" w:eastAsia="Arial" w:hAnsi="Arial"/>
          <w:sz w:val="15"/>
          <w:szCs w:val="15"/>
          <w:color w:val="auto"/>
        </w:rPr>
        <w:t>The Company may require a Participant, as a condition of exercising or acquiring Common Stock under any Award,</w:t>
      </w:r>
    </w:p>
    <w:p>
      <w:pPr>
        <w:spacing w:after="0" w:line="55" w:lineRule="exact"/>
        <w:rPr>
          <w:rFonts w:ascii="Arial" w:cs="Arial" w:eastAsia="Arial" w:hAnsi="Arial"/>
          <w:sz w:val="15"/>
          <w:szCs w:val="15"/>
          <w:b w:val="1"/>
          <w:bCs w:val="1"/>
          <w:color w:val="auto"/>
        </w:rPr>
      </w:pPr>
    </w:p>
    <w:p>
      <w:pPr>
        <w:ind w:left="9" w:right="40" w:hanging="9"/>
        <w:spacing w:after="0" w:line="260" w:lineRule="auto"/>
        <w:tabs>
          <w:tab w:leader="none" w:pos="217"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Award has been registered under a then currently effective registration</w:t>
      </w:r>
    </w:p>
    <w:p>
      <w:pPr>
        <w:spacing w:after="0" w:line="116" w:lineRule="exact"/>
        <w:rPr>
          <w:sz w:val="20"/>
          <w:szCs w:val="20"/>
          <w:color w:val="auto"/>
        </w:rPr>
      </w:pPr>
    </w:p>
    <w:p>
      <w:pPr>
        <w:jc w:val="center"/>
        <w:ind w:right="-28"/>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649"/>
          </w:cols>
          <w:pgMar w:left="611" w:top="265" w:right="639" w:bottom="1440" w:gutter="0" w:footer="0" w:header="0"/>
        </w:sectPr>
      </w:pPr>
    </w:p>
    <w:bookmarkStart w:id="329" w:name="page330"/>
    <w:bookmarkEnd w:id="329"/>
    <w:p>
      <w:pPr>
        <w:ind w:right="18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67" w:lineRule="exact"/>
        <w:rPr>
          <w:sz w:val="20"/>
          <w:szCs w:val="20"/>
          <w:color w:val="auto"/>
        </w:rPr>
      </w:pPr>
    </w:p>
    <w:p>
      <w:pPr>
        <w:ind w:firstLine="419"/>
        <w:spacing w:after="0" w:line="284" w:lineRule="auto"/>
        <w:tabs>
          <w:tab w:leader="none" w:pos="636" w:val="left"/>
        </w:tabs>
        <w:numPr>
          <w:ilvl w:val="0"/>
          <w:numId w:val="20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Electronic Delivery and Participation. </w:t>
      </w:r>
      <w:r>
        <w:rPr>
          <w:rFonts w:ascii="Arial" w:cs="Arial" w:eastAsia="Arial" w:hAnsi="Arial"/>
          <w:sz w:val="16"/>
          <w:szCs w:val="16"/>
          <w:color w:val="auto"/>
        </w:rPr>
        <w:t>Any reference herein to a “written” agreement or document will include any agreement or document</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if requested by the Company, to participate in the Plan through an online electronic system established and maintained by the Stock Plan Administrator or another third party service provider selected by the Stock Plan Administrator. The form of delivery of any shares of Common Stock (e.g., a certificate or electronic entry evidencing such shares) shall be determined by the Stock Plan Administrator.</w:t>
      </w:r>
    </w:p>
    <w:p>
      <w:pPr>
        <w:spacing w:after="0" w:line="55" w:lineRule="exact"/>
        <w:rPr>
          <w:rFonts w:ascii="Arial" w:cs="Arial" w:eastAsia="Arial" w:hAnsi="Arial"/>
          <w:sz w:val="16"/>
          <w:szCs w:val="16"/>
          <w:b w:val="1"/>
          <w:bCs w:val="1"/>
          <w:color w:val="auto"/>
        </w:rPr>
      </w:pPr>
    </w:p>
    <w:p>
      <w:pPr>
        <w:ind w:right="100" w:firstLine="419"/>
        <w:spacing w:after="0" w:line="282" w:lineRule="auto"/>
        <w:tabs>
          <w:tab w:leader="none" w:pos="732" w:val="left"/>
        </w:tabs>
        <w:numPr>
          <w:ilvl w:val="0"/>
          <w:numId w:val="20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Deferrals. </w:t>
      </w:r>
      <w:r>
        <w:rPr>
          <w:rFonts w:ascii="Arial" w:cs="Arial" w:eastAsia="Arial" w:hAnsi="Arial"/>
          <w:sz w:val="16"/>
          <w:szCs w:val="16"/>
          <w:color w:val="auto"/>
        </w:rPr>
        <w:t>To the extent permitted by Applicable Law, the Board, in its sole discretion, may determine that the delivery of Common Stock or</w:t>
      </w:r>
      <w:r>
        <w:rPr>
          <w:rFonts w:ascii="Arial" w:cs="Arial" w:eastAsia="Arial" w:hAnsi="Arial"/>
          <w:sz w:val="16"/>
          <w:szCs w:val="16"/>
          <w:b w:val="1"/>
          <w:bCs w:val="1"/>
          <w:color w:val="auto"/>
        </w:rPr>
        <w:t xml:space="preserve"> </w:t>
      </w:r>
      <w:r>
        <w:rPr>
          <w:rFonts w:ascii="Arial" w:cs="Arial" w:eastAsia="Arial" w:hAnsi="Arial"/>
          <w:sz w:val="16"/>
          <w:szCs w:val="16"/>
          <w:color w:val="auto"/>
        </w:rPr>
        <w:t>the payment of cash, upon the exercise, vesting or settlement of all or a portion of any Award may be deferred and may establish programs and procedures for deferral elections to be made by Participants. It is intended that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58" w:lineRule="exact"/>
        <w:rPr>
          <w:rFonts w:ascii="Arial" w:cs="Arial" w:eastAsia="Arial" w:hAnsi="Arial"/>
          <w:sz w:val="16"/>
          <w:szCs w:val="16"/>
          <w:b w:val="1"/>
          <w:bCs w:val="1"/>
          <w:color w:val="auto"/>
        </w:rPr>
      </w:pPr>
    </w:p>
    <w:p>
      <w:pPr>
        <w:ind w:right="60" w:firstLine="419"/>
        <w:spacing w:after="0" w:line="277" w:lineRule="auto"/>
        <w:tabs>
          <w:tab w:leader="none" w:pos="684" w:val="left"/>
        </w:tabs>
        <w:numPr>
          <w:ilvl w:val="0"/>
          <w:numId w:val="20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Section 409A of the Code. </w:t>
      </w:r>
      <w:r>
        <w:rPr>
          <w:rFonts w:ascii="Arial" w:cs="Arial" w:eastAsia="Arial" w:hAnsi="Arial"/>
          <w:sz w:val="16"/>
          <w:szCs w:val="16"/>
          <w:color w:val="auto"/>
        </w:rPr>
        <w:t>Unless otherwise expressly provided for in a specific Award Agreement, the Plan and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To the extent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Regulations Section 1.409A-3(i)(5) (without regard to any alternative definition thereunder). In addition, the Board may, in its sole discretion and without a Participant’s consent, amend the definition of “Change in Control” (or similar definition) in any Award Agreement to conform to such definitions in Treasury Regulations Section 1.409A-3(i)(5). If the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or, if earlier, the date of the Participant’s death,</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680"/>
          </w:cols>
          <w:pgMar w:left="620" w:top="271" w:right="599" w:bottom="1440" w:gutter="0" w:footer="0" w:header="0"/>
        </w:sectPr>
      </w:pPr>
    </w:p>
    <w:bookmarkStart w:id="330" w:name="page331"/>
    <w:bookmarkEnd w:id="330"/>
    <w:p>
      <w:pPr>
        <w:ind w:left="9" w:right="2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unless such distribution or payment can be made in a manner that complies with Section 409A of the Code, and any amounts so deferred will be paid in a lump sum on the day after such six month period elapses, with the balance paid thereafter on the original schedule. In no event will any Participant have a right to payment or reimbursement or otherwise from the Company or its Affiliates, or their successors or assigns, for any taxes imposed or other costs incurred as a result of Section 409A of the Code.</w:t>
      </w:r>
    </w:p>
    <w:p>
      <w:pPr>
        <w:spacing w:after="0" w:line="67" w:lineRule="exact"/>
        <w:rPr>
          <w:sz w:val="20"/>
          <w:szCs w:val="20"/>
          <w:color w:val="auto"/>
        </w:rPr>
      </w:pPr>
    </w:p>
    <w:p>
      <w:pPr>
        <w:ind w:left="9" w:right="60" w:firstLine="419"/>
        <w:spacing w:after="0" w:line="262" w:lineRule="auto"/>
        <w:tabs>
          <w:tab w:leader="none" w:pos="683" w:val="left"/>
        </w:tabs>
        <w:numPr>
          <w:ilvl w:val="1"/>
          <w:numId w:val="20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Clawback/Recovery. </w:t>
      </w:r>
      <w:r>
        <w:rPr>
          <w:rFonts w:ascii="Arial" w:cs="Arial" w:eastAsia="Arial" w:hAnsi="Arial"/>
          <w:sz w:val="17"/>
          <w:szCs w:val="17"/>
          <w:color w:val="auto"/>
        </w:rPr>
        <w:t>All Awards granted under the Plan will be subject to recoupment in accordance with any clawback policy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is required to adopt pursuant to the listing standards of any national securities exchange or association on which the Company’s securities are listed or as is otherwise required by the U.S.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right to voluntary terminate employment upon a “resignation for good reason,” or for a “constructive termination” or any similar term under any plan of or agreement with the Company.</w:t>
      </w:r>
    </w:p>
    <w:p>
      <w:pPr>
        <w:spacing w:after="0" w:line="322" w:lineRule="exact"/>
        <w:rPr>
          <w:rFonts w:ascii="Arial" w:cs="Arial" w:eastAsia="Arial" w:hAnsi="Arial"/>
          <w:sz w:val="17"/>
          <w:szCs w:val="17"/>
          <w:b w:val="1"/>
          <w:bCs w:val="1"/>
          <w:color w:val="auto"/>
        </w:rPr>
      </w:pPr>
    </w:p>
    <w:p>
      <w:pPr>
        <w:ind w:left="429" w:hanging="429"/>
        <w:spacing w:after="0"/>
        <w:tabs>
          <w:tab w:leader="none" w:pos="429" w:val="left"/>
        </w:tabs>
        <w:numPr>
          <w:ilvl w:val="0"/>
          <w:numId w:val="208"/>
        </w:numPr>
        <w:rPr>
          <w:rFonts w:ascii="Arial" w:cs="Arial" w:eastAsia="Arial" w:hAnsi="Arial"/>
          <w:sz w:val="17"/>
          <w:szCs w:val="17"/>
          <w:b w:val="1"/>
          <w:bCs w:val="1"/>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DJUSTMENTS UPON</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O</w:t>
      </w:r>
      <w:r>
        <w:rPr>
          <w:rFonts w:ascii="Arial" w:cs="Arial" w:eastAsia="Arial" w:hAnsi="Arial"/>
          <w:sz w:val="14"/>
          <w:szCs w:val="14"/>
          <w:b w:val="1"/>
          <w:bCs w:val="1"/>
          <w:color w:val="auto"/>
        </w:rPr>
        <w:t>THER</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ORPORATE</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VENTS</w:t>
      </w:r>
      <w:r>
        <w:rPr>
          <w:rFonts w:ascii="Arial" w:cs="Arial" w:eastAsia="Arial" w:hAnsi="Arial"/>
          <w:sz w:val="17"/>
          <w:szCs w:val="17"/>
          <w:b w:val="1"/>
          <w:bCs w:val="1"/>
          <w:color w:val="auto"/>
        </w:rPr>
        <w:t>.</w:t>
      </w:r>
    </w:p>
    <w:p>
      <w:pPr>
        <w:spacing w:after="0" w:line="118" w:lineRule="exact"/>
        <w:rPr>
          <w:rFonts w:ascii="Arial" w:cs="Arial" w:eastAsia="Arial" w:hAnsi="Arial"/>
          <w:sz w:val="17"/>
          <w:szCs w:val="17"/>
          <w:b w:val="1"/>
          <w:bCs w:val="1"/>
          <w:color w:val="auto"/>
        </w:rPr>
      </w:pPr>
    </w:p>
    <w:p>
      <w:pPr>
        <w:ind w:left="9" w:right="40" w:firstLine="419"/>
        <w:spacing w:after="0" w:line="262" w:lineRule="auto"/>
        <w:tabs>
          <w:tab w:leader="none" w:pos="683" w:val="left"/>
        </w:tabs>
        <w:numPr>
          <w:ilvl w:val="1"/>
          <w:numId w:val="208"/>
        </w:numPr>
        <w:rPr>
          <w:rFonts w:ascii="Arial" w:cs="Arial" w:eastAsia="Arial" w:hAnsi="Arial"/>
          <w:sz w:val="17"/>
          <w:szCs w:val="17"/>
          <w:b w:val="1"/>
          <w:bCs w:val="1"/>
          <w:color w:val="auto"/>
        </w:rPr>
      </w:pPr>
      <w:r>
        <w:rPr>
          <w:rFonts w:ascii="Arial" w:cs="Arial" w:eastAsia="Arial" w:hAnsi="Arial"/>
          <w:sz w:val="17"/>
          <w:szCs w:val="17"/>
          <w:b w:val="1"/>
          <w:bCs w:val="1"/>
          <w:color w:val="auto"/>
        </w:rPr>
        <w:t>Capitalization Adjustments</w:t>
      </w:r>
      <w:r>
        <w:rPr>
          <w:rFonts w:ascii="Arial" w:cs="Arial" w:eastAsia="Arial" w:hAnsi="Arial"/>
          <w:sz w:val="17"/>
          <w:szCs w:val="17"/>
          <w:color w:val="auto"/>
        </w:rPr>
        <w:t>. In the event of a Capitalization Adjustment, the Board will appropriately and proportionately adjust: (i) the</w:t>
      </w:r>
      <w:r>
        <w:rPr>
          <w:rFonts w:ascii="Arial" w:cs="Arial" w:eastAsia="Arial" w:hAnsi="Arial"/>
          <w:sz w:val="17"/>
          <w:szCs w:val="17"/>
          <w:b w:val="1"/>
          <w:bCs w:val="1"/>
          <w:color w:val="auto"/>
        </w:rPr>
        <w:t xml:space="preserve"> </w:t>
      </w:r>
      <w:r>
        <w:rPr>
          <w:rFonts w:ascii="Arial" w:cs="Arial" w:eastAsia="Arial" w:hAnsi="Arial"/>
          <w:sz w:val="17"/>
          <w:szCs w:val="17"/>
          <w:color w:val="auto"/>
        </w:rPr>
        <w:t>class(es) and maximum number of securities subject to the Share Reserve, (ii) the class(es) and maximum number of securities by which the Share Reserve is to increase automatically pursuant to the Evergreen Increase; (iii) the class(es) and maximum number of securities that may be issued pursuant to the exercise of Incentive Stock Options, and (iv) the class(es) and number of securities and price per share of stock subject to outstanding Awards. The Board will make such adjustments, and its determination will be final, binding and conclusive. Notwithstanding the provisions of this section, no fractional shares or rights for fractional shares of Common Stock will be created pursuant to a Capitalization Adjustment. The Board will, in its discretion, determine an equivalent benefit for any fractional shares or fractional shares that might be created by the adjustments referred to in this section.</w:t>
      </w:r>
    </w:p>
    <w:p>
      <w:pPr>
        <w:spacing w:after="0" w:line="73" w:lineRule="exact"/>
        <w:rPr>
          <w:rFonts w:ascii="Arial" w:cs="Arial" w:eastAsia="Arial" w:hAnsi="Arial"/>
          <w:sz w:val="17"/>
          <w:szCs w:val="17"/>
          <w:b w:val="1"/>
          <w:bCs w:val="1"/>
          <w:color w:val="auto"/>
        </w:rPr>
      </w:pPr>
    </w:p>
    <w:p>
      <w:pPr>
        <w:ind w:left="9" w:firstLine="419"/>
        <w:spacing w:after="0" w:line="282" w:lineRule="auto"/>
        <w:tabs>
          <w:tab w:leader="none" w:pos="693" w:val="left"/>
        </w:tabs>
        <w:numPr>
          <w:ilvl w:val="1"/>
          <w:numId w:val="208"/>
        </w:numPr>
        <w:rPr>
          <w:rFonts w:ascii="Arial" w:cs="Arial" w:eastAsia="Arial" w:hAnsi="Arial"/>
          <w:sz w:val="16"/>
          <w:szCs w:val="16"/>
          <w:b w:val="1"/>
          <w:bCs w:val="1"/>
          <w:color w:val="auto"/>
        </w:rPr>
      </w:pPr>
      <w:r>
        <w:rPr>
          <w:rFonts w:ascii="Arial" w:cs="Arial" w:eastAsia="Arial" w:hAnsi="Arial"/>
          <w:sz w:val="16"/>
          <w:szCs w:val="16"/>
          <w:b w:val="1"/>
          <w:bCs w:val="1"/>
          <w:color w:val="auto"/>
        </w:rPr>
        <w:t>Dissolution or Liquidation</w:t>
      </w:r>
      <w:r>
        <w:rPr>
          <w:rFonts w:ascii="Arial" w:cs="Arial" w:eastAsia="Arial" w:hAnsi="Arial"/>
          <w:sz w:val="16"/>
          <w:szCs w:val="16"/>
          <w:color w:val="auto"/>
        </w:rPr>
        <w:t>. Except as otherwise provided in the Award Agreement, in the event of a dissolution or liquidation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all outstanding Awards (other than Awards consisting of vested and outstanding shares of Common Stock not subject to a forfeiture condition or not subject to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Board may, in its sole discretion,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58" w:lineRule="exact"/>
        <w:rPr>
          <w:rFonts w:ascii="Arial" w:cs="Arial" w:eastAsia="Arial" w:hAnsi="Arial"/>
          <w:sz w:val="16"/>
          <w:szCs w:val="16"/>
          <w:b w:val="1"/>
          <w:bCs w:val="1"/>
          <w:color w:val="auto"/>
        </w:rPr>
      </w:pPr>
    </w:p>
    <w:p>
      <w:pPr>
        <w:ind w:left="9" w:right="60" w:firstLine="419"/>
        <w:spacing w:after="0" w:line="276" w:lineRule="auto"/>
        <w:tabs>
          <w:tab w:leader="none" w:pos="673" w:val="left"/>
        </w:tabs>
        <w:numPr>
          <w:ilvl w:val="1"/>
          <w:numId w:val="20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Corporate Transaction. </w:t>
      </w:r>
      <w:r>
        <w:rPr>
          <w:rFonts w:ascii="Arial" w:cs="Arial" w:eastAsia="Arial" w:hAnsi="Arial"/>
          <w:sz w:val="17"/>
          <w:szCs w:val="17"/>
          <w:color w:val="auto"/>
        </w:rPr>
        <w:t>The following provisions shall apply to Awards in the event of a Corporate Transaction unless otherwise provided in</w:t>
      </w:r>
      <w:r>
        <w:rPr>
          <w:rFonts w:ascii="Arial" w:cs="Arial" w:eastAsia="Arial" w:hAnsi="Arial"/>
          <w:sz w:val="17"/>
          <w:szCs w:val="17"/>
          <w:b w:val="1"/>
          <w:bCs w:val="1"/>
          <w:color w:val="auto"/>
        </w:rPr>
        <w:t xml:space="preserve"> </w:t>
      </w:r>
      <w:r>
        <w:rPr>
          <w:rFonts w:ascii="Arial" w:cs="Arial" w:eastAsia="Arial" w:hAnsi="Arial"/>
          <w:sz w:val="17"/>
          <w:szCs w:val="17"/>
          <w:color w:val="auto"/>
        </w:rPr>
        <w:t>the instrument evidencing the Award or any other written agreement between the Company or any Affiliate and the holder of the Award or unless otherwise expressly provided by the Board at the time of grant of an Award.</w:t>
      </w:r>
    </w:p>
    <w:p>
      <w:pPr>
        <w:spacing w:after="0" w:line="104" w:lineRule="exact"/>
        <w:rPr>
          <w:sz w:val="20"/>
          <w:szCs w:val="20"/>
          <w:color w:val="auto"/>
        </w:rPr>
      </w:pPr>
    </w:p>
    <w:p>
      <w:pPr>
        <w:jc w:val="center"/>
        <w:ind w:right="-28"/>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649"/>
          </w:cols>
          <w:pgMar w:left="611" w:top="272" w:right="639" w:bottom="1440" w:gutter="0" w:footer="0" w:header="0"/>
        </w:sectPr>
      </w:pPr>
    </w:p>
    <w:bookmarkStart w:id="331" w:name="page332"/>
    <w:bookmarkEnd w:id="331"/>
    <w:p>
      <w:pPr>
        <w:ind w:firstLine="846"/>
        <w:spacing w:after="0" w:line="281" w:lineRule="auto"/>
        <w:tabs>
          <w:tab w:leader="none" w:pos="1063" w:val="left"/>
        </w:tabs>
        <w:numPr>
          <w:ilvl w:val="0"/>
          <w:numId w:val="20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Awards May Be Assumed. </w:t>
      </w:r>
      <w:r>
        <w:rPr>
          <w:rFonts w:ascii="Arial" w:cs="Arial" w:eastAsia="Arial" w:hAnsi="Arial"/>
          <w:sz w:val="16"/>
          <w:szCs w:val="16"/>
          <w:color w:val="auto"/>
        </w:rPr>
        <w:t>Except as otherwise stated in the Award Agreement, in the event of a Corporate Transaction, any surviving</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stock award for only a portion of an Award. The terms of any assumption, continuation or substitution shall be set by the Board in accordance with the provisions of Section 2.</w:t>
      </w:r>
    </w:p>
    <w:p>
      <w:pPr>
        <w:spacing w:after="0" w:line="57" w:lineRule="exact"/>
        <w:rPr>
          <w:rFonts w:ascii="Arial" w:cs="Arial" w:eastAsia="Arial" w:hAnsi="Arial"/>
          <w:sz w:val="16"/>
          <w:szCs w:val="16"/>
          <w:b w:val="1"/>
          <w:bCs w:val="1"/>
          <w:color w:val="auto"/>
        </w:rPr>
      </w:pPr>
    </w:p>
    <w:p>
      <w:pPr>
        <w:ind w:right="20" w:firstLine="846"/>
        <w:spacing w:after="0" w:line="280" w:lineRule="auto"/>
        <w:tabs>
          <w:tab w:leader="none" w:pos="1111" w:val="left"/>
        </w:tabs>
        <w:numPr>
          <w:ilvl w:val="0"/>
          <w:numId w:val="20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Awards Held by Current Participants. </w:t>
      </w:r>
      <w:r>
        <w:rPr>
          <w:rFonts w:ascii="Arial" w:cs="Arial" w:eastAsia="Arial" w:hAnsi="Arial"/>
          <w:sz w:val="16"/>
          <w:szCs w:val="16"/>
          <w:color w:val="auto"/>
        </w:rPr>
        <w:t>Except as otherwise stated in the Award Agreement, in the event of a Corporate Transaction in</w:t>
      </w:r>
      <w:r>
        <w:rPr>
          <w:rFonts w:ascii="Arial" w:cs="Arial" w:eastAsia="Arial" w:hAnsi="Arial"/>
          <w:sz w:val="16"/>
          <w:szCs w:val="16"/>
          <w:b w:val="1"/>
          <w:bCs w:val="1"/>
          <w:color w:val="auto"/>
        </w:rPr>
        <w:t xml:space="preserve"> </w:t>
      </w:r>
      <w:r>
        <w:rPr>
          <w:rFonts w:ascii="Arial" w:cs="Arial" w:eastAsia="Arial" w:hAnsi="Arial"/>
          <w:sz w:val="16"/>
          <w:szCs w:val="16"/>
          <w:color w:val="auto"/>
        </w:rPr>
        <w:t>which the surviving corporation or acquiring corporation (or its parent company) does not assume or continue such outstanding Awards or substitute similar stock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Arial" w:cs="Arial" w:eastAsia="Arial" w:hAnsi="Arial"/>
          <w:sz w:val="16"/>
          <w:szCs w:val="16"/>
          <w:b w:val="1"/>
          <w:bCs w:val="1"/>
          <w:i w:val="1"/>
          <w:iCs w:val="1"/>
          <w:color w:val="auto"/>
        </w:rPr>
        <w:t>Current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Participants</w:t>
      </w:r>
      <w:r>
        <w:rPr>
          <w:rFonts w:ascii="Arial" w:cs="Arial" w:eastAsia="Arial" w:hAnsi="Arial"/>
          <w:sz w:val="16"/>
          <w:szCs w:val="16"/>
          <w:color w:val="auto"/>
        </w:rPr>
        <w:t>”), the vesting of such Awards (and, if applicable, the time at which such Awards may be exercised) shall (contingent upon the effectiveness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Corporate Transaction) be accelerated in full to a date prior to the effective time of such Corporate Transaction as the Board shall determine (or, if the Board shall not determine such a date, to the date that is five (5) days prior to the effective time of the Corporate Transaction), and such Awards shall terminate if not exercised (if applicable) at or prior to the effective time of the Corporate Transaction, and any reacquisition or repurchase rights held by the Company with respect to such Awards shall lapse (contingent upon the effectiveness of the Corporate Transaction).</w:t>
      </w:r>
    </w:p>
    <w:p>
      <w:pPr>
        <w:spacing w:after="0" w:line="58" w:lineRule="exact"/>
        <w:rPr>
          <w:rFonts w:ascii="Arial" w:cs="Arial" w:eastAsia="Arial" w:hAnsi="Arial"/>
          <w:sz w:val="16"/>
          <w:szCs w:val="16"/>
          <w:b w:val="1"/>
          <w:bCs w:val="1"/>
          <w:color w:val="auto"/>
        </w:rPr>
      </w:pPr>
    </w:p>
    <w:p>
      <w:pPr>
        <w:ind w:right="20" w:firstLine="846"/>
        <w:spacing w:after="0" w:line="262" w:lineRule="auto"/>
        <w:tabs>
          <w:tab w:leader="none" w:pos="1160" w:val="left"/>
        </w:tabs>
        <w:numPr>
          <w:ilvl w:val="0"/>
          <w:numId w:val="20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Awards Held by Persons other than Current Participants. </w:t>
      </w:r>
      <w:r>
        <w:rPr>
          <w:rFonts w:ascii="Arial" w:cs="Arial" w:eastAsia="Arial" w:hAnsi="Arial"/>
          <w:sz w:val="17"/>
          <w:szCs w:val="17"/>
          <w:color w:val="auto"/>
        </w:rPr>
        <w:t>Except as otherwise stated in the Award Agreement, in the event of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Corporate Transaction in which the surviving corporation or acquiring corporation (or its parent company) does not assume or continue such outstanding Awards or substitute similar stock awards for such outstanding Awards, then with respect to Awards that have not been assumed, continued or substituted and that are held by persons other than Current Participants, the vesting of such Awards (and, if applicable, the time at which such Award may be exercised) shall not be accelerated and such Awards (other than an Award consisting of vested and outstanding shares of Common Stock not subject to the Company’s right of repurchase) shall terminate if not exercised (if applicable) prior to the effective time of the Corporate Transaction;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any reacquisition or repurchase rights held by the Company with respect to such Awards shall not terminate and may continue to</w:t>
      </w:r>
      <w:r>
        <w:rPr>
          <w:rFonts w:ascii="Arial" w:cs="Arial" w:eastAsia="Arial" w:hAnsi="Arial"/>
          <w:sz w:val="17"/>
          <w:szCs w:val="17"/>
          <w:i w:val="1"/>
          <w:iCs w:val="1"/>
          <w:color w:val="auto"/>
        </w:rPr>
        <w:t xml:space="preserve"> </w:t>
      </w:r>
      <w:r>
        <w:rPr>
          <w:rFonts w:ascii="Arial" w:cs="Arial" w:eastAsia="Arial" w:hAnsi="Arial"/>
          <w:sz w:val="17"/>
          <w:szCs w:val="17"/>
          <w:color w:val="auto"/>
        </w:rPr>
        <w:t>be exercised notwithstanding the Corporate Transaction.</w:t>
      </w:r>
    </w:p>
    <w:p>
      <w:pPr>
        <w:spacing w:after="0" w:line="73" w:lineRule="exact"/>
        <w:rPr>
          <w:rFonts w:ascii="Arial" w:cs="Arial" w:eastAsia="Arial" w:hAnsi="Arial"/>
          <w:sz w:val="17"/>
          <w:szCs w:val="17"/>
          <w:b w:val="1"/>
          <w:bCs w:val="1"/>
          <w:color w:val="auto"/>
        </w:rPr>
      </w:pPr>
    </w:p>
    <w:p>
      <w:pPr>
        <w:ind w:firstLine="846"/>
        <w:spacing w:after="0" w:line="263" w:lineRule="auto"/>
        <w:tabs>
          <w:tab w:leader="none" w:pos="1150" w:val="left"/>
        </w:tabs>
        <w:numPr>
          <w:ilvl w:val="0"/>
          <w:numId w:val="20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 for Awards in Lieu of Exercise. </w:t>
      </w:r>
      <w:r>
        <w:rPr>
          <w:rFonts w:ascii="Arial" w:cs="Arial" w:eastAsia="Arial" w:hAnsi="Arial"/>
          <w:sz w:val="17"/>
          <w:szCs w:val="17"/>
          <w:color w:val="auto"/>
        </w:rPr>
        <w:t>Notwithstanding the foregoing, in the event an Award will terminate if not exercised prior to</w:t>
      </w:r>
      <w:r>
        <w:rPr>
          <w:rFonts w:ascii="Arial" w:cs="Arial" w:eastAsia="Arial" w:hAnsi="Arial"/>
          <w:sz w:val="17"/>
          <w:szCs w:val="17"/>
          <w:b w:val="1"/>
          <w:bCs w:val="1"/>
          <w:color w:val="auto"/>
        </w:rPr>
        <w:t xml:space="preserve"> </w:t>
      </w:r>
      <w:r>
        <w:rPr>
          <w:rFonts w:ascii="Arial" w:cs="Arial" w:eastAsia="Arial" w:hAnsi="Arial"/>
          <w:sz w:val="17"/>
          <w:szCs w:val="17"/>
          <w:color w:val="auto"/>
        </w:rPr>
        <w:t>the effective time of a Corporate Transaction, the Board may provide, in its sole discretion, that the holder of such Award may not exercise such Award but will receive a payment, in such form as may be determined by the Board, equal to the excess, if any, of (A) the per share amount (or value of property per share) payable to holders of Common Stock in connection with the Corporate Transaction, over (B) the per share exercise price under the applicable Award, multiplied by the number of vested shares subject to the Award (after taking into account any acceleration benefits, including pursuant to Section 10(c)(ii) above). For clarity, this payment may be zero ($0) if the amount per share (or value of property per share) payable to the holders of the Common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680"/>
          </w:cols>
          <w:pgMar w:left="620" w:top="265" w:right="599" w:bottom="1440" w:gutter="0" w:footer="0" w:header="0"/>
        </w:sectPr>
      </w:pPr>
    </w:p>
    <w:bookmarkStart w:id="332" w:name="page333"/>
    <w:bookmarkEnd w:id="332"/>
    <w:p>
      <w:pPr>
        <w:jc w:val="both"/>
        <w:ind w:left="9"/>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Stock is equal to or less than the exercise price of the Award. In addition, any escrow, holdback, earnout or similar provisions in the definitive agreement for the Corporate Transaction may apply to such payment to the holder of the Award to the same extent and in the same manner as such provisions apply to the holders of Common Stock.</w:t>
      </w:r>
    </w:p>
    <w:p>
      <w:pPr>
        <w:spacing w:after="0" w:line="60" w:lineRule="exact"/>
        <w:rPr>
          <w:sz w:val="20"/>
          <w:szCs w:val="20"/>
          <w:color w:val="auto"/>
        </w:rPr>
      </w:pPr>
    </w:p>
    <w:p>
      <w:pPr>
        <w:ind w:left="9" w:right="120" w:firstLine="419"/>
        <w:spacing w:after="0" w:line="276" w:lineRule="auto"/>
        <w:tabs>
          <w:tab w:leader="none" w:pos="693" w:val="left"/>
        </w:tabs>
        <w:numPr>
          <w:ilvl w:val="1"/>
          <w:numId w:val="2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Change in Control. </w:t>
      </w:r>
      <w:r>
        <w:rPr>
          <w:rFonts w:ascii="Arial" w:cs="Arial" w:eastAsia="Arial" w:hAnsi="Arial"/>
          <w:sz w:val="17"/>
          <w:szCs w:val="17"/>
          <w:color w:val="auto"/>
        </w:rPr>
        <w:t>An Award may be subject to additional acceleration of vesting and exercisability upon or after a Change in Control as</w:t>
      </w:r>
      <w:r>
        <w:rPr>
          <w:rFonts w:ascii="Arial" w:cs="Arial" w:eastAsia="Arial" w:hAnsi="Arial"/>
          <w:sz w:val="17"/>
          <w:szCs w:val="17"/>
          <w:b w:val="1"/>
          <w:bCs w:val="1"/>
          <w:color w:val="auto"/>
        </w:rPr>
        <w:t xml:space="preserve"> </w:t>
      </w:r>
      <w:r>
        <w:rPr>
          <w:rFonts w:ascii="Arial" w:cs="Arial" w:eastAsia="Arial" w:hAnsi="Arial"/>
          <w:sz w:val="17"/>
          <w:szCs w:val="17"/>
          <w:color w:val="auto"/>
        </w:rPr>
        <w:t>may be provided in the Award Agreement for such Award or as may be provided in any other written agreement between the Company or any Affiliate and the Participant, but in the absence of such provision, no such acceleration will occur.</w:t>
      </w:r>
    </w:p>
    <w:p>
      <w:pPr>
        <w:spacing w:after="0" w:line="58" w:lineRule="exact"/>
        <w:rPr>
          <w:rFonts w:ascii="Arial" w:cs="Arial" w:eastAsia="Arial" w:hAnsi="Arial"/>
          <w:sz w:val="17"/>
          <w:szCs w:val="17"/>
          <w:b w:val="1"/>
          <w:bCs w:val="1"/>
          <w:color w:val="auto"/>
        </w:rPr>
      </w:pPr>
    </w:p>
    <w:p>
      <w:pPr>
        <w:ind w:left="9" w:right="20" w:firstLine="419"/>
        <w:spacing w:after="0" w:line="276" w:lineRule="auto"/>
        <w:tabs>
          <w:tab w:leader="none" w:pos="673" w:val="left"/>
        </w:tabs>
        <w:numPr>
          <w:ilvl w:val="1"/>
          <w:numId w:val="2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Moratorium on Exercises. </w:t>
      </w:r>
      <w:r>
        <w:rPr>
          <w:rFonts w:ascii="Arial" w:cs="Arial" w:eastAsia="Arial" w:hAnsi="Arial"/>
          <w:sz w:val="17"/>
          <w:szCs w:val="17"/>
          <w:color w:val="auto"/>
        </w:rPr>
        <w:t>The Board or the Stock Plan Administrator may prohibit the exercise of any Option, SAR or other exercisable</w:t>
      </w:r>
      <w:r>
        <w:rPr>
          <w:rFonts w:ascii="Arial" w:cs="Arial" w:eastAsia="Arial" w:hAnsi="Arial"/>
          <w:sz w:val="17"/>
          <w:szCs w:val="17"/>
          <w:b w:val="1"/>
          <w:bCs w:val="1"/>
          <w:color w:val="auto"/>
        </w:rPr>
        <w:t xml:space="preserve"> </w:t>
      </w:r>
      <w:r>
        <w:rPr>
          <w:rFonts w:ascii="Arial" w:cs="Arial" w:eastAsia="Arial" w:hAnsi="Arial"/>
          <w:sz w:val="17"/>
          <w:szCs w:val="17"/>
          <w:color w:val="auto"/>
        </w:rPr>
        <w:t>Award during a period of up to 30 days prior to the consummation of any pending Capitalization Adjustment, or any other change affecting the shares or the share price of the Common Stock, including any Corporate Transaction, for reasons of administrative convenience.</w:t>
      </w:r>
    </w:p>
    <w:p>
      <w:pPr>
        <w:spacing w:after="0" w:line="307" w:lineRule="exact"/>
        <w:rPr>
          <w:rFonts w:ascii="Arial" w:cs="Arial" w:eastAsia="Arial" w:hAnsi="Arial"/>
          <w:sz w:val="17"/>
          <w:szCs w:val="17"/>
          <w:b w:val="1"/>
          <w:bCs w:val="1"/>
          <w:color w:val="auto"/>
        </w:rPr>
      </w:pPr>
    </w:p>
    <w:p>
      <w:pPr>
        <w:ind w:left="429" w:hanging="429"/>
        <w:spacing w:after="0"/>
        <w:tabs>
          <w:tab w:leader="none" w:pos="429" w:val="left"/>
        </w:tabs>
        <w:numPr>
          <w:ilvl w:val="0"/>
          <w:numId w:val="211"/>
        </w:numPr>
        <w:rPr>
          <w:rFonts w:ascii="Arial" w:cs="Arial" w:eastAsia="Arial" w:hAnsi="Arial"/>
          <w:sz w:val="17"/>
          <w:szCs w:val="17"/>
          <w:b w:val="1"/>
          <w:bCs w:val="1"/>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MENDMENT</w:t>
      </w:r>
      <w:r>
        <w:rPr>
          <w:rFonts w:ascii="Arial" w:cs="Arial" w:eastAsia="Arial" w:hAnsi="Arial"/>
          <w:sz w:val="17"/>
          <w:szCs w:val="17"/>
          <w:b w:val="1"/>
          <w:bCs w:val="1"/>
          <w:color w:val="auto"/>
        </w:rPr>
        <w:t>, T</w:t>
      </w:r>
      <w:r>
        <w:rPr>
          <w:rFonts w:ascii="Arial" w:cs="Arial" w:eastAsia="Arial" w:hAnsi="Arial"/>
          <w:sz w:val="14"/>
          <w:szCs w:val="14"/>
          <w:b w:val="1"/>
          <w:bCs w:val="1"/>
          <w:color w:val="auto"/>
        </w:rPr>
        <w:t>ERMINATION OR</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USPENSION OF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p>
    <w:p>
      <w:pPr>
        <w:spacing w:after="0" w:line="118" w:lineRule="exact"/>
        <w:rPr>
          <w:rFonts w:ascii="Arial" w:cs="Arial" w:eastAsia="Arial" w:hAnsi="Arial"/>
          <w:sz w:val="17"/>
          <w:szCs w:val="17"/>
          <w:b w:val="1"/>
          <w:bCs w:val="1"/>
          <w:color w:val="auto"/>
        </w:rPr>
      </w:pPr>
    </w:p>
    <w:p>
      <w:pPr>
        <w:jc w:val="both"/>
        <w:ind w:left="9" w:right="40" w:firstLine="419"/>
        <w:spacing w:after="0" w:line="299" w:lineRule="auto"/>
        <w:tabs>
          <w:tab w:leader="none" w:pos="683" w:val="left"/>
        </w:tabs>
        <w:numPr>
          <w:ilvl w:val="1"/>
          <w:numId w:val="2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Amendments. </w:t>
      </w:r>
      <w:r>
        <w:rPr>
          <w:rFonts w:ascii="Arial" w:cs="Arial" w:eastAsia="Arial" w:hAnsi="Arial"/>
          <w:sz w:val="15"/>
          <w:szCs w:val="15"/>
          <w:color w:val="auto"/>
        </w:rPr>
        <w:t>The Board may amend the Plan in any respect the Board deems necessary or advisable, subject to the limitations of Applicable</w:t>
      </w:r>
      <w:r>
        <w:rPr>
          <w:rFonts w:ascii="Arial" w:cs="Arial" w:eastAsia="Arial" w:hAnsi="Arial"/>
          <w:sz w:val="15"/>
          <w:szCs w:val="15"/>
          <w:b w:val="1"/>
          <w:bCs w:val="1"/>
          <w:color w:val="auto"/>
        </w:rPr>
        <w:t xml:space="preserve"> </w:t>
      </w:r>
      <w:r>
        <w:rPr>
          <w:rFonts w:ascii="Arial" w:cs="Arial" w:eastAsia="Arial" w:hAnsi="Arial"/>
          <w:sz w:val="15"/>
          <w:szCs w:val="15"/>
          <w:color w:val="auto"/>
        </w:rPr>
        <w:t>Law and this section. If required by Applicable Law or listing requirements, the Company will seek stockholder approval of any amendment of the Plan that (A) materially increases the number of shares of Common Stock available for issuance under the Plan (excluding any Capitalization Adjustment),</w:t>
      </w:r>
    </w:p>
    <w:p>
      <w:pPr>
        <w:spacing w:after="0" w:line="1" w:lineRule="exact"/>
        <w:rPr>
          <w:rFonts w:ascii="Arial" w:cs="Arial" w:eastAsia="Arial" w:hAnsi="Arial"/>
          <w:sz w:val="15"/>
          <w:szCs w:val="15"/>
          <w:b w:val="1"/>
          <w:bCs w:val="1"/>
          <w:color w:val="auto"/>
        </w:rPr>
      </w:pPr>
    </w:p>
    <w:p>
      <w:pPr>
        <w:ind w:left="9"/>
        <w:spacing w:after="0" w:line="265" w:lineRule="auto"/>
        <w:rPr>
          <w:rFonts w:ascii="Arial" w:cs="Arial" w:eastAsia="Arial" w:hAnsi="Arial"/>
          <w:sz w:val="15"/>
          <w:szCs w:val="15"/>
          <w:b w:val="1"/>
          <w:bCs w:val="1"/>
          <w:color w:val="auto"/>
        </w:rPr>
      </w:pPr>
      <w:r>
        <w:rPr>
          <w:rFonts w:ascii="Arial" w:cs="Arial" w:eastAsia="Arial" w:hAnsi="Arial"/>
          <w:sz w:val="17"/>
          <w:szCs w:val="17"/>
          <w:color w:val="auto"/>
        </w:rPr>
        <w:t>(B) materially expands the class of individuals eligible to receive Awards under the Plan, (C) materially increases the benefits accruing to Participants under the Plan, (D) materially reduces the price at which shares of Common Stock may be issued or purchased under the Plan, (E) materially extends the term of the Plan, or (F) materially expands the types of Awards available for issuance under the Plan.</w:t>
      </w:r>
    </w:p>
    <w:p>
      <w:pPr>
        <w:spacing w:after="0" w:line="67" w:lineRule="exact"/>
        <w:rPr>
          <w:rFonts w:ascii="Arial" w:cs="Arial" w:eastAsia="Arial" w:hAnsi="Arial"/>
          <w:sz w:val="15"/>
          <w:szCs w:val="15"/>
          <w:b w:val="1"/>
          <w:bCs w:val="1"/>
          <w:color w:val="auto"/>
        </w:rPr>
      </w:pPr>
    </w:p>
    <w:p>
      <w:pPr>
        <w:jc w:val="both"/>
        <w:ind w:left="9" w:right="300" w:firstLine="419"/>
        <w:spacing w:after="0" w:line="276" w:lineRule="auto"/>
        <w:tabs>
          <w:tab w:leader="none" w:pos="693" w:val="left"/>
        </w:tabs>
        <w:numPr>
          <w:ilvl w:val="1"/>
          <w:numId w:val="2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Suspension or Termination. </w:t>
      </w:r>
      <w:r>
        <w:rPr>
          <w:rFonts w:ascii="Arial" w:cs="Arial" w:eastAsia="Arial" w:hAnsi="Arial"/>
          <w:sz w:val="17"/>
          <w:szCs w:val="17"/>
          <w:color w:val="auto"/>
        </w:rPr>
        <w:t>The Board may suspend or terminate the Plan at any time. The Plan, as amended by the Restatement, has no</w:t>
      </w:r>
      <w:r>
        <w:rPr>
          <w:rFonts w:ascii="Arial" w:cs="Arial" w:eastAsia="Arial" w:hAnsi="Arial"/>
          <w:sz w:val="17"/>
          <w:szCs w:val="17"/>
          <w:b w:val="1"/>
          <w:bCs w:val="1"/>
          <w:color w:val="auto"/>
        </w:rPr>
        <w:t xml:space="preserve"> </w:t>
      </w:r>
      <w:r>
        <w:rPr>
          <w:rFonts w:ascii="Arial" w:cs="Arial" w:eastAsia="Arial" w:hAnsi="Arial"/>
          <w:sz w:val="17"/>
          <w:szCs w:val="17"/>
          <w:color w:val="auto"/>
        </w:rPr>
        <w:t>fixed term; however, no Incentive Stock Options may be granted after January 16, 2028. No Awards may be granted under the Plan while the Plan is suspended or after it is terminated.</w:t>
      </w:r>
    </w:p>
    <w:p>
      <w:pPr>
        <w:spacing w:after="0" w:line="58" w:lineRule="exact"/>
        <w:rPr>
          <w:rFonts w:ascii="Arial" w:cs="Arial" w:eastAsia="Arial" w:hAnsi="Arial"/>
          <w:sz w:val="17"/>
          <w:szCs w:val="17"/>
          <w:b w:val="1"/>
          <w:bCs w:val="1"/>
          <w:color w:val="auto"/>
        </w:rPr>
      </w:pPr>
    </w:p>
    <w:p>
      <w:pPr>
        <w:ind w:left="9" w:right="420" w:firstLine="419"/>
        <w:spacing w:after="0" w:line="330" w:lineRule="auto"/>
        <w:tabs>
          <w:tab w:leader="none" w:pos="673" w:val="left"/>
        </w:tabs>
        <w:numPr>
          <w:ilvl w:val="1"/>
          <w:numId w:val="2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Impairment of Rights. </w:t>
      </w:r>
      <w:r>
        <w:rPr>
          <w:rFonts w:ascii="Arial" w:cs="Arial" w:eastAsia="Arial" w:hAnsi="Arial"/>
          <w:sz w:val="16"/>
          <w:szCs w:val="16"/>
          <w:color w:val="auto"/>
        </w:rPr>
        <w:t>No amendment, suspension or termination of the Plan will materially impair rights and obligations under any</w:t>
      </w:r>
      <w:r>
        <w:rPr>
          <w:rFonts w:ascii="Arial" w:cs="Arial" w:eastAsia="Arial" w:hAnsi="Arial"/>
          <w:sz w:val="16"/>
          <w:szCs w:val="16"/>
          <w:b w:val="1"/>
          <w:bCs w:val="1"/>
          <w:color w:val="auto"/>
        </w:rPr>
        <w:t xml:space="preserve"> </w:t>
      </w:r>
      <w:r>
        <w:rPr>
          <w:rFonts w:ascii="Arial" w:cs="Arial" w:eastAsia="Arial" w:hAnsi="Arial"/>
          <w:sz w:val="16"/>
          <w:szCs w:val="16"/>
          <w:color w:val="auto"/>
        </w:rPr>
        <w:t>Award granted while the Plan is in effect except with the written consent of the affected Participant or as otherwise permitted in the Plan.</w:t>
      </w:r>
    </w:p>
    <w:p>
      <w:pPr>
        <w:spacing w:after="0" w:line="266" w:lineRule="exact"/>
        <w:rPr>
          <w:rFonts w:ascii="Arial" w:cs="Arial" w:eastAsia="Arial" w:hAnsi="Arial"/>
          <w:sz w:val="16"/>
          <w:szCs w:val="16"/>
          <w:b w:val="1"/>
          <w:bCs w:val="1"/>
          <w:color w:val="auto"/>
        </w:rPr>
      </w:pPr>
    </w:p>
    <w:p>
      <w:pPr>
        <w:ind w:left="429" w:hanging="429"/>
        <w:spacing w:after="0"/>
        <w:tabs>
          <w:tab w:leader="none" w:pos="429" w:val="left"/>
        </w:tabs>
        <w:numPr>
          <w:ilvl w:val="0"/>
          <w:numId w:val="211"/>
        </w:numPr>
        <w:rPr>
          <w:rFonts w:ascii="Arial" w:cs="Arial" w:eastAsia="Arial" w:hAnsi="Arial"/>
          <w:sz w:val="17"/>
          <w:szCs w:val="17"/>
          <w:b w:val="1"/>
          <w:bCs w:val="1"/>
          <w:color w:val="auto"/>
        </w:rPr>
      </w:pPr>
      <w:r>
        <w:rPr>
          <w:rFonts w:ascii="Arial" w:cs="Arial" w:eastAsia="Arial" w:hAnsi="Arial"/>
          <w:sz w:val="17"/>
          <w:szCs w:val="17"/>
          <w:b w:val="1"/>
          <w:bCs w:val="1"/>
          <w:color w:val="auto"/>
        </w:rPr>
        <w:t>E</w:t>
      </w:r>
      <w:r>
        <w:rPr>
          <w:rFonts w:ascii="Arial" w:cs="Arial" w:eastAsia="Arial" w:hAnsi="Arial"/>
          <w:sz w:val="14"/>
          <w:szCs w:val="14"/>
          <w:b w:val="1"/>
          <w:bCs w:val="1"/>
          <w:color w:val="auto"/>
        </w:rPr>
        <w:t>FFECTIVE</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ATE OF</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 AND</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ESTATEMENT</w:t>
      </w:r>
      <w:r>
        <w:rPr>
          <w:rFonts w:ascii="Arial" w:cs="Arial" w:eastAsia="Arial" w:hAnsi="Arial"/>
          <w:sz w:val="17"/>
          <w:szCs w:val="17"/>
          <w:b w:val="1"/>
          <w:bCs w:val="1"/>
          <w:color w:val="auto"/>
        </w:rPr>
        <w:t>.</w:t>
      </w:r>
    </w:p>
    <w:p>
      <w:pPr>
        <w:spacing w:after="0" w:line="125" w:lineRule="exact"/>
        <w:rPr>
          <w:sz w:val="20"/>
          <w:szCs w:val="20"/>
          <w:color w:val="auto"/>
        </w:rPr>
      </w:pPr>
    </w:p>
    <w:p>
      <w:pPr>
        <w:ind w:left="429"/>
        <w:spacing w:after="0"/>
        <w:rPr>
          <w:sz w:val="20"/>
          <w:szCs w:val="20"/>
          <w:color w:val="auto"/>
        </w:rPr>
      </w:pPr>
      <w:r>
        <w:rPr>
          <w:rFonts w:ascii="Arial" w:cs="Arial" w:eastAsia="Arial" w:hAnsi="Arial"/>
          <w:sz w:val="17"/>
          <w:szCs w:val="17"/>
          <w:color w:val="auto"/>
        </w:rPr>
        <w:t>This Plan became effective on the Effective Date, and the Restatement will become effective on the IPO Date.</w:t>
      </w:r>
    </w:p>
    <w:p>
      <w:pPr>
        <w:spacing w:after="0" w:line="362" w:lineRule="exact"/>
        <w:rPr>
          <w:sz w:val="20"/>
          <w:szCs w:val="20"/>
          <w:color w:val="auto"/>
        </w:rPr>
      </w:pPr>
    </w:p>
    <w:p>
      <w:pPr>
        <w:ind w:left="429" w:hanging="429"/>
        <w:spacing w:after="0"/>
        <w:tabs>
          <w:tab w:leader="none" w:pos="429" w:val="left"/>
        </w:tabs>
        <w:numPr>
          <w:ilvl w:val="0"/>
          <w:numId w:val="212"/>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4"/>
          <w:szCs w:val="14"/>
          <w:b w:val="1"/>
          <w:bCs w:val="1"/>
          <w:color w:val="auto"/>
        </w:rPr>
        <w:t>HOICE OF</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7"/>
          <w:szCs w:val="17"/>
          <w:b w:val="1"/>
          <w:bCs w:val="1"/>
          <w:color w:val="auto"/>
        </w:rPr>
        <w:t>.</w:t>
      </w:r>
    </w:p>
    <w:p>
      <w:pPr>
        <w:spacing w:after="0" w:line="125" w:lineRule="exact"/>
        <w:rPr>
          <w:sz w:val="20"/>
          <w:szCs w:val="20"/>
          <w:color w:val="auto"/>
        </w:rPr>
      </w:pPr>
    </w:p>
    <w:p>
      <w:pPr>
        <w:ind w:left="9" w:right="100" w:firstLine="427"/>
        <w:spacing w:after="0" w:line="289" w:lineRule="auto"/>
        <w:rPr>
          <w:sz w:val="20"/>
          <w:szCs w:val="20"/>
          <w:color w:val="auto"/>
        </w:rPr>
      </w:pPr>
      <w:r>
        <w:rPr>
          <w:rFonts w:ascii="Arial" w:cs="Arial" w:eastAsia="Arial" w:hAnsi="Arial"/>
          <w:sz w:val="17"/>
          <w:szCs w:val="17"/>
          <w:color w:val="auto"/>
        </w:rPr>
        <w:t>The laws of the State of Delaware will govern all questions concerning the construction, validity and interpretation of this Plan, without regard to that state’s conflict of laws rules.</w:t>
      </w:r>
    </w:p>
    <w:p>
      <w:pPr>
        <w:spacing w:after="0" w:line="92"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669"/>
          </w:cols>
          <w:pgMar w:left="611" w:top="271" w:right="619" w:bottom="1440" w:gutter="0" w:footer="0" w:header="0"/>
        </w:sectPr>
      </w:pPr>
    </w:p>
    <w:bookmarkStart w:id="333" w:name="page334"/>
    <w:bookmarkEnd w:id="333"/>
    <w:p>
      <w:pPr>
        <w:ind w:left="429" w:hanging="429"/>
        <w:spacing w:after="0"/>
        <w:tabs>
          <w:tab w:leader="none" w:pos="429" w:val="left"/>
        </w:tabs>
        <w:numPr>
          <w:ilvl w:val="0"/>
          <w:numId w:val="213"/>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w:t>
      </w:r>
      <w:r>
        <w:rPr>
          <w:rFonts w:ascii="Arial" w:cs="Arial" w:eastAsia="Arial" w:hAnsi="Arial"/>
          <w:sz w:val="14"/>
          <w:szCs w:val="14"/>
          <w:b w:val="1"/>
          <w:bCs w:val="1"/>
          <w:color w:val="auto"/>
        </w:rPr>
        <w:t>EFINITIONS</w:t>
      </w:r>
      <w:r>
        <w:rPr>
          <w:rFonts w:ascii="Arial" w:cs="Arial" w:eastAsia="Arial" w:hAnsi="Arial"/>
          <w:sz w:val="17"/>
          <w:szCs w:val="17"/>
          <w:b w:val="1"/>
          <w:bCs w:val="1"/>
          <w:color w:val="auto"/>
        </w:rPr>
        <w:t xml:space="preserve">. </w:t>
      </w:r>
      <w:r>
        <w:rPr>
          <w:rFonts w:ascii="Arial" w:cs="Arial" w:eastAsia="Arial" w:hAnsi="Arial"/>
          <w:sz w:val="17"/>
          <w:szCs w:val="17"/>
          <w:color w:val="auto"/>
        </w:rPr>
        <w:t>As used in the Plan, the following definitions will apply to the capitalized terms indicated below:</w:t>
      </w:r>
    </w:p>
    <w:p>
      <w:pPr>
        <w:spacing w:after="0" w:line="124" w:lineRule="exact"/>
        <w:rPr>
          <w:rFonts w:ascii="Arial" w:cs="Arial" w:eastAsia="Arial" w:hAnsi="Arial"/>
          <w:sz w:val="17"/>
          <w:szCs w:val="17"/>
          <w:b w:val="1"/>
          <w:bCs w:val="1"/>
          <w:color w:val="auto"/>
        </w:rPr>
      </w:pPr>
    </w:p>
    <w:p>
      <w:pPr>
        <w:ind w:left="9" w:firstLine="419"/>
        <w:spacing w:after="0" w:line="273" w:lineRule="auto"/>
        <w:tabs>
          <w:tab w:leader="none" w:pos="683" w:val="left"/>
        </w:tabs>
        <w:numPr>
          <w:ilvl w:val="1"/>
          <w:numId w:val="21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at the time of determination, any “parent” or “majority-owned subsidiary” of the Company, as such terms are defined in Rule 405. The Board will have the authority to determine the time or times at which “parent” or “majority-owned subsidiary” status is determined within the foregoing definition.</w:t>
      </w:r>
    </w:p>
    <w:p>
      <w:pPr>
        <w:spacing w:after="0" w:line="66" w:lineRule="exact"/>
        <w:rPr>
          <w:rFonts w:ascii="Arial" w:cs="Arial" w:eastAsia="Arial" w:hAnsi="Arial"/>
          <w:sz w:val="17"/>
          <w:szCs w:val="17"/>
          <w:b w:val="1"/>
          <w:bCs w:val="1"/>
          <w:color w:val="auto"/>
        </w:rPr>
      </w:pPr>
    </w:p>
    <w:p>
      <w:pPr>
        <w:ind w:left="9" w:right="40" w:firstLine="419"/>
        <w:spacing w:after="0" w:line="267" w:lineRule="auto"/>
        <w:tabs>
          <w:tab w:leader="none" w:pos="693" w:val="left"/>
        </w:tabs>
        <w:numPr>
          <w:ilvl w:val="1"/>
          <w:numId w:val="21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Applicable Law</w:t>
      </w:r>
      <w:r>
        <w:rPr>
          <w:rFonts w:ascii="Arial" w:cs="Arial" w:eastAsia="Arial" w:hAnsi="Arial"/>
          <w:sz w:val="17"/>
          <w:szCs w:val="17"/>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or regulatory body or self-regulatory organization (including the Nasdaq Stock Market and the Financial Industry Regulatory Authority).</w:t>
      </w:r>
    </w:p>
    <w:p>
      <w:pPr>
        <w:spacing w:after="0" w:line="72" w:lineRule="exact"/>
        <w:rPr>
          <w:rFonts w:ascii="Arial" w:cs="Arial" w:eastAsia="Arial" w:hAnsi="Arial"/>
          <w:sz w:val="17"/>
          <w:szCs w:val="17"/>
          <w:b w:val="1"/>
          <w:bCs w:val="1"/>
          <w:color w:val="auto"/>
        </w:rPr>
      </w:pPr>
    </w:p>
    <w:p>
      <w:pPr>
        <w:ind w:left="9" w:right="20" w:firstLine="419"/>
        <w:spacing w:after="0" w:line="322" w:lineRule="auto"/>
        <w:tabs>
          <w:tab w:leader="none" w:pos="673" w:val="left"/>
        </w:tabs>
        <w:numPr>
          <w:ilvl w:val="1"/>
          <w:numId w:val="21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means any right to receive Common Stock granted under the Plan, including an Incentive Stock Option, a Nonstatutory Stock Option, a Restricted Stock Award, a Restricted Stock Unit Award, a Stock Appreciation Right, a Performance Award or any Other Stock Award.</w:t>
      </w:r>
    </w:p>
    <w:p>
      <w:pPr>
        <w:spacing w:after="0" w:line="30" w:lineRule="exact"/>
        <w:rPr>
          <w:rFonts w:ascii="Arial" w:cs="Arial" w:eastAsia="Arial" w:hAnsi="Arial"/>
          <w:sz w:val="16"/>
          <w:szCs w:val="16"/>
          <w:b w:val="1"/>
          <w:bCs w:val="1"/>
          <w:color w:val="auto"/>
        </w:rPr>
      </w:pPr>
    </w:p>
    <w:p>
      <w:pPr>
        <w:ind w:left="9" w:right="320" w:firstLine="419"/>
        <w:spacing w:after="0" w:line="273" w:lineRule="auto"/>
        <w:tabs>
          <w:tab w:leader="none" w:pos="693" w:val="left"/>
        </w:tabs>
        <w:numPr>
          <w:ilvl w:val="1"/>
          <w:numId w:val="21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 means a written agreement between the Company and a Participant evidencing the terms and conditions of an Award. The term “Award Agreement” will also include any other written agreement between the Company or an Affiliate and a Participant containing additional terms and conditions of, or amendments to, an Award.</w:t>
      </w:r>
    </w:p>
    <w:p>
      <w:pPr>
        <w:spacing w:after="0" w:line="66" w:lineRule="exact"/>
        <w:rPr>
          <w:rFonts w:ascii="Arial" w:cs="Arial" w:eastAsia="Arial" w:hAnsi="Arial"/>
          <w:sz w:val="17"/>
          <w:szCs w:val="17"/>
          <w:b w:val="1"/>
          <w:bCs w:val="1"/>
          <w:color w:val="auto"/>
        </w:rPr>
      </w:pPr>
    </w:p>
    <w:p>
      <w:pPr>
        <w:ind w:left="669" w:hanging="241"/>
        <w:spacing w:after="0"/>
        <w:tabs>
          <w:tab w:leader="none" w:pos="669" w:val="left"/>
        </w:tabs>
        <w:numPr>
          <w:ilvl w:val="1"/>
          <w:numId w:val="21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means the Board of Directors of the Company.</w:t>
      </w:r>
    </w:p>
    <w:p>
      <w:pPr>
        <w:spacing w:after="0" w:line="118" w:lineRule="exact"/>
        <w:rPr>
          <w:rFonts w:ascii="Arial" w:cs="Arial" w:eastAsia="Arial" w:hAnsi="Arial"/>
          <w:sz w:val="17"/>
          <w:szCs w:val="17"/>
          <w:b w:val="1"/>
          <w:bCs w:val="1"/>
          <w:color w:val="auto"/>
        </w:rPr>
      </w:pPr>
    </w:p>
    <w:p>
      <w:pPr>
        <w:ind w:left="649" w:hanging="221"/>
        <w:spacing w:after="0"/>
        <w:tabs>
          <w:tab w:leader="none" w:pos="649" w:val="left"/>
        </w:tabs>
        <w:numPr>
          <w:ilvl w:val="1"/>
          <w:numId w:val="21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Capital Stock</w:t>
      </w:r>
      <w:r>
        <w:rPr>
          <w:rFonts w:ascii="Arial" w:cs="Arial" w:eastAsia="Arial" w:hAnsi="Arial"/>
          <w:sz w:val="17"/>
          <w:szCs w:val="17"/>
          <w:color w:val="auto"/>
        </w:rPr>
        <w:t>” means each and every class of capital stock of the Company, regardless of the number of votes per share.</w:t>
      </w:r>
    </w:p>
    <w:p>
      <w:pPr>
        <w:spacing w:after="0" w:line="118" w:lineRule="exact"/>
        <w:rPr>
          <w:rFonts w:ascii="Arial" w:cs="Arial" w:eastAsia="Arial" w:hAnsi="Arial"/>
          <w:sz w:val="17"/>
          <w:szCs w:val="17"/>
          <w:b w:val="1"/>
          <w:bCs w:val="1"/>
          <w:color w:val="auto"/>
        </w:rPr>
      </w:pPr>
    </w:p>
    <w:p>
      <w:pPr>
        <w:ind w:left="9" w:right="80" w:firstLine="419"/>
        <w:spacing w:after="0" w:line="305" w:lineRule="auto"/>
        <w:tabs>
          <w:tab w:leader="none" w:pos="683" w:val="left"/>
        </w:tabs>
        <w:numPr>
          <w:ilvl w:val="1"/>
          <w:numId w:val="213"/>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Capitalization Adjustment</w:t>
      </w:r>
      <w:r>
        <w:rPr>
          <w:rFonts w:ascii="Arial" w:cs="Arial" w:eastAsia="Arial" w:hAnsi="Arial"/>
          <w:sz w:val="15"/>
          <w:szCs w:val="15"/>
          <w:color w:val="auto"/>
        </w:rPr>
        <w:t>” means any change that is made in, or other events that occur with respect to, the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47" w:lineRule="exact"/>
        <w:rPr>
          <w:sz w:val="20"/>
          <w:szCs w:val="20"/>
          <w:color w:val="auto"/>
        </w:rPr>
      </w:pPr>
    </w:p>
    <w:p>
      <w:pPr>
        <w:ind w:left="9" w:right="80" w:firstLine="419"/>
        <w:spacing w:after="0" w:line="299" w:lineRule="auto"/>
        <w:tabs>
          <w:tab w:leader="none" w:pos="683" w:val="left"/>
        </w:tabs>
        <w:numPr>
          <w:ilvl w:val="1"/>
          <w:numId w:val="214"/>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Cause</w:t>
      </w:r>
      <w:r>
        <w:rPr>
          <w:rFonts w:ascii="Arial" w:cs="Arial" w:eastAsia="Arial" w:hAnsi="Arial"/>
          <w:sz w:val="15"/>
          <w:szCs w:val="15"/>
          <w:color w:val="auto"/>
        </w:rPr>
        <w:t>” will have the meaning ascribed to such term in any written agreement between the Participant and the Company or an Affiliate defining such term and, in the absence of such agreement, such term means, with respect to a Participant, the occurrence of any of the following events:</w:t>
      </w:r>
    </w:p>
    <w:p>
      <w:pPr>
        <w:spacing w:after="0" w:line="1" w:lineRule="exact"/>
        <w:rPr>
          <w:rFonts w:ascii="Arial" w:cs="Arial" w:eastAsia="Arial" w:hAnsi="Arial"/>
          <w:sz w:val="15"/>
          <w:szCs w:val="15"/>
          <w:b w:val="1"/>
          <w:bCs w:val="1"/>
          <w:color w:val="auto"/>
        </w:rPr>
      </w:pPr>
    </w:p>
    <w:p>
      <w:pPr>
        <w:ind w:left="9" w:right="40" w:hanging="9"/>
        <w:spacing w:after="0" w:line="259" w:lineRule="auto"/>
        <w:tabs>
          <w:tab w:leader="none" w:pos="217" w:val="left"/>
        </w:tabs>
        <w:numPr>
          <w:ilvl w:val="0"/>
          <w:numId w:val="215"/>
        </w:numPr>
        <w:rPr>
          <w:rFonts w:ascii="Arial" w:cs="Arial" w:eastAsia="Arial" w:hAnsi="Arial"/>
          <w:sz w:val="17"/>
          <w:szCs w:val="17"/>
          <w:color w:val="auto"/>
        </w:rPr>
      </w:pPr>
      <w:r>
        <w:rPr>
          <w:rFonts w:ascii="Arial" w:cs="Arial" w:eastAsia="Arial" w:hAnsi="Arial"/>
          <w:sz w:val="17"/>
          <w:szCs w:val="17"/>
          <w:color w:val="auto"/>
        </w:rPr>
        <w:t>such Participant’s commission of any felony or any crime involving fraud, dishonesty or moral turpitude under the laws of the United States or any state thereof, or any applicable foreign jurisdiction; (ii) such Participant’s attempted commission of, or participation in, a fraud or act of dishonesty against the Company or any Affiliate; (iii) such Participant’s intentional, material violation of any contract or agreement between the Participant and the Company or an Affiliate or of any statutory duty owed to the Company or an Affiliate; (iv) such Participant’s unauthorized use or disclosure of the Company’s or an Affiliate’s confidential information or trade secrets; or (v) such Participant’s gross misconduct or gross negligence. The determination that a termination of the Participant’s Continuous Service is either for Cause or without Cause will be made by the Company, in its sole discretion.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19"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689"/>
          </w:cols>
          <w:pgMar w:left="611" w:top="265" w:right="599" w:bottom="1440" w:gutter="0" w:footer="0" w:header="0"/>
        </w:sectPr>
      </w:pPr>
    </w:p>
    <w:bookmarkStart w:id="334" w:name="page335"/>
    <w:bookmarkEnd w:id="334"/>
    <w:p>
      <w:pPr>
        <w:ind w:right="40" w:firstLine="419"/>
        <w:spacing w:after="0" w:line="289" w:lineRule="auto"/>
        <w:tabs>
          <w:tab w:leader="none" w:pos="684" w:val="left"/>
        </w:tabs>
        <w:numPr>
          <w:ilvl w:val="0"/>
          <w:numId w:val="216"/>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or “</w:t>
      </w:r>
      <w:r>
        <w:rPr>
          <w:rFonts w:ascii="Arial" w:cs="Arial" w:eastAsia="Arial" w:hAnsi="Arial"/>
          <w:sz w:val="17"/>
          <w:szCs w:val="17"/>
          <w:b w:val="1"/>
          <w:bCs w:val="1"/>
          <w:i w:val="1"/>
          <w:iCs w:val="1"/>
          <w:color w:val="auto"/>
        </w:rPr>
        <w:t>Change of Control</w:t>
      </w:r>
      <w:r>
        <w:rPr>
          <w:rFonts w:ascii="Arial" w:cs="Arial" w:eastAsia="Arial" w:hAnsi="Arial"/>
          <w:sz w:val="17"/>
          <w:szCs w:val="17"/>
          <w:color w:val="auto"/>
        </w:rPr>
        <w:t>” means the occurrence, in a single transaction or in a series of related transactions, of any one or more of the following events:</w:t>
      </w:r>
    </w:p>
    <w:p>
      <w:pPr>
        <w:spacing w:after="0" w:line="158" w:lineRule="exact"/>
        <w:rPr>
          <w:sz w:val="20"/>
          <w:szCs w:val="20"/>
          <w:color w:val="auto"/>
        </w:rPr>
      </w:pPr>
    </w:p>
    <w:p>
      <w:pPr>
        <w:ind w:left="1060" w:hanging="214"/>
        <w:spacing w:after="0"/>
        <w:tabs>
          <w:tab w:leader="none" w:pos="1060" w:val="left"/>
        </w:tabs>
        <w:numPr>
          <w:ilvl w:val="0"/>
          <w:numId w:val="217"/>
        </w:numPr>
        <w:rPr>
          <w:rFonts w:ascii="Arial" w:cs="Arial" w:eastAsia="Arial" w:hAnsi="Arial"/>
          <w:sz w:val="17"/>
          <w:szCs w:val="17"/>
          <w:b w:val="1"/>
          <w:bCs w:val="1"/>
          <w:color w:val="auto"/>
        </w:rPr>
      </w:pPr>
      <w:r>
        <w:rPr>
          <w:rFonts w:ascii="Arial" w:cs="Arial" w:eastAsia="Arial" w:hAnsi="Arial"/>
          <w:sz w:val="17"/>
          <w:szCs w:val="17"/>
          <w:color w:val="auto"/>
        </w:rPr>
        <w:t>any Exchange Act Person becomes the Owner, directly or indirectly, of securities of the Company representing more than</w:t>
      </w:r>
    </w:p>
    <w:p>
      <w:pPr>
        <w:spacing w:after="0" w:line="26"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fifty percent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15"/>
          <w:szCs w:val="15"/>
          <w:b w:val="1"/>
          <w:bCs w:val="1"/>
          <w:i w:val="1"/>
          <w:iCs w:val="1"/>
          <w:color w:val="auto"/>
        </w:rPr>
        <w:t>Subject Person</w:t>
      </w:r>
      <w:r>
        <w:rPr>
          <w:rFonts w:ascii="Arial" w:cs="Arial" w:eastAsia="Arial" w:hAnsi="Arial"/>
          <w:sz w:val="15"/>
          <w:szCs w:val="15"/>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53" w:lineRule="exact"/>
        <w:rPr>
          <w:sz w:val="20"/>
          <w:szCs w:val="20"/>
          <w:color w:val="auto"/>
        </w:rPr>
      </w:pPr>
    </w:p>
    <w:p>
      <w:pPr>
        <w:ind w:right="60" w:firstLine="846"/>
        <w:spacing w:after="0" w:line="283" w:lineRule="auto"/>
        <w:tabs>
          <w:tab w:leader="none" w:pos="1111" w:val="left"/>
        </w:tabs>
        <w:numPr>
          <w:ilvl w:val="0"/>
          <w:numId w:val="218"/>
        </w:numPr>
        <w:rPr>
          <w:rFonts w:ascii="Arial" w:cs="Arial" w:eastAsia="Arial" w:hAnsi="Arial"/>
          <w:sz w:val="16"/>
          <w:szCs w:val="16"/>
          <w:b w:val="1"/>
          <w:bCs w:val="1"/>
          <w:color w:val="auto"/>
        </w:rPr>
      </w:pPr>
      <w:r>
        <w:rPr>
          <w:rFonts w:ascii="Arial" w:cs="Arial" w:eastAsia="Arial" w:hAnsi="Arial"/>
          <w:sz w:val="16"/>
          <w:szCs w:val="16"/>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60" w:lineRule="exact"/>
        <w:rPr>
          <w:rFonts w:ascii="Arial" w:cs="Arial" w:eastAsia="Arial" w:hAnsi="Arial"/>
          <w:sz w:val="16"/>
          <w:szCs w:val="16"/>
          <w:b w:val="1"/>
          <w:bCs w:val="1"/>
          <w:color w:val="auto"/>
        </w:rPr>
      </w:pPr>
    </w:p>
    <w:p>
      <w:pPr>
        <w:ind w:right="360" w:firstLine="846"/>
        <w:spacing w:after="0" w:line="322" w:lineRule="auto"/>
        <w:tabs>
          <w:tab w:leader="none" w:pos="1160" w:val="left"/>
        </w:tabs>
        <w:numPr>
          <w:ilvl w:val="0"/>
          <w:numId w:val="218"/>
        </w:numPr>
        <w:rPr>
          <w:rFonts w:ascii="Arial" w:cs="Arial" w:eastAsia="Arial" w:hAnsi="Arial"/>
          <w:sz w:val="16"/>
          <w:szCs w:val="16"/>
          <w:b w:val="1"/>
          <w:bCs w:val="1"/>
          <w:color w:val="auto"/>
        </w:rPr>
      </w:pPr>
      <w:r>
        <w:rPr>
          <w:rFonts w:ascii="Arial" w:cs="Arial" w:eastAsia="Arial" w:hAnsi="Arial"/>
          <w:sz w:val="16"/>
          <w:szCs w:val="16"/>
          <w:color w:val="auto"/>
        </w:rPr>
        <w:t>the stockholders of the Company approve or the Board approves a plan of complete dissolution or liquidation of the Company, or a complete dissolution or liquidation of the Company shall otherwise occur, except for a liquidation into a parent corporation;</w:t>
      </w:r>
    </w:p>
    <w:p>
      <w:pPr>
        <w:spacing w:after="0" w:line="30" w:lineRule="exact"/>
        <w:rPr>
          <w:rFonts w:ascii="Arial" w:cs="Arial" w:eastAsia="Arial" w:hAnsi="Arial"/>
          <w:sz w:val="16"/>
          <w:szCs w:val="16"/>
          <w:b w:val="1"/>
          <w:bCs w:val="1"/>
          <w:color w:val="auto"/>
        </w:rPr>
      </w:pPr>
    </w:p>
    <w:p>
      <w:pPr>
        <w:ind w:right="60" w:firstLine="846"/>
        <w:spacing w:after="0" w:line="265" w:lineRule="auto"/>
        <w:tabs>
          <w:tab w:leader="none" w:pos="1150" w:val="left"/>
        </w:tabs>
        <w:numPr>
          <w:ilvl w:val="0"/>
          <w:numId w:val="218"/>
        </w:numPr>
        <w:rPr>
          <w:rFonts w:ascii="Arial" w:cs="Arial" w:eastAsia="Arial" w:hAnsi="Arial"/>
          <w:sz w:val="17"/>
          <w:szCs w:val="17"/>
          <w:b w:val="1"/>
          <w:bCs w:val="1"/>
          <w:color w:val="auto"/>
        </w:rPr>
      </w:pPr>
      <w:r>
        <w:rPr>
          <w:rFonts w:ascii="Arial" w:cs="Arial" w:eastAsia="Arial" w:hAnsi="Arial"/>
          <w:sz w:val="17"/>
          <w:szCs w:val="17"/>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73" w:lineRule="exact"/>
        <w:rPr>
          <w:rFonts w:ascii="Arial" w:cs="Arial" w:eastAsia="Arial" w:hAnsi="Arial"/>
          <w:sz w:val="17"/>
          <w:szCs w:val="17"/>
          <w:b w:val="1"/>
          <w:bCs w:val="1"/>
          <w:color w:val="auto"/>
        </w:rPr>
      </w:pPr>
    </w:p>
    <w:p>
      <w:pPr>
        <w:ind w:right="40" w:firstLine="846"/>
        <w:spacing w:after="0" w:line="267" w:lineRule="auto"/>
        <w:tabs>
          <w:tab w:leader="none" w:pos="1102" w:val="left"/>
        </w:tabs>
        <w:numPr>
          <w:ilvl w:val="0"/>
          <w:numId w:val="218"/>
        </w:numPr>
        <w:rPr>
          <w:rFonts w:ascii="Arial" w:cs="Arial" w:eastAsia="Arial" w:hAnsi="Arial"/>
          <w:sz w:val="17"/>
          <w:szCs w:val="17"/>
          <w:b w:val="1"/>
          <w:bCs w:val="1"/>
          <w:color w:val="auto"/>
        </w:rPr>
      </w:pPr>
      <w:r>
        <w:rPr>
          <w:rFonts w:ascii="Arial" w:cs="Arial" w:eastAsia="Arial" w:hAnsi="Arial"/>
          <w:sz w:val="17"/>
          <w:szCs w:val="17"/>
          <w:color w:val="auto"/>
        </w:rPr>
        <w:t>individuals who, on the date this Plan is adopted by the Board, are members of the Board (the “</w:t>
      </w:r>
      <w:r>
        <w:rPr>
          <w:rFonts w:ascii="Arial" w:cs="Arial" w:eastAsia="Arial" w:hAnsi="Arial"/>
          <w:sz w:val="17"/>
          <w:szCs w:val="17"/>
          <w:b w:val="1"/>
          <w:bCs w:val="1"/>
          <w:i w:val="1"/>
          <w:iCs w:val="1"/>
          <w:color w:val="auto"/>
        </w:rPr>
        <w:t>Incumbent Board</w:t>
      </w:r>
      <w:r>
        <w:rPr>
          <w:rFonts w:ascii="Arial" w:cs="Arial" w:eastAsia="Arial" w:hAnsi="Arial"/>
          <w:sz w:val="17"/>
          <w:szCs w:val="17"/>
          <w:color w:val="auto"/>
        </w:rPr>
        <w:t xml:space="preserve">”) cease for any reason to constitute at least a majority of the members of the Board;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660"/>
          </w:cols>
          <w:pgMar w:left="620" w:top="271" w:right="619" w:bottom="1440" w:gutter="0" w:footer="0" w:header="0"/>
        </w:sectPr>
      </w:pPr>
    </w:p>
    <w:bookmarkStart w:id="335" w:name="page336"/>
    <w:bookmarkEnd w:id="335"/>
    <w:p>
      <w:pPr>
        <w:ind w:right="8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Notwithstanding the foregoing definition or any other provision of this Plan, (A) the term Change in Control will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will supersede the foregoing definition with respect to Awards subject to such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no definition of Change in Control or any analogous term is set forth in such an individual written agreement, the foregoing definition will apply.</w:t>
      </w:r>
    </w:p>
    <w:p>
      <w:pPr>
        <w:spacing w:after="0" w:line="73" w:lineRule="exact"/>
        <w:rPr>
          <w:sz w:val="20"/>
          <w:szCs w:val="20"/>
          <w:color w:val="auto"/>
        </w:rPr>
      </w:pPr>
    </w:p>
    <w:p>
      <w:pPr>
        <w:ind w:left="660" w:hanging="241"/>
        <w:spacing w:after="0"/>
        <w:tabs>
          <w:tab w:leader="none" w:pos="660" w:val="left"/>
        </w:tabs>
        <w:numPr>
          <w:ilvl w:val="0"/>
          <w:numId w:val="21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 including any applicable regulations and guidance thereunder.</w:t>
      </w:r>
    </w:p>
    <w:p>
      <w:pPr>
        <w:spacing w:after="0" w:line="118" w:lineRule="exact"/>
        <w:rPr>
          <w:rFonts w:ascii="Arial" w:cs="Arial" w:eastAsia="Arial" w:hAnsi="Arial"/>
          <w:sz w:val="17"/>
          <w:szCs w:val="17"/>
          <w:b w:val="1"/>
          <w:bCs w:val="1"/>
          <w:color w:val="auto"/>
        </w:rPr>
      </w:pPr>
    </w:p>
    <w:p>
      <w:pPr>
        <w:ind w:right="860" w:firstLine="419"/>
        <w:spacing w:after="0" w:line="289" w:lineRule="auto"/>
        <w:tabs>
          <w:tab w:leader="none" w:pos="684" w:val="left"/>
        </w:tabs>
        <w:numPr>
          <w:ilvl w:val="0"/>
          <w:numId w:val="21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means a committee of one or more Directors to whom authority has been delegated by the Board in accordance with Section 2(c).</w:t>
      </w:r>
    </w:p>
    <w:p>
      <w:pPr>
        <w:spacing w:after="0" w:line="53" w:lineRule="exact"/>
        <w:rPr>
          <w:rFonts w:ascii="Arial" w:cs="Arial" w:eastAsia="Arial" w:hAnsi="Arial"/>
          <w:sz w:val="17"/>
          <w:szCs w:val="17"/>
          <w:b w:val="1"/>
          <w:bCs w:val="1"/>
          <w:color w:val="auto"/>
        </w:rPr>
      </w:pPr>
    </w:p>
    <w:p>
      <w:pPr>
        <w:ind w:left="660" w:hanging="241"/>
        <w:spacing w:after="0"/>
        <w:tabs>
          <w:tab w:leader="none" w:pos="660" w:val="left"/>
        </w:tabs>
        <w:numPr>
          <w:ilvl w:val="0"/>
          <w:numId w:val="21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means the Common Stock of the Company.</w:t>
      </w:r>
    </w:p>
    <w:p>
      <w:pPr>
        <w:spacing w:after="0" w:line="118" w:lineRule="exact"/>
        <w:rPr>
          <w:rFonts w:ascii="Arial" w:cs="Arial" w:eastAsia="Arial" w:hAnsi="Arial"/>
          <w:sz w:val="17"/>
          <w:szCs w:val="17"/>
          <w:b w:val="1"/>
          <w:bCs w:val="1"/>
          <w:color w:val="auto"/>
        </w:rPr>
      </w:pPr>
    </w:p>
    <w:p>
      <w:pPr>
        <w:ind w:left="640" w:hanging="221"/>
        <w:spacing w:after="0"/>
        <w:tabs>
          <w:tab w:leader="none" w:pos="640" w:val="left"/>
        </w:tabs>
        <w:numPr>
          <w:ilvl w:val="0"/>
          <w:numId w:val="21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means NGM Biopharmaceuticals, Inc., a Delaware corporation, and any successor thereto.</w:t>
      </w:r>
    </w:p>
    <w:p>
      <w:pPr>
        <w:spacing w:after="0" w:line="118" w:lineRule="exact"/>
        <w:rPr>
          <w:rFonts w:ascii="Arial" w:cs="Arial" w:eastAsia="Arial" w:hAnsi="Arial"/>
          <w:sz w:val="17"/>
          <w:szCs w:val="17"/>
          <w:b w:val="1"/>
          <w:bCs w:val="1"/>
          <w:color w:val="auto"/>
        </w:rPr>
      </w:pPr>
    </w:p>
    <w:p>
      <w:pPr>
        <w:ind w:firstLine="419"/>
        <w:spacing w:after="0" w:line="285" w:lineRule="auto"/>
        <w:tabs>
          <w:tab w:leader="none" w:pos="674" w:val="left"/>
        </w:tabs>
        <w:numPr>
          <w:ilvl w:val="0"/>
          <w:numId w:val="21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59" w:lineRule="exact"/>
        <w:rPr>
          <w:rFonts w:ascii="Arial" w:cs="Arial" w:eastAsia="Arial" w:hAnsi="Arial"/>
          <w:sz w:val="16"/>
          <w:szCs w:val="16"/>
          <w:b w:val="1"/>
          <w:bCs w:val="1"/>
          <w:color w:val="auto"/>
        </w:rPr>
      </w:pPr>
    </w:p>
    <w:p>
      <w:pPr>
        <w:ind w:right="20" w:firstLine="419"/>
        <w:spacing w:after="0" w:line="289" w:lineRule="auto"/>
        <w:tabs>
          <w:tab w:leader="none" w:pos="684" w:val="left"/>
        </w:tabs>
        <w:numPr>
          <w:ilvl w:val="0"/>
          <w:numId w:val="21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Continuous Service</w:t>
      </w:r>
      <w:r>
        <w:rPr>
          <w:rFonts w:ascii="Arial" w:cs="Arial" w:eastAsia="Arial" w:hAnsi="Arial"/>
          <w:sz w:val="17"/>
          <w:szCs w:val="17"/>
          <w:color w:val="auto"/>
        </w:rPr>
        <w:t>” means that the Participant’s service with the Company or an Affiliate, whether as an Employee, Director or Consultant, is not interrupted or terminated.</w:t>
      </w:r>
    </w:p>
    <w:p>
      <w:pPr>
        <w:spacing w:after="0" w:line="53" w:lineRule="exact"/>
        <w:rPr>
          <w:rFonts w:ascii="Arial" w:cs="Arial" w:eastAsia="Arial" w:hAnsi="Arial"/>
          <w:sz w:val="17"/>
          <w:szCs w:val="17"/>
          <w:b w:val="1"/>
          <w:bCs w:val="1"/>
          <w:color w:val="auto"/>
        </w:rPr>
      </w:pPr>
    </w:p>
    <w:p>
      <w:pPr>
        <w:ind w:right="400" w:firstLine="419"/>
        <w:spacing w:after="0" w:line="289" w:lineRule="auto"/>
        <w:tabs>
          <w:tab w:leader="none" w:pos="636" w:val="left"/>
        </w:tabs>
        <w:numPr>
          <w:ilvl w:val="0"/>
          <w:numId w:val="21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Corporate Transaction</w:t>
      </w:r>
      <w:r>
        <w:rPr>
          <w:rFonts w:ascii="Arial" w:cs="Arial" w:eastAsia="Arial" w:hAnsi="Arial"/>
          <w:sz w:val="17"/>
          <w:szCs w:val="17"/>
          <w:color w:val="auto"/>
        </w:rPr>
        <w:t>” means the consummation, in a single transaction or in a series of related transactions, of any one or more of the following events:</w:t>
      </w:r>
    </w:p>
    <w:p>
      <w:pPr>
        <w:spacing w:after="0" w:line="53" w:lineRule="exact"/>
        <w:rPr>
          <w:rFonts w:ascii="Arial" w:cs="Arial" w:eastAsia="Arial" w:hAnsi="Arial"/>
          <w:sz w:val="17"/>
          <w:szCs w:val="17"/>
          <w:b w:val="1"/>
          <w:bCs w:val="1"/>
          <w:color w:val="auto"/>
        </w:rPr>
      </w:pPr>
    </w:p>
    <w:p>
      <w:pPr>
        <w:ind w:right="260" w:firstLine="846"/>
        <w:spacing w:after="0" w:line="289" w:lineRule="auto"/>
        <w:tabs>
          <w:tab w:leader="none" w:pos="1063" w:val="left"/>
        </w:tabs>
        <w:numPr>
          <w:ilvl w:val="1"/>
          <w:numId w:val="219"/>
        </w:numPr>
        <w:rPr>
          <w:rFonts w:ascii="Arial" w:cs="Arial" w:eastAsia="Arial" w:hAnsi="Arial"/>
          <w:sz w:val="17"/>
          <w:szCs w:val="17"/>
          <w:b w:val="1"/>
          <w:bCs w:val="1"/>
          <w:color w:val="auto"/>
        </w:rPr>
      </w:pPr>
      <w:r>
        <w:rPr>
          <w:rFonts w:ascii="Arial" w:cs="Arial" w:eastAsia="Arial" w:hAnsi="Arial"/>
          <w:sz w:val="17"/>
          <w:szCs w:val="17"/>
          <w:color w:val="auto"/>
        </w:rPr>
        <w:t>a sale or other disposition of all or substantially all, as determined by the Board in its sole discretion, of the consolidated assets of the Company and its Subsidiaries;</w:t>
      </w:r>
    </w:p>
    <w:p>
      <w:pPr>
        <w:spacing w:after="0" w:line="53" w:lineRule="exact"/>
        <w:rPr>
          <w:rFonts w:ascii="Arial" w:cs="Arial" w:eastAsia="Arial" w:hAnsi="Arial"/>
          <w:sz w:val="17"/>
          <w:szCs w:val="17"/>
          <w:b w:val="1"/>
          <w:bCs w:val="1"/>
          <w:color w:val="auto"/>
        </w:rPr>
      </w:pPr>
    </w:p>
    <w:p>
      <w:pPr>
        <w:ind w:left="1100" w:hanging="254"/>
        <w:spacing w:after="0"/>
        <w:tabs>
          <w:tab w:leader="none" w:pos="1100" w:val="left"/>
        </w:tabs>
        <w:numPr>
          <w:ilvl w:val="1"/>
          <w:numId w:val="219"/>
        </w:numPr>
        <w:rPr>
          <w:rFonts w:ascii="Arial" w:cs="Arial" w:eastAsia="Arial" w:hAnsi="Arial"/>
          <w:sz w:val="17"/>
          <w:szCs w:val="17"/>
          <w:b w:val="1"/>
          <w:bCs w:val="1"/>
          <w:color w:val="auto"/>
        </w:rPr>
      </w:pPr>
      <w:r>
        <w:rPr>
          <w:rFonts w:ascii="Arial" w:cs="Arial" w:eastAsia="Arial" w:hAnsi="Arial"/>
          <w:sz w:val="17"/>
          <w:szCs w:val="17"/>
          <w:color w:val="auto"/>
        </w:rPr>
        <w:t>a sale or other disposition of more than fifty percent (50%) of the outstanding securities of the Company;</w:t>
      </w:r>
    </w:p>
    <w:p>
      <w:pPr>
        <w:spacing w:after="0" w:line="118" w:lineRule="exact"/>
        <w:rPr>
          <w:rFonts w:ascii="Arial" w:cs="Arial" w:eastAsia="Arial" w:hAnsi="Arial"/>
          <w:sz w:val="17"/>
          <w:szCs w:val="17"/>
          <w:b w:val="1"/>
          <w:bCs w:val="1"/>
          <w:color w:val="auto"/>
        </w:rPr>
      </w:pPr>
    </w:p>
    <w:p>
      <w:pPr>
        <w:ind w:left="1160" w:hanging="314"/>
        <w:spacing w:after="0"/>
        <w:tabs>
          <w:tab w:leader="none" w:pos="1160" w:val="left"/>
        </w:tabs>
        <w:numPr>
          <w:ilvl w:val="1"/>
          <w:numId w:val="219"/>
        </w:numPr>
        <w:rPr>
          <w:rFonts w:ascii="Arial" w:cs="Arial" w:eastAsia="Arial" w:hAnsi="Arial"/>
          <w:sz w:val="17"/>
          <w:szCs w:val="17"/>
          <w:b w:val="1"/>
          <w:bCs w:val="1"/>
          <w:color w:val="auto"/>
        </w:rPr>
      </w:pPr>
      <w:r>
        <w:rPr>
          <w:rFonts w:ascii="Arial" w:cs="Arial" w:eastAsia="Arial" w:hAnsi="Arial"/>
          <w:sz w:val="17"/>
          <w:szCs w:val="17"/>
          <w:color w:val="auto"/>
        </w:rPr>
        <w:t>a merger, consolidation or similar transaction following which the Company is not the surviving corporation; or</w:t>
      </w:r>
    </w:p>
    <w:p>
      <w:pPr>
        <w:spacing w:after="0" w:line="118" w:lineRule="exact"/>
        <w:rPr>
          <w:rFonts w:ascii="Arial" w:cs="Arial" w:eastAsia="Arial" w:hAnsi="Arial"/>
          <w:sz w:val="17"/>
          <w:szCs w:val="17"/>
          <w:b w:val="1"/>
          <w:bCs w:val="1"/>
          <w:color w:val="auto"/>
        </w:rPr>
      </w:pPr>
    </w:p>
    <w:p>
      <w:pPr>
        <w:ind w:right="300" w:firstLine="846"/>
        <w:spacing w:after="0" w:line="273" w:lineRule="auto"/>
        <w:tabs>
          <w:tab w:leader="none" w:pos="1150" w:val="left"/>
        </w:tabs>
        <w:numPr>
          <w:ilvl w:val="1"/>
          <w:numId w:val="219"/>
        </w:numPr>
        <w:rPr>
          <w:rFonts w:ascii="Arial" w:cs="Arial" w:eastAsia="Arial" w:hAnsi="Arial"/>
          <w:sz w:val="17"/>
          <w:szCs w:val="17"/>
          <w:b w:val="1"/>
          <w:bCs w:val="1"/>
          <w:color w:val="auto"/>
        </w:rPr>
      </w:pPr>
      <w:r>
        <w:rPr>
          <w:rFonts w:ascii="Arial" w:cs="Arial" w:eastAsia="Arial" w:hAnsi="Arial"/>
          <w:sz w:val="17"/>
          <w:szCs w:val="17"/>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620"/>
          </w:cols>
          <w:pgMar w:left="620" w:top="272" w:right="659" w:bottom="1440" w:gutter="0" w:footer="0" w:header="0"/>
        </w:sectPr>
      </w:pPr>
    </w:p>
    <w:bookmarkStart w:id="336" w:name="page337"/>
    <w:bookmarkEnd w:id="336"/>
    <w:p>
      <w:pPr>
        <w:ind w:left="640" w:hanging="221"/>
        <w:spacing w:after="0"/>
        <w:tabs>
          <w:tab w:leader="none" w:pos="640" w:val="left"/>
        </w:tabs>
        <w:numPr>
          <w:ilvl w:val="0"/>
          <w:numId w:val="220"/>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b w:val="1"/>
          <w:bCs w:val="1"/>
          <w:i w:val="1"/>
          <w:iCs w:val="1"/>
          <w:color w:val="auto"/>
        </w:rPr>
        <w:t>Director</w:t>
      </w:r>
      <w:r>
        <w:rPr>
          <w:rFonts w:ascii="Arial" w:cs="Arial" w:eastAsia="Arial" w:hAnsi="Arial"/>
          <w:sz w:val="17"/>
          <w:szCs w:val="17"/>
          <w:color w:val="auto"/>
        </w:rPr>
        <w:t>” means a member of the Board.</w:t>
      </w:r>
    </w:p>
    <w:p>
      <w:pPr>
        <w:spacing w:after="0" w:line="118" w:lineRule="exact"/>
        <w:rPr>
          <w:rFonts w:ascii="Arial" w:cs="Arial" w:eastAsia="Arial" w:hAnsi="Arial"/>
          <w:sz w:val="17"/>
          <w:szCs w:val="17"/>
          <w:b w:val="1"/>
          <w:bCs w:val="1"/>
          <w:color w:val="auto"/>
        </w:rPr>
      </w:pPr>
    </w:p>
    <w:p>
      <w:pPr>
        <w:ind w:right="40" w:firstLine="419"/>
        <w:spacing w:after="0" w:line="267" w:lineRule="auto"/>
        <w:tabs>
          <w:tab w:leader="none" w:pos="684" w:val="left"/>
        </w:tabs>
        <w:numPr>
          <w:ilvl w:val="0"/>
          <w:numId w:val="22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twelve (12) months as provided in Sections 22(e)(3) and 409A(a)(2)(c)(i) of the Code, and will be determined by the Board on the basis of such medical evidence as the Board deems warranted under the circumstances.</w:t>
      </w:r>
    </w:p>
    <w:p>
      <w:pPr>
        <w:spacing w:after="0" w:line="72" w:lineRule="exact"/>
        <w:rPr>
          <w:rFonts w:ascii="Arial" w:cs="Arial" w:eastAsia="Arial" w:hAnsi="Arial"/>
          <w:sz w:val="17"/>
          <w:szCs w:val="17"/>
          <w:b w:val="1"/>
          <w:bCs w:val="1"/>
          <w:color w:val="auto"/>
        </w:rPr>
      </w:pPr>
    </w:p>
    <w:p>
      <w:pPr>
        <w:ind w:left="620" w:hanging="201"/>
        <w:spacing w:after="0"/>
        <w:tabs>
          <w:tab w:leader="none" w:pos="620" w:val="left"/>
        </w:tabs>
        <w:numPr>
          <w:ilvl w:val="0"/>
          <w:numId w:val="22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means the effective date of this Plan, which is January 17, 2018.</w:t>
      </w:r>
    </w:p>
    <w:p>
      <w:pPr>
        <w:spacing w:after="0" w:line="118" w:lineRule="exact"/>
        <w:rPr>
          <w:rFonts w:ascii="Arial" w:cs="Arial" w:eastAsia="Arial" w:hAnsi="Arial"/>
          <w:sz w:val="17"/>
          <w:szCs w:val="17"/>
          <w:b w:val="1"/>
          <w:bCs w:val="1"/>
          <w:color w:val="auto"/>
        </w:rPr>
      </w:pPr>
    </w:p>
    <w:p>
      <w:pPr>
        <w:ind w:right="80" w:firstLine="419"/>
        <w:spacing w:after="0" w:line="289" w:lineRule="auto"/>
        <w:tabs>
          <w:tab w:leader="none" w:pos="732" w:val="left"/>
        </w:tabs>
        <w:numPr>
          <w:ilvl w:val="0"/>
          <w:numId w:val="22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Employee</w:t>
      </w:r>
      <w:r>
        <w:rPr>
          <w:rFonts w:ascii="Arial" w:cs="Arial" w:eastAsia="Arial" w:hAnsi="Arial"/>
          <w:sz w:val="17"/>
          <w:szCs w:val="17"/>
          <w:color w:val="auto"/>
        </w:rPr>
        <w:t>” means any person employed by the Company or an Affiliate. However, service solely as a Director, or payment of a fee for such services, will not cause a Director to be considered an “Employee” for purposes of the Plan.</w:t>
      </w:r>
    </w:p>
    <w:p>
      <w:pPr>
        <w:spacing w:after="0" w:line="53" w:lineRule="exact"/>
        <w:rPr>
          <w:rFonts w:ascii="Arial" w:cs="Arial" w:eastAsia="Arial" w:hAnsi="Arial"/>
          <w:sz w:val="17"/>
          <w:szCs w:val="17"/>
          <w:b w:val="1"/>
          <w:bCs w:val="1"/>
          <w:color w:val="auto"/>
        </w:rPr>
      </w:pPr>
    </w:p>
    <w:p>
      <w:pPr>
        <w:ind w:left="680" w:hanging="261"/>
        <w:spacing w:after="0"/>
        <w:tabs>
          <w:tab w:leader="none" w:pos="680" w:val="left"/>
        </w:tabs>
        <w:numPr>
          <w:ilvl w:val="0"/>
          <w:numId w:val="22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Entity</w:t>
      </w:r>
      <w:r>
        <w:rPr>
          <w:rFonts w:ascii="Arial" w:cs="Arial" w:eastAsia="Arial" w:hAnsi="Arial"/>
          <w:sz w:val="17"/>
          <w:szCs w:val="17"/>
          <w:color w:val="auto"/>
        </w:rPr>
        <w:t>” means a corporation, partnership, limited liability company or other entity.</w:t>
      </w:r>
    </w:p>
    <w:p>
      <w:pPr>
        <w:spacing w:after="0" w:line="118" w:lineRule="exact"/>
        <w:rPr>
          <w:rFonts w:ascii="Arial" w:cs="Arial" w:eastAsia="Arial" w:hAnsi="Arial"/>
          <w:sz w:val="17"/>
          <w:szCs w:val="17"/>
          <w:b w:val="1"/>
          <w:bCs w:val="1"/>
          <w:color w:val="auto"/>
        </w:rPr>
      </w:pPr>
    </w:p>
    <w:p>
      <w:pPr>
        <w:ind w:left="660" w:hanging="241"/>
        <w:spacing w:after="0"/>
        <w:tabs>
          <w:tab w:leader="none" w:pos="660" w:val="left"/>
        </w:tabs>
        <w:numPr>
          <w:ilvl w:val="0"/>
          <w:numId w:val="22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118" w:lineRule="exact"/>
        <w:rPr>
          <w:rFonts w:ascii="Arial" w:cs="Arial" w:eastAsia="Arial" w:hAnsi="Arial"/>
          <w:sz w:val="17"/>
          <w:szCs w:val="17"/>
          <w:b w:val="1"/>
          <w:bCs w:val="1"/>
          <w:color w:val="auto"/>
        </w:rPr>
      </w:pPr>
    </w:p>
    <w:p>
      <w:pPr>
        <w:ind w:firstLine="419"/>
        <w:spacing w:after="0" w:line="302" w:lineRule="auto"/>
        <w:tabs>
          <w:tab w:leader="none" w:pos="684" w:val="left"/>
        </w:tabs>
        <w:numPr>
          <w:ilvl w:val="0"/>
          <w:numId w:val="220"/>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Exchange Act Person</w:t>
      </w:r>
      <w:r>
        <w:rPr>
          <w:rFonts w:ascii="Arial" w:cs="Arial" w:eastAsia="Arial" w:hAnsi="Arial"/>
          <w:sz w:val="15"/>
          <w:szCs w:val="15"/>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an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52" w:lineRule="exact"/>
        <w:rPr>
          <w:rFonts w:ascii="Arial" w:cs="Arial" w:eastAsia="Arial" w:hAnsi="Arial"/>
          <w:sz w:val="15"/>
          <w:szCs w:val="15"/>
          <w:b w:val="1"/>
          <w:bCs w:val="1"/>
          <w:color w:val="auto"/>
        </w:rPr>
      </w:pPr>
    </w:p>
    <w:p>
      <w:pPr>
        <w:ind w:left="680" w:hanging="261"/>
        <w:spacing w:after="0"/>
        <w:tabs>
          <w:tab w:leader="none" w:pos="680" w:val="left"/>
        </w:tabs>
        <w:numPr>
          <w:ilvl w:val="0"/>
          <w:numId w:val="22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means, as of any date, the value of the Common Stock determined as follows:</w:t>
      </w:r>
    </w:p>
    <w:p>
      <w:pPr>
        <w:spacing w:after="0" w:line="118" w:lineRule="exact"/>
        <w:rPr>
          <w:rFonts w:ascii="Arial" w:cs="Arial" w:eastAsia="Arial" w:hAnsi="Arial"/>
          <w:sz w:val="17"/>
          <w:szCs w:val="17"/>
          <w:b w:val="1"/>
          <w:bCs w:val="1"/>
          <w:color w:val="auto"/>
        </w:rPr>
      </w:pPr>
    </w:p>
    <w:p>
      <w:pPr>
        <w:ind w:right="20" w:firstLine="846"/>
        <w:spacing w:after="0" w:line="267" w:lineRule="auto"/>
        <w:tabs>
          <w:tab w:leader="none" w:pos="1063" w:val="left"/>
        </w:tabs>
        <w:numPr>
          <w:ilvl w:val="1"/>
          <w:numId w:val="220"/>
        </w:numPr>
        <w:rPr>
          <w:rFonts w:ascii="Arial" w:cs="Arial" w:eastAsia="Arial" w:hAnsi="Arial"/>
          <w:sz w:val="17"/>
          <w:szCs w:val="17"/>
          <w:b w:val="1"/>
          <w:bCs w:val="1"/>
          <w:color w:val="auto"/>
        </w:rPr>
      </w:pPr>
      <w:r>
        <w:rPr>
          <w:rFonts w:ascii="Arial" w:cs="Arial" w:eastAsia="Arial" w:hAnsi="Arial"/>
          <w:sz w:val="17"/>
          <w:szCs w:val="17"/>
          <w:color w:val="auto"/>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spacing w:after="0" w:line="72" w:lineRule="exact"/>
        <w:rPr>
          <w:rFonts w:ascii="Arial" w:cs="Arial" w:eastAsia="Arial" w:hAnsi="Arial"/>
          <w:sz w:val="17"/>
          <w:szCs w:val="17"/>
          <w:b w:val="1"/>
          <w:bCs w:val="1"/>
          <w:color w:val="auto"/>
        </w:rPr>
      </w:pPr>
    </w:p>
    <w:p>
      <w:pPr>
        <w:ind w:right="160" w:firstLine="846"/>
        <w:spacing w:after="0" w:line="289" w:lineRule="auto"/>
        <w:tabs>
          <w:tab w:leader="none" w:pos="1111" w:val="left"/>
        </w:tabs>
        <w:numPr>
          <w:ilvl w:val="1"/>
          <w:numId w:val="220"/>
        </w:numPr>
        <w:rPr>
          <w:rFonts w:ascii="Arial" w:cs="Arial" w:eastAsia="Arial" w:hAnsi="Arial"/>
          <w:sz w:val="17"/>
          <w:szCs w:val="17"/>
          <w:b w:val="1"/>
          <w:bCs w:val="1"/>
          <w:color w:val="auto"/>
        </w:rPr>
      </w:pPr>
      <w:r>
        <w:rPr>
          <w:rFonts w:ascii="Arial" w:cs="Arial" w:eastAsia="Arial" w:hAnsi="Arial"/>
          <w:sz w:val="17"/>
          <w:szCs w:val="17"/>
          <w:color w:val="auto"/>
        </w:rPr>
        <w:t>Unless otherwise provided by the Board, if there is no closing sales price for the Common Stock on the date of determination, then the Fair Market Value will be the closing selling price on the last preceding date for which such quotation exists.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660"/>
          </w:cols>
          <w:pgMar w:left="620" w:top="271" w:right="619" w:bottom="1440" w:gutter="0" w:footer="0" w:header="0"/>
        </w:sectPr>
      </w:pPr>
    </w:p>
    <w:bookmarkStart w:id="337" w:name="page338"/>
    <w:bookmarkEnd w:id="337"/>
    <w:p>
      <w:pPr>
        <w:ind w:left="9" w:right="280" w:firstLine="846"/>
        <w:spacing w:after="0" w:line="289" w:lineRule="auto"/>
        <w:tabs>
          <w:tab w:leader="none" w:pos="1169" w:val="left"/>
        </w:tabs>
        <w:numPr>
          <w:ilvl w:val="2"/>
          <w:numId w:val="221"/>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the absence of such markets for the Common Stock, the Fair Market Value will be determined by the Board in good faith and in a manner that complies with Sections 409A and 422 of the Code.</w:t>
      </w:r>
    </w:p>
    <w:p>
      <w:pPr>
        <w:spacing w:after="0" w:line="53" w:lineRule="exact"/>
        <w:rPr>
          <w:rFonts w:ascii="Arial" w:cs="Arial" w:eastAsia="Arial" w:hAnsi="Arial"/>
          <w:sz w:val="17"/>
          <w:szCs w:val="17"/>
          <w:b w:val="1"/>
          <w:bCs w:val="1"/>
          <w:color w:val="auto"/>
        </w:rPr>
      </w:pPr>
    </w:p>
    <w:p>
      <w:pPr>
        <w:ind w:left="9" w:right="140" w:firstLine="419"/>
        <w:spacing w:after="0" w:line="289" w:lineRule="auto"/>
        <w:tabs>
          <w:tab w:leader="none" w:pos="673" w:val="left"/>
        </w:tabs>
        <w:numPr>
          <w:ilvl w:val="1"/>
          <w:numId w:val="22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Incentive Stock Option</w:t>
      </w:r>
      <w:r>
        <w:rPr>
          <w:rFonts w:ascii="Arial" w:cs="Arial" w:eastAsia="Arial" w:hAnsi="Arial"/>
          <w:sz w:val="17"/>
          <w:szCs w:val="17"/>
          <w:color w:val="auto"/>
        </w:rPr>
        <w:t>” means an option granted pursuant to Section 5 of the Plan that is intended to be, and that qualifies as, an “incentive stock option” within the meaning of Section 422 of the Code.</w:t>
      </w:r>
    </w:p>
    <w:p>
      <w:pPr>
        <w:spacing w:after="0" w:line="53" w:lineRule="exact"/>
        <w:rPr>
          <w:rFonts w:ascii="Arial" w:cs="Arial" w:eastAsia="Arial" w:hAnsi="Arial"/>
          <w:sz w:val="17"/>
          <w:szCs w:val="17"/>
          <w:b w:val="1"/>
          <w:bCs w:val="1"/>
          <w:color w:val="auto"/>
        </w:rPr>
      </w:pPr>
    </w:p>
    <w:p>
      <w:pPr>
        <w:ind w:left="9" w:right="20" w:firstLine="419"/>
        <w:spacing w:after="0" w:line="289" w:lineRule="auto"/>
        <w:tabs>
          <w:tab w:leader="none" w:pos="664" w:val="left"/>
        </w:tabs>
        <w:numPr>
          <w:ilvl w:val="1"/>
          <w:numId w:val="22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IPO Date</w:t>
      </w:r>
      <w:r>
        <w:rPr>
          <w:rFonts w:ascii="Arial" w:cs="Arial" w:eastAsia="Arial" w:hAnsi="Arial"/>
          <w:sz w:val="17"/>
          <w:szCs w:val="17"/>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53" w:lineRule="exact"/>
        <w:rPr>
          <w:rFonts w:ascii="Arial" w:cs="Arial" w:eastAsia="Arial" w:hAnsi="Arial"/>
          <w:sz w:val="17"/>
          <w:szCs w:val="17"/>
          <w:b w:val="1"/>
          <w:bCs w:val="1"/>
          <w:color w:val="auto"/>
        </w:rPr>
      </w:pPr>
    </w:p>
    <w:p>
      <w:pPr>
        <w:ind w:left="9" w:firstLine="419"/>
        <w:spacing w:after="0" w:line="276" w:lineRule="auto"/>
        <w:tabs>
          <w:tab w:leader="none" w:pos="654" w:val="left"/>
        </w:tabs>
        <w:numPr>
          <w:ilvl w:val="1"/>
          <w:numId w:val="22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Non-Employee Director</w:t>
      </w:r>
      <w:r>
        <w:rPr>
          <w:rFonts w:ascii="Arial" w:cs="Arial" w:eastAsia="Arial" w:hAnsi="Arial"/>
          <w:sz w:val="16"/>
          <w:szCs w:val="16"/>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6"/>
          <w:szCs w:val="16"/>
          <w:b w:val="1"/>
          <w:bCs w:val="1"/>
          <w:i w:val="1"/>
          <w:iCs w:val="1"/>
          <w:color w:val="auto"/>
        </w:rPr>
        <w:t>Regulation S-K</w:t>
      </w:r>
      <w:r>
        <w:rPr>
          <w:rFonts w:ascii="Arial" w:cs="Arial" w:eastAsia="Arial" w:hAnsi="Arial"/>
          <w:sz w:val="16"/>
          <w:szCs w:val="16"/>
          <w:color w:val="auto"/>
        </w:rPr>
        <w:t>”)), does not possess an interest in any other transaction for which disclosure would be required under Item 404(a) of Regulation S-K, and is not engaged in a business relationship for which disclosure would be required pursuant to Item 404(b) of Regulation S-K; or</w:t>
      </w:r>
    </w:p>
    <w:p>
      <w:pPr>
        <w:spacing w:after="0" w:line="1" w:lineRule="exact"/>
        <w:rPr>
          <w:rFonts w:ascii="Arial" w:cs="Arial" w:eastAsia="Arial" w:hAnsi="Arial"/>
          <w:sz w:val="16"/>
          <w:szCs w:val="16"/>
          <w:b w:val="1"/>
          <w:bCs w:val="1"/>
          <w:color w:val="auto"/>
        </w:rPr>
      </w:pPr>
    </w:p>
    <w:p>
      <w:pPr>
        <w:ind w:left="249" w:hanging="249"/>
        <w:spacing w:after="0"/>
        <w:tabs>
          <w:tab w:leader="none" w:pos="249"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is otherwise considered a “non-employee director” for purposes of Rule 16b-3 of the Exchange Act.</w:t>
      </w:r>
    </w:p>
    <w:p>
      <w:pPr>
        <w:spacing w:after="0" w:line="106" w:lineRule="exact"/>
        <w:rPr>
          <w:rFonts w:ascii="Arial" w:cs="Arial" w:eastAsia="Arial" w:hAnsi="Arial"/>
          <w:sz w:val="17"/>
          <w:szCs w:val="17"/>
          <w:color w:val="auto"/>
        </w:rPr>
      </w:pPr>
    </w:p>
    <w:p>
      <w:pPr>
        <w:ind w:left="689" w:hanging="261"/>
        <w:spacing w:after="0"/>
        <w:tabs>
          <w:tab w:leader="none" w:pos="689" w:val="left"/>
        </w:tabs>
        <w:numPr>
          <w:ilvl w:val="1"/>
          <w:numId w:val="223"/>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Nonstatutory Stock Option</w:t>
      </w:r>
      <w:r>
        <w:rPr>
          <w:rFonts w:ascii="Arial" w:cs="Arial" w:eastAsia="Arial" w:hAnsi="Arial"/>
          <w:sz w:val="15"/>
          <w:szCs w:val="15"/>
          <w:color w:val="auto"/>
        </w:rPr>
        <w:t>” means any option granted pursuant to Section 5 of the Plan that does not qualify as an Incentive Stock Option.</w:t>
      </w:r>
    </w:p>
    <w:p>
      <w:pPr>
        <w:spacing w:after="0" w:line="141" w:lineRule="exact"/>
        <w:rPr>
          <w:rFonts w:ascii="Arial" w:cs="Arial" w:eastAsia="Arial" w:hAnsi="Arial"/>
          <w:sz w:val="15"/>
          <w:szCs w:val="15"/>
          <w:b w:val="1"/>
          <w:bCs w:val="1"/>
          <w:color w:val="auto"/>
        </w:rPr>
      </w:pPr>
    </w:p>
    <w:p>
      <w:pPr>
        <w:ind w:left="669" w:hanging="241"/>
        <w:spacing w:after="0"/>
        <w:tabs>
          <w:tab w:leader="none" w:pos="669" w:val="left"/>
        </w:tabs>
        <w:numPr>
          <w:ilvl w:val="1"/>
          <w:numId w:val="22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Officer</w:t>
      </w:r>
      <w:r>
        <w:rPr>
          <w:rFonts w:ascii="Arial" w:cs="Arial" w:eastAsia="Arial" w:hAnsi="Arial"/>
          <w:sz w:val="17"/>
          <w:szCs w:val="17"/>
          <w:color w:val="auto"/>
        </w:rPr>
        <w:t>” means any person designated by the Company as an officer.</w:t>
      </w:r>
    </w:p>
    <w:p>
      <w:pPr>
        <w:spacing w:after="0" w:line="118" w:lineRule="exact"/>
        <w:rPr>
          <w:rFonts w:ascii="Arial" w:cs="Arial" w:eastAsia="Arial" w:hAnsi="Arial"/>
          <w:sz w:val="17"/>
          <w:szCs w:val="17"/>
          <w:b w:val="1"/>
          <w:bCs w:val="1"/>
          <w:color w:val="auto"/>
        </w:rPr>
      </w:pPr>
    </w:p>
    <w:p>
      <w:pPr>
        <w:ind w:left="709" w:hanging="281"/>
        <w:spacing w:after="0"/>
        <w:tabs>
          <w:tab w:leader="none" w:pos="709" w:val="left"/>
        </w:tabs>
        <w:numPr>
          <w:ilvl w:val="1"/>
          <w:numId w:val="223"/>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Option</w:t>
      </w:r>
      <w:r>
        <w:rPr>
          <w:rFonts w:ascii="Arial" w:cs="Arial" w:eastAsia="Arial" w:hAnsi="Arial"/>
          <w:sz w:val="15"/>
          <w:szCs w:val="15"/>
          <w:color w:val="auto"/>
        </w:rPr>
        <w:t>” means an Incentive Stock Option or a Nonstatutory Stock Option to purchase shares of Common Stock granted pursuant to the Plan.</w:t>
      </w:r>
    </w:p>
    <w:p>
      <w:pPr>
        <w:spacing w:after="0" w:line="141" w:lineRule="exact"/>
        <w:rPr>
          <w:rFonts w:ascii="Arial" w:cs="Arial" w:eastAsia="Arial" w:hAnsi="Arial"/>
          <w:sz w:val="15"/>
          <w:szCs w:val="15"/>
          <w:b w:val="1"/>
          <w:bCs w:val="1"/>
          <w:color w:val="auto"/>
        </w:rPr>
      </w:pPr>
    </w:p>
    <w:p>
      <w:pPr>
        <w:ind w:left="9" w:right="40" w:firstLine="419"/>
        <w:spacing w:after="0" w:line="289" w:lineRule="auto"/>
        <w:tabs>
          <w:tab w:leader="none" w:pos="683" w:val="left"/>
        </w:tabs>
        <w:numPr>
          <w:ilvl w:val="1"/>
          <w:numId w:val="22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Other Stock Award</w:t>
      </w:r>
      <w:r>
        <w:rPr>
          <w:rFonts w:ascii="Arial" w:cs="Arial" w:eastAsia="Arial" w:hAnsi="Arial"/>
          <w:sz w:val="17"/>
          <w:szCs w:val="17"/>
          <w:color w:val="auto"/>
        </w:rPr>
        <w:t>” means an award based in whole or in part by reference to the Common Stock which is granted pursuant to the terms and conditions of Section 6(c).</w:t>
      </w:r>
    </w:p>
    <w:p>
      <w:pPr>
        <w:spacing w:after="0" w:line="53" w:lineRule="exact"/>
        <w:rPr>
          <w:rFonts w:ascii="Arial" w:cs="Arial" w:eastAsia="Arial" w:hAnsi="Arial"/>
          <w:sz w:val="17"/>
          <w:szCs w:val="17"/>
          <w:b w:val="1"/>
          <w:bCs w:val="1"/>
          <w:color w:val="auto"/>
        </w:rPr>
      </w:pPr>
    </w:p>
    <w:p>
      <w:pPr>
        <w:ind w:left="9" w:right="200" w:firstLine="419"/>
        <w:spacing w:after="0" w:line="297" w:lineRule="auto"/>
        <w:tabs>
          <w:tab w:leader="none" w:pos="683" w:val="left"/>
        </w:tabs>
        <w:numPr>
          <w:ilvl w:val="1"/>
          <w:numId w:val="22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Own</w:t>
      </w:r>
      <w:r>
        <w:rPr>
          <w:rFonts w:ascii="Arial" w:cs="Arial" w:eastAsia="Arial" w:hAnsi="Arial"/>
          <w:sz w:val="16"/>
          <w:szCs w:val="16"/>
          <w:color w:val="auto"/>
        </w:rPr>
        <w:t>,” “</w:t>
      </w:r>
      <w:r>
        <w:rPr>
          <w:rFonts w:ascii="Arial" w:cs="Arial" w:eastAsia="Arial" w:hAnsi="Arial"/>
          <w:sz w:val="16"/>
          <w:szCs w:val="16"/>
          <w:b w:val="1"/>
          <w:bCs w:val="1"/>
          <w:i w:val="1"/>
          <w:iCs w:val="1"/>
          <w:color w:val="auto"/>
        </w:rPr>
        <w:t>Owned</w:t>
      </w:r>
      <w:r>
        <w:rPr>
          <w:rFonts w:ascii="Arial" w:cs="Arial" w:eastAsia="Arial" w:hAnsi="Arial"/>
          <w:sz w:val="16"/>
          <w:szCs w:val="16"/>
          <w:color w:val="auto"/>
        </w:rPr>
        <w:t>,” “</w:t>
      </w:r>
      <w:r>
        <w:rPr>
          <w:rFonts w:ascii="Arial" w:cs="Arial" w:eastAsia="Arial" w:hAnsi="Arial"/>
          <w:sz w:val="16"/>
          <w:szCs w:val="16"/>
          <w:b w:val="1"/>
          <w:bCs w:val="1"/>
          <w:i w:val="1"/>
          <w:iCs w:val="1"/>
          <w:color w:val="auto"/>
        </w:rPr>
        <w:t>Owner</w:t>
      </w:r>
      <w:r>
        <w:rPr>
          <w:rFonts w:ascii="Arial" w:cs="Arial" w:eastAsia="Arial" w:hAnsi="Arial"/>
          <w:sz w:val="16"/>
          <w:szCs w:val="16"/>
          <w:color w:val="auto"/>
        </w:rPr>
        <w:t>,” “</w:t>
      </w:r>
      <w:r>
        <w:rPr>
          <w:rFonts w:ascii="Arial" w:cs="Arial" w:eastAsia="Arial" w:hAnsi="Arial"/>
          <w:sz w:val="16"/>
          <w:szCs w:val="16"/>
          <w:b w:val="1"/>
          <w:bCs w:val="1"/>
          <w:i w:val="1"/>
          <w:iCs w:val="1"/>
          <w:color w:val="auto"/>
        </w:rPr>
        <w:t>Ownership</w:t>
      </w:r>
      <w:r>
        <w:rPr>
          <w:rFonts w:ascii="Arial" w:cs="Arial" w:eastAsia="Arial" w:hAnsi="Arial"/>
          <w:sz w:val="16"/>
          <w:szCs w:val="16"/>
          <w:color w:val="auto"/>
        </w:rPr>
        <w: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50" w:lineRule="exact"/>
        <w:rPr>
          <w:rFonts w:ascii="Arial" w:cs="Arial" w:eastAsia="Arial" w:hAnsi="Arial"/>
          <w:sz w:val="16"/>
          <w:szCs w:val="16"/>
          <w:b w:val="1"/>
          <w:bCs w:val="1"/>
          <w:color w:val="auto"/>
        </w:rPr>
      </w:pPr>
    </w:p>
    <w:p>
      <w:pPr>
        <w:ind w:left="669" w:hanging="241"/>
        <w:spacing w:after="0"/>
        <w:tabs>
          <w:tab w:leader="none" w:pos="669" w:val="left"/>
        </w:tabs>
        <w:numPr>
          <w:ilvl w:val="1"/>
          <w:numId w:val="223"/>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Participant</w:t>
      </w:r>
      <w:r>
        <w:rPr>
          <w:rFonts w:ascii="Arial" w:cs="Arial" w:eastAsia="Arial" w:hAnsi="Arial"/>
          <w:sz w:val="15"/>
          <w:szCs w:val="15"/>
          <w:color w:val="auto"/>
        </w:rPr>
        <w:t>” means a person to whom an Award is granted pursuant to the Plan or, if applicable, such other person who holds an outstanding</w:t>
      </w:r>
    </w:p>
    <w:p>
      <w:pPr>
        <w:spacing w:after="0" w:line="49" w:lineRule="exact"/>
        <w:rPr>
          <w:rFonts w:ascii="Arial" w:cs="Arial" w:eastAsia="Arial" w:hAnsi="Arial"/>
          <w:sz w:val="15"/>
          <w:szCs w:val="15"/>
          <w:b w:val="1"/>
          <w:bCs w:val="1"/>
          <w:color w:val="auto"/>
        </w:rPr>
      </w:pPr>
    </w:p>
    <w:p>
      <w:pPr>
        <w:ind w:left="9"/>
        <w:spacing w:after="0"/>
        <w:rPr>
          <w:rFonts w:ascii="Arial" w:cs="Arial" w:eastAsia="Arial" w:hAnsi="Arial"/>
          <w:sz w:val="15"/>
          <w:szCs w:val="15"/>
          <w:b w:val="1"/>
          <w:bCs w:val="1"/>
          <w:color w:val="auto"/>
        </w:rPr>
      </w:pPr>
      <w:r>
        <w:rPr>
          <w:rFonts w:ascii="Arial" w:cs="Arial" w:eastAsia="Arial" w:hAnsi="Arial"/>
          <w:sz w:val="17"/>
          <w:szCs w:val="17"/>
          <w:color w:val="auto"/>
        </w:rPr>
        <w:t>Award.</w:t>
      </w:r>
    </w:p>
    <w:p>
      <w:pPr>
        <w:spacing w:after="0" w:line="107" w:lineRule="exact"/>
        <w:rPr>
          <w:sz w:val="20"/>
          <w:szCs w:val="20"/>
          <w:color w:val="auto"/>
        </w:rPr>
      </w:pPr>
    </w:p>
    <w:p>
      <w:pPr>
        <w:ind w:left="9" w:right="280" w:firstLine="419"/>
        <w:spacing w:after="0" w:line="289" w:lineRule="auto"/>
        <w:tabs>
          <w:tab w:leader="none" w:pos="770" w:val="left"/>
        </w:tabs>
        <w:numPr>
          <w:ilvl w:val="0"/>
          <w:numId w:val="22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Award</w:t>
      </w:r>
      <w:r>
        <w:rPr>
          <w:rFonts w:ascii="Arial" w:cs="Arial" w:eastAsia="Arial" w:hAnsi="Arial"/>
          <w:sz w:val="17"/>
          <w:szCs w:val="17"/>
          <w:color w:val="auto"/>
        </w:rPr>
        <w:t>” means an award that may vest or may be exercised contingent upon the attainment during a Performance Period of certain Performance Goals and which is granted pursuant to the terms and conditions of Section 6(c).</w:t>
      </w:r>
    </w:p>
    <w:p>
      <w:pPr>
        <w:spacing w:after="0" w:line="53" w:lineRule="exact"/>
        <w:rPr>
          <w:rFonts w:ascii="Arial" w:cs="Arial" w:eastAsia="Arial" w:hAnsi="Arial"/>
          <w:sz w:val="17"/>
          <w:szCs w:val="17"/>
          <w:b w:val="1"/>
          <w:bCs w:val="1"/>
          <w:color w:val="auto"/>
        </w:rPr>
      </w:pPr>
    </w:p>
    <w:p>
      <w:pPr>
        <w:ind w:left="9" w:firstLine="419"/>
        <w:spacing w:after="0" w:line="273" w:lineRule="auto"/>
        <w:tabs>
          <w:tab w:leader="none" w:pos="790" w:val="left"/>
        </w:tabs>
        <w:numPr>
          <w:ilvl w:val="0"/>
          <w:numId w:val="22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Criteria</w:t>
      </w:r>
      <w:r>
        <w:rPr>
          <w:rFonts w:ascii="Arial" w:cs="Arial" w:eastAsia="Arial" w:hAnsi="Arial"/>
          <w:sz w:val="17"/>
          <w:szCs w:val="17"/>
          <w:color w:val="auto"/>
        </w:rPr>
        <w:t>” means the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(1) earnings (including earnings per share and net earnings);</w:t>
      </w:r>
    </w:p>
    <w:p>
      <w:pPr>
        <w:spacing w:after="0" w:line="106"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669"/>
          </w:cols>
          <w:pgMar w:left="611" w:top="271" w:right="619" w:bottom="1440" w:gutter="0" w:footer="0" w:header="0"/>
        </w:sectPr>
      </w:pPr>
    </w:p>
    <w:bookmarkStart w:id="338" w:name="page339"/>
    <w:bookmarkEnd w:id="338"/>
    <w:p>
      <w:pPr>
        <w:ind w:left="9" w:right="20" w:hanging="9"/>
        <w:spacing w:after="0" w:line="299" w:lineRule="auto"/>
        <w:tabs>
          <w:tab w:leader="none" w:pos="256" w:val="left"/>
        </w:tabs>
        <w:numPr>
          <w:ilvl w:val="0"/>
          <w:numId w:val="22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earnings before any combination of the following: interest, taxes, amortization, legal settlements, other income (expense), stock-based compensation and/or changes in deferred revenue; (3) profits, including operating profit, net operating profit, or pre-tax profit; (4) total stockholder return;</w:t>
      </w:r>
    </w:p>
    <w:p>
      <w:pPr>
        <w:spacing w:after="0" w:line="1" w:lineRule="exact"/>
        <w:rPr>
          <w:rFonts w:ascii="Arial" w:cs="Arial" w:eastAsia="Arial" w:hAnsi="Arial"/>
          <w:sz w:val="15"/>
          <w:szCs w:val="15"/>
          <w:color w:val="auto"/>
        </w:rPr>
      </w:pPr>
    </w:p>
    <w:p>
      <w:pPr>
        <w:ind w:left="9" w:hanging="9"/>
        <w:spacing w:after="0" w:line="276" w:lineRule="auto"/>
        <w:tabs>
          <w:tab w:leader="none" w:pos="256" w:val="left"/>
        </w:tabs>
        <w:numPr>
          <w:ilvl w:val="0"/>
          <w:numId w:val="226"/>
        </w:numPr>
        <w:rPr>
          <w:rFonts w:ascii="Arial" w:cs="Arial" w:eastAsia="Arial" w:hAnsi="Arial"/>
          <w:sz w:val="16"/>
          <w:szCs w:val="16"/>
          <w:color w:val="auto"/>
        </w:rPr>
      </w:pPr>
      <w:r>
        <w:rPr>
          <w:rFonts w:ascii="Arial" w:cs="Arial" w:eastAsia="Arial" w:hAnsi="Arial"/>
          <w:sz w:val="16"/>
          <w:szCs w:val="16"/>
          <w:color w:val="auto"/>
        </w:rPr>
        <w:t>stockholders’ equity, including return on equity or average stockholder’s equity; (6) return on assets, investment, or capital employed; (7) stock price or stock price performance; (8) margin (including gross margin); (9) income (before or after taxes), including net income, operating income, and growth in net or operating income; (10) cash flow, including operating cash flow and cash flow per share; (11) sales or revenue targets, including increases in revenue or product revenue; (12) expenses and cost reduction goals; (13) improvement in or attainment of working capital levels; (14) economic value added (or an equivalent metric); (15) market share; (16) debt levels or debt reduction; (17) implementation or completion of projects or processes (including, without limitation, clinical trial initiation, clinical trial enrollment, clinical trial completion or results, new and supplemental indications for existing products, regulatory filing submissions, regulatory filing acceptances, regulatory or advisory committee interactions, regulatory approvals, and product supply); (18) capital expenditures; (19) patient enrollment rates; (20) budget management; (21) submission to, or approval by, a regulatory body (including, but not limited to the U.S. Food and Drug Administration) of an applicable filing or a product candidate; (22) submission of INDs and new drug applications or other regulatory achievements or milestones; (23) progress of internal research or clinical programs; (24) progress of partnered programs; (25) partner or customer satisfaction; (26) strategic partnerships or transactions (including in-licensing and out-licensing of intellectual property; (27) workforce diversity; (28) employee retention; and (29) any other measure of performance selected by the Board.</w:t>
      </w:r>
    </w:p>
    <w:p>
      <w:pPr>
        <w:spacing w:after="0" w:line="67" w:lineRule="exact"/>
        <w:rPr>
          <w:rFonts w:ascii="Arial" w:cs="Arial" w:eastAsia="Arial" w:hAnsi="Arial"/>
          <w:sz w:val="16"/>
          <w:szCs w:val="16"/>
          <w:color w:val="auto"/>
        </w:rPr>
      </w:pPr>
    </w:p>
    <w:p>
      <w:pPr>
        <w:ind w:left="9" w:right="20" w:firstLine="419"/>
        <w:spacing w:after="0" w:line="292" w:lineRule="auto"/>
        <w:tabs>
          <w:tab w:leader="none" w:pos="751" w:val="left"/>
        </w:tabs>
        <w:numPr>
          <w:ilvl w:val="1"/>
          <w:numId w:val="226"/>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Performance Goals</w:t>
      </w:r>
      <w:r>
        <w:rPr>
          <w:rFonts w:ascii="Arial" w:cs="Arial" w:eastAsia="Arial" w:hAnsi="Arial"/>
          <w:sz w:val="15"/>
          <w:szCs w:val="15"/>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w:t>
      </w:r>
    </w:p>
    <w:p>
      <w:pPr>
        <w:spacing w:after="0" w:line="7" w:lineRule="exact"/>
        <w:rPr>
          <w:rFonts w:ascii="Arial" w:cs="Arial" w:eastAsia="Arial" w:hAnsi="Arial"/>
          <w:sz w:val="15"/>
          <w:szCs w:val="15"/>
          <w:b w:val="1"/>
          <w:bCs w:val="1"/>
          <w:color w:val="auto"/>
        </w:rPr>
      </w:pPr>
    </w:p>
    <w:p>
      <w:pPr>
        <w:ind w:left="9" w:hanging="9"/>
        <w:spacing w:after="0" w:line="260" w:lineRule="auto"/>
        <w:tabs>
          <w:tab w:leader="none" w:pos="256"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to exclude the effects of stock-based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Award.</w:t>
      </w:r>
    </w:p>
    <w:p>
      <w:pPr>
        <w:spacing w:after="0" w:line="116" w:lineRule="exact"/>
        <w:rPr>
          <w:sz w:val="20"/>
          <w:szCs w:val="20"/>
          <w:color w:val="auto"/>
        </w:rPr>
      </w:pPr>
    </w:p>
    <w:p>
      <w:pPr>
        <w:jc w:val="center"/>
        <w:ind w:right="-28"/>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649"/>
          </w:cols>
          <w:pgMar w:left="611" w:top="271" w:right="639" w:bottom="1440" w:gutter="0" w:footer="0" w:header="0"/>
        </w:sectPr>
      </w:pPr>
    </w:p>
    <w:bookmarkStart w:id="339" w:name="page340"/>
    <w:bookmarkEnd w:id="339"/>
    <w:p>
      <w:pPr>
        <w:ind w:firstLine="419"/>
        <w:spacing w:after="0" w:line="273" w:lineRule="auto"/>
        <w:tabs>
          <w:tab w:leader="none" w:pos="781" w:val="left"/>
        </w:tabs>
        <w:numPr>
          <w:ilvl w:val="0"/>
          <w:numId w:val="228"/>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b w:val="1"/>
          <w:bCs w:val="1"/>
          <w:i w:val="1"/>
          <w:iCs w:val="1"/>
          <w:color w:val="auto"/>
        </w:rPr>
        <w:t>Performance Period</w:t>
      </w:r>
      <w:r>
        <w:rPr>
          <w:rFonts w:ascii="Arial" w:cs="Arial" w:eastAsia="Arial" w:hAnsi="Arial"/>
          <w:sz w:val="17"/>
          <w:szCs w:val="17"/>
          <w:color w:val="auto"/>
        </w:rPr>
        <w:t>” means the period of time selected by the Board over which the attainment of one or more Performance Goals will be measured for the purpose of determining a Participant’s right to vesting, exercise and/or settlement of an Award. Performance Periods may be of varying and overlapping duration, at the sole discretion of the Board.</w:t>
      </w:r>
    </w:p>
    <w:p>
      <w:pPr>
        <w:spacing w:after="0" w:line="66" w:lineRule="exact"/>
        <w:rPr>
          <w:rFonts w:ascii="Arial" w:cs="Arial" w:eastAsia="Arial" w:hAnsi="Arial"/>
          <w:sz w:val="17"/>
          <w:szCs w:val="17"/>
          <w:b w:val="1"/>
          <w:bCs w:val="1"/>
          <w:color w:val="auto"/>
        </w:rPr>
      </w:pPr>
    </w:p>
    <w:p>
      <w:pPr>
        <w:ind w:left="740" w:hanging="321"/>
        <w:spacing w:after="0"/>
        <w:tabs>
          <w:tab w:leader="none" w:pos="740" w:val="left"/>
        </w:tabs>
        <w:numPr>
          <w:ilvl w:val="0"/>
          <w:numId w:val="22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Plan</w:t>
      </w:r>
      <w:r>
        <w:rPr>
          <w:rFonts w:ascii="Arial" w:cs="Arial" w:eastAsia="Arial" w:hAnsi="Arial"/>
          <w:sz w:val="16"/>
          <w:szCs w:val="16"/>
          <w:color w:val="auto"/>
        </w:rPr>
        <w:t>” means this NGM Biopharmaceuticals, Inc. Amended and Restated 2018 Equity Incentive Plan, as it may be amended from time to</w:t>
      </w:r>
    </w:p>
    <w:p>
      <w:pPr>
        <w:spacing w:after="0" w:line="37"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7"/>
          <w:szCs w:val="17"/>
          <w:color w:val="auto"/>
        </w:rPr>
        <w:t>time.</w:t>
      </w:r>
    </w:p>
    <w:p>
      <w:pPr>
        <w:spacing w:after="0" w:line="106" w:lineRule="exact"/>
        <w:rPr>
          <w:rFonts w:ascii="Arial" w:cs="Arial" w:eastAsia="Arial" w:hAnsi="Arial"/>
          <w:sz w:val="16"/>
          <w:szCs w:val="16"/>
          <w:b w:val="1"/>
          <w:bCs w:val="1"/>
          <w:color w:val="auto"/>
        </w:rPr>
      </w:pPr>
    </w:p>
    <w:p>
      <w:pPr>
        <w:ind w:left="700" w:hanging="281"/>
        <w:spacing w:after="0"/>
        <w:tabs>
          <w:tab w:leader="none" w:pos="700" w:val="left"/>
        </w:tabs>
        <w:numPr>
          <w:ilvl w:val="0"/>
          <w:numId w:val="228"/>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Restricted Stock Award</w:t>
      </w:r>
      <w:r>
        <w:rPr>
          <w:rFonts w:ascii="Arial" w:cs="Arial" w:eastAsia="Arial" w:hAnsi="Arial"/>
          <w:sz w:val="15"/>
          <w:szCs w:val="15"/>
          <w:color w:val="auto"/>
        </w:rPr>
        <w:t>” means an award of shares of Common Stock which is granted pursuant to the terms and conditions of Section 6(a).</w:t>
      </w:r>
    </w:p>
    <w:p>
      <w:pPr>
        <w:spacing w:after="0" w:line="141" w:lineRule="exact"/>
        <w:rPr>
          <w:rFonts w:ascii="Arial" w:cs="Arial" w:eastAsia="Arial" w:hAnsi="Arial"/>
          <w:sz w:val="15"/>
          <w:szCs w:val="15"/>
          <w:b w:val="1"/>
          <w:bCs w:val="1"/>
          <w:color w:val="auto"/>
        </w:rPr>
      </w:pPr>
    </w:p>
    <w:p>
      <w:pPr>
        <w:ind w:right="240" w:firstLine="419"/>
        <w:spacing w:after="0" w:line="289" w:lineRule="auto"/>
        <w:tabs>
          <w:tab w:leader="none" w:pos="762" w:val="left"/>
        </w:tabs>
        <w:numPr>
          <w:ilvl w:val="0"/>
          <w:numId w:val="22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Unit Award</w:t>
      </w:r>
      <w:r>
        <w:rPr>
          <w:rFonts w:ascii="Arial" w:cs="Arial" w:eastAsia="Arial" w:hAnsi="Arial"/>
          <w:sz w:val="17"/>
          <w:szCs w:val="17"/>
          <w:color w:val="auto"/>
        </w:rPr>
        <w:t>” or “</w:t>
      </w:r>
      <w:r>
        <w:rPr>
          <w:rFonts w:ascii="Arial" w:cs="Arial" w:eastAsia="Arial" w:hAnsi="Arial"/>
          <w:sz w:val="17"/>
          <w:szCs w:val="17"/>
          <w:b w:val="1"/>
          <w:bCs w:val="1"/>
          <w:i w:val="1"/>
          <w:iCs w:val="1"/>
          <w:color w:val="auto"/>
        </w:rPr>
        <w:t>RSU Award</w:t>
      </w:r>
      <w:r>
        <w:rPr>
          <w:rFonts w:ascii="Arial" w:cs="Arial" w:eastAsia="Arial" w:hAnsi="Arial"/>
          <w:sz w:val="17"/>
          <w:szCs w:val="17"/>
          <w:color w:val="auto"/>
        </w:rPr>
        <w:t>” means a right to receive shares of Common Stock which is granted pursuant to the terms and conditions of Section 6(b).</w:t>
      </w:r>
    </w:p>
    <w:p>
      <w:pPr>
        <w:spacing w:after="0" w:line="53" w:lineRule="exact"/>
        <w:rPr>
          <w:rFonts w:ascii="Arial" w:cs="Arial" w:eastAsia="Arial" w:hAnsi="Arial"/>
          <w:sz w:val="17"/>
          <w:szCs w:val="17"/>
          <w:b w:val="1"/>
          <w:bCs w:val="1"/>
          <w:color w:val="auto"/>
        </w:rPr>
      </w:pPr>
    </w:p>
    <w:p>
      <w:pPr>
        <w:ind w:left="780" w:hanging="361"/>
        <w:spacing w:after="0"/>
        <w:tabs>
          <w:tab w:leader="none" w:pos="780" w:val="left"/>
        </w:tabs>
        <w:numPr>
          <w:ilvl w:val="0"/>
          <w:numId w:val="22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Rule 405</w:t>
      </w:r>
      <w:r>
        <w:rPr>
          <w:rFonts w:ascii="Arial" w:cs="Arial" w:eastAsia="Arial" w:hAnsi="Arial"/>
          <w:sz w:val="17"/>
          <w:szCs w:val="17"/>
          <w:color w:val="auto"/>
        </w:rPr>
        <w:t>” means Rule 405 promulgated under the Securities Act.</w:t>
      </w:r>
    </w:p>
    <w:p>
      <w:pPr>
        <w:spacing w:after="0" w:line="118" w:lineRule="exact"/>
        <w:rPr>
          <w:rFonts w:ascii="Arial" w:cs="Arial" w:eastAsia="Arial" w:hAnsi="Arial"/>
          <w:sz w:val="17"/>
          <w:szCs w:val="17"/>
          <w:b w:val="1"/>
          <w:bCs w:val="1"/>
          <w:color w:val="auto"/>
        </w:rPr>
      </w:pPr>
    </w:p>
    <w:p>
      <w:pPr>
        <w:ind w:left="680" w:hanging="261"/>
        <w:spacing w:after="0"/>
        <w:tabs>
          <w:tab w:leader="none" w:pos="680" w:val="left"/>
        </w:tabs>
        <w:numPr>
          <w:ilvl w:val="0"/>
          <w:numId w:val="22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means the Securities Act of 1933, as amended.</w:t>
      </w:r>
    </w:p>
    <w:p>
      <w:pPr>
        <w:spacing w:after="0" w:line="118" w:lineRule="exact"/>
        <w:rPr>
          <w:rFonts w:ascii="Arial" w:cs="Arial" w:eastAsia="Arial" w:hAnsi="Arial"/>
          <w:sz w:val="17"/>
          <w:szCs w:val="17"/>
          <w:b w:val="1"/>
          <w:bCs w:val="1"/>
          <w:color w:val="auto"/>
        </w:rPr>
      </w:pPr>
    </w:p>
    <w:p>
      <w:pPr>
        <w:ind w:right="200" w:firstLine="419"/>
        <w:spacing w:after="0" w:line="289" w:lineRule="auto"/>
        <w:tabs>
          <w:tab w:leader="none" w:pos="703" w:val="left"/>
        </w:tabs>
        <w:numPr>
          <w:ilvl w:val="0"/>
          <w:numId w:val="22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 Appreciation Right</w:t>
      </w:r>
      <w:r>
        <w:rPr>
          <w:rFonts w:ascii="Arial" w:cs="Arial" w:eastAsia="Arial" w:hAnsi="Arial"/>
          <w:sz w:val="17"/>
          <w:szCs w:val="17"/>
          <w:color w:val="auto"/>
        </w:rPr>
        <w:t>” or “</w:t>
      </w:r>
      <w:r>
        <w:rPr>
          <w:rFonts w:ascii="Arial" w:cs="Arial" w:eastAsia="Arial" w:hAnsi="Arial"/>
          <w:sz w:val="17"/>
          <w:szCs w:val="17"/>
          <w:b w:val="1"/>
          <w:bCs w:val="1"/>
          <w:i w:val="1"/>
          <w:iCs w:val="1"/>
          <w:color w:val="auto"/>
        </w:rPr>
        <w:t>SAR</w:t>
      </w:r>
      <w:r>
        <w:rPr>
          <w:rFonts w:ascii="Arial" w:cs="Arial" w:eastAsia="Arial" w:hAnsi="Arial"/>
          <w:sz w:val="17"/>
          <w:szCs w:val="17"/>
          <w:color w:val="auto"/>
        </w:rPr>
        <w:t>” means a right to receive the appreciation on Common Stock that is granted pursuant to the terms and conditions of Section 5.</w:t>
      </w:r>
    </w:p>
    <w:p>
      <w:pPr>
        <w:spacing w:after="0" w:line="53" w:lineRule="exact"/>
        <w:rPr>
          <w:rFonts w:ascii="Arial" w:cs="Arial" w:eastAsia="Arial" w:hAnsi="Arial"/>
          <w:sz w:val="17"/>
          <w:szCs w:val="17"/>
          <w:b w:val="1"/>
          <w:bCs w:val="1"/>
          <w:color w:val="auto"/>
        </w:rPr>
      </w:pPr>
    </w:p>
    <w:p>
      <w:pPr>
        <w:ind w:right="180" w:firstLine="419"/>
        <w:spacing w:after="0" w:line="289" w:lineRule="auto"/>
        <w:tabs>
          <w:tab w:leader="none" w:pos="781" w:val="left"/>
        </w:tabs>
        <w:numPr>
          <w:ilvl w:val="0"/>
          <w:numId w:val="22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 Plan Administrator</w:t>
      </w:r>
      <w:r>
        <w:rPr>
          <w:rFonts w:ascii="Arial" w:cs="Arial" w:eastAsia="Arial" w:hAnsi="Arial"/>
          <w:sz w:val="17"/>
          <w:szCs w:val="17"/>
          <w:color w:val="auto"/>
        </w:rPr>
        <w:t>” means one or more Officers or Employees designated by the Board to administer the day-to-day operations of the Plan pursuant to Section 2(e) and the provisions of the Plan.</w:t>
      </w:r>
    </w:p>
    <w:p>
      <w:pPr>
        <w:spacing w:after="0" w:line="53" w:lineRule="exact"/>
        <w:rPr>
          <w:rFonts w:ascii="Arial" w:cs="Arial" w:eastAsia="Arial" w:hAnsi="Arial"/>
          <w:sz w:val="17"/>
          <w:szCs w:val="17"/>
          <w:b w:val="1"/>
          <w:bCs w:val="1"/>
          <w:color w:val="auto"/>
        </w:rPr>
      </w:pPr>
    </w:p>
    <w:p>
      <w:pPr>
        <w:ind w:right="60" w:firstLine="419"/>
        <w:spacing w:after="0" w:line="285" w:lineRule="auto"/>
        <w:tabs>
          <w:tab w:leader="none" w:pos="684" w:val="left"/>
        </w:tabs>
        <w:numPr>
          <w:ilvl w:val="0"/>
          <w:numId w:val="22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 .</w:t>
      </w:r>
    </w:p>
    <w:p>
      <w:pPr>
        <w:spacing w:after="0" w:line="59" w:lineRule="exact"/>
        <w:rPr>
          <w:rFonts w:ascii="Arial" w:cs="Arial" w:eastAsia="Arial" w:hAnsi="Arial"/>
          <w:sz w:val="16"/>
          <w:szCs w:val="16"/>
          <w:b w:val="1"/>
          <w:bCs w:val="1"/>
          <w:color w:val="auto"/>
        </w:rPr>
      </w:pPr>
    </w:p>
    <w:p>
      <w:pPr>
        <w:ind w:right="400" w:firstLine="419"/>
        <w:spacing w:after="0" w:line="289" w:lineRule="auto"/>
        <w:tabs>
          <w:tab w:leader="none" w:pos="878" w:val="left"/>
        </w:tabs>
        <w:numPr>
          <w:ilvl w:val="0"/>
          <w:numId w:val="22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Tax-Related Items</w:t>
      </w:r>
      <w:r>
        <w:rPr>
          <w:rFonts w:ascii="Arial" w:cs="Arial" w:eastAsia="Arial" w:hAnsi="Arial"/>
          <w:sz w:val="17"/>
          <w:szCs w:val="17"/>
          <w:color w:val="auto"/>
        </w:rPr>
        <w:t>” means income tax, social insurance, payroll tax, fringe benefit tax, payment on account or other tax related items related to a Participant’s Award or participation in the Plan and legally applicable to a Participant.</w:t>
      </w:r>
    </w:p>
    <w:p>
      <w:pPr>
        <w:spacing w:after="0" w:line="53" w:lineRule="exact"/>
        <w:rPr>
          <w:rFonts w:ascii="Arial" w:cs="Arial" w:eastAsia="Arial" w:hAnsi="Arial"/>
          <w:sz w:val="17"/>
          <w:szCs w:val="17"/>
          <w:b w:val="1"/>
          <w:bCs w:val="1"/>
          <w:color w:val="auto"/>
        </w:rPr>
      </w:pPr>
    </w:p>
    <w:p>
      <w:pPr>
        <w:ind w:right="60" w:firstLine="419"/>
        <w:spacing w:after="0" w:line="289" w:lineRule="auto"/>
        <w:tabs>
          <w:tab w:leader="none" w:pos="781" w:val="left"/>
        </w:tabs>
        <w:numPr>
          <w:ilvl w:val="0"/>
          <w:numId w:val="22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Ten Percent Stockholder</w:t>
      </w:r>
      <w:r>
        <w:rPr>
          <w:rFonts w:ascii="Arial" w:cs="Arial" w:eastAsia="Arial" w:hAnsi="Arial"/>
          <w:sz w:val="17"/>
          <w:szCs w:val="17"/>
          <w:color w:val="auto"/>
        </w:rPr>
        <w:t>” means a person who Owns (or is deemed to Own pursuant to Section 424(d) of the Code) stock possessing more than ten percent (10%) of the total combined voting power of all classes of stock of the Company or any Affiliate.</w:t>
      </w:r>
    </w:p>
    <w:p>
      <w:pPr>
        <w:spacing w:after="0" w:line="53" w:lineRule="exact"/>
        <w:rPr>
          <w:rFonts w:ascii="Arial" w:cs="Arial" w:eastAsia="Arial" w:hAnsi="Arial"/>
          <w:sz w:val="17"/>
          <w:szCs w:val="17"/>
          <w:b w:val="1"/>
          <w:bCs w:val="1"/>
          <w:color w:val="auto"/>
        </w:rPr>
      </w:pPr>
    </w:p>
    <w:p>
      <w:pPr>
        <w:ind w:right="140" w:firstLine="419"/>
        <w:spacing w:after="0" w:line="322" w:lineRule="auto"/>
        <w:tabs>
          <w:tab w:leader="none" w:pos="762" w:val="left"/>
        </w:tabs>
        <w:numPr>
          <w:ilvl w:val="0"/>
          <w:numId w:val="22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Trading Policy</w:t>
      </w:r>
      <w:r>
        <w:rPr>
          <w:rFonts w:ascii="Arial" w:cs="Arial" w:eastAsia="Arial" w:hAnsi="Arial"/>
          <w:sz w:val="16"/>
          <w:szCs w:val="16"/>
          <w:color w:val="auto"/>
        </w:rPr>
        <w:t>” means the Company’s policy permitting certain individuals to sell Company shares only during certain “window“ periods and/or otherwise restricts the ability of certain individuals to transfer or encumber shares of Capital Stock, as in effect from time to time.</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640"/>
          </w:cols>
          <w:pgMar w:left="620" w:top="271" w:right="639" w:bottom="1440" w:gutter="0" w:footer="0" w:header="0"/>
        </w:sectPr>
      </w:pPr>
    </w:p>
    <w:bookmarkStart w:id="340" w:name="page341"/>
    <w:bookmarkEnd w:id="340"/>
    <w:p>
      <w:pPr>
        <w:jc w:val="right"/>
        <w:spacing w:after="0"/>
        <w:rPr>
          <w:sz w:val="20"/>
          <w:szCs w:val="20"/>
          <w:color w:val="auto"/>
        </w:rPr>
      </w:pPr>
      <w:r>
        <w:rPr>
          <w:rFonts w:ascii="Arial" w:cs="Arial" w:eastAsia="Arial" w:hAnsi="Arial"/>
          <w:sz w:val="17"/>
          <w:szCs w:val="17"/>
          <w:b w:val="1"/>
          <w:bCs w:val="1"/>
          <w:color w:val="auto"/>
        </w:rPr>
        <w:t>Exhibit 10.4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2018 E</w:t>
      </w:r>
      <w:r>
        <w:rPr>
          <w:rFonts w:ascii="Arial" w:cs="Arial" w:eastAsia="Arial" w:hAnsi="Arial"/>
          <w:sz w:val="14"/>
          <w:szCs w:val="14"/>
          <w:b w:val="1"/>
          <w:bCs w:val="1"/>
          <w:color w:val="auto"/>
        </w:rPr>
        <w:t>QUITY</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7"/>
          <w:szCs w:val="17"/>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17"/>
          <w:szCs w:val="17"/>
          <w:b w:val="1"/>
          <w:bCs w:val="1"/>
          <w:color w:val="auto"/>
        </w:rPr>
        <w:t xml:space="preserve"> N</w:t>
      </w:r>
      <w:r>
        <w:rPr>
          <w:rFonts w:ascii="Arial" w:cs="Arial" w:eastAsia="Arial" w:hAnsi="Arial"/>
          <w:sz w:val="14"/>
          <w:szCs w:val="14"/>
          <w:b w:val="1"/>
          <w:bCs w:val="1"/>
          <w:color w:val="auto"/>
        </w:rPr>
        <w:t>OTICE</w:t>
      </w:r>
    </w:p>
    <w:p>
      <w:pPr>
        <w:spacing w:after="0" w:line="230" w:lineRule="exact"/>
        <w:rPr>
          <w:sz w:val="20"/>
          <w:szCs w:val="20"/>
          <w:color w:val="auto"/>
        </w:rPr>
      </w:pPr>
    </w:p>
    <w:p>
      <w:pPr>
        <w:ind w:right="340"/>
        <w:spacing w:after="0" w:line="289" w:lineRule="auto"/>
        <w:rPr>
          <w:sz w:val="20"/>
          <w:szCs w:val="20"/>
          <w:color w:val="auto"/>
        </w:rPr>
      </w:pPr>
      <w:r>
        <w:rPr>
          <w:rFonts w:ascii="Arial" w:cs="Arial" w:eastAsia="Arial" w:hAnsi="Arial"/>
          <w:sz w:val="17"/>
          <w:szCs w:val="17"/>
          <w:color w:val="auto"/>
        </w:rPr>
        <w:t>NGM Biopharmaceuticals,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awarded to Participant an option to purchase up to the number of shares of Common Stock set forth below (the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under its 2018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Participant:</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Date of Grant:</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Number of Shares Subject to</w:t>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Option:</w:t>
      </w:r>
    </w:p>
    <w:p>
      <w:pPr>
        <w:sectPr>
          <w:pgSz w:w="11900" w:h="16838" w:orient="portrait"/>
          <w:cols w:equalWidth="0" w:num="1">
            <w:col w:w="10680"/>
          </w:cols>
          <w:pgMar w:left="620" w:top="121" w:right="599" w:bottom="1440" w:gutter="0" w:footer="0" w:header="0"/>
        </w:sectPr>
      </w:pPr>
    </w:p>
    <w:p>
      <w:pPr>
        <w:spacing w:after="0" w:line="10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Type of Grant: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Incentive Stock Option</w:t>
      </w:r>
    </w:p>
    <w:p>
      <w:pPr>
        <w:spacing w:after="0" w:line="60"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Nonstatutory Stock Option</w:t>
      </w:r>
    </w:p>
    <w:p>
      <w:pPr>
        <w:spacing w:after="0" w:line="116" w:lineRule="exact"/>
        <w:rPr>
          <w:sz w:val="20"/>
          <w:szCs w:val="20"/>
          <w:color w:val="auto"/>
        </w:rPr>
      </w:pPr>
    </w:p>
    <w:p>
      <w:pPr>
        <w:sectPr>
          <w:pgSz w:w="11900" w:h="16838" w:orient="portrait"/>
          <w:cols w:equalWidth="0" w:num="2">
            <w:col w:w="2380" w:space="720"/>
            <w:col w:w="7580"/>
          </w:cols>
          <w:pgMar w:left="620" w:top="121" w:right="59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Exercise Price (Per Share):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Total Exercise Price: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Vesting Commencement Date:</w:t>
      </w:r>
    </w:p>
    <w:p>
      <w:pPr>
        <w:sectPr>
          <w:pgSz w:w="11900" w:h="16838" w:orient="portrait"/>
          <w:cols w:equalWidth="0" w:num="1">
            <w:col w:w="10680"/>
          </w:cols>
          <w:pgMar w:left="620" w:top="121" w:right="599" w:bottom="1440" w:gutter="0" w:footer="0" w:header="0"/>
          <w:type w:val="continuous"/>
        </w:sectPr>
      </w:pPr>
    </w:p>
    <w:p>
      <w:pPr>
        <w:spacing w:after="0" w:line="14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Vesting Schedule: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Subject to the Participant’s Continuous Service through each applicable vesting date, the Award will vest as follows:</w:t>
      </w:r>
    </w:p>
    <w:p>
      <w:pPr>
        <w:spacing w:after="0" w:line="21" w:lineRule="exact"/>
        <w:rPr>
          <w:sz w:val="20"/>
          <w:szCs w:val="20"/>
          <w:color w:val="auto"/>
        </w:rPr>
      </w:pPr>
    </w:p>
    <w:p>
      <w:pPr>
        <w:sectPr>
          <w:pgSz w:w="11900" w:h="16838" w:orient="portrait"/>
          <w:cols w:equalWidth="0" w:num="2">
            <w:col w:w="2380" w:space="720"/>
            <w:col w:w="7580"/>
          </w:cols>
          <w:pgMar w:left="620" w:top="121" w:right="599" w:bottom="1440" w:gutter="0" w:footer="0" w:header="0"/>
          <w:type w:val="continuous"/>
        </w:sectPr>
      </w:pPr>
    </w:p>
    <w:p>
      <w:pPr>
        <w:spacing w:after="0" w:line="3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Exercise Schedule: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Same as Vesting Schedule</w:t>
      </w:r>
    </w:p>
    <w:p>
      <w:pPr>
        <w:spacing w:after="0" w:line="83"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Early Exercise Permitted</w:t>
      </w:r>
    </w:p>
    <w:p>
      <w:pPr>
        <w:spacing w:after="0" w:line="116" w:lineRule="exact"/>
        <w:rPr>
          <w:sz w:val="20"/>
          <w:szCs w:val="20"/>
          <w:color w:val="auto"/>
        </w:rPr>
      </w:pPr>
    </w:p>
    <w:p>
      <w:pPr>
        <w:sectPr>
          <w:pgSz w:w="11900" w:h="16838" w:orient="portrait"/>
          <w:cols w:equalWidth="0" w:num="2">
            <w:col w:w="2380" w:space="720"/>
            <w:col w:w="7580"/>
          </w:cols>
          <w:pgMar w:left="620" w:top="121" w:right="59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Expiration Date:</w:t>
      </w:r>
    </w:p>
    <w:p>
      <w:pPr>
        <w:sectPr>
          <w:pgSz w:w="11900" w:h="16838" w:orient="portrait"/>
          <w:cols w:equalWidth="0" w:num="1">
            <w:col w:w="10680"/>
          </w:cols>
          <w:pgMar w:left="620" w:top="121" w:right="599" w:bottom="1440" w:gutter="0" w:footer="0" w:header="0"/>
          <w:type w:val="continuous"/>
        </w:sectPr>
      </w:pPr>
    </w:p>
    <w:p>
      <w:pPr>
        <w:spacing w:after="0" w:line="22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b w:val="1"/>
          <w:bCs w:val="1"/>
          <w:color w:val="auto"/>
        </w:rPr>
        <w:t xml:space="preserve">Participant Acknowledgements: </w:t>
      </w:r>
      <w:r>
        <w:rPr>
          <w:rFonts w:ascii="Arial" w:cs="Arial" w:eastAsia="Arial" w:hAnsi="Arial"/>
          <w:sz w:val="16"/>
          <w:szCs w:val="16"/>
          <w:color w:val="auto"/>
        </w:rPr>
        <w:t>By Participant’s acceptance of this Option, Participant understands and agrees that the Option is governed by this</w:t>
      </w:r>
      <w:r>
        <w:rPr>
          <w:rFonts w:ascii="Arial" w:cs="Arial" w:eastAsia="Arial" w:hAnsi="Arial"/>
          <w:sz w:val="16"/>
          <w:szCs w:val="16"/>
          <w:b w:val="1"/>
          <w:bCs w:val="1"/>
          <w:color w:val="auto"/>
        </w:rPr>
        <w:t xml:space="preserve"> </w:t>
      </w:r>
      <w:r>
        <w:rPr>
          <w:rFonts w:ascii="Arial" w:cs="Arial" w:eastAsia="Arial" w:hAnsi="Arial"/>
          <w:sz w:val="16"/>
          <w:szCs w:val="16"/>
          <w:color w:val="auto"/>
        </w:rPr>
        <w:t>Stock Option Grant Notice (this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and the provisions of the Plan and the attached Option Terms and Conditions (the “</w:t>
      </w:r>
      <w:r>
        <w:rPr>
          <w:rFonts w:ascii="Arial" w:cs="Arial" w:eastAsia="Arial" w:hAnsi="Arial"/>
          <w:sz w:val="16"/>
          <w:szCs w:val="16"/>
          <w:b w:val="1"/>
          <w:bCs w:val="1"/>
          <w:i w:val="1"/>
          <w:iCs w:val="1"/>
          <w:color w:val="auto"/>
        </w:rPr>
        <w:t>Terms</w:t>
      </w:r>
      <w:r>
        <w:rPr>
          <w:rFonts w:ascii="Arial" w:cs="Arial" w:eastAsia="Arial" w:hAnsi="Arial"/>
          <w:sz w:val="16"/>
          <w:szCs w:val="16"/>
          <w:color w:val="auto"/>
        </w:rPr>
        <w:t>”), all of which are made a part of this document. The Grant Notice and the Terms are collectively referred to as the “</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applicable to the Award. Participant further acknowledges that the Option comprises the entire understanding between Participant and the Company regarding the acquisition of stock in the Company and supersedes all prior oral and written agreements, promises and/or representations on that subject with the exception of other equity awards previously granted to Participant and Common Stock previously issued to Participant.</w:t>
      </w:r>
    </w:p>
    <w:p>
      <w:pPr>
        <w:spacing w:after="0" w:line="166" w:lineRule="exact"/>
        <w:rPr>
          <w:sz w:val="20"/>
          <w:szCs w:val="20"/>
          <w:color w:val="auto"/>
        </w:rPr>
      </w:pPr>
    </w:p>
    <w:p>
      <w:pPr>
        <w:ind w:right="560"/>
        <w:spacing w:after="0" w:line="289" w:lineRule="auto"/>
        <w:rPr>
          <w:sz w:val="20"/>
          <w:szCs w:val="20"/>
          <w:color w:val="auto"/>
        </w:rPr>
      </w:pPr>
      <w:r>
        <w:rPr>
          <w:rFonts w:ascii="Arial" w:cs="Arial" w:eastAsia="Arial" w:hAnsi="Arial"/>
          <w:sz w:val="17"/>
          <w:szCs w:val="17"/>
          <w:color w:val="auto"/>
        </w:rPr>
        <w:t>Participant further consents to receive Plan documents by electronic delivery and to participate in the Plan through an online or electronic system established and maintained by the Company or another third party designated by the Company.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60" w:type="dxa"/>
            <w:vAlign w:val="bottom"/>
            <w:gridSpan w:val="5"/>
          </w:tcPr>
          <w:p>
            <w:pPr>
              <w:spacing w:after="0"/>
              <w:rPr>
                <w:sz w:val="20"/>
                <w:szCs w:val="20"/>
                <w:color w:val="auto"/>
              </w:rPr>
            </w:pPr>
            <w:r>
              <w:rPr>
                <w:rFonts w:ascii="Arial" w:cs="Arial" w:eastAsia="Arial" w:hAnsi="Arial"/>
                <w:sz w:val="17"/>
                <w:szCs w:val="17"/>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tc>
        <w:tc>
          <w:tcPr>
            <w:tcW w:w="5020" w:type="dxa"/>
            <w:vAlign w:val="bottom"/>
            <w:gridSpan w:val="2"/>
          </w:tcPr>
          <w:p>
            <w:pPr>
              <w:ind w:left="260"/>
              <w:spacing w:after="0"/>
              <w:rPr>
                <w:sz w:val="20"/>
                <w:szCs w:val="20"/>
                <w:color w:val="auto"/>
              </w:rPr>
            </w:pP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p>
        </w:tc>
      </w:tr>
      <w:tr>
        <w:trPr>
          <w:trHeight w:val="419"/>
        </w:trPr>
        <w:tc>
          <w:tcPr>
            <w:tcW w:w="5660" w:type="dxa"/>
            <w:vAlign w:val="bottom"/>
            <w:gridSpan w:val="5"/>
          </w:tcPr>
          <w:p>
            <w:pPr>
              <w:spacing w:after="0"/>
              <w:rPr>
                <w:sz w:val="20"/>
                <w:szCs w:val="20"/>
                <w:color w:val="auto"/>
              </w:rPr>
            </w:pPr>
            <w:r>
              <w:rPr>
                <w:rFonts w:ascii="Arial" w:cs="Arial" w:eastAsia="Arial" w:hAnsi="Arial"/>
                <w:sz w:val="17"/>
                <w:szCs w:val="17"/>
                <w:color w:val="auto"/>
              </w:rPr>
              <w:t>By:</w:t>
            </w:r>
          </w:p>
        </w:tc>
        <w:tc>
          <w:tcPr>
            <w:tcW w:w="44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15"/>
        </w:trPr>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720" w:type="dxa"/>
            <w:vAlign w:val="bottom"/>
            <w:tcBorders>
              <w:top w:val="single" w:sz="8" w:color="auto"/>
            </w:tcBorders>
            <w:gridSpan w:val="2"/>
          </w:tcPr>
          <w:p>
            <w:pPr>
              <w:ind w:left="2000"/>
              <w:spacing w:after="0"/>
              <w:rPr>
                <w:sz w:val="20"/>
                <w:szCs w:val="20"/>
                <w:color w:val="auto"/>
              </w:rPr>
            </w:pPr>
            <w:r>
              <w:rPr>
                <w:rFonts w:ascii="Arial" w:cs="Arial" w:eastAsia="Arial" w:hAnsi="Arial"/>
                <w:sz w:val="17"/>
                <w:szCs w:val="17"/>
                <w:color w:val="auto"/>
              </w:rPr>
              <w:t>Signature</w:t>
            </w:r>
          </w:p>
        </w:tc>
        <w:tc>
          <w:tcPr>
            <w:tcW w:w="5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580" w:type="dxa"/>
            <w:vAlign w:val="bottom"/>
            <w:tcBorders>
              <w:top w:val="single" w:sz="8" w:color="auto"/>
            </w:tcBorders>
          </w:tcPr>
          <w:p>
            <w:pPr>
              <w:ind w:left="2000"/>
              <w:spacing w:after="0"/>
              <w:rPr>
                <w:sz w:val="20"/>
                <w:szCs w:val="20"/>
                <w:color w:val="auto"/>
              </w:rPr>
            </w:pPr>
            <w:r>
              <w:rPr>
                <w:rFonts w:ascii="Arial" w:cs="Arial" w:eastAsia="Arial" w:hAnsi="Arial"/>
                <w:sz w:val="17"/>
                <w:szCs w:val="17"/>
                <w:color w:val="auto"/>
              </w:rPr>
              <w:t>Signature</w:t>
            </w:r>
          </w:p>
        </w:tc>
      </w:tr>
      <w:tr>
        <w:trPr>
          <w:trHeight w:val="413"/>
        </w:trPr>
        <w:tc>
          <w:tcPr>
            <w:tcW w:w="420" w:type="dxa"/>
            <w:vAlign w:val="bottom"/>
            <w:gridSpan w:val="2"/>
          </w:tcPr>
          <w:p>
            <w:pPr>
              <w:spacing w:after="0"/>
              <w:rPr>
                <w:sz w:val="20"/>
                <w:szCs w:val="20"/>
                <w:color w:val="auto"/>
              </w:rPr>
            </w:pPr>
            <w:r>
              <w:rPr>
                <w:rFonts w:ascii="Arial" w:cs="Arial" w:eastAsia="Arial" w:hAnsi="Arial"/>
                <w:sz w:val="17"/>
                <w:szCs w:val="17"/>
                <w:color w:val="auto"/>
              </w:rPr>
              <w:t>Title:</w:t>
            </w:r>
          </w:p>
        </w:tc>
        <w:tc>
          <w:tcPr>
            <w:tcW w:w="4580" w:type="dxa"/>
            <w:vAlign w:val="bottom"/>
            <w:tcBorders>
              <w:bottom w:val="single" w:sz="8" w:color="auto"/>
            </w:tcBorders>
          </w:tcPr>
          <w:p>
            <w:pPr>
              <w:spacing w:after="0"/>
              <w:rPr>
                <w:sz w:val="24"/>
                <w:szCs w:val="24"/>
                <w:color w:val="auto"/>
              </w:rPr>
            </w:pPr>
          </w:p>
        </w:tc>
        <w:tc>
          <w:tcPr>
            <w:tcW w:w="660" w:type="dxa"/>
            <w:vAlign w:val="bottom"/>
            <w:gridSpan w:val="2"/>
          </w:tcPr>
          <w:p>
            <w:pPr>
              <w:spacing w:after="0"/>
              <w:rPr>
                <w:sz w:val="24"/>
                <w:szCs w:val="24"/>
                <w:color w:val="auto"/>
              </w:rPr>
            </w:pPr>
          </w:p>
        </w:tc>
        <w:tc>
          <w:tcPr>
            <w:tcW w:w="440" w:type="dxa"/>
            <w:vAlign w:val="bottom"/>
          </w:tcPr>
          <w:p>
            <w:pPr>
              <w:ind w:left="20"/>
              <w:spacing w:after="0"/>
              <w:rPr>
                <w:sz w:val="20"/>
                <w:szCs w:val="20"/>
                <w:color w:val="auto"/>
              </w:rPr>
            </w:pPr>
            <w:r>
              <w:rPr>
                <w:rFonts w:ascii="Arial" w:cs="Arial" w:eastAsia="Arial" w:hAnsi="Arial"/>
                <w:sz w:val="17"/>
                <w:szCs w:val="17"/>
                <w:color w:val="auto"/>
                <w:w w:val="98"/>
              </w:rPr>
              <w:t>Date:</w:t>
            </w:r>
          </w:p>
        </w:tc>
        <w:tc>
          <w:tcPr>
            <w:tcW w:w="4580" w:type="dxa"/>
            <w:vAlign w:val="bottom"/>
            <w:tcBorders>
              <w:bottom w:val="single" w:sz="8" w:color="auto"/>
            </w:tcBorders>
          </w:tcPr>
          <w:p>
            <w:pPr>
              <w:spacing w:after="0"/>
              <w:rPr>
                <w:sz w:val="24"/>
                <w:szCs w:val="24"/>
                <w:color w:val="auto"/>
              </w:rPr>
            </w:pPr>
          </w:p>
        </w:tc>
      </w:tr>
      <w:tr>
        <w:trPr>
          <w:trHeight w:val="406"/>
        </w:trPr>
        <w:tc>
          <w:tcPr>
            <w:tcW w:w="420" w:type="dxa"/>
            <w:vAlign w:val="bottom"/>
            <w:gridSpan w:val="2"/>
          </w:tcPr>
          <w:p>
            <w:pPr>
              <w:spacing w:after="0"/>
              <w:rPr>
                <w:sz w:val="20"/>
                <w:szCs w:val="20"/>
                <w:color w:val="auto"/>
              </w:rPr>
            </w:pPr>
            <w:r>
              <w:rPr>
                <w:rFonts w:ascii="Arial" w:cs="Arial" w:eastAsia="Arial" w:hAnsi="Arial"/>
                <w:sz w:val="17"/>
                <w:szCs w:val="17"/>
                <w:color w:val="auto"/>
                <w:w w:val="98"/>
              </w:rPr>
              <w:t>Date:</w:t>
            </w:r>
          </w:p>
        </w:tc>
        <w:tc>
          <w:tcPr>
            <w:tcW w:w="4580" w:type="dxa"/>
            <w:vAlign w:val="bottom"/>
            <w:tcBorders>
              <w:bottom w:val="single" w:sz="8" w:color="auto"/>
            </w:tcBorders>
          </w:tcPr>
          <w:p>
            <w:pPr>
              <w:spacing w:after="0"/>
              <w:rPr>
                <w:sz w:val="24"/>
                <w:szCs w:val="24"/>
                <w:color w:val="auto"/>
              </w:rPr>
            </w:pPr>
          </w:p>
        </w:tc>
        <w:tc>
          <w:tcPr>
            <w:tcW w:w="66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4580" w:type="dxa"/>
            <w:vAlign w:val="bottom"/>
          </w:tcPr>
          <w:p>
            <w:pPr>
              <w:spacing w:after="0"/>
              <w:rPr>
                <w:sz w:val="24"/>
                <w:szCs w:val="24"/>
                <w:color w:val="auto"/>
              </w:rPr>
            </w:pPr>
          </w:p>
        </w:tc>
      </w:tr>
    </w:tbl>
    <w:p>
      <w:pPr>
        <w:sectPr>
          <w:pgSz w:w="11900" w:h="16838" w:orient="portrait"/>
          <w:cols w:equalWidth="0" w:num="1">
            <w:col w:w="10680"/>
          </w:cols>
          <w:pgMar w:left="620" w:top="121" w:right="599" w:bottom="1440" w:gutter="0" w:footer="0" w:header="0"/>
          <w:type w:val="continuous"/>
        </w:sectPr>
      </w:pPr>
    </w:p>
    <w:bookmarkStart w:id="341" w:name="page342"/>
    <w:bookmarkEnd w:id="34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w:t>
      </w:r>
      <w:r>
        <w:rPr>
          <w:rFonts w:ascii="Arial" w:cs="Arial" w:eastAsia="Arial" w:hAnsi="Arial"/>
          <w:sz w:val="14"/>
          <w:szCs w:val="14"/>
          <w:b w:val="1"/>
          <w:bCs w:val="1"/>
          <w:color w:val="auto"/>
        </w:rPr>
        <w:t>PTION</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ERMS AND</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ONDITIONS</w:t>
      </w:r>
    </w:p>
    <w:p>
      <w:pPr>
        <w:spacing w:after="0" w:line="224" w:lineRule="exact"/>
        <w:rPr>
          <w:sz w:val="20"/>
          <w:szCs w:val="20"/>
          <w:color w:val="auto"/>
        </w:rPr>
      </w:pPr>
    </w:p>
    <w:p>
      <w:pPr>
        <w:ind w:right="20" w:firstLine="419"/>
        <w:spacing w:after="0" w:line="284" w:lineRule="auto"/>
        <w:tabs>
          <w:tab w:leader="none" w:pos="602" w:val="left"/>
        </w:tabs>
        <w:numPr>
          <w:ilvl w:val="0"/>
          <w:numId w:val="229"/>
        </w:numPr>
        <w:rPr>
          <w:rFonts w:ascii="Arial" w:cs="Arial" w:eastAsia="Arial" w:hAnsi="Arial"/>
          <w:sz w:val="16"/>
          <w:szCs w:val="16"/>
          <w:b w:val="1"/>
          <w:bCs w:val="1"/>
          <w:color w:val="auto"/>
        </w:rPr>
      </w:pPr>
      <w:r>
        <w:rPr>
          <w:rFonts w:ascii="Arial" w:cs="Arial" w:eastAsia="Arial" w:hAnsi="Arial"/>
          <w:sz w:val="16"/>
          <w:szCs w:val="16"/>
          <w:b w:val="1"/>
          <w:bCs w:val="1"/>
          <w:color w:val="auto"/>
        </w:rPr>
        <w:t>G</w:t>
      </w:r>
      <w:r>
        <w:rPr>
          <w:rFonts w:ascii="Arial" w:cs="Arial" w:eastAsia="Arial" w:hAnsi="Arial"/>
          <w:sz w:val="13"/>
          <w:szCs w:val="13"/>
          <w:b w:val="1"/>
          <w:bCs w:val="1"/>
          <w:color w:val="auto"/>
        </w:rPr>
        <w:t>ENERAL</w:t>
      </w:r>
      <w:r>
        <w:rPr>
          <w:rFonts w:ascii="Arial" w:cs="Arial" w:eastAsia="Arial" w:hAnsi="Arial"/>
          <w:sz w:val="16"/>
          <w:szCs w:val="16"/>
          <w:b w:val="1"/>
          <w:bCs w:val="1"/>
          <w:color w:val="auto"/>
        </w:rPr>
        <w:t xml:space="preserve">. </w:t>
      </w:r>
      <w:r>
        <w:rPr>
          <w:rFonts w:ascii="Arial" w:cs="Arial" w:eastAsia="Arial" w:hAnsi="Arial"/>
          <w:sz w:val="16"/>
          <w:szCs w:val="16"/>
          <w:color w:val="auto"/>
        </w:rPr>
        <w:t>These Option Terms and Conditions (these “</w:t>
      </w:r>
      <w:r>
        <w:rPr>
          <w:rFonts w:ascii="Arial" w:cs="Arial" w:eastAsia="Arial" w:hAnsi="Arial"/>
          <w:sz w:val="16"/>
          <w:szCs w:val="16"/>
          <w:b w:val="1"/>
          <w:bCs w:val="1"/>
          <w:i w:val="1"/>
          <w:iCs w:val="1"/>
          <w:color w:val="auto"/>
        </w:rPr>
        <w:t>Terms</w:t>
      </w:r>
      <w:r>
        <w:rPr>
          <w:rFonts w:ascii="Arial" w:cs="Arial" w:eastAsia="Arial" w:hAnsi="Arial"/>
          <w:sz w:val="16"/>
          <w:szCs w:val="16"/>
          <w:color w:val="auto"/>
        </w:rPr>
        <w:t>”) apply to a particular stock option grant (the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granted by NGM</w:t>
      </w:r>
      <w:r>
        <w:rPr>
          <w:rFonts w:ascii="Arial" w:cs="Arial" w:eastAsia="Arial" w:hAnsi="Arial"/>
          <w:sz w:val="16"/>
          <w:szCs w:val="16"/>
          <w:b w:val="1"/>
          <w:bCs w:val="1"/>
          <w:color w:val="auto"/>
        </w:rPr>
        <w:t xml:space="preserve"> </w:t>
      </w:r>
      <w:r>
        <w:rPr>
          <w:rFonts w:ascii="Arial" w:cs="Arial" w:eastAsia="Arial" w:hAnsi="Arial"/>
          <w:sz w:val="16"/>
          <w:szCs w:val="16"/>
          <w:color w:val="auto"/>
        </w:rPr>
        <w:t>Biopharmaceuticals,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are incorporated by reference in the Stock Option Grant Notice (the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corresponding to that particular grant. The recipient of the Option identified in the Grant Notice is sometimes referred to as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The effective date of grant of the Option as set forth in the Grant Notice is referred to as the “</w:t>
      </w:r>
      <w:r>
        <w:rPr>
          <w:rFonts w:ascii="Arial" w:cs="Arial" w:eastAsia="Arial" w:hAnsi="Arial"/>
          <w:sz w:val="16"/>
          <w:szCs w:val="16"/>
          <w:b w:val="1"/>
          <w:bCs w:val="1"/>
          <w:i w:val="1"/>
          <w:iCs w:val="1"/>
          <w:color w:val="auto"/>
        </w:rPr>
        <w:t>Date of Grant</w:t>
      </w:r>
      <w:r>
        <w:rPr>
          <w:rFonts w:ascii="Arial" w:cs="Arial" w:eastAsia="Arial" w:hAnsi="Arial"/>
          <w:sz w:val="16"/>
          <w:szCs w:val="16"/>
          <w:color w:val="auto"/>
        </w:rPr>
        <w:t>”. The Option has been granted to Participant in addition to, and not in lieu of, any other form of compensation otherwise payable or to be paid to Participant. The Grant Notice and these Terms are collectively referred to as the “</w:t>
      </w:r>
      <w:r>
        <w:rPr>
          <w:rFonts w:ascii="Arial" w:cs="Arial" w:eastAsia="Arial" w:hAnsi="Arial"/>
          <w:sz w:val="16"/>
          <w:szCs w:val="16"/>
          <w:b w:val="1"/>
          <w:bCs w:val="1"/>
          <w:i w:val="1"/>
          <w:iCs w:val="1"/>
          <w:color w:val="auto"/>
        </w:rPr>
        <w:t>Option Agreement</w:t>
      </w:r>
      <w:r>
        <w:rPr>
          <w:rFonts w:ascii="Arial" w:cs="Arial" w:eastAsia="Arial" w:hAnsi="Arial"/>
          <w:sz w:val="16"/>
          <w:szCs w:val="16"/>
          <w:color w:val="auto"/>
        </w:rPr>
        <w:t>” applicable to the Option. Capitalized terms are defined in the Plan if not defined in the Option Agreement.</w:t>
      </w:r>
    </w:p>
    <w:p>
      <w:pPr>
        <w:spacing w:after="0" w:line="160" w:lineRule="exact"/>
        <w:rPr>
          <w:rFonts w:ascii="Arial" w:cs="Arial" w:eastAsia="Arial" w:hAnsi="Arial"/>
          <w:sz w:val="16"/>
          <w:szCs w:val="16"/>
          <w:b w:val="1"/>
          <w:bCs w:val="1"/>
          <w:color w:val="auto"/>
        </w:rPr>
      </w:pPr>
    </w:p>
    <w:p>
      <w:pPr>
        <w:ind w:left="600" w:hanging="181"/>
        <w:spacing w:after="0"/>
        <w:tabs>
          <w:tab w:leader="none" w:pos="600" w:val="left"/>
        </w:tabs>
        <w:numPr>
          <w:ilvl w:val="0"/>
          <w:numId w:val="229"/>
        </w:numPr>
        <w:rPr>
          <w:rFonts w:ascii="Arial" w:cs="Arial" w:eastAsia="Arial" w:hAnsi="Arial"/>
          <w:sz w:val="16"/>
          <w:szCs w:val="16"/>
          <w:b w:val="1"/>
          <w:bCs w:val="1"/>
          <w:color w:val="auto"/>
        </w:rPr>
      </w:pPr>
      <w:r>
        <w:rPr>
          <w:rFonts w:ascii="Arial" w:cs="Arial" w:eastAsia="Arial" w:hAnsi="Arial"/>
          <w:sz w:val="16"/>
          <w:szCs w:val="16"/>
          <w:b w:val="1"/>
          <w:bCs w:val="1"/>
          <w:color w:val="auto"/>
        </w:rPr>
        <w:t>V</w:t>
      </w:r>
      <w:r>
        <w:rPr>
          <w:rFonts w:ascii="Arial" w:cs="Arial" w:eastAsia="Arial" w:hAnsi="Arial"/>
          <w:sz w:val="13"/>
          <w:szCs w:val="13"/>
          <w:b w:val="1"/>
          <w:bCs w:val="1"/>
          <w:color w:val="auto"/>
        </w:rPr>
        <w:t>ESTING</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 will vest as provided in Participant’s Grant Notice. Vesting will cease upon the termination of Participant’s Continuous</w:t>
      </w:r>
    </w:p>
    <w:p>
      <w:pPr>
        <w:spacing w:after="0" w:line="43"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7"/>
          <w:szCs w:val="17"/>
          <w:color w:val="auto"/>
        </w:rPr>
        <w:t>Service.</w:t>
      </w:r>
    </w:p>
    <w:p>
      <w:pPr>
        <w:spacing w:after="0" w:line="205" w:lineRule="exact"/>
        <w:rPr>
          <w:rFonts w:ascii="Arial" w:cs="Arial" w:eastAsia="Arial" w:hAnsi="Arial"/>
          <w:sz w:val="16"/>
          <w:szCs w:val="16"/>
          <w:b w:val="1"/>
          <w:bCs w:val="1"/>
          <w:color w:val="auto"/>
        </w:rPr>
      </w:pPr>
    </w:p>
    <w:p>
      <w:pPr>
        <w:ind w:firstLine="419"/>
        <w:spacing w:after="0" w:line="265" w:lineRule="auto"/>
        <w:tabs>
          <w:tab w:leader="none" w:pos="602" w:val="left"/>
        </w:tabs>
        <w:numPr>
          <w:ilvl w:val="0"/>
          <w:numId w:val="229"/>
        </w:numPr>
        <w:rPr>
          <w:rFonts w:ascii="Arial" w:cs="Arial" w:eastAsia="Arial" w:hAnsi="Arial"/>
          <w:sz w:val="17"/>
          <w:szCs w:val="17"/>
          <w:b w:val="1"/>
          <w:bCs w:val="1"/>
          <w:color w:val="auto"/>
        </w:rPr>
      </w:pPr>
      <w:r>
        <w:rPr>
          <w:rFonts w:ascii="Arial" w:cs="Arial" w:eastAsia="Arial" w:hAnsi="Arial"/>
          <w:sz w:val="17"/>
          <w:szCs w:val="17"/>
          <w:b w:val="1"/>
          <w:bCs w:val="1"/>
          <w:color w:val="auto"/>
        </w:rPr>
        <w:t>E</w:t>
      </w:r>
      <w:r>
        <w:rPr>
          <w:rFonts w:ascii="Arial" w:cs="Arial" w:eastAsia="Arial" w:hAnsi="Arial"/>
          <w:sz w:val="14"/>
          <w:szCs w:val="14"/>
          <w:b w:val="1"/>
          <w:bCs w:val="1"/>
          <w:color w:val="auto"/>
        </w:rPr>
        <w:t>XERCISE PRIOR TO</w:t>
      </w:r>
      <w:r>
        <w:rPr>
          <w:rFonts w:ascii="Arial" w:cs="Arial" w:eastAsia="Arial" w:hAnsi="Arial"/>
          <w:sz w:val="17"/>
          <w:szCs w:val="17"/>
          <w:b w:val="1"/>
          <w:bCs w:val="1"/>
          <w:color w:val="auto"/>
        </w:rPr>
        <w:t xml:space="preserve"> V</w:t>
      </w:r>
      <w:r>
        <w:rPr>
          <w:rFonts w:ascii="Arial" w:cs="Arial" w:eastAsia="Arial" w:hAnsi="Arial"/>
          <w:sz w:val="14"/>
          <w:szCs w:val="14"/>
          <w:b w:val="1"/>
          <w:bCs w:val="1"/>
          <w:color w:val="auto"/>
        </w:rPr>
        <w:t>ESTING</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ARLY</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XERCISE</w:t>
      </w:r>
      <w:r>
        <w:rPr>
          <w:rFonts w:ascii="Arial" w:cs="Arial" w:eastAsia="Arial" w:hAnsi="Arial"/>
          <w:sz w:val="17"/>
          <w:szCs w:val="17"/>
          <w:b w:val="1"/>
          <w:bCs w:val="1"/>
          <w:color w:val="auto"/>
        </w:rPr>
        <w:t xml:space="preserve">”). </w:t>
      </w:r>
      <w:r>
        <w:rPr>
          <w:rFonts w:ascii="Arial" w:cs="Arial" w:eastAsia="Arial" w:hAnsi="Arial"/>
          <w:sz w:val="17"/>
          <w:szCs w:val="17"/>
          <w:color w:val="auto"/>
        </w:rPr>
        <w:t>If permitted in the Grant Notice (</w:t>
      </w:r>
      <w:r>
        <w:rPr>
          <w:rFonts w:ascii="Arial" w:cs="Arial" w:eastAsia="Arial" w:hAnsi="Arial"/>
          <w:sz w:val="17"/>
          <w:szCs w:val="17"/>
          <w:i w:val="1"/>
          <w:iCs w:val="1"/>
          <w:color w:val="auto"/>
        </w:rPr>
        <w:t>i.e.</w:t>
      </w:r>
      <w:r>
        <w:rPr>
          <w:rFonts w:ascii="Arial" w:cs="Arial" w:eastAsia="Arial" w:hAnsi="Arial"/>
          <w:sz w:val="17"/>
          <w:szCs w:val="17"/>
          <w:color w:val="auto"/>
        </w:rPr>
        <w:t>, the “Exercise Schedule” indicates “Early</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Permitted”) and subject to the provisions of the Option, Participant may elect at any time that is both (i) during the period of Participant’s Continuous Service and (ii) during the term of the Option, to exercise all or part of the Option, including the unvested portion of the Option. A partial exercise of the Option will be deemed to cover first vested shares of Common Stock and then the earliest vesting installment of unvested shares of Common Stock. Any shares of Common Stock under the Option that have not vested as of the date of exercise will be subject to the repurchase option in favor of the Company as described in the Company’s form of Notice of Exercise.</w:t>
      </w:r>
    </w:p>
    <w:p>
      <w:pPr>
        <w:spacing w:after="0" w:line="171" w:lineRule="exact"/>
        <w:rPr>
          <w:rFonts w:ascii="Arial" w:cs="Arial" w:eastAsia="Arial" w:hAnsi="Arial"/>
          <w:sz w:val="17"/>
          <w:szCs w:val="17"/>
          <w:b w:val="1"/>
          <w:bCs w:val="1"/>
          <w:color w:val="auto"/>
        </w:rPr>
      </w:pPr>
    </w:p>
    <w:p>
      <w:pPr>
        <w:ind w:left="600" w:hanging="181"/>
        <w:spacing w:after="0"/>
        <w:tabs>
          <w:tab w:leader="none" w:pos="600" w:val="left"/>
        </w:tabs>
        <w:numPr>
          <w:ilvl w:val="0"/>
          <w:numId w:val="229"/>
        </w:numPr>
        <w:rPr>
          <w:rFonts w:ascii="Arial" w:cs="Arial" w:eastAsia="Arial" w:hAnsi="Arial"/>
          <w:sz w:val="17"/>
          <w:szCs w:val="17"/>
          <w:b w:val="1"/>
          <w:bCs w:val="1"/>
          <w:color w:val="auto"/>
        </w:rPr>
      </w:pPr>
      <w:r>
        <w:rPr>
          <w:rFonts w:ascii="Arial" w:cs="Arial" w:eastAsia="Arial" w:hAnsi="Arial"/>
          <w:sz w:val="17"/>
          <w:szCs w:val="17"/>
          <w:b w:val="1"/>
          <w:bCs w:val="1"/>
          <w:color w:val="auto"/>
        </w:rPr>
        <w:t>I</w:t>
      </w:r>
      <w:r>
        <w:rPr>
          <w:rFonts w:ascii="Arial" w:cs="Arial" w:eastAsia="Arial" w:hAnsi="Arial"/>
          <w:sz w:val="14"/>
          <w:szCs w:val="14"/>
          <w:b w:val="1"/>
          <w:bCs w:val="1"/>
          <w:color w:val="auto"/>
        </w:rPr>
        <w:t>NCENTIVE</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ERMS</w:t>
      </w:r>
      <w:r>
        <w:rPr>
          <w:rFonts w:ascii="Arial" w:cs="Arial" w:eastAsia="Arial" w:hAnsi="Arial"/>
          <w:sz w:val="17"/>
          <w:szCs w:val="17"/>
          <w:b w:val="1"/>
          <w:bCs w:val="1"/>
          <w:color w:val="auto"/>
        </w:rPr>
        <w:t>.</w:t>
      </w:r>
    </w:p>
    <w:p>
      <w:pPr>
        <w:spacing w:after="0" w:line="223" w:lineRule="exact"/>
        <w:rPr>
          <w:rFonts w:ascii="Arial" w:cs="Arial" w:eastAsia="Arial" w:hAnsi="Arial"/>
          <w:sz w:val="17"/>
          <w:szCs w:val="17"/>
          <w:b w:val="1"/>
          <w:bCs w:val="1"/>
          <w:color w:val="auto"/>
        </w:rPr>
      </w:pPr>
    </w:p>
    <w:p>
      <w:pPr>
        <w:ind w:right="120" w:firstLine="846"/>
        <w:spacing w:after="0" w:line="267" w:lineRule="auto"/>
        <w:tabs>
          <w:tab w:leader="none" w:pos="1102" w:val="left"/>
        </w:tabs>
        <w:numPr>
          <w:ilvl w:val="1"/>
          <w:numId w:val="229"/>
        </w:numPr>
        <w:rPr>
          <w:rFonts w:ascii="Arial" w:cs="Arial" w:eastAsia="Arial" w:hAnsi="Arial"/>
          <w:sz w:val="17"/>
          <w:szCs w:val="17"/>
          <w:b w:val="1"/>
          <w:bCs w:val="1"/>
          <w:color w:val="auto"/>
        </w:rPr>
      </w:pPr>
      <w:r>
        <w:rPr>
          <w:rFonts w:ascii="Arial" w:cs="Arial" w:eastAsia="Arial" w:hAnsi="Arial"/>
          <w:sz w:val="17"/>
          <w:szCs w:val="17"/>
          <w:b w:val="1"/>
          <w:bCs w:val="1"/>
          <w:color w:val="auto"/>
        </w:rPr>
        <w:t>ISO $100,000 Limit</w:t>
      </w:r>
      <w:r>
        <w:rPr>
          <w:rFonts w:ascii="Arial" w:cs="Arial" w:eastAsia="Arial" w:hAnsi="Arial"/>
          <w:sz w:val="17"/>
          <w:szCs w:val="17"/>
          <w:color w:val="auto"/>
        </w:rPr>
        <w:t>. If the Option is an Incentive Stock Option, then, to the extent that the aggregate Fair Market Value (determined at</w:t>
      </w:r>
      <w:r>
        <w:rPr>
          <w:rFonts w:ascii="Arial" w:cs="Arial" w:eastAsia="Arial" w:hAnsi="Arial"/>
          <w:sz w:val="17"/>
          <w:szCs w:val="17"/>
          <w:b w:val="1"/>
          <w:bCs w:val="1"/>
          <w:color w:val="auto"/>
        </w:rPr>
        <w:t xml:space="preserve"> </w:t>
      </w:r>
      <w:r>
        <w:rPr>
          <w:rFonts w:ascii="Arial" w:cs="Arial" w:eastAsia="Arial" w:hAnsi="Arial"/>
          <w:sz w:val="17"/>
          <w:szCs w:val="17"/>
          <w:color w:val="auto"/>
        </w:rPr>
        <w:t>the Date of Grant) of the shares of Common Stock with respect to which the Option plus all other Incentive Stock Options that Participant holds are exercisable for the first time by Participant during any calendar year (under all plans of the Company and its Affiliates) exceeds one hundred thousand dollars ($100,000), the Option(s) or portions thereof that exceed such limit (according to the order in which they were granted) will be treated as Nonstatutory Stock Options.</w:t>
      </w:r>
    </w:p>
    <w:p>
      <w:pPr>
        <w:spacing w:after="0" w:line="169" w:lineRule="exact"/>
        <w:rPr>
          <w:rFonts w:ascii="Arial" w:cs="Arial" w:eastAsia="Arial" w:hAnsi="Arial"/>
          <w:sz w:val="17"/>
          <w:szCs w:val="17"/>
          <w:b w:val="1"/>
          <w:bCs w:val="1"/>
          <w:color w:val="auto"/>
        </w:rPr>
      </w:pPr>
    </w:p>
    <w:p>
      <w:pPr>
        <w:ind w:right="100" w:firstLine="846"/>
        <w:spacing w:after="0" w:line="270" w:lineRule="auto"/>
        <w:tabs>
          <w:tab w:leader="none" w:pos="1111" w:val="left"/>
        </w:tabs>
        <w:numPr>
          <w:ilvl w:val="1"/>
          <w:numId w:val="2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Requirement on Sale/Transfer of Shares. </w:t>
      </w:r>
      <w:r>
        <w:rPr>
          <w:rFonts w:ascii="Arial" w:cs="Arial" w:eastAsia="Arial" w:hAnsi="Arial"/>
          <w:sz w:val="17"/>
          <w:szCs w:val="17"/>
          <w:color w:val="auto"/>
        </w:rPr>
        <w:t>If the Option is an Incentive Stock Option, by exercising the Option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agrees to notify the Company in writing within fifteen (15) days after the date of any disposition of any of the shares of the Common Stock issued upon exercise of the Option that occurs within two (2) years after the Date of Grant or within one (1) year after such shares of Common Stock are transferred upon exercise of the Option.</w:t>
      </w:r>
    </w:p>
    <w:p>
      <w:pPr>
        <w:spacing w:after="0" w:line="167" w:lineRule="exact"/>
        <w:rPr>
          <w:rFonts w:ascii="Arial" w:cs="Arial" w:eastAsia="Arial" w:hAnsi="Arial"/>
          <w:sz w:val="17"/>
          <w:szCs w:val="17"/>
          <w:b w:val="1"/>
          <w:bCs w:val="1"/>
          <w:color w:val="auto"/>
        </w:rPr>
      </w:pPr>
    </w:p>
    <w:p>
      <w:pPr>
        <w:ind w:left="600" w:hanging="181"/>
        <w:spacing w:after="0"/>
        <w:tabs>
          <w:tab w:leader="none" w:pos="600" w:val="left"/>
        </w:tabs>
        <w:numPr>
          <w:ilvl w:val="0"/>
          <w:numId w:val="229"/>
        </w:numPr>
        <w:rPr>
          <w:rFonts w:ascii="Arial" w:cs="Arial" w:eastAsia="Arial" w:hAnsi="Arial"/>
          <w:sz w:val="17"/>
          <w:szCs w:val="17"/>
          <w:b w:val="1"/>
          <w:bCs w:val="1"/>
          <w:color w:val="auto"/>
        </w:rPr>
      </w:pPr>
      <w:r>
        <w:rPr>
          <w:rFonts w:ascii="Arial" w:cs="Arial" w:eastAsia="Arial" w:hAnsi="Arial"/>
          <w:sz w:val="17"/>
          <w:szCs w:val="17"/>
          <w:b w:val="1"/>
          <w:bCs w:val="1"/>
          <w:color w:val="auto"/>
        </w:rPr>
        <w:t>E</w:t>
      </w:r>
      <w:r>
        <w:rPr>
          <w:rFonts w:ascii="Arial" w:cs="Arial" w:eastAsia="Arial" w:hAnsi="Arial"/>
          <w:sz w:val="14"/>
          <w:szCs w:val="14"/>
          <w:b w:val="1"/>
          <w:bCs w:val="1"/>
          <w:color w:val="auto"/>
        </w:rPr>
        <w:t>XERCISE AND</w:t>
      </w:r>
      <w:r>
        <w:rPr>
          <w:rFonts w:ascii="Arial" w:cs="Arial" w:eastAsia="Arial" w:hAnsi="Arial"/>
          <w:sz w:val="17"/>
          <w:szCs w:val="17"/>
          <w:b w:val="1"/>
          <w:bCs w:val="1"/>
          <w:color w:val="auto"/>
        </w:rPr>
        <w:t xml:space="preserve"> M</w:t>
      </w:r>
      <w:r>
        <w:rPr>
          <w:rFonts w:ascii="Arial" w:cs="Arial" w:eastAsia="Arial" w:hAnsi="Arial"/>
          <w:sz w:val="14"/>
          <w:szCs w:val="14"/>
          <w:b w:val="1"/>
          <w:bCs w:val="1"/>
          <w:color w:val="auto"/>
        </w:rPr>
        <w:t>ETHOD OF</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AYMENT</w:t>
      </w:r>
      <w:r>
        <w:rPr>
          <w:rFonts w:ascii="Arial" w:cs="Arial" w:eastAsia="Arial" w:hAnsi="Arial"/>
          <w:sz w:val="17"/>
          <w:szCs w:val="17"/>
          <w:b w:val="1"/>
          <w:bCs w:val="1"/>
          <w:color w:val="auto"/>
        </w:rPr>
        <w:t>.</w:t>
      </w:r>
    </w:p>
    <w:p>
      <w:pPr>
        <w:spacing w:after="0" w:line="229" w:lineRule="exact"/>
        <w:rPr>
          <w:rFonts w:ascii="Arial" w:cs="Arial" w:eastAsia="Arial" w:hAnsi="Arial"/>
          <w:sz w:val="17"/>
          <w:szCs w:val="17"/>
          <w:b w:val="1"/>
          <w:bCs w:val="1"/>
          <w:color w:val="auto"/>
        </w:rPr>
      </w:pPr>
    </w:p>
    <w:p>
      <w:pPr>
        <w:ind w:right="160" w:firstLine="846"/>
        <w:spacing w:after="0" w:line="285" w:lineRule="auto"/>
        <w:tabs>
          <w:tab w:leader="none" w:pos="1102" w:val="left"/>
        </w:tabs>
        <w:numPr>
          <w:ilvl w:val="1"/>
          <w:numId w:val="229"/>
        </w:numPr>
        <w:rPr>
          <w:rFonts w:ascii="Arial" w:cs="Arial" w:eastAsia="Arial" w:hAnsi="Arial"/>
          <w:sz w:val="16"/>
          <w:szCs w:val="16"/>
          <w:b w:val="1"/>
          <w:bCs w:val="1"/>
          <w:color w:val="auto"/>
        </w:rPr>
      </w:pPr>
      <w:r>
        <w:rPr>
          <w:rFonts w:ascii="Arial" w:cs="Arial" w:eastAsia="Arial" w:hAnsi="Arial"/>
          <w:sz w:val="16"/>
          <w:szCs w:val="16"/>
          <w:color w:val="auto"/>
        </w:rPr>
        <w:t>Participant may generally exercise the vested portion of the Option (and the unvested portion if permitted in Participant’s Stock Option Grant Notice, subject to Section 2 above) by delivery of payment of the exercise price and applicable withholding taxes and other required documentation to the Stock Plan Administrator in accordance with the option exercise procedures established by the Stock Plan Administrator, which may include an electronic submission. Please review Sections 5(f), 5(j) and 10(e) of the Plan, which may restrict or prohibit Participant’s ability to exercise the Option during certain periods. Participant may exercise the Option only for whole shares of Common Stock.</w:t>
      </w:r>
    </w:p>
    <w:p>
      <w:pPr>
        <w:sectPr>
          <w:pgSz w:w="11900" w:h="16838" w:orient="portrait"/>
          <w:cols w:equalWidth="0" w:num="1">
            <w:col w:w="10680"/>
          </w:cols>
          <w:pgMar w:left="620" w:top="265" w:right="599" w:bottom="1440" w:gutter="0" w:footer="0" w:header="0"/>
        </w:sectPr>
      </w:pPr>
    </w:p>
    <w:bookmarkStart w:id="342" w:name="page343"/>
    <w:bookmarkEnd w:id="342"/>
    <w:p>
      <w:pPr>
        <w:ind w:left="9" w:right="60" w:firstLine="846"/>
        <w:spacing w:after="0" w:line="289" w:lineRule="auto"/>
        <w:tabs>
          <w:tab w:leader="none" w:pos="1120" w:val="left"/>
        </w:tabs>
        <w:numPr>
          <w:ilvl w:val="2"/>
          <w:numId w:val="230"/>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Participant may pay the exercise price by cash, check, bank draft or money order, or any other method provided in Section 5 of the Plan </w:t>
      </w:r>
      <w:r>
        <w:rPr>
          <w:rFonts w:ascii="Arial" w:cs="Arial" w:eastAsia="Arial" w:hAnsi="Arial"/>
          <w:sz w:val="17"/>
          <w:szCs w:val="17"/>
          <w:i w:val="1"/>
          <w:iCs w:val="1"/>
          <w:color w:val="auto"/>
        </w:rPr>
        <w:t>if permitted by the Company at the time of exercise</w:t>
      </w:r>
      <w:r>
        <w:rPr>
          <w:rFonts w:ascii="Arial" w:cs="Arial" w:eastAsia="Arial" w:hAnsi="Arial"/>
          <w:sz w:val="17"/>
          <w:szCs w:val="17"/>
          <w:color w:val="auto"/>
        </w:rPr>
        <w:t>.</w:t>
      </w:r>
    </w:p>
    <w:p>
      <w:pPr>
        <w:spacing w:after="0" w:line="151" w:lineRule="exact"/>
        <w:rPr>
          <w:rFonts w:ascii="Arial" w:cs="Arial" w:eastAsia="Arial" w:hAnsi="Arial"/>
          <w:sz w:val="17"/>
          <w:szCs w:val="17"/>
          <w:b w:val="1"/>
          <w:bCs w:val="1"/>
          <w:color w:val="auto"/>
        </w:rPr>
      </w:pPr>
    </w:p>
    <w:p>
      <w:pPr>
        <w:ind w:left="9" w:right="280" w:firstLine="419"/>
        <w:spacing w:after="0" w:line="296" w:lineRule="auto"/>
        <w:tabs>
          <w:tab w:leader="none" w:pos="610" w:val="left"/>
        </w:tabs>
        <w:numPr>
          <w:ilvl w:val="1"/>
          <w:numId w:val="231"/>
        </w:numPr>
        <w:rPr>
          <w:rFonts w:ascii="Arial" w:cs="Arial" w:eastAsia="Arial" w:hAnsi="Arial"/>
          <w:sz w:val="17"/>
          <w:szCs w:val="17"/>
          <w:b w:val="1"/>
          <w:bCs w:val="1"/>
          <w:color w:val="auto"/>
        </w:rPr>
      </w:pPr>
      <w:r>
        <w:rPr>
          <w:rFonts w:ascii="Arial" w:cs="Arial" w:eastAsia="Arial" w:hAnsi="Arial"/>
          <w:sz w:val="17"/>
          <w:szCs w:val="17"/>
          <w:b w:val="1"/>
          <w:bCs w:val="1"/>
          <w:color w:val="auto"/>
        </w:rPr>
        <w:t>T</w:t>
      </w:r>
      <w:r>
        <w:rPr>
          <w:rFonts w:ascii="Arial" w:cs="Arial" w:eastAsia="Arial" w:hAnsi="Arial"/>
          <w:sz w:val="14"/>
          <w:szCs w:val="14"/>
          <w:b w:val="1"/>
          <w:bCs w:val="1"/>
          <w:color w:val="auto"/>
        </w:rPr>
        <w:t>ERM</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may not exercise the Option before the Date of Grant or after the expiration of the Option’s term. The term of the Option</w:t>
      </w:r>
      <w:r>
        <w:rPr>
          <w:rFonts w:ascii="Arial" w:cs="Arial" w:eastAsia="Arial" w:hAnsi="Arial"/>
          <w:sz w:val="17"/>
          <w:szCs w:val="17"/>
          <w:b w:val="1"/>
          <w:bCs w:val="1"/>
          <w:color w:val="auto"/>
        </w:rPr>
        <w:t xml:space="preserve"> </w:t>
      </w:r>
      <w:r>
        <w:rPr>
          <w:rFonts w:ascii="Arial" w:cs="Arial" w:eastAsia="Arial" w:hAnsi="Arial"/>
          <w:sz w:val="17"/>
          <w:szCs w:val="17"/>
          <w:color w:val="auto"/>
        </w:rPr>
        <w:t>expires upon the earliest of the following:</w:t>
      </w:r>
    </w:p>
    <w:p>
      <w:pPr>
        <w:spacing w:after="0" w:line="47" w:lineRule="exact"/>
        <w:rPr>
          <w:rFonts w:ascii="Arial" w:cs="Arial" w:eastAsia="Arial" w:hAnsi="Arial"/>
          <w:sz w:val="17"/>
          <w:szCs w:val="17"/>
          <w:b w:val="1"/>
          <w:bCs w:val="1"/>
          <w:color w:val="auto"/>
        </w:rPr>
      </w:pPr>
    </w:p>
    <w:p>
      <w:pPr>
        <w:ind w:left="1109" w:hanging="254"/>
        <w:spacing w:after="0"/>
        <w:tabs>
          <w:tab w:leader="none" w:pos="1109" w:val="left"/>
        </w:tabs>
        <w:numPr>
          <w:ilvl w:val="2"/>
          <w:numId w:val="231"/>
        </w:numPr>
        <w:rPr>
          <w:rFonts w:ascii="Arial" w:cs="Arial" w:eastAsia="Arial" w:hAnsi="Arial"/>
          <w:sz w:val="17"/>
          <w:szCs w:val="17"/>
          <w:b w:val="1"/>
          <w:bCs w:val="1"/>
          <w:color w:val="auto"/>
        </w:rPr>
      </w:pPr>
      <w:r>
        <w:rPr>
          <w:rFonts w:ascii="Arial" w:cs="Arial" w:eastAsia="Arial" w:hAnsi="Arial"/>
          <w:sz w:val="17"/>
          <w:szCs w:val="17"/>
          <w:color w:val="auto"/>
        </w:rPr>
        <w:t>immediately upon the termination of Participant’s Continuous Service for Cause;</w:t>
      </w:r>
    </w:p>
    <w:p>
      <w:pPr>
        <w:spacing w:after="0" w:line="223" w:lineRule="exact"/>
        <w:rPr>
          <w:rFonts w:ascii="Arial" w:cs="Arial" w:eastAsia="Arial" w:hAnsi="Arial"/>
          <w:sz w:val="17"/>
          <w:szCs w:val="17"/>
          <w:b w:val="1"/>
          <w:bCs w:val="1"/>
          <w:color w:val="auto"/>
        </w:rPr>
      </w:pPr>
    </w:p>
    <w:p>
      <w:pPr>
        <w:ind w:left="9" w:right="220" w:firstLine="846"/>
        <w:spacing w:after="0" w:line="289" w:lineRule="auto"/>
        <w:tabs>
          <w:tab w:leader="none" w:pos="1120" w:val="left"/>
        </w:tabs>
        <w:numPr>
          <w:ilvl w:val="2"/>
          <w:numId w:val="231"/>
        </w:numPr>
        <w:rPr>
          <w:rFonts w:ascii="Arial" w:cs="Arial" w:eastAsia="Arial" w:hAnsi="Arial"/>
          <w:sz w:val="17"/>
          <w:szCs w:val="17"/>
          <w:b w:val="1"/>
          <w:bCs w:val="1"/>
          <w:color w:val="auto"/>
        </w:rPr>
      </w:pPr>
      <w:r>
        <w:rPr>
          <w:rFonts w:ascii="Arial" w:cs="Arial" w:eastAsia="Arial" w:hAnsi="Arial"/>
          <w:sz w:val="17"/>
          <w:szCs w:val="17"/>
          <w:color w:val="auto"/>
        </w:rPr>
        <w:t>three (3) months after the termination of Participant’s Continuous Service for any reason other than Cause, Participant’s Disability, or Participant’s death;</w:t>
      </w:r>
    </w:p>
    <w:p>
      <w:pPr>
        <w:spacing w:after="0" w:line="157" w:lineRule="exact"/>
        <w:rPr>
          <w:rFonts w:ascii="Arial" w:cs="Arial" w:eastAsia="Arial" w:hAnsi="Arial"/>
          <w:sz w:val="17"/>
          <w:szCs w:val="17"/>
          <w:b w:val="1"/>
          <w:bCs w:val="1"/>
          <w:color w:val="auto"/>
        </w:rPr>
      </w:pPr>
    </w:p>
    <w:p>
      <w:pPr>
        <w:ind w:left="9" w:right="620" w:firstLine="846"/>
        <w:spacing w:after="0" w:line="289" w:lineRule="auto"/>
        <w:tabs>
          <w:tab w:leader="none" w:pos="1100" w:val="left"/>
        </w:tabs>
        <w:numPr>
          <w:ilvl w:val="2"/>
          <w:numId w:val="231"/>
        </w:numPr>
        <w:rPr>
          <w:rFonts w:ascii="Arial" w:cs="Arial" w:eastAsia="Arial" w:hAnsi="Arial"/>
          <w:sz w:val="17"/>
          <w:szCs w:val="17"/>
          <w:b w:val="1"/>
          <w:bCs w:val="1"/>
          <w:color w:val="auto"/>
        </w:rPr>
      </w:pPr>
      <w:r>
        <w:rPr>
          <w:rFonts w:ascii="Arial" w:cs="Arial" w:eastAsia="Arial" w:hAnsi="Arial"/>
          <w:sz w:val="17"/>
          <w:szCs w:val="17"/>
          <w:color w:val="auto"/>
        </w:rPr>
        <w:t>twelve (12) months after the termination of Participant’s Continuous Service due to Participant’s Disability (except as otherwise provided in subsection (d)) below;</w:t>
      </w:r>
    </w:p>
    <w:p>
      <w:pPr>
        <w:spacing w:after="0" w:line="157" w:lineRule="exact"/>
        <w:rPr>
          <w:rFonts w:ascii="Arial" w:cs="Arial" w:eastAsia="Arial" w:hAnsi="Arial"/>
          <w:sz w:val="17"/>
          <w:szCs w:val="17"/>
          <w:b w:val="1"/>
          <w:bCs w:val="1"/>
          <w:color w:val="auto"/>
        </w:rPr>
      </w:pPr>
    </w:p>
    <w:p>
      <w:pPr>
        <w:ind w:left="1109" w:hanging="254"/>
        <w:spacing w:after="0"/>
        <w:tabs>
          <w:tab w:leader="none" w:pos="1109" w:val="left"/>
        </w:tabs>
        <w:numPr>
          <w:ilvl w:val="2"/>
          <w:numId w:val="231"/>
        </w:numPr>
        <w:rPr>
          <w:rFonts w:ascii="Arial" w:cs="Arial" w:eastAsia="Arial" w:hAnsi="Arial"/>
          <w:sz w:val="17"/>
          <w:szCs w:val="17"/>
          <w:b w:val="1"/>
          <w:bCs w:val="1"/>
          <w:color w:val="auto"/>
        </w:rPr>
      </w:pPr>
      <w:r>
        <w:rPr>
          <w:rFonts w:ascii="Arial" w:cs="Arial" w:eastAsia="Arial" w:hAnsi="Arial"/>
          <w:sz w:val="17"/>
          <w:szCs w:val="17"/>
          <w:color w:val="auto"/>
        </w:rPr>
        <w:t>eighteen (18) months after Participant’s death if Participant dies either during Participant’s Continuous Service or within three</w:t>
      </w:r>
    </w:p>
    <w:p>
      <w:pPr>
        <w:spacing w:after="0" w:line="26" w:lineRule="exact"/>
        <w:rPr>
          <w:rFonts w:ascii="Arial" w:cs="Arial" w:eastAsia="Arial" w:hAnsi="Arial"/>
          <w:sz w:val="17"/>
          <w:szCs w:val="17"/>
          <w:b w:val="1"/>
          <w:bCs w:val="1"/>
          <w:color w:val="auto"/>
        </w:rPr>
      </w:pPr>
    </w:p>
    <w:p>
      <w:pPr>
        <w:ind w:left="249" w:hanging="249"/>
        <w:spacing w:after="0"/>
        <w:tabs>
          <w:tab w:leader="none" w:pos="249" w:val="left"/>
        </w:tabs>
        <w:numPr>
          <w:ilvl w:val="0"/>
          <w:numId w:val="232"/>
        </w:numPr>
        <w:rPr>
          <w:rFonts w:ascii="Arial" w:cs="Arial" w:eastAsia="Arial" w:hAnsi="Arial"/>
          <w:sz w:val="17"/>
          <w:szCs w:val="17"/>
          <w:color w:val="auto"/>
        </w:rPr>
      </w:pPr>
      <w:r>
        <w:rPr>
          <w:rFonts w:ascii="Arial" w:cs="Arial" w:eastAsia="Arial" w:hAnsi="Arial"/>
          <w:sz w:val="17"/>
          <w:szCs w:val="17"/>
          <w:color w:val="auto"/>
        </w:rPr>
        <w:t>months after Participant’s Continuous Service terminates for any reason other than Cause;</w:t>
      </w:r>
    </w:p>
    <w:p>
      <w:pPr>
        <w:spacing w:after="0" w:line="211" w:lineRule="exact"/>
        <w:rPr>
          <w:rFonts w:ascii="Arial" w:cs="Arial" w:eastAsia="Arial" w:hAnsi="Arial"/>
          <w:sz w:val="17"/>
          <w:szCs w:val="17"/>
          <w:color w:val="auto"/>
        </w:rPr>
      </w:pPr>
    </w:p>
    <w:p>
      <w:pPr>
        <w:ind w:left="1089" w:hanging="234"/>
        <w:spacing w:after="0"/>
        <w:tabs>
          <w:tab w:leader="none" w:pos="1089" w:val="left"/>
        </w:tabs>
        <w:numPr>
          <w:ilvl w:val="2"/>
          <w:numId w:val="232"/>
        </w:numPr>
        <w:rPr>
          <w:rFonts w:ascii="Arial" w:cs="Arial" w:eastAsia="Arial" w:hAnsi="Arial"/>
          <w:sz w:val="17"/>
          <w:szCs w:val="17"/>
          <w:b w:val="1"/>
          <w:bCs w:val="1"/>
          <w:color w:val="auto"/>
        </w:rPr>
      </w:pPr>
      <w:r>
        <w:rPr>
          <w:rFonts w:ascii="Arial" w:cs="Arial" w:eastAsia="Arial" w:hAnsi="Arial"/>
          <w:sz w:val="17"/>
          <w:szCs w:val="17"/>
          <w:color w:val="auto"/>
        </w:rPr>
        <w:t>the Expiration Date indicated in Participant’s Grant Notice; and</w:t>
      </w:r>
    </w:p>
    <w:p>
      <w:pPr>
        <w:spacing w:after="0" w:line="223" w:lineRule="exact"/>
        <w:rPr>
          <w:rFonts w:ascii="Arial" w:cs="Arial" w:eastAsia="Arial" w:hAnsi="Arial"/>
          <w:sz w:val="17"/>
          <w:szCs w:val="17"/>
          <w:b w:val="1"/>
          <w:bCs w:val="1"/>
          <w:color w:val="auto"/>
        </w:rPr>
      </w:pPr>
    </w:p>
    <w:p>
      <w:pPr>
        <w:ind w:left="1069" w:hanging="214"/>
        <w:spacing w:after="0"/>
        <w:tabs>
          <w:tab w:leader="none" w:pos="1069" w:val="left"/>
        </w:tabs>
        <w:numPr>
          <w:ilvl w:val="2"/>
          <w:numId w:val="232"/>
        </w:numPr>
        <w:rPr>
          <w:rFonts w:ascii="Arial" w:cs="Arial" w:eastAsia="Arial" w:hAnsi="Arial"/>
          <w:sz w:val="17"/>
          <w:szCs w:val="17"/>
          <w:b w:val="1"/>
          <w:bCs w:val="1"/>
          <w:color w:val="auto"/>
        </w:rPr>
      </w:pPr>
      <w:r>
        <w:rPr>
          <w:rFonts w:ascii="Arial" w:cs="Arial" w:eastAsia="Arial" w:hAnsi="Arial"/>
          <w:sz w:val="17"/>
          <w:szCs w:val="17"/>
          <w:color w:val="auto"/>
        </w:rPr>
        <w:t>the day before the tenth (10th) anniversary of the Date of Grant.</w:t>
      </w:r>
    </w:p>
    <w:p>
      <w:pPr>
        <w:spacing w:after="0" w:line="224" w:lineRule="exact"/>
        <w:rPr>
          <w:sz w:val="20"/>
          <w:szCs w:val="20"/>
          <w:color w:val="auto"/>
        </w:rPr>
      </w:pPr>
    </w:p>
    <w:p>
      <w:pPr>
        <w:ind w:left="9" w:firstLine="427"/>
        <w:spacing w:after="0" w:line="267" w:lineRule="auto"/>
        <w:rPr>
          <w:sz w:val="20"/>
          <w:szCs w:val="20"/>
          <w:color w:val="auto"/>
        </w:rPr>
      </w:pPr>
      <w:r>
        <w:rPr>
          <w:rFonts w:ascii="Arial" w:cs="Arial" w:eastAsia="Arial" w:hAnsi="Arial"/>
          <w:sz w:val="17"/>
          <w:szCs w:val="17"/>
          <w:color w:val="auto"/>
        </w:rPr>
        <w:t>Notwithstanding the foregoing, if Participant dies during the period provided in subsections (b) or (c) above, the term of the Option shall not expire until the earlier of (i) eighteen months after Participant’s death, (ii) any termination of the Option in connection with a Change in Control, (iii) the Expiration Date indicated in the Grant Notice, or (iv) the day before the tenth anniversary of the Date of Grant. Additionally, the post-termination exercise period of the Option may be extended as provided in Section 5(f) of the Plan.</w:t>
      </w:r>
    </w:p>
    <w:p>
      <w:pPr>
        <w:spacing w:after="0" w:line="178" w:lineRule="exact"/>
        <w:rPr>
          <w:sz w:val="20"/>
          <w:szCs w:val="20"/>
          <w:color w:val="auto"/>
        </w:rPr>
      </w:pPr>
    </w:p>
    <w:p>
      <w:pPr>
        <w:ind w:left="9" w:right="20" w:firstLine="427"/>
        <w:spacing w:after="0" w:line="273" w:lineRule="auto"/>
        <w:rPr>
          <w:sz w:val="20"/>
          <w:szCs w:val="20"/>
          <w:color w:val="auto"/>
        </w:rPr>
      </w:pPr>
      <w:r>
        <w:rPr>
          <w:rFonts w:ascii="Arial" w:cs="Arial" w:eastAsia="Arial" w:hAnsi="Arial"/>
          <w:sz w:val="17"/>
          <w:szCs w:val="17"/>
          <w:color w:val="auto"/>
        </w:rPr>
        <w:t>If the Option is an Incentive Stock Option, note that to obtain the federal income tax advantages associated with an Incentive Stock Option, the Code requires that at all times beginning on the Date of Grant and ending on the day three (3) months before the date of exercise, Participant must be an employee of the Company or an Affiliate, except in the event of Participant’s death or Disability.</w:t>
      </w:r>
    </w:p>
    <w:p>
      <w:pPr>
        <w:spacing w:after="0" w:line="165" w:lineRule="exact"/>
        <w:rPr>
          <w:sz w:val="20"/>
          <w:szCs w:val="20"/>
          <w:color w:val="auto"/>
        </w:rPr>
      </w:pPr>
    </w:p>
    <w:p>
      <w:pPr>
        <w:ind w:left="9" w:right="420" w:firstLine="419"/>
        <w:spacing w:after="0" w:line="296" w:lineRule="auto"/>
        <w:tabs>
          <w:tab w:leader="none" w:pos="610" w:val="left"/>
        </w:tabs>
        <w:numPr>
          <w:ilvl w:val="0"/>
          <w:numId w:val="233"/>
        </w:numPr>
        <w:rPr>
          <w:rFonts w:ascii="Arial" w:cs="Arial" w:eastAsia="Arial" w:hAnsi="Arial"/>
          <w:sz w:val="17"/>
          <w:szCs w:val="17"/>
          <w:b w:val="1"/>
          <w:bCs w:val="1"/>
          <w:color w:val="auto"/>
        </w:rPr>
      </w:pPr>
      <w:r>
        <w:rPr>
          <w:rFonts w:ascii="Arial" w:cs="Arial" w:eastAsia="Arial" w:hAnsi="Arial"/>
          <w:sz w:val="17"/>
          <w:szCs w:val="17"/>
          <w:b w:val="1"/>
          <w:bCs w:val="1"/>
          <w:color w:val="auto"/>
        </w:rPr>
        <w:t>T</w:t>
      </w:r>
      <w:r>
        <w:rPr>
          <w:rFonts w:ascii="Arial" w:cs="Arial" w:eastAsia="Arial" w:hAnsi="Arial"/>
          <w:sz w:val="14"/>
          <w:szCs w:val="14"/>
          <w:b w:val="1"/>
          <w:bCs w:val="1"/>
          <w:color w:val="auto"/>
        </w:rPr>
        <w:t>RANSFERABILITY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in the Plan, the Option is not transferable, except by will or by the laws of descent and</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distribution, and is exercisable during Participant’s life only by Participant.</w:t>
      </w:r>
    </w:p>
    <w:p>
      <w:pPr>
        <w:spacing w:after="0" w:line="146" w:lineRule="exact"/>
        <w:rPr>
          <w:rFonts w:ascii="Arial" w:cs="Arial" w:eastAsia="Arial" w:hAnsi="Arial"/>
          <w:sz w:val="17"/>
          <w:szCs w:val="17"/>
          <w:b w:val="1"/>
          <w:bCs w:val="1"/>
          <w:color w:val="auto"/>
        </w:rPr>
      </w:pPr>
    </w:p>
    <w:p>
      <w:pPr>
        <w:ind w:left="609" w:hanging="181"/>
        <w:spacing w:after="0"/>
        <w:tabs>
          <w:tab w:leader="none" w:pos="609" w:val="left"/>
        </w:tabs>
        <w:numPr>
          <w:ilvl w:val="0"/>
          <w:numId w:val="233"/>
        </w:numPr>
        <w:rPr>
          <w:rFonts w:ascii="Arial" w:cs="Arial" w:eastAsia="Arial" w:hAnsi="Arial"/>
          <w:sz w:val="17"/>
          <w:szCs w:val="17"/>
          <w:b w:val="1"/>
          <w:bCs w:val="1"/>
          <w:color w:val="auto"/>
        </w:rPr>
      </w:pPr>
      <w:r>
        <w:rPr>
          <w:rFonts w:ascii="Arial" w:cs="Arial" w:eastAsia="Arial" w:hAnsi="Arial"/>
          <w:sz w:val="17"/>
          <w:szCs w:val="17"/>
          <w:b w:val="1"/>
          <w:bCs w:val="1"/>
          <w:color w:val="auto"/>
        </w:rPr>
        <w:t>R</w:t>
      </w:r>
      <w:r>
        <w:rPr>
          <w:rFonts w:ascii="Arial" w:cs="Arial" w:eastAsia="Arial" w:hAnsi="Arial"/>
          <w:sz w:val="14"/>
          <w:szCs w:val="14"/>
          <w:b w:val="1"/>
          <w:bCs w:val="1"/>
          <w:color w:val="auto"/>
        </w:rPr>
        <w:t>ESPONSIBILITY FOR</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AXES</w:t>
      </w:r>
      <w:r>
        <w:rPr>
          <w:rFonts w:ascii="Arial" w:cs="Arial" w:eastAsia="Arial" w:hAnsi="Arial"/>
          <w:sz w:val="17"/>
          <w:szCs w:val="17"/>
          <w:b w:val="1"/>
          <w:bCs w:val="1"/>
          <w:color w:val="auto"/>
        </w:rPr>
        <w:t>.</w:t>
      </w:r>
    </w:p>
    <w:p>
      <w:pPr>
        <w:spacing w:after="0" w:line="229" w:lineRule="exact"/>
        <w:rPr>
          <w:rFonts w:ascii="Arial" w:cs="Arial" w:eastAsia="Arial" w:hAnsi="Arial"/>
          <w:sz w:val="17"/>
          <w:szCs w:val="17"/>
          <w:b w:val="1"/>
          <w:bCs w:val="1"/>
          <w:color w:val="auto"/>
        </w:rPr>
      </w:pPr>
    </w:p>
    <w:p>
      <w:pPr>
        <w:ind w:left="9" w:right="100" w:firstLine="846"/>
        <w:spacing w:after="0" w:line="265" w:lineRule="auto"/>
        <w:tabs>
          <w:tab w:leader="none" w:pos="1110" w:val="left"/>
        </w:tabs>
        <w:numPr>
          <w:ilvl w:val="1"/>
          <w:numId w:val="233"/>
        </w:numPr>
        <w:rPr>
          <w:rFonts w:ascii="Arial" w:cs="Arial" w:eastAsia="Arial" w:hAnsi="Arial"/>
          <w:sz w:val="17"/>
          <w:szCs w:val="17"/>
          <w:b w:val="1"/>
          <w:bCs w:val="1"/>
          <w:color w:val="auto"/>
        </w:rPr>
      </w:pPr>
      <w:r>
        <w:rPr>
          <w:rFonts w:ascii="Arial" w:cs="Arial" w:eastAsia="Arial" w:hAnsi="Arial"/>
          <w:sz w:val="17"/>
          <w:szCs w:val="17"/>
          <w:color w:val="auto"/>
        </w:rPr>
        <w:t>Participant may not exercise the Option unless the Tax-Related Items of the Company and/or any Affiliate, including Participant’s employer are satisfied. By accepting the Option, Participant agrees that the Company or an Affiliate may satisfy any applicable tax withholding obligations for Tax-Related Items at its sole election as provided in Section 8 of the Plan. Further, if Participant is subject to Tax-Related Items in more than one jurisdiction, Participant acknowledges that the Company and/or an Affiliate may be required to withhold or account for Tax-Related Items in more than one jurisdiction.</w:t>
      </w:r>
    </w:p>
    <w:p>
      <w:pPr>
        <w:spacing w:after="0" w:line="112" w:lineRule="exact"/>
        <w:rPr>
          <w:sz w:val="20"/>
          <w:szCs w:val="20"/>
          <w:color w:val="auto"/>
        </w:rPr>
      </w:pPr>
    </w:p>
    <w:p>
      <w:pPr>
        <w:jc w:val="center"/>
        <w:ind w:right="-28"/>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49"/>
          </w:cols>
          <w:pgMar w:left="611" w:top="271" w:right="639" w:bottom="1440" w:gutter="0" w:footer="0" w:header="0"/>
        </w:sectPr>
      </w:pPr>
    </w:p>
    <w:bookmarkStart w:id="343" w:name="page344"/>
    <w:bookmarkEnd w:id="343"/>
    <w:p>
      <w:pPr>
        <w:ind w:left="-40" w:firstLine="846"/>
        <w:spacing w:after="0" w:line="261" w:lineRule="auto"/>
        <w:tabs>
          <w:tab w:leader="none" w:pos="1071" w:val="left"/>
        </w:tabs>
        <w:numPr>
          <w:ilvl w:val="1"/>
          <w:numId w:val="234"/>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Neither the Company nor any Affiliates make any representations or undertakings regarding the treatment of any Tax-Related Items in connection with any aspect of the Option, and are under no obligation to structure the Option to reduce or eliminate Participant’s liability for Tax-Related Items or achieve any particular tax result. Participant acknowledges that, regardless of any action the Company or any Affiliate takes with respect to any or all Tax-Related Items, the ultimate liability for all Tax-Related Items is and remains Participant’s responsibility and may exceed the amount actually withheld by the Company or an Affiliate. In the event that the amount of the Company’s withholding obligation was greater than the amount withheld by the Company, Participant agrees to indemnify and hold the Company harmless from any failure by the Company to withhold the proper amount. Participant further acknowledges and agrees not to make any claim against the Company, or any of its Officers, Directors, Employees or Affiliates for Tax-Related Items arising from the Option.</w:t>
      </w:r>
    </w:p>
    <w:p>
      <w:pPr>
        <w:spacing w:after="0" w:line="179" w:lineRule="exact"/>
        <w:rPr>
          <w:rFonts w:ascii="Arial" w:cs="Arial" w:eastAsia="Arial" w:hAnsi="Arial"/>
          <w:sz w:val="17"/>
          <w:szCs w:val="17"/>
          <w:b w:val="1"/>
          <w:bCs w:val="1"/>
          <w:color w:val="auto"/>
        </w:rPr>
      </w:pPr>
    </w:p>
    <w:p>
      <w:pPr>
        <w:ind w:left="-40" w:right="160" w:firstLine="419"/>
        <w:spacing w:after="0" w:line="310" w:lineRule="auto"/>
        <w:tabs>
          <w:tab w:leader="none" w:pos="562" w:val="left"/>
        </w:tabs>
        <w:numPr>
          <w:ilvl w:val="0"/>
          <w:numId w:val="235"/>
        </w:numPr>
        <w:rPr>
          <w:rFonts w:ascii="Arial" w:cs="Arial" w:eastAsia="Arial" w:hAnsi="Arial"/>
          <w:sz w:val="15"/>
          <w:szCs w:val="15"/>
          <w:b w:val="1"/>
          <w:bCs w:val="1"/>
          <w:color w:val="auto"/>
        </w:rPr>
      </w:pPr>
      <w:r>
        <w:rPr>
          <w:rFonts w:ascii="Arial" w:cs="Arial" w:eastAsia="Arial" w:hAnsi="Arial"/>
          <w:sz w:val="15"/>
          <w:szCs w:val="15"/>
          <w:b w:val="1"/>
          <w:bCs w:val="1"/>
          <w:color w:val="auto"/>
        </w:rPr>
        <w:t>N</w:t>
      </w:r>
      <w:r>
        <w:rPr>
          <w:rFonts w:ascii="Arial" w:cs="Arial" w:eastAsia="Arial" w:hAnsi="Arial"/>
          <w:sz w:val="12"/>
          <w:szCs w:val="12"/>
          <w:b w:val="1"/>
          <w:bCs w:val="1"/>
          <w:color w:val="auto"/>
        </w:rPr>
        <w:t>OTICES</w:t>
      </w:r>
      <w:r>
        <w:rPr>
          <w:rFonts w:ascii="Arial" w:cs="Arial" w:eastAsia="Arial" w:hAnsi="Arial"/>
          <w:sz w:val="15"/>
          <w:szCs w:val="15"/>
          <w:color w:val="auto"/>
        </w:rPr>
        <w:t>. Any notice or request required or permitted in the plan or this Option Agreement (including any attachments) will be given in</w:t>
      </w:r>
      <w:r>
        <w:rPr>
          <w:rFonts w:ascii="Arial" w:cs="Arial" w:eastAsia="Arial" w:hAnsi="Arial"/>
          <w:sz w:val="15"/>
          <w:szCs w:val="15"/>
          <w:b w:val="1"/>
          <w:bCs w:val="1"/>
          <w:color w:val="auto"/>
        </w:rPr>
        <w:t xml:space="preserve"> </w:t>
      </w:r>
      <w:r>
        <w:rPr>
          <w:rFonts w:ascii="Arial" w:cs="Arial" w:eastAsia="Arial" w:hAnsi="Arial"/>
          <w:sz w:val="15"/>
          <w:szCs w:val="15"/>
          <w:color w:val="auto"/>
        </w:rPr>
        <w:t>writing to each of the other parties hereto and will be deemed effectively given on the earlier of (i) the date of personal delivery, including delivery by express courier, or delivery via electronic means, or (ii) the date that is five (5) days after deposit in the United States Post Office (whether or not actually received by the addressee), by registered or certified mail with postage and fees prepaid, addressed to the Company at its primary executive offices, attention: Stock Plan Administrator, and addressed to Participant at the address as on file with the Company at the time notice is given.</w:t>
      </w:r>
    </w:p>
    <w:p>
      <w:pPr>
        <w:spacing w:after="0" w:line="143" w:lineRule="exact"/>
        <w:rPr>
          <w:rFonts w:ascii="Arial" w:cs="Arial" w:eastAsia="Arial" w:hAnsi="Arial"/>
          <w:sz w:val="15"/>
          <w:szCs w:val="15"/>
          <w:b w:val="1"/>
          <w:bCs w:val="1"/>
          <w:color w:val="auto"/>
        </w:rPr>
      </w:pPr>
    </w:p>
    <w:p>
      <w:pPr>
        <w:ind w:left="-40" w:right="40" w:firstLine="419"/>
        <w:spacing w:after="0" w:line="270" w:lineRule="auto"/>
        <w:tabs>
          <w:tab w:leader="none" w:pos="649" w:val="left"/>
        </w:tabs>
        <w:numPr>
          <w:ilvl w:val="0"/>
          <w:numId w:val="235"/>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4"/>
          <w:szCs w:val="14"/>
          <w:b w:val="1"/>
          <w:bCs w:val="1"/>
          <w:color w:val="auto"/>
        </w:rPr>
        <w:t>OVERNING</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OCUMENT</w:t>
      </w:r>
      <w:r>
        <w:rPr>
          <w:rFonts w:ascii="Arial" w:cs="Arial" w:eastAsia="Arial" w:hAnsi="Arial"/>
          <w:sz w:val="17"/>
          <w:szCs w:val="17"/>
          <w:color w:val="auto"/>
        </w:rPr>
        <w:t>. The Option is subject to all the provisions of the Plan, including but not limited to the general provisions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9 of the Plan, and the provisions in Section 10 of the Plan regarding the impact of certain transactions on the Option. The Option is further subject to all interpretations, amendments, rules and regulations, which may be adopted from time to time, pursuant to the Plan. If there is any conflict between the provisions of the Option and those of the Plan, the provisions of the Plan will control.</w:t>
      </w:r>
    </w:p>
    <w:p>
      <w:pPr>
        <w:spacing w:after="0" w:line="167" w:lineRule="exact"/>
        <w:rPr>
          <w:rFonts w:ascii="Arial" w:cs="Arial" w:eastAsia="Arial" w:hAnsi="Arial"/>
          <w:sz w:val="17"/>
          <w:szCs w:val="17"/>
          <w:b w:val="1"/>
          <w:bCs w:val="1"/>
          <w:color w:val="auto"/>
        </w:rPr>
      </w:pPr>
    </w:p>
    <w:p>
      <w:pPr>
        <w:ind w:left="-40" w:right="240" w:firstLine="419"/>
        <w:spacing w:after="0" w:line="296" w:lineRule="auto"/>
        <w:tabs>
          <w:tab w:leader="none" w:pos="639" w:val="left"/>
        </w:tabs>
        <w:numPr>
          <w:ilvl w:val="0"/>
          <w:numId w:val="235"/>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4"/>
          <w:szCs w:val="14"/>
          <w:b w:val="1"/>
          <w:bCs w:val="1"/>
          <w:color w:val="auto"/>
        </w:rPr>
        <w:t>OVERNING</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7"/>
          <w:szCs w:val="17"/>
          <w:b w:val="1"/>
          <w:bCs w:val="1"/>
          <w:color w:val="auto"/>
        </w:rPr>
        <w:t xml:space="preserve">. </w:t>
      </w:r>
      <w:r>
        <w:rPr>
          <w:rFonts w:ascii="Arial" w:cs="Arial" w:eastAsia="Arial" w:hAnsi="Arial"/>
          <w:sz w:val="17"/>
          <w:szCs w:val="17"/>
          <w:color w:val="auto"/>
        </w:rPr>
        <w:t>The interpretation, performance and enforcement of this Option Agreement will be governed by the law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without regard to that state’s conflicts of laws rules.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80"/>
          </w:cols>
          <w:pgMar w:left="660" w:top="271" w:right="659" w:bottom="1440" w:gutter="0" w:footer="0" w:header="0"/>
        </w:sectPr>
      </w:pPr>
    </w:p>
    <w:bookmarkStart w:id="344" w:name="page345"/>
    <w:bookmarkEnd w:id="344"/>
    <w:p>
      <w:pPr>
        <w:ind w:left="438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NOTICE OF EXERCISE</w:t>
      </w:r>
    </w:p>
    <w:p>
      <w:pPr>
        <w:spacing w:after="0" w:line="32" w:lineRule="exact"/>
        <w:rPr>
          <w:sz w:val="20"/>
          <w:szCs w:val="20"/>
          <w:color w:val="auto"/>
        </w:rPr>
      </w:pPr>
    </w:p>
    <w:p>
      <w:pPr>
        <w:ind w:left="4409"/>
        <w:spacing w:after="0"/>
        <w:rPr>
          <w:sz w:val="20"/>
          <w:szCs w:val="20"/>
          <w:color w:val="auto"/>
        </w:rPr>
      </w:pPr>
      <w:r>
        <w:rPr>
          <w:rFonts w:ascii="Arial" w:cs="Arial" w:eastAsia="Arial" w:hAnsi="Arial"/>
          <w:sz w:val="17"/>
          <w:szCs w:val="17"/>
          <w:b w:val="1"/>
          <w:bCs w:val="1"/>
          <w:color w:val="auto"/>
        </w:rPr>
        <w:t>(includes Early Exercise)</w:t>
      </w:r>
    </w:p>
    <w:p>
      <w:pPr>
        <w:spacing w:after="0" w:line="101"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NGM Biopharmaceuticals, Inc.</w:t>
      </w:r>
    </w:p>
    <w:p>
      <w:pPr>
        <w:spacing w:after="0" w:line="32"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Attn: Stock Plan Administrator</w:t>
      </w:r>
    </w:p>
    <w:p>
      <w:pPr>
        <w:spacing w:after="0" w:line="107" w:lineRule="exact"/>
        <w:rPr>
          <w:sz w:val="20"/>
          <w:szCs w:val="20"/>
          <w:color w:val="auto"/>
        </w:rPr>
      </w:pPr>
    </w:p>
    <w:p>
      <w:pPr>
        <w:ind w:left="8949"/>
        <w:spacing w:after="0"/>
        <w:rPr>
          <w:sz w:val="20"/>
          <w:szCs w:val="20"/>
          <w:color w:val="auto"/>
        </w:rPr>
      </w:pPr>
      <w:r>
        <w:rPr>
          <w:rFonts w:ascii="Arial" w:cs="Arial" w:eastAsia="Arial" w:hAnsi="Arial"/>
          <w:sz w:val="15"/>
          <w:szCs w:val="15"/>
          <w:color w:val="auto"/>
        </w:rPr>
        <w:t>Date: _______________</w:t>
      </w:r>
    </w:p>
    <w:p>
      <w:pPr>
        <w:spacing w:after="0" w:line="247" w:lineRule="exact"/>
        <w:rPr>
          <w:sz w:val="20"/>
          <w:szCs w:val="20"/>
          <w:color w:val="auto"/>
        </w:rPr>
      </w:pPr>
    </w:p>
    <w:p>
      <w:pPr>
        <w:jc w:val="center"/>
        <w:ind w:right="151"/>
        <w:spacing w:after="0"/>
        <w:rPr>
          <w:sz w:val="20"/>
          <w:szCs w:val="20"/>
          <w:color w:val="auto"/>
        </w:rPr>
      </w:pPr>
      <w:r>
        <w:rPr>
          <w:rFonts w:ascii="Arial" w:cs="Arial" w:eastAsia="Arial" w:hAnsi="Arial"/>
          <w:sz w:val="17"/>
          <w:szCs w:val="17"/>
          <w:color w:val="auto"/>
        </w:rPr>
        <w:t>This Notice of Exercise constitutes notice to NGM Biopharmaceuticals,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under the stock option identified below (the</w:t>
      </w:r>
    </w:p>
    <w:p>
      <w:pPr>
        <w:spacing w:after="0" w:line="26" w:lineRule="exact"/>
        <w:rPr>
          <w:sz w:val="20"/>
          <w:szCs w:val="20"/>
          <w:color w:val="auto"/>
        </w:rPr>
      </w:pPr>
    </w:p>
    <w:p>
      <w:pPr>
        <w:jc w:val="both"/>
        <w:ind w:left="9" w:right="140"/>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that the undersigned (“</w:t>
      </w:r>
      <w:r>
        <w:rPr>
          <w:rFonts w:ascii="Arial" w:cs="Arial" w:eastAsia="Arial" w:hAnsi="Arial"/>
          <w:sz w:val="17"/>
          <w:szCs w:val="17"/>
          <w:b w:val="1"/>
          <w:bCs w:val="1"/>
          <w:i w:val="1"/>
          <w:iCs w:val="1"/>
          <w:color w:val="auto"/>
        </w:rPr>
        <w:t>I</w:t>
      </w:r>
      <w:r>
        <w:rPr>
          <w:rFonts w:ascii="Arial" w:cs="Arial" w:eastAsia="Arial" w:hAnsi="Arial"/>
          <w:sz w:val="17"/>
          <w:szCs w:val="17"/>
          <w:color w:val="auto"/>
        </w:rPr>
        <w:t>” or “</w:t>
      </w:r>
      <w:r>
        <w:rPr>
          <w:rFonts w:ascii="Arial" w:cs="Arial" w:eastAsia="Arial" w:hAnsi="Arial"/>
          <w:sz w:val="17"/>
          <w:szCs w:val="17"/>
          <w:b w:val="1"/>
          <w:bCs w:val="1"/>
          <w:i w:val="1"/>
          <w:iCs w:val="1"/>
          <w:color w:val="auto"/>
        </w:rPr>
        <w:t>Purchaser</w:t>
      </w:r>
      <w:r>
        <w:rPr>
          <w:rFonts w:ascii="Arial" w:cs="Arial" w:eastAsia="Arial" w:hAnsi="Arial"/>
          <w:sz w:val="17"/>
          <w:szCs w:val="17"/>
          <w:color w:val="auto"/>
        </w:rPr>
        <w:t>”) elects to purchase the below number of shares of Common Stock for the price set forth below and subject to the terms of this Notice of Exercise. Capitalized terms have the meanings defined in the Company’s 2018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or the Option Agreement evidencing the Option if not otherwise defined below.</w:t>
      </w:r>
    </w:p>
    <w:p>
      <w:pPr>
        <w:spacing w:after="0" w:line="172" w:lineRule="exact"/>
        <w:rPr>
          <w:sz w:val="20"/>
          <w:szCs w:val="20"/>
          <w:color w:val="auto"/>
        </w:rPr>
      </w:pPr>
    </w:p>
    <w:tbl>
      <w:tblPr>
        <w:tblLayout w:type="fixed"/>
        <w:tblInd w:w="9" w:type="dxa"/>
        <w:tblCellMar>
          <w:top w:w="0" w:type="dxa"/>
          <w:left w:w="0" w:type="dxa"/>
          <w:bottom w:w="0" w:type="dxa"/>
          <w:right w:w="0" w:type="dxa"/>
        </w:tblCellMar>
      </w:tblPr>
      <w:tr>
        <w:trPr>
          <w:trHeight w:val="274"/>
        </w:trPr>
        <w:tc>
          <w:tcPr>
            <w:tcW w:w="4840" w:type="dxa"/>
            <w:vAlign w:val="bottom"/>
          </w:tcPr>
          <w:p>
            <w:pPr>
              <w:spacing w:after="0"/>
              <w:rPr>
                <w:sz w:val="20"/>
                <w:szCs w:val="20"/>
                <w:color w:val="auto"/>
              </w:rPr>
            </w:pPr>
            <w:r>
              <w:rPr>
                <w:rFonts w:ascii="Arial" w:cs="Arial" w:eastAsia="Arial" w:hAnsi="Arial"/>
                <w:sz w:val="17"/>
                <w:szCs w:val="17"/>
                <w:color w:val="auto"/>
              </w:rPr>
              <w:t>Type of option (check one):</w:t>
            </w:r>
          </w:p>
        </w:tc>
        <w:tc>
          <w:tcPr>
            <w:tcW w:w="3520" w:type="dxa"/>
            <w:vAlign w:val="bottom"/>
          </w:tcPr>
          <w:p>
            <w:pPr>
              <w:ind w:left="1360"/>
              <w:spacing w:after="0" w:line="196" w:lineRule="exact"/>
              <w:rPr>
                <w:sz w:val="20"/>
                <w:szCs w:val="20"/>
                <w:color w:val="auto"/>
              </w:rPr>
            </w:pPr>
            <w:r>
              <w:rPr>
                <w:rFonts w:ascii="Arial" w:cs="Arial" w:eastAsia="Arial" w:hAnsi="Arial"/>
                <w:sz w:val="17"/>
                <w:szCs w:val="17"/>
                <w:color w:val="auto"/>
              </w:rPr>
              <w:t xml:space="preserve">Incentive </w:t>
            </w:r>
            <w:r>
              <w:rPr>
                <w:rFonts w:ascii="MS PGothic" w:cs="MS PGothic" w:eastAsia="MS PGothic" w:hAnsi="MS PGothic"/>
                <w:sz w:val="17"/>
                <w:szCs w:val="17"/>
                <w:color w:val="auto"/>
              </w:rPr>
              <w:t>☐</w:t>
            </w:r>
          </w:p>
        </w:tc>
        <w:tc>
          <w:tcPr>
            <w:tcW w:w="2160" w:type="dxa"/>
            <w:vAlign w:val="bottom"/>
          </w:tcPr>
          <w:p>
            <w:pPr>
              <w:ind w:left="180"/>
              <w:spacing w:after="0" w:line="196" w:lineRule="exact"/>
              <w:rPr>
                <w:sz w:val="20"/>
                <w:szCs w:val="20"/>
                <w:color w:val="auto"/>
              </w:rPr>
            </w:pPr>
            <w:r>
              <w:rPr>
                <w:rFonts w:ascii="Arial" w:cs="Arial" w:eastAsia="Arial" w:hAnsi="Arial"/>
                <w:sz w:val="17"/>
                <w:szCs w:val="17"/>
                <w:color w:val="auto"/>
              </w:rPr>
              <w:t xml:space="preserve">Nonstatutory </w:t>
            </w:r>
            <w:r>
              <w:rPr>
                <w:rFonts w:ascii="MS PGothic" w:cs="MS PGothic" w:eastAsia="MS PGothic" w:hAnsi="MS PGothic"/>
                <w:sz w:val="17"/>
                <w:szCs w:val="17"/>
                <w:color w:val="auto"/>
              </w:rPr>
              <w:t>☐</w:t>
            </w:r>
          </w:p>
        </w:tc>
      </w:tr>
      <w:tr>
        <w:trPr>
          <w:trHeight w:val="294"/>
        </w:trPr>
        <w:tc>
          <w:tcPr>
            <w:tcW w:w="4840" w:type="dxa"/>
            <w:vAlign w:val="bottom"/>
          </w:tcPr>
          <w:p>
            <w:pPr>
              <w:spacing w:after="0"/>
              <w:rPr>
                <w:sz w:val="20"/>
                <w:szCs w:val="20"/>
                <w:color w:val="auto"/>
              </w:rPr>
            </w:pPr>
            <w:r>
              <w:rPr>
                <w:rFonts w:ascii="Arial" w:cs="Arial" w:eastAsia="Arial" w:hAnsi="Arial"/>
                <w:sz w:val="17"/>
                <w:szCs w:val="17"/>
                <w:color w:val="auto"/>
              </w:rPr>
              <w:t>Stock option dated:</w:t>
            </w:r>
          </w:p>
        </w:tc>
        <w:tc>
          <w:tcPr>
            <w:tcW w:w="3520" w:type="dxa"/>
            <w:vAlign w:val="bottom"/>
          </w:tcPr>
          <w:p>
            <w:pPr>
              <w:ind w:left="1360"/>
              <w:spacing w:after="0"/>
              <w:rPr>
                <w:sz w:val="20"/>
                <w:szCs w:val="20"/>
                <w:color w:val="auto"/>
              </w:rPr>
            </w:pPr>
            <w:r>
              <w:rPr>
                <w:rFonts w:ascii="Arial" w:cs="Arial" w:eastAsia="Arial" w:hAnsi="Arial"/>
                <w:sz w:val="17"/>
                <w:szCs w:val="17"/>
                <w:color w:val="auto"/>
              </w:rPr>
              <w:t>_______________</w:t>
            </w:r>
          </w:p>
        </w:tc>
        <w:tc>
          <w:tcPr>
            <w:tcW w:w="2160" w:type="dxa"/>
            <w:vAlign w:val="bottom"/>
          </w:tcPr>
          <w:p>
            <w:pPr>
              <w:ind w:left="180"/>
              <w:spacing w:after="0"/>
              <w:rPr>
                <w:sz w:val="20"/>
                <w:szCs w:val="20"/>
                <w:color w:val="auto"/>
              </w:rPr>
            </w:pPr>
            <w:r>
              <w:rPr>
                <w:rFonts w:ascii="Arial" w:cs="Arial" w:eastAsia="Arial" w:hAnsi="Arial"/>
                <w:sz w:val="17"/>
                <w:szCs w:val="17"/>
                <w:color w:val="auto"/>
              </w:rPr>
              <w:t>_______________</w:t>
            </w:r>
          </w:p>
        </w:tc>
      </w:tr>
      <w:tr>
        <w:trPr>
          <w:trHeight w:val="314"/>
        </w:trPr>
        <w:tc>
          <w:tcPr>
            <w:tcW w:w="4840" w:type="dxa"/>
            <w:vAlign w:val="bottom"/>
          </w:tcPr>
          <w:p>
            <w:pPr>
              <w:spacing w:after="0"/>
              <w:rPr>
                <w:sz w:val="20"/>
                <w:szCs w:val="20"/>
                <w:color w:val="auto"/>
              </w:rPr>
            </w:pPr>
            <w:r>
              <w:rPr>
                <w:rFonts w:ascii="Arial" w:cs="Arial" w:eastAsia="Arial" w:hAnsi="Arial"/>
                <w:sz w:val="17"/>
                <w:szCs w:val="17"/>
                <w:color w:val="auto"/>
              </w:rPr>
              <w:t>Number of Shares as to which option is exercised:</w:t>
            </w:r>
          </w:p>
        </w:tc>
        <w:tc>
          <w:tcPr>
            <w:tcW w:w="3520" w:type="dxa"/>
            <w:vAlign w:val="bottom"/>
          </w:tcPr>
          <w:p>
            <w:pPr>
              <w:ind w:left="1360"/>
              <w:spacing w:after="0"/>
              <w:rPr>
                <w:sz w:val="20"/>
                <w:szCs w:val="20"/>
                <w:color w:val="auto"/>
              </w:rPr>
            </w:pPr>
            <w:r>
              <w:rPr>
                <w:rFonts w:ascii="Arial" w:cs="Arial" w:eastAsia="Arial" w:hAnsi="Arial"/>
                <w:sz w:val="17"/>
                <w:szCs w:val="17"/>
                <w:color w:val="auto"/>
              </w:rPr>
              <w:t>_______________Vested</w:t>
            </w:r>
          </w:p>
        </w:tc>
        <w:tc>
          <w:tcPr>
            <w:tcW w:w="2160" w:type="dxa"/>
            <w:vAlign w:val="bottom"/>
          </w:tcPr>
          <w:p>
            <w:pPr>
              <w:ind w:left="180"/>
              <w:spacing w:after="0"/>
              <w:rPr>
                <w:sz w:val="20"/>
                <w:szCs w:val="20"/>
                <w:color w:val="auto"/>
              </w:rPr>
            </w:pPr>
            <w:r>
              <w:rPr>
                <w:rFonts w:ascii="Arial" w:cs="Arial" w:eastAsia="Arial" w:hAnsi="Arial"/>
                <w:sz w:val="17"/>
                <w:szCs w:val="17"/>
                <w:color w:val="auto"/>
              </w:rPr>
              <w:t>_______________Vested</w:t>
            </w:r>
          </w:p>
        </w:tc>
      </w:tr>
      <w:tr>
        <w:trPr>
          <w:trHeight w:val="314"/>
        </w:trPr>
        <w:tc>
          <w:tcPr>
            <w:tcW w:w="4840" w:type="dxa"/>
            <w:vAlign w:val="bottom"/>
          </w:tcPr>
          <w:p>
            <w:pPr>
              <w:spacing w:after="0"/>
              <w:rPr>
                <w:sz w:val="24"/>
                <w:szCs w:val="24"/>
                <w:color w:val="auto"/>
              </w:rPr>
            </w:pPr>
          </w:p>
        </w:tc>
        <w:tc>
          <w:tcPr>
            <w:tcW w:w="3520" w:type="dxa"/>
            <w:vAlign w:val="bottom"/>
          </w:tcPr>
          <w:p>
            <w:pPr>
              <w:ind w:left="1360"/>
              <w:spacing w:after="0"/>
              <w:rPr>
                <w:sz w:val="20"/>
                <w:szCs w:val="20"/>
                <w:color w:val="auto"/>
              </w:rPr>
            </w:pPr>
            <w:r>
              <w:rPr>
                <w:rFonts w:ascii="Arial" w:cs="Arial" w:eastAsia="Arial" w:hAnsi="Arial"/>
                <w:sz w:val="17"/>
                <w:szCs w:val="17"/>
                <w:color w:val="auto"/>
              </w:rPr>
              <w:t>_______________Unvested</w:t>
            </w:r>
          </w:p>
        </w:tc>
        <w:tc>
          <w:tcPr>
            <w:tcW w:w="2160" w:type="dxa"/>
            <w:vAlign w:val="bottom"/>
          </w:tcPr>
          <w:p>
            <w:pPr>
              <w:ind w:left="180"/>
              <w:spacing w:after="0"/>
              <w:rPr>
                <w:sz w:val="20"/>
                <w:szCs w:val="20"/>
                <w:color w:val="auto"/>
              </w:rPr>
            </w:pPr>
            <w:r>
              <w:rPr>
                <w:rFonts w:ascii="Arial" w:cs="Arial" w:eastAsia="Arial" w:hAnsi="Arial"/>
                <w:sz w:val="17"/>
                <w:szCs w:val="17"/>
                <w:color w:val="auto"/>
                <w:w w:val="91"/>
              </w:rPr>
              <w:t>_______________Unvested</w:t>
            </w:r>
          </w:p>
        </w:tc>
      </w:tr>
      <w:tr>
        <w:trPr>
          <w:trHeight w:val="314"/>
        </w:trPr>
        <w:tc>
          <w:tcPr>
            <w:tcW w:w="4840" w:type="dxa"/>
            <w:vAlign w:val="bottom"/>
          </w:tcPr>
          <w:p>
            <w:pPr>
              <w:spacing w:after="0"/>
              <w:rPr>
                <w:sz w:val="20"/>
                <w:szCs w:val="20"/>
                <w:color w:val="auto"/>
              </w:rPr>
            </w:pPr>
            <w:r>
              <w:rPr>
                <w:rFonts w:ascii="Arial" w:cs="Arial" w:eastAsia="Arial" w:hAnsi="Arial"/>
                <w:sz w:val="17"/>
                <w:szCs w:val="17"/>
                <w:color w:val="auto"/>
              </w:rPr>
              <w:t>Certificates to be issued in name of:</w:t>
            </w:r>
          </w:p>
        </w:tc>
        <w:tc>
          <w:tcPr>
            <w:tcW w:w="3520" w:type="dxa"/>
            <w:vAlign w:val="bottom"/>
          </w:tcPr>
          <w:p>
            <w:pPr>
              <w:ind w:left="1360"/>
              <w:spacing w:after="0"/>
              <w:rPr>
                <w:sz w:val="20"/>
                <w:szCs w:val="20"/>
                <w:color w:val="auto"/>
              </w:rPr>
            </w:pPr>
            <w:r>
              <w:rPr>
                <w:rFonts w:ascii="Arial" w:cs="Arial" w:eastAsia="Arial" w:hAnsi="Arial"/>
                <w:sz w:val="17"/>
                <w:szCs w:val="17"/>
                <w:color w:val="auto"/>
              </w:rPr>
              <w:t>_______________</w:t>
            </w:r>
          </w:p>
        </w:tc>
        <w:tc>
          <w:tcPr>
            <w:tcW w:w="2160" w:type="dxa"/>
            <w:vAlign w:val="bottom"/>
          </w:tcPr>
          <w:p>
            <w:pPr>
              <w:ind w:left="180"/>
              <w:spacing w:after="0"/>
              <w:rPr>
                <w:sz w:val="20"/>
                <w:szCs w:val="20"/>
                <w:color w:val="auto"/>
              </w:rPr>
            </w:pPr>
            <w:r>
              <w:rPr>
                <w:rFonts w:ascii="Arial" w:cs="Arial" w:eastAsia="Arial" w:hAnsi="Arial"/>
                <w:sz w:val="17"/>
                <w:szCs w:val="17"/>
                <w:color w:val="auto"/>
              </w:rPr>
              <w:t>_______________</w:t>
            </w:r>
          </w:p>
        </w:tc>
      </w:tr>
      <w:tr>
        <w:trPr>
          <w:trHeight w:val="314"/>
        </w:trPr>
        <w:tc>
          <w:tcPr>
            <w:tcW w:w="4840" w:type="dxa"/>
            <w:vAlign w:val="bottom"/>
          </w:tcPr>
          <w:p>
            <w:pPr>
              <w:spacing w:after="0"/>
              <w:rPr>
                <w:sz w:val="20"/>
                <w:szCs w:val="20"/>
                <w:color w:val="auto"/>
              </w:rPr>
            </w:pPr>
            <w:r>
              <w:rPr>
                <w:rFonts w:ascii="Arial" w:cs="Arial" w:eastAsia="Arial" w:hAnsi="Arial"/>
                <w:sz w:val="17"/>
                <w:szCs w:val="17"/>
                <w:color w:val="auto"/>
              </w:rPr>
              <w:t>Total exercise price:</w:t>
            </w:r>
          </w:p>
        </w:tc>
        <w:tc>
          <w:tcPr>
            <w:tcW w:w="3520" w:type="dxa"/>
            <w:vAlign w:val="bottom"/>
          </w:tcPr>
          <w:p>
            <w:pPr>
              <w:ind w:left="1360"/>
              <w:spacing w:after="0"/>
              <w:rPr>
                <w:sz w:val="20"/>
                <w:szCs w:val="20"/>
                <w:color w:val="auto"/>
              </w:rPr>
            </w:pPr>
            <w:r>
              <w:rPr>
                <w:rFonts w:ascii="Arial" w:cs="Arial" w:eastAsia="Arial" w:hAnsi="Arial"/>
                <w:sz w:val="17"/>
                <w:szCs w:val="17"/>
                <w:color w:val="auto"/>
              </w:rPr>
              <w:t>$______________</w:t>
            </w:r>
          </w:p>
        </w:tc>
        <w:tc>
          <w:tcPr>
            <w:tcW w:w="2160" w:type="dxa"/>
            <w:vAlign w:val="bottom"/>
          </w:tcPr>
          <w:p>
            <w:pPr>
              <w:ind w:left="180"/>
              <w:spacing w:after="0"/>
              <w:rPr>
                <w:sz w:val="20"/>
                <w:szCs w:val="20"/>
                <w:color w:val="auto"/>
              </w:rPr>
            </w:pPr>
            <w:r>
              <w:rPr>
                <w:rFonts w:ascii="Arial" w:cs="Arial" w:eastAsia="Arial" w:hAnsi="Arial"/>
                <w:sz w:val="17"/>
                <w:szCs w:val="17"/>
                <w:color w:val="auto"/>
              </w:rPr>
              <w:t>$______________</w:t>
            </w:r>
          </w:p>
        </w:tc>
      </w:tr>
      <w:tr>
        <w:trPr>
          <w:trHeight w:val="314"/>
        </w:trPr>
        <w:tc>
          <w:tcPr>
            <w:tcW w:w="4840" w:type="dxa"/>
            <w:vAlign w:val="bottom"/>
          </w:tcPr>
          <w:p>
            <w:pPr>
              <w:spacing w:after="0"/>
              <w:rPr>
                <w:sz w:val="20"/>
                <w:szCs w:val="20"/>
                <w:color w:val="auto"/>
              </w:rPr>
            </w:pPr>
            <w:r>
              <w:rPr>
                <w:rFonts w:ascii="Arial" w:cs="Arial" w:eastAsia="Arial" w:hAnsi="Arial"/>
                <w:sz w:val="17"/>
                <w:szCs w:val="17"/>
                <w:color w:val="auto"/>
              </w:rPr>
              <w:t>Withholding taxes due:*</w:t>
            </w:r>
          </w:p>
        </w:tc>
        <w:tc>
          <w:tcPr>
            <w:tcW w:w="3520" w:type="dxa"/>
            <w:vAlign w:val="bottom"/>
          </w:tcPr>
          <w:p>
            <w:pPr>
              <w:ind w:left="1360"/>
              <w:spacing w:after="0"/>
              <w:rPr>
                <w:sz w:val="20"/>
                <w:szCs w:val="20"/>
                <w:color w:val="auto"/>
              </w:rPr>
            </w:pPr>
            <w:r>
              <w:rPr>
                <w:rFonts w:ascii="Arial" w:cs="Arial" w:eastAsia="Arial" w:hAnsi="Arial"/>
                <w:sz w:val="17"/>
                <w:szCs w:val="17"/>
                <w:color w:val="auto"/>
              </w:rPr>
              <w:t>n/a</w:t>
            </w:r>
          </w:p>
        </w:tc>
        <w:tc>
          <w:tcPr>
            <w:tcW w:w="2160" w:type="dxa"/>
            <w:vAlign w:val="bottom"/>
          </w:tcPr>
          <w:p>
            <w:pPr>
              <w:ind w:left="180"/>
              <w:spacing w:after="0"/>
              <w:rPr>
                <w:sz w:val="20"/>
                <w:szCs w:val="20"/>
                <w:color w:val="auto"/>
              </w:rPr>
            </w:pPr>
            <w:r>
              <w:rPr>
                <w:rFonts w:ascii="Arial" w:cs="Arial" w:eastAsia="Arial" w:hAnsi="Arial"/>
                <w:sz w:val="17"/>
                <w:szCs w:val="17"/>
                <w:color w:val="auto"/>
              </w:rPr>
              <w:t>$______________</w:t>
            </w:r>
          </w:p>
        </w:tc>
      </w:tr>
      <w:tr>
        <w:trPr>
          <w:trHeight w:val="314"/>
        </w:trPr>
        <w:tc>
          <w:tcPr>
            <w:tcW w:w="4840" w:type="dxa"/>
            <w:vAlign w:val="bottom"/>
          </w:tcPr>
          <w:p>
            <w:pPr>
              <w:spacing w:after="0"/>
              <w:rPr>
                <w:sz w:val="20"/>
                <w:szCs w:val="20"/>
                <w:color w:val="auto"/>
              </w:rPr>
            </w:pPr>
            <w:r>
              <w:rPr>
                <w:rFonts w:ascii="Arial" w:cs="Arial" w:eastAsia="Arial" w:hAnsi="Arial"/>
                <w:sz w:val="17"/>
                <w:szCs w:val="17"/>
                <w:color w:val="auto"/>
              </w:rPr>
              <w:t>Total payment amount:</w:t>
            </w:r>
          </w:p>
        </w:tc>
        <w:tc>
          <w:tcPr>
            <w:tcW w:w="3520" w:type="dxa"/>
            <w:vAlign w:val="bottom"/>
          </w:tcPr>
          <w:p>
            <w:pPr>
              <w:ind w:left="1360"/>
              <w:spacing w:after="0"/>
              <w:rPr>
                <w:sz w:val="20"/>
                <w:szCs w:val="20"/>
                <w:color w:val="auto"/>
              </w:rPr>
            </w:pPr>
            <w:r>
              <w:rPr>
                <w:rFonts w:ascii="Arial" w:cs="Arial" w:eastAsia="Arial" w:hAnsi="Arial"/>
                <w:sz w:val="17"/>
                <w:szCs w:val="17"/>
                <w:color w:val="auto"/>
              </w:rPr>
              <w:t>$______________</w:t>
            </w:r>
          </w:p>
        </w:tc>
        <w:tc>
          <w:tcPr>
            <w:tcW w:w="2160" w:type="dxa"/>
            <w:vAlign w:val="bottom"/>
          </w:tcPr>
          <w:p>
            <w:pPr>
              <w:ind w:left="180"/>
              <w:spacing w:after="0"/>
              <w:rPr>
                <w:sz w:val="20"/>
                <w:szCs w:val="20"/>
                <w:color w:val="auto"/>
              </w:rPr>
            </w:pPr>
            <w:r>
              <w:rPr>
                <w:rFonts w:ascii="Arial" w:cs="Arial" w:eastAsia="Arial" w:hAnsi="Arial"/>
                <w:sz w:val="17"/>
                <w:szCs w:val="17"/>
                <w:color w:val="auto"/>
              </w:rPr>
              <w:t>$______________</w:t>
            </w:r>
          </w:p>
        </w:tc>
      </w:tr>
    </w:tbl>
    <w:p>
      <w:pPr>
        <w:spacing w:after="0" w:line="93" w:lineRule="exact"/>
        <w:rPr>
          <w:sz w:val="20"/>
          <w:szCs w:val="20"/>
          <w:color w:val="auto"/>
        </w:rPr>
      </w:pPr>
    </w:p>
    <w:tbl>
      <w:tblPr>
        <w:tblLayout w:type="fixed"/>
        <w:tblInd w:w="9" w:type="dxa"/>
        <w:tblCellMar>
          <w:top w:w="0" w:type="dxa"/>
          <w:left w:w="0" w:type="dxa"/>
          <w:bottom w:w="0" w:type="dxa"/>
          <w:right w:w="0" w:type="dxa"/>
        </w:tblCellMar>
      </w:tblPr>
      <w:tr>
        <w:trPr>
          <w:trHeight w:val="222"/>
        </w:trPr>
        <w:tc>
          <w:tcPr>
            <w:tcW w:w="6160" w:type="dxa"/>
            <w:vAlign w:val="bottom"/>
          </w:tcPr>
          <w:p>
            <w:pPr>
              <w:spacing w:after="0"/>
              <w:rPr>
                <w:sz w:val="20"/>
                <w:szCs w:val="20"/>
                <w:color w:val="auto"/>
              </w:rPr>
            </w:pPr>
            <w:r>
              <w:rPr>
                <w:rFonts w:ascii="Arial" w:cs="Arial" w:eastAsia="Arial" w:hAnsi="Arial"/>
                <w:sz w:val="17"/>
                <w:szCs w:val="17"/>
                <w:color w:val="auto"/>
              </w:rPr>
              <w:t>Method of payment (subject to Company consent):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4"/>
        </w:trPr>
        <w:tc>
          <w:tcPr>
            <w:tcW w:w="6160" w:type="dxa"/>
            <w:vAlign w:val="bottom"/>
          </w:tcPr>
          <w:p>
            <w:pPr>
              <w:ind w:left="340"/>
              <w:spacing w:after="0"/>
              <w:rPr>
                <w:sz w:val="20"/>
                <w:szCs w:val="20"/>
                <w:color w:val="auto"/>
              </w:rPr>
            </w:pPr>
            <w:r>
              <w:rPr>
                <w:rFonts w:ascii="Arial" w:cs="Arial" w:eastAsia="Arial" w:hAnsi="Arial"/>
                <w:sz w:val="17"/>
                <w:szCs w:val="17"/>
                <w:color w:val="auto"/>
              </w:rPr>
              <w:t>Cash/check/wire transfer</w:t>
            </w:r>
          </w:p>
        </w:tc>
        <w:tc>
          <w:tcPr>
            <w:tcW w:w="1180" w:type="dxa"/>
            <w:vAlign w:val="bottom"/>
          </w:tcPr>
          <w:p>
            <w:pPr>
              <w:ind w:left="102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82"/>
        </w:trPr>
        <w:tc>
          <w:tcPr>
            <w:tcW w:w="6160" w:type="dxa"/>
            <w:vAlign w:val="bottom"/>
          </w:tcPr>
          <w:p>
            <w:pPr>
              <w:ind w:left="340"/>
              <w:spacing w:after="0"/>
              <w:rPr>
                <w:sz w:val="20"/>
                <w:szCs w:val="20"/>
                <w:color w:val="auto"/>
              </w:rPr>
            </w:pPr>
            <w:r>
              <w:rPr>
                <w:rFonts w:ascii="Arial" w:cs="Arial" w:eastAsia="Arial" w:hAnsi="Arial"/>
                <w:sz w:val="17"/>
                <w:szCs w:val="17"/>
                <w:color w:val="auto"/>
              </w:rPr>
              <w:t>Cashless exercise (also known as broker assisted sale, same-say sale,</w:t>
            </w:r>
          </w:p>
        </w:tc>
        <w:tc>
          <w:tcPr>
            <w:tcW w:w="1180" w:type="dxa"/>
            <w:vAlign w:val="bottom"/>
            <w:vMerge w:val="restart"/>
          </w:tcPr>
          <w:p>
            <w:pPr>
              <w:ind w:left="102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42"/>
        </w:trPr>
        <w:tc>
          <w:tcPr>
            <w:tcW w:w="6160" w:type="dxa"/>
            <w:vAlign w:val="bottom"/>
          </w:tcPr>
          <w:p>
            <w:pPr>
              <w:ind w:left="520"/>
              <w:spacing w:after="0"/>
              <w:rPr>
                <w:sz w:val="20"/>
                <w:szCs w:val="20"/>
                <w:color w:val="auto"/>
              </w:rPr>
            </w:pPr>
            <w:r>
              <w:rPr>
                <w:rFonts w:ascii="Arial" w:cs="Arial" w:eastAsia="Arial" w:hAnsi="Arial"/>
                <w:sz w:val="17"/>
                <w:szCs w:val="17"/>
                <w:color w:val="auto"/>
              </w:rPr>
              <w:t>sell-to-cover)</w:t>
            </w: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209" w:hanging="209"/>
        <w:spacing w:after="0"/>
        <w:tabs>
          <w:tab w:leader="none" w:pos="209" w:val="left"/>
        </w:tabs>
        <w:numPr>
          <w:ilvl w:val="0"/>
          <w:numId w:val="236"/>
        </w:numPr>
        <w:rPr>
          <w:rFonts w:ascii="Arial" w:cs="Arial" w:eastAsia="Arial" w:hAnsi="Arial"/>
          <w:sz w:val="17"/>
          <w:szCs w:val="17"/>
          <w:color w:val="auto"/>
        </w:rPr>
      </w:pPr>
      <w:r>
        <w:rPr>
          <w:rFonts w:ascii="Arial" w:cs="Arial" w:eastAsia="Arial" w:hAnsi="Arial"/>
          <w:sz w:val="17"/>
          <w:szCs w:val="17"/>
          <w:color w:val="auto"/>
        </w:rPr>
        <w:t>Please contact the Stock Plan Administrator for the amount of withholding taxes payable on exercise of the option, if applicable</w:t>
      </w:r>
    </w:p>
    <w:p>
      <w:pPr>
        <w:spacing w:after="0" w:line="217" w:lineRule="exact"/>
        <w:rPr>
          <w:rFonts w:ascii="Arial" w:cs="Arial" w:eastAsia="Arial" w:hAnsi="Arial"/>
          <w:sz w:val="17"/>
          <w:szCs w:val="17"/>
          <w:color w:val="auto"/>
        </w:rPr>
      </w:pPr>
    </w:p>
    <w:p>
      <w:pPr>
        <w:ind w:left="9" w:right="260" w:firstLine="419"/>
        <w:spacing w:after="0" w:line="276" w:lineRule="auto"/>
        <w:tabs>
          <w:tab w:leader="none" w:pos="610" w:val="left"/>
        </w:tabs>
        <w:numPr>
          <w:ilvl w:val="1"/>
          <w:numId w:val="236"/>
        </w:numPr>
        <w:rPr>
          <w:rFonts w:ascii="Arial" w:cs="Arial" w:eastAsia="Arial" w:hAnsi="Arial"/>
          <w:sz w:val="17"/>
          <w:szCs w:val="17"/>
          <w:color w:val="auto"/>
        </w:rPr>
      </w:pPr>
      <w:r>
        <w:rPr>
          <w:rFonts w:ascii="Arial" w:cs="Arial" w:eastAsia="Arial" w:hAnsi="Arial"/>
          <w:sz w:val="17"/>
          <w:szCs w:val="17"/>
          <w:b w:val="1"/>
          <w:bCs w:val="1"/>
          <w:color w:val="auto"/>
        </w:rPr>
        <w:t>Exercise; Other Documents</w:t>
      </w:r>
      <w:r>
        <w:rPr>
          <w:rFonts w:ascii="Arial" w:cs="Arial" w:eastAsia="Arial" w:hAnsi="Arial"/>
          <w:sz w:val="17"/>
          <w:szCs w:val="17"/>
          <w:color w:val="auto"/>
        </w:rPr>
        <w:t>. By this exercise, I agree (i) to provide such additional documents as the Company may require pursuant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terms of the Plan, and (ii) to provide for the payment by me to the Company (in the manner designated by the Company) of my exercise price and withholding tax obligation, if any, relating to the exercise of the Option.</w:t>
      </w:r>
    </w:p>
    <w:p>
      <w:pPr>
        <w:sectPr>
          <w:pgSz w:w="11900" w:h="16838" w:orient="portrait"/>
          <w:cols w:equalWidth="0" w:num="1">
            <w:col w:w="10689"/>
          </w:cols>
          <w:pgMar w:left="611" w:top="265" w:right="599" w:bottom="1440" w:gutter="0" w:footer="0" w:header="0"/>
        </w:sectPr>
      </w:pPr>
    </w:p>
    <w:bookmarkStart w:id="345" w:name="page346"/>
    <w:bookmarkEnd w:id="345"/>
    <w:p>
      <w:pPr>
        <w:ind w:left="600" w:hanging="181"/>
        <w:spacing w:after="0"/>
        <w:tabs>
          <w:tab w:leader="none" w:pos="600" w:val="left"/>
        </w:tabs>
        <w:numPr>
          <w:ilvl w:val="0"/>
          <w:numId w:val="237"/>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Additional Terms for Unvested Shares</w:t>
      </w:r>
      <w:r>
        <w:rPr>
          <w:rFonts w:ascii="Arial" w:cs="Arial" w:eastAsia="Arial" w:hAnsi="Arial"/>
          <w:sz w:val="17"/>
          <w:szCs w:val="17"/>
          <w:color w:val="auto"/>
        </w:rPr>
        <w:t>.</w:t>
      </w:r>
    </w:p>
    <w:p>
      <w:pPr>
        <w:spacing w:after="0" w:line="137" w:lineRule="exact"/>
        <w:rPr>
          <w:rFonts w:ascii="Arial" w:cs="Arial" w:eastAsia="Arial" w:hAnsi="Arial"/>
          <w:sz w:val="17"/>
          <w:szCs w:val="17"/>
          <w:color w:val="auto"/>
        </w:rPr>
      </w:pPr>
    </w:p>
    <w:p>
      <w:pPr>
        <w:ind w:left="1360" w:right="120" w:hanging="413"/>
        <w:spacing w:after="0" w:line="265" w:lineRule="auto"/>
        <w:tabs>
          <w:tab w:leader="none" w:pos="1360" w:val="left"/>
        </w:tabs>
        <w:numPr>
          <w:ilvl w:val="1"/>
          <w:numId w:val="237"/>
        </w:numPr>
        <w:rPr>
          <w:rFonts w:ascii="Arial" w:cs="Arial" w:eastAsia="Arial" w:hAnsi="Arial"/>
          <w:sz w:val="17"/>
          <w:szCs w:val="17"/>
          <w:color w:val="auto"/>
        </w:rPr>
      </w:pPr>
      <w:r>
        <w:rPr>
          <w:rFonts w:ascii="Arial" w:cs="Arial" w:eastAsia="Arial" w:hAnsi="Arial"/>
          <w:sz w:val="17"/>
          <w:szCs w:val="17"/>
          <w:u w:val="single" w:color="auto"/>
          <w:color w:val="auto"/>
        </w:rPr>
        <w:t>Vesting; Repurchase Right</w:t>
      </w:r>
      <w:r>
        <w:rPr>
          <w:rFonts w:ascii="Arial" w:cs="Arial" w:eastAsia="Arial" w:hAnsi="Arial"/>
          <w:sz w:val="17"/>
          <w:szCs w:val="17"/>
          <w:color w:val="auto"/>
        </w:rPr>
        <w:t>. If any of the shares of Common Stock being purchased by me and listed above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are attributable to the unvested portion of the Option (the “</w:t>
      </w:r>
      <w:r>
        <w:rPr>
          <w:rFonts w:ascii="Arial" w:cs="Arial" w:eastAsia="Arial" w:hAnsi="Arial"/>
          <w:sz w:val="17"/>
          <w:szCs w:val="17"/>
          <w:b w:val="1"/>
          <w:bCs w:val="1"/>
          <w:i w:val="1"/>
          <w:iCs w:val="1"/>
          <w:color w:val="auto"/>
        </w:rPr>
        <w:t>Unvested Shares</w:t>
      </w:r>
      <w:r>
        <w:rPr>
          <w:rFonts w:ascii="Arial" w:cs="Arial" w:eastAsia="Arial" w:hAnsi="Arial"/>
          <w:sz w:val="17"/>
          <w:szCs w:val="17"/>
          <w:color w:val="auto"/>
        </w:rPr>
        <w:t xml:space="preserve">”), I understand that such Unvested Shares are also subject to the Company’s repurchase right and other restrictions contained in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to this Notice of Exercise. The Unvested Shares shall vest, and the Company’s repurchase right shall lapse, as of the date(s) that the Option would have otherwise become vested as to such Unvested Shares.</w:t>
      </w:r>
    </w:p>
    <w:p>
      <w:pPr>
        <w:spacing w:after="0" w:line="86" w:lineRule="exact"/>
        <w:rPr>
          <w:rFonts w:ascii="Arial" w:cs="Arial" w:eastAsia="Arial" w:hAnsi="Arial"/>
          <w:sz w:val="17"/>
          <w:szCs w:val="17"/>
          <w:color w:val="auto"/>
        </w:rPr>
      </w:pPr>
    </w:p>
    <w:p>
      <w:pPr>
        <w:ind w:left="1360" w:right="20" w:hanging="413"/>
        <w:spacing w:after="0" w:line="261" w:lineRule="auto"/>
        <w:tabs>
          <w:tab w:leader="none" w:pos="1360" w:val="left"/>
        </w:tabs>
        <w:numPr>
          <w:ilvl w:val="1"/>
          <w:numId w:val="237"/>
        </w:numPr>
        <w:rPr>
          <w:rFonts w:ascii="Arial" w:cs="Arial" w:eastAsia="Arial" w:hAnsi="Arial"/>
          <w:sz w:val="17"/>
          <w:szCs w:val="17"/>
          <w:color w:val="auto"/>
        </w:rPr>
      </w:pPr>
      <w:r>
        <w:rPr>
          <w:rFonts w:ascii="Arial" w:cs="Arial" w:eastAsia="Arial" w:hAnsi="Arial"/>
          <w:sz w:val="17"/>
          <w:szCs w:val="17"/>
          <w:u w:val="single" w:color="auto"/>
          <w:color w:val="auto"/>
        </w:rPr>
        <w:t>Section 83(b) Election</w:t>
      </w:r>
      <w:r>
        <w:rPr>
          <w:rFonts w:ascii="Arial" w:cs="Arial" w:eastAsia="Arial" w:hAnsi="Arial"/>
          <w:sz w:val="17"/>
          <w:szCs w:val="17"/>
          <w:color w:val="auto"/>
        </w:rPr>
        <w:t xml:space="preserve">. I understand and acknowledge that if I am subject to personal income taxation in the United States, the acquisition of Unvested Shares may result in adverse tax consequences which may be avoided or mitigated by filing an election under Section 83(b) of the Code. Such election must be filed within thirty (30) days after the Unvested Shares are transferred to the Purchaser. A sample of the form for making the Code Section 83(b) election attached to the Notice of Exercise as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I acknowledge that I have been advised to consult with my own tax advisor to determine the tax consequences of acquiring the Unvested Shares and the advantages and disadvantages of filing the Code Section 83(b) election. I acknowledge that it is my sole responsibility, and not the Company’s or its’ legal counsel’s, to file a timely election under Code Section 83(b), even if the Company or its representatives agree to make this filing on my behalf.</w:t>
      </w:r>
    </w:p>
    <w:p>
      <w:pPr>
        <w:spacing w:after="0" w:line="179" w:lineRule="exact"/>
        <w:rPr>
          <w:rFonts w:ascii="Arial" w:cs="Arial" w:eastAsia="Arial" w:hAnsi="Arial"/>
          <w:sz w:val="17"/>
          <w:szCs w:val="17"/>
          <w:color w:val="auto"/>
        </w:rPr>
      </w:pPr>
    </w:p>
    <w:p>
      <w:pPr>
        <w:ind w:right="100" w:firstLine="419"/>
        <w:spacing w:after="0" w:line="330" w:lineRule="auto"/>
        <w:tabs>
          <w:tab w:leader="none" w:pos="602" w:val="left"/>
        </w:tabs>
        <w:numPr>
          <w:ilvl w:val="0"/>
          <w:numId w:val="237"/>
        </w:numPr>
        <w:rPr>
          <w:rFonts w:ascii="Arial" w:cs="Arial" w:eastAsia="Arial" w:hAnsi="Arial"/>
          <w:sz w:val="16"/>
          <w:szCs w:val="16"/>
          <w:color w:val="auto"/>
        </w:rPr>
      </w:pPr>
      <w:r>
        <w:rPr>
          <w:rFonts w:ascii="Arial" w:cs="Arial" w:eastAsia="Arial" w:hAnsi="Arial"/>
          <w:sz w:val="16"/>
          <w:szCs w:val="16"/>
          <w:b w:val="1"/>
          <w:bCs w:val="1"/>
          <w:color w:val="auto"/>
        </w:rPr>
        <w:t>Investment Representations</w:t>
      </w:r>
      <w:r>
        <w:rPr>
          <w:rFonts w:ascii="Arial" w:cs="Arial" w:eastAsia="Arial" w:hAnsi="Arial"/>
          <w:sz w:val="16"/>
          <w:szCs w:val="16"/>
          <w:color w:val="auto"/>
        </w:rPr>
        <w:t>. I hereby make the following certifications and representations with respect to the number of Shares listed above</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vested or unvested), which are being acquired by me for my own account upon exercise of the option as set forth above:</w:t>
      </w:r>
    </w:p>
    <w:p>
      <w:pPr>
        <w:spacing w:after="0" w:line="36" w:lineRule="exact"/>
        <w:rPr>
          <w:rFonts w:ascii="Arial" w:cs="Arial" w:eastAsia="Arial" w:hAnsi="Arial"/>
          <w:sz w:val="16"/>
          <w:szCs w:val="16"/>
          <w:color w:val="auto"/>
        </w:rPr>
      </w:pPr>
    </w:p>
    <w:p>
      <w:pPr>
        <w:ind w:left="1360" w:right="60" w:hanging="413"/>
        <w:spacing w:after="0" w:line="267" w:lineRule="auto"/>
        <w:tabs>
          <w:tab w:leader="none" w:pos="136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I acknowledge that the Unvested Shares have not been registered under the Securities Act of 1933, as amended (the “</w:t>
      </w:r>
      <w:r>
        <w:rPr>
          <w:rFonts w:ascii="Arial" w:cs="Arial" w:eastAsia="Arial" w:hAnsi="Arial"/>
          <w:sz w:val="17"/>
          <w:szCs w:val="17"/>
          <w:b w:val="1"/>
          <w:bCs w:val="1"/>
          <w:i w:val="1"/>
          <w:iCs w:val="1"/>
          <w:color w:val="auto"/>
        </w:rPr>
        <w:t>Securities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and are deemed to constitute “restricted securities” under Rule 144 promulgated under the Securities Act. I represent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warrant to the Company that I have no present intention of distributing or selling the Shares except as permitted under the Securities Act and any applicable state securities laws.</w:t>
      </w:r>
    </w:p>
    <w:p>
      <w:pPr>
        <w:spacing w:after="0" w:line="86" w:lineRule="exact"/>
        <w:rPr>
          <w:rFonts w:ascii="Arial" w:cs="Arial" w:eastAsia="Arial" w:hAnsi="Arial"/>
          <w:sz w:val="17"/>
          <w:szCs w:val="17"/>
          <w:color w:val="auto"/>
        </w:rPr>
      </w:pPr>
    </w:p>
    <w:p>
      <w:pPr>
        <w:ind w:left="1360" w:hanging="413"/>
        <w:spacing w:after="0" w:line="273" w:lineRule="auto"/>
        <w:tabs>
          <w:tab w:leader="none" w:pos="136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I further acknowledge that the Unvested Shares may not be sold, assigned, transferred, pledged or otherwise disposed of, alienated or encumbered, either voluntarily or involuntarily, other than by will or the laws of descent and distribution, until the time that the Unvested Shares become vested in accordance with the terms of the Option Agreement.</w:t>
      </w:r>
    </w:p>
    <w:p>
      <w:pPr>
        <w:spacing w:after="0" w:line="79" w:lineRule="exact"/>
        <w:rPr>
          <w:rFonts w:ascii="Arial" w:cs="Arial" w:eastAsia="Arial" w:hAnsi="Arial"/>
          <w:sz w:val="17"/>
          <w:szCs w:val="17"/>
          <w:color w:val="auto"/>
        </w:rPr>
      </w:pPr>
    </w:p>
    <w:p>
      <w:pPr>
        <w:ind w:left="1360" w:right="200" w:hanging="413"/>
        <w:spacing w:after="0" w:line="273" w:lineRule="auto"/>
        <w:tabs>
          <w:tab w:leader="none" w:pos="136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I further acknowledge that certificates (if any) representing any of the Shares subject to the provisions of the Option will have endorsed thereon appropriate legends reflecting the foregoing limitations, as well as any legends reflecting restrictions pursuant to applicable securities laws.</w:t>
      </w:r>
    </w:p>
    <w:p>
      <w:pPr>
        <w:spacing w:after="0" w:line="165" w:lineRule="exact"/>
        <w:rPr>
          <w:rFonts w:ascii="Arial" w:cs="Arial" w:eastAsia="Arial" w:hAnsi="Arial"/>
          <w:sz w:val="17"/>
          <w:szCs w:val="17"/>
          <w:color w:val="auto"/>
        </w:rPr>
      </w:pPr>
    </w:p>
    <w:p>
      <w:pPr>
        <w:ind w:right="160" w:firstLine="419"/>
        <w:spacing w:after="0" w:line="276" w:lineRule="auto"/>
        <w:tabs>
          <w:tab w:leader="none" w:pos="602" w:val="left"/>
        </w:tabs>
        <w:numPr>
          <w:ilvl w:val="0"/>
          <w:numId w:val="237"/>
        </w:numPr>
        <w:rPr>
          <w:rFonts w:ascii="Arial" w:cs="Arial" w:eastAsia="Arial" w:hAnsi="Arial"/>
          <w:sz w:val="17"/>
          <w:szCs w:val="17"/>
          <w:color w:val="auto"/>
        </w:rPr>
      </w:pPr>
      <w:r>
        <w:rPr>
          <w:rFonts w:ascii="Arial" w:cs="Arial" w:eastAsia="Arial" w:hAnsi="Arial"/>
          <w:sz w:val="17"/>
          <w:szCs w:val="17"/>
          <w:b w:val="1"/>
          <w:bCs w:val="1"/>
          <w:color w:val="auto"/>
        </w:rPr>
        <w:t>Entire Agreement</w:t>
      </w:r>
      <w:r>
        <w:rPr>
          <w:rFonts w:ascii="Arial" w:cs="Arial" w:eastAsia="Arial" w:hAnsi="Arial"/>
          <w:sz w:val="17"/>
          <w:szCs w:val="17"/>
          <w:color w:val="auto"/>
        </w:rPr>
        <w:t>. I acknowledge that this Notice of Exercise (including</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together with the Option Agreement and the Plan, set</w:t>
      </w:r>
      <w:r>
        <w:rPr>
          <w:rFonts w:ascii="Arial" w:cs="Arial" w:eastAsia="Arial" w:hAnsi="Arial"/>
          <w:sz w:val="17"/>
          <w:szCs w:val="17"/>
          <w:b w:val="1"/>
          <w:bCs w:val="1"/>
          <w:color w:val="auto"/>
        </w:rPr>
        <w:t xml:space="preserve"> </w:t>
      </w:r>
      <w:r>
        <w:rPr>
          <w:rFonts w:ascii="Arial" w:cs="Arial" w:eastAsia="Arial" w:hAnsi="Arial"/>
          <w:sz w:val="17"/>
          <w:szCs w:val="17"/>
          <w:color w:val="auto"/>
        </w:rPr>
        <w:t>forth the entire understanding between myself and the Company regarding the acquisition of Shares referenced above and supersedes all prior oral and written agreements, promises and/or representations on that subject.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60"/>
          </w:cols>
          <w:pgMar w:left="620" w:top="265" w:right="619" w:bottom="1440" w:gutter="0" w:footer="0" w:header="0"/>
        </w:sectPr>
      </w:pPr>
    </w:p>
    <w:bookmarkStart w:id="346" w:name="page347"/>
    <w:bookmarkEnd w:id="346"/>
    <w:p>
      <w:pPr>
        <w:ind w:firstLine="419"/>
        <w:spacing w:after="0" w:line="317" w:lineRule="auto"/>
        <w:tabs>
          <w:tab w:leader="none" w:pos="602" w:val="left"/>
        </w:tabs>
        <w:numPr>
          <w:ilvl w:val="0"/>
          <w:numId w:val="238"/>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Counterparts</w:t>
      </w:r>
      <w:r>
        <w:rPr>
          <w:rFonts w:ascii="Arial" w:cs="Arial" w:eastAsia="Arial" w:hAnsi="Arial"/>
          <w:sz w:val="15"/>
          <w:szCs w:val="15"/>
          <w:color w:val="auto"/>
        </w:rPr>
        <w:t>. This Notice of Exercise may be executed in two or more counterparts, each of which will be deemed an original, but all of</w:t>
      </w:r>
      <w:r>
        <w:rPr>
          <w:rFonts w:ascii="Arial" w:cs="Arial" w:eastAsia="Arial" w:hAnsi="Arial"/>
          <w:sz w:val="15"/>
          <w:szCs w:val="15"/>
          <w:b w:val="1"/>
          <w:bCs w:val="1"/>
          <w:color w:val="auto"/>
        </w:rPr>
        <w:t xml:space="preserve"> </w:t>
      </w:r>
      <w:r>
        <w:rPr>
          <w:rFonts w:ascii="Arial" w:cs="Arial" w:eastAsia="Arial" w:hAnsi="Arial"/>
          <w:sz w:val="15"/>
          <w:szCs w:val="15"/>
          <w:color w:val="auto"/>
        </w:rPr>
        <w:t>which together will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168"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4069080</wp:posOffset>
            </wp:positionH>
            <wp:positionV relativeFrom="paragraph">
              <wp:posOffset>324485</wp:posOffset>
            </wp:positionV>
            <wp:extent cx="271081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6">
                      <a:extLst>
                        <a:ext uri="{28A0092B-C50C-407E-A947-70E740481C1C}"/>
                      </a:extLst>
                    </a:blip>
                    <a:srcRect/>
                    <a:stretch>
                      <a:fillRect/>
                    </a:stretch>
                  </pic:blipFill>
                  <pic:spPr bwMode="auto">
                    <a:xfrm>
                      <a:off x="0" y="0"/>
                      <a:ext cx="271081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4069080</wp:posOffset>
            </wp:positionH>
            <wp:positionV relativeFrom="paragraph">
              <wp:posOffset>282575</wp:posOffset>
            </wp:positionV>
            <wp:extent cx="271081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7">
                      <a:extLst>
                        <a:ext uri="{28A0092B-C50C-407E-A947-70E740481C1C}"/>
                      </a:extLst>
                    </a:blip>
                    <a:srcRect/>
                    <a:stretch>
                      <a:fillRect/>
                    </a:stretch>
                  </pic:blipFill>
                  <pic:spPr bwMode="auto">
                    <a:xfrm>
                      <a:off x="0" y="0"/>
                      <a:ext cx="271081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Print Name</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Address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4069080</wp:posOffset>
            </wp:positionH>
            <wp:positionV relativeFrom="paragraph">
              <wp:posOffset>548640</wp:posOffset>
            </wp:positionV>
            <wp:extent cx="271081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8">
                      <a:extLst>
                        <a:ext uri="{28A0092B-C50C-407E-A947-70E740481C1C}"/>
                      </a:extLst>
                    </a:blip>
                    <a:srcRect/>
                    <a:stretch>
                      <a:fillRect/>
                    </a:stretch>
                  </pic:blipFill>
                  <pic:spPr bwMode="auto">
                    <a:xfrm>
                      <a:off x="0" y="0"/>
                      <a:ext cx="2710815" cy="8255"/>
                    </a:xfrm>
                    <a:prstGeom prst="rect">
                      <a:avLst/>
                    </a:prstGeom>
                    <a:noFill/>
                  </pic:spPr>
                </pic:pic>
              </a:graphicData>
            </a:graphic>
          </wp:anchor>
        </w:drawing>
        <w:drawing>
          <wp:anchor simplePos="0" relativeHeight="251657728" behindDoc="1" locked="0" layoutInCell="0" allowOverlap="1">
            <wp:simplePos x="0" y="0"/>
            <wp:positionH relativeFrom="column">
              <wp:posOffset>4069080</wp:posOffset>
            </wp:positionH>
            <wp:positionV relativeFrom="paragraph">
              <wp:posOffset>282575</wp:posOffset>
            </wp:positionV>
            <wp:extent cx="271081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9">
                      <a:extLst>
                        <a:ext uri="{28A0092B-C50C-407E-A947-70E740481C1C}"/>
                      </a:extLst>
                    </a:blip>
                    <a:srcRect/>
                    <a:stretch>
                      <a:fillRect/>
                    </a:stretch>
                  </pic:blipFill>
                  <pic:spPr bwMode="auto">
                    <a:xfrm>
                      <a:off x="0" y="0"/>
                      <a:ext cx="2710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Received by NGM Biopharmaceuticals,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340106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0">
                      <a:extLst>
                        <a:ext uri="{28A0092B-C50C-407E-A947-70E740481C1C}"/>
                      </a:extLst>
                    </a:blip>
                    <a:srcRect/>
                    <a:stretch>
                      <a:fillRect/>
                    </a:stretch>
                  </pic:blipFill>
                  <pic:spPr bwMode="auto">
                    <a:xfrm>
                      <a:off x="0" y="0"/>
                      <a:ext cx="340106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Print and sign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678497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1">
                      <a:extLst>
                        <a:ext uri="{28A0092B-C50C-407E-A947-70E740481C1C}"/>
                      </a:extLst>
                    </a:blip>
                    <a:srcRect/>
                    <a:stretch>
                      <a:fillRect/>
                    </a:stretch>
                  </pic:blipFill>
                  <pic:spPr bwMode="auto">
                    <a:xfrm>
                      <a:off x="0" y="0"/>
                      <a:ext cx="678497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tabs>
          <w:tab w:leader="none" w:pos="7240" w:val="left"/>
        </w:tabs>
        <w:rPr>
          <w:sz w:val="20"/>
          <w:szCs w:val="20"/>
          <w:color w:val="auto"/>
        </w:rPr>
      </w:pPr>
      <w:r>
        <w:rPr>
          <w:rFonts w:ascii="Arial" w:cs="Arial" w:eastAsia="Arial" w:hAnsi="Arial"/>
          <w:sz w:val="17"/>
          <w:szCs w:val="17"/>
          <w:color w:val="auto"/>
        </w:rPr>
        <w:t>Date of receipt of check and paperwork</w:t>
      </w:r>
      <w:r>
        <w:rPr>
          <w:sz w:val="20"/>
          <w:szCs w:val="20"/>
          <w:color w:val="auto"/>
        </w:rPr>
        <w:tab/>
      </w:r>
      <w:r>
        <w:rPr>
          <w:rFonts w:ascii="Arial" w:cs="Arial" w:eastAsia="Arial" w:hAnsi="Arial"/>
          <w:sz w:val="16"/>
          <w:szCs w:val="16"/>
          <w:color w:val="auto"/>
        </w:rPr>
        <w:t>Date of postmark, if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60"/>
          </w:cols>
          <w:pgMar w:left="620" w:top="265" w:right="619" w:bottom="1440" w:gutter="0" w:footer="0" w:header="0"/>
        </w:sectPr>
      </w:pPr>
    </w:p>
    <w:bookmarkStart w:id="347" w:name="page348"/>
    <w:bookmarkEnd w:id="347"/>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7"/>
          <w:szCs w:val="17"/>
          <w:b w:val="1"/>
          <w:bCs w:val="1"/>
          <w:color w:val="auto"/>
        </w:rPr>
        <w:t xml:space="preserve"> A </w:t>
      </w:r>
      <w:r>
        <w:rPr>
          <w:rFonts w:ascii="Arial" w:cs="Arial" w:eastAsia="Arial" w:hAnsi="Arial"/>
          <w:sz w:val="14"/>
          <w:szCs w:val="14"/>
          <w:b w:val="1"/>
          <w:bCs w:val="1"/>
          <w:color w:val="auto"/>
        </w:rPr>
        <w:t>TO</w:t>
      </w:r>
      <w:r>
        <w:rPr>
          <w:rFonts w:ascii="Arial" w:cs="Arial" w:eastAsia="Arial" w:hAnsi="Arial"/>
          <w:sz w:val="17"/>
          <w:szCs w:val="17"/>
          <w:b w:val="1"/>
          <w:bCs w:val="1"/>
          <w:color w:val="auto"/>
        </w:rPr>
        <w:t xml:space="preserve"> N</w:t>
      </w:r>
      <w:r>
        <w:rPr>
          <w:rFonts w:ascii="Arial" w:cs="Arial" w:eastAsia="Arial" w:hAnsi="Arial"/>
          <w:sz w:val="14"/>
          <w:szCs w:val="14"/>
          <w:b w:val="1"/>
          <w:bCs w:val="1"/>
          <w:color w:val="auto"/>
        </w:rPr>
        <w:t>OTICE OF</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XERCISE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4"/>
          <w:szCs w:val="14"/>
          <w:b w:val="1"/>
          <w:bCs w:val="1"/>
          <w:color w:val="auto"/>
        </w:rPr>
        <w:t>OMPANY</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EPURCHASE</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IGHT ON</w:t>
      </w:r>
      <w:r>
        <w:rPr>
          <w:rFonts w:ascii="Arial" w:cs="Arial" w:eastAsia="Arial" w:hAnsi="Arial"/>
          <w:sz w:val="17"/>
          <w:szCs w:val="17"/>
          <w:b w:val="1"/>
          <w:bCs w:val="1"/>
          <w:color w:val="auto"/>
        </w:rPr>
        <w:t xml:space="preserve"> U</w:t>
      </w:r>
      <w:r>
        <w:rPr>
          <w:rFonts w:ascii="Arial" w:cs="Arial" w:eastAsia="Arial" w:hAnsi="Arial"/>
          <w:sz w:val="14"/>
          <w:szCs w:val="14"/>
          <w:b w:val="1"/>
          <w:bCs w:val="1"/>
          <w:color w:val="auto"/>
        </w:rPr>
        <w:t>NVESTED</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HARES</w:t>
      </w:r>
    </w:p>
    <w:p>
      <w:pPr>
        <w:spacing w:after="0" w:line="230" w:lineRule="exact"/>
        <w:rPr>
          <w:sz w:val="20"/>
          <w:szCs w:val="20"/>
          <w:color w:val="auto"/>
        </w:rPr>
      </w:pPr>
    </w:p>
    <w:p>
      <w:pPr>
        <w:jc w:val="both"/>
        <w:ind w:right="160" w:firstLine="427"/>
        <w:spacing w:after="0" w:line="325" w:lineRule="auto"/>
        <w:rPr>
          <w:sz w:val="20"/>
          <w:szCs w:val="20"/>
          <w:color w:val="auto"/>
        </w:rPr>
      </w:pPr>
      <w:r>
        <w:rPr>
          <w:rFonts w:ascii="Arial" w:cs="Arial" w:eastAsia="Arial" w:hAnsi="Arial"/>
          <w:sz w:val="15"/>
          <w:szCs w:val="15"/>
          <w:color w:val="auto"/>
        </w:rPr>
        <w:t xml:space="preserve">Subject to the terms and conditions of this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to the Notice of Exercise, the Company shall have the right (the “</w:t>
      </w:r>
      <w:r>
        <w:rPr>
          <w:rFonts w:ascii="Arial" w:cs="Arial" w:eastAsia="Arial" w:hAnsi="Arial"/>
          <w:sz w:val="15"/>
          <w:szCs w:val="15"/>
          <w:b w:val="1"/>
          <w:bCs w:val="1"/>
          <w:i w:val="1"/>
          <w:iCs w:val="1"/>
          <w:color w:val="auto"/>
        </w:rPr>
        <w:t>Repurchase Right</w:t>
      </w:r>
      <w:r>
        <w:rPr>
          <w:rFonts w:ascii="Arial" w:cs="Arial" w:eastAsia="Arial" w:hAnsi="Arial"/>
          <w:sz w:val="15"/>
          <w:szCs w:val="15"/>
          <w:color w:val="auto"/>
        </w:rPr>
        <w:t>”) (but not the obligation) to repurchase in one or more transactions in connection with the termination of Purchaser’s Continuous Service, and Purchaser (or any permitted transferee) shall be obligated to sell any of the Unvested Shares that have not, as of Purchaser’s date of termination, become vested.</w:t>
      </w:r>
    </w:p>
    <w:p>
      <w:pPr>
        <w:spacing w:after="0" w:line="137" w:lineRule="exact"/>
        <w:rPr>
          <w:sz w:val="20"/>
          <w:szCs w:val="20"/>
          <w:color w:val="auto"/>
        </w:rPr>
      </w:pPr>
    </w:p>
    <w:p>
      <w:pPr>
        <w:ind w:firstLine="419"/>
        <w:spacing w:after="0" w:line="281" w:lineRule="auto"/>
        <w:tabs>
          <w:tab w:leader="none" w:pos="602" w:val="left"/>
        </w:tabs>
        <w:numPr>
          <w:ilvl w:val="0"/>
          <w:numId w:val="239"/>
        </w:numPr>
        <w:rPr>
          <w:rFonts w:ascii="Arial" w:cs="Arial" w:eastAsia="Arial" w:hAnsi="Arial"/>
          <w:sz w:val="16"/>
          <w:szCs w:val="16"/>
          <w:color w:val="auto"/>
        </w:rPr>
      </w:pPr>
      <w:r>
        <w:rPr>
          <w:rFonts w:ascii="Arial" w:cs="Arial" w:eastAsia="Arial" w:hAnsi="Arial"/>
          <w:sz w:val="16"/>
          <w:szCs w:val="16"/>
          <w:color w:val="auto"/>
        </w:rPr>
        <w:t>To exercise the Repurchase Right, the Company must give written notice thereof to Purchaser (the “</w:t>
      </w:r>
      <w:r>
        <w:rPr>
          <w:rFonts w:ascii="Arial" w:cs="Arial" w:eastAsia="Arial" w:hAnsi="Arial"/>
          <w:sz w:val="16"/>
          <w:szCs w:val="16"/>
          <w:b w:val="1"/>
          <w:bCs w:val="1"/>
          <w:i w:val="1"/>
          <w:iCs w:val="1"/>
          <w:color w:val="auto"/>
        </w:rPr>
        <w:t>Repurchase Notice</w:t>
      </w:r>
      <w:r>
        <w:rPr>
          <w:rFonts w:ascii="Arial" w:cs="Arial" w:eastAsia="Arial" w:hAnsi="Arial"/>
          <w:sz w:val="16"/>
          <w:szCs w:val="16"/>
          <w:color w:val="auto"/>
        </w:rPr>
        <w:t>”). The Repurchase Notice is irrevocable by the Company and must (a) be in writing and signed by an authorized officer of the Company, (b) set forth the Company’s intent to exercise the Repurchase Right and contain the total number of Unvested Shares to be sold to the Company pursuant to the exercise of the Repurchase Right, (c) be delivered to Purchaser in person or by fax or electronic mail (transmission confirmed), or by overnight courier service, postage prepaid, addressed to Purchaser at Purchaser’s address reflected or last reflected on the Company’s payroll records, and (d) be so mailed or delivered no later than 90 days after the date of Purchaser’s termination of Continuous Service. The Repurchase Notice shall be deemed to have been duly given as of the date mailed or delivered in accordance with the foregoing provisions.</w:t>
      </w:r>
    </w:p>
    <w:p>
      <w:pPr>
        <w:spacing w:after="0" w:line="168" w:lineRule="exact"/>
        <w:rPr>
          <w:rFonts w:ascii="Arial" w:cs="Arial" w:eastAsia="Arial" w:hAnsi="Arial"/>
          <w:sz w:val="16"/>
          <w:szCs w:val="16"/>
          <w:color w:val="auto"/>
        </w:rPr>
      </w:pPr>
    </w:p>
    <w:p>
      <w:pPr>
        <w:ind w:right="40" w:firstLine="419"/>
        <w:spacing w:after="0" w:line="262" w:lineRule="auto"/>
        <w:tabs>
          <w:tab w:leader="none" w:pos="602"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The price per Unvested Share to be paid by the Company upon settlement of the Repurchase Right (the “</w:t>
      </w:r>
      <w:r>
        <w:rPr>
          <w:rFonts w:ascii="Arial" w:cs="Arial" w:eastAsia="Arial" w:hAnsi="Arial"/>
          <w:sz w:val="17"/>
          <w:szCs w:val="17"/>
          <w:b w:val="1"/>
          <w:bCs w:val="1"/>
          <w:i w:val="1"/>
          <w:iCs w:val="1"/>
          <w:color w:val="auto"/>
        </w:rPr>
        <w:t>Repurchase Price</w:t>
      </w:r>
      <w:r>
        <w:rPr>
          <w:rFonts w:ascii="Arial" w:cs="Arial" w:eastAsia="Arial" w:hAnsi="Arial"/>
          <w:sz w:val="17"/>
          <w:szCs w:val="17"/>
          <w:color w:val="auto"/>
        </w:rPr>
        <w:t xml:space="preserve">”) shall equal the </w:t>
      </w:r>
      <w:r>
        <w:rPr>
          <w:rFonts w:ascii="Arial" w:cs="Arial" w:eastAsia="Arial" w:hAnsi="Arial"/>
          <w:sz w:val="17"/>
          <w:szCs w:val="17"/>
          <w:u w:val="single" w:color="auto"/>
          <w:color w:val="auto"/>
        </w:rPr>
        <w:t>lesser</w:t>
      </w:r>
      <w:r>
        <w:rPr>
          <w:rFonts w:ascii="Arial" w:cs="Arial" w:eastAsia="Arial" w:hAnsi="Arial"/>
          <w:sz w:val="17"/>
          <w:szCs w:val="17"/>
          <w:color w:val="auto"/>
        </w:rPr>
        <w:t xml:space="preserve"> of (a) the price paid by the Purchaser to exercise the Option and acquire such Unvested Share, or (b) the Fair Market Value of a Share determined as of the date of the Repurchase Notice in accordance with the terms of the Plan. No interest shall be paid with respect to and no other adjustments (other than adjustments in accordance with the Plan to reflect stock splits and similar changes in capitalization) shall be made to the Repurchase Price. The closing of any repurchase pursuant to the Repurchase Right shall be at a date to be specified by the Company, such date to be no later than 90 days after the date of Purchaser’s termination of Continuous Service. The Repurchase Price shall be paid at the closing in the form of a check or by cancellation of indebtedness.</w:t>
      </w:r>
    </w:p>
    <w:p>
      <w:pPr>
        <w:spacing w:after="0" w:line="182" w:lineRule="exact"/>
        <w:rPr>
          <w:rFonts w:ascii="Arial" w:cs="Arial" w:eastAsia="Arial" w:hAnsi="Arial"/>
          <w:sz w:val="17"/>
          <w:szCs w:val="17"/>
          <w:color w:val="auto"/>
        </w:rPr>
      </w:pPr>
    </w:p>
    <w:p>
      <w:pPr>
        <w:ind w:firstLine="419"/>
        <w:spacing w:after="0" w:line="267" w:lineRule="auto"/>
        <w:tabs>
          <w:tab w:leader="none" w:pos="602" w:val="left"/>
        </w:tabs>
        <w:numPr>
          <w:ilvl w:val="0"/>
          <w:numId w:val="239"/>
        </w:numPr>
        <w:rPr>
          <w:rFonts w:ascii="Arial" w:cs="Arial" w:eastAsia="Arial" w:hAnsi="Arial"/>
          <w:sz w:val="17"/>
          <w:szCs w:val="17"/>
          <w:color w:val="auto"/>
        </w:rPr>
      </w:pPr>
      <w:r>
        <w:rPr>
          <w:rFonts w:ascii="Arial" w:cs="Arial" w:eastAsia="Arial" w:hAnsi="Arial"/>
          <w:sz w:val="17"/>
          <w:szCs w:val="17"/>
          <w:color w:val="auto"/>
        </w:rPr>
        <w:t>Upon a repurchase of any Unvested Shares by the Company, such repurchased Unvested Shares shall be automatically transferred to the Company, without any further action by Purchaser (or Purchaser’s beneficiary or personal representative, as the case may be). Purchaser (or Purchaser’s beneficiary or personal representative, as the case may be) shall deliver any additional documents of transfer that the Company may request to confirm the transfer of such repurchased Unvested Shares to the Company.</w:t>
      </w:r>
    </w:p>
    <w:p>
      <w:pPr>
        <w:spacing w:after="0" w:line="177" w:lineRule="exact"/>
        <w:rPr>
          <w:rFonts w:ascii="Arial" w:cs="Arial" w:eastAsia="Arial" w:hAnsi="Arial"/>
          <w:sz w:val="17"/>
          <w:szCs w:val="17"/>
          <w:color w:val="auto"/>
        </w:rPr>
      </w:pPr>
    </w:p>
    <w:p>
      <w:pPr>
        <w:ind w:left="600" w:hanging="181"/>
        <w:spacing w:after="0"/>
        <w:tabs>
          <w:tab w:leader="none" w:pos="60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To the maximum extent permitted by law, Purchaser’s rights following the exercise of the Repurchase Right shall, with respect to the</w:t>
      </w:r>
    </w:p>
    <w:p>
      <w:pPr>
        <w:spacing w:after="0" w:line="26" w:lineRule="exact"/>
        <w:rPr>
          <w:rFonts w:ascii="Arial" w:cs="Arial" w:eastAsia="Arial" w:hAnsi="Arial"/>
          <w:sz w:val="17"/>
          <w:szCs w:val="17"/>
          <w:color w:val="auto"/>
        </w:rPr>
      </w:pPr>
    </w:p>
    <w:p>
      <w:pPr>
        <w:ind w:right="100"/>
        <w:spacing w:after="0" w:line="274" w:lineRule="auto"/>
        <w:rPr>
          <w:rFonts w:ascii="Arial" w:cs="Arial" w:eastAsia="Arial" w:hAnsi="Arial"/>
          <w:sz w:val="17"/>
          <w:szCs w:val="17"/>
          <w:color w:val="auto"/>
        </w:rPr>
      </w:pPr>
      <w:r>
        <w:rPr>
          <w:rFonts w:ascii="Arial" w:cs="Arial" w:eastAsia="Arial" w:hAnsi="Arial"/>
          <w:sz w:val="17"/>
          <w:szCs w:val="17"/>
          <w:color w:val="auto"/>
        </w:rPr>
        <w:t>repurchase and the Unvested Shares covered thereby, be solely the rights that he or she has as a general creditor of the Company to receive payment of the amount specified above.</w:t>
      </w:r>
    </w:p>
    <w:p>
      <w:pPr>
        <w:sectPr>
          <w:pgSz w:w="11900" w:h="16838" w:orient="portrait"/>
          <w:cols w:equalWidth="0" w:num="1">
            <w:col w:w="10620"/>
          </w:cols>
          <w:pgMar w:left="620" w:top="265" w:right="659" w:bottom="1440" w:gutter="0" w:footer="0" w:header="0"/>
        </w:sectPr>
      </w:pPr>
    </w:p>
    <w:bookmarkStart w:id="348" w:name="page349"/>
    <w:bookmarkEnd w:id="348"/>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7"/>
          <w:szCs w:val="17"/>
          <w:b w:val="1"/>
          <w:bCs w:val="1"/>
          <w:color w:val="auto"/>
        </w:rPr>
        <w:t xml:space="preserve"> B </w:t>
      </w:r>
      <w:r>
        <w:rPr>
          <w:rFonts w:ascii="Arial" w:cs="Arial" w:eastAsia="Arial" w:hAnsi="Arial"/>
          <w:sz w:val="14"/>
          <w:szCs w:val="14"/>
          <w:b w:val="1"/>
          <w:bCs w:val="1"/>
          <w:color w:val="auto"/>
        </w:rPr>
        <w:t>TO</w:t>
      </w:r>
      <w:r>
        <w:rPr>
          <w:rFonts w:ascii="Arial" w:cs="Arial" w:eastAsia="Arial" w:hAnsi="Arial"/>
          <w:sz w:val="17"/>
          <w:szCs w:val="17"/>
          <w:b w:val="1"/>
          <w:bCs w:val="1"/>
          <w:color w:val="auto"/>
        </w:rPr>
        <w:t xml:space="preserve"> N</w:t>
      </w:r>
      <w:r>
        <w:rPr>
          <w:rFonts w:ascii="Arial" w:cs="Arial" w:eastAsia="Arial" w:hAnsi="Arial"/>
          <w:sz w:val="14"/>
          <w:szCs w:val="14"/>
          <w:b w:val="1"/>
          <w:bCs w:val="1"/>
          <w:color w:val="auto"/>
        </w:rPr>
        <w:t>OTICE OF</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XERCISE</w:t>
      </w:r>
    </w:p>
    <w:p>
      <w:pPr>
        <w:sectPr>
          <w:pgSz w:w="11900" w:h="16838" w:orient="portrait"/>
          <w:cols w:equalWidth="0" w:num="1">
            <w:col w:w="9019"/>
          </w:cols>
          <w:pgMar w:left="1440" w:top="265" w:right="1440"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83(</w:t>
      </w:r>
      <w:r>
        <w:rPr>
          <w:rFonts w:ascii="Arial" w:cs="Arial" w:eastAsia="Arial" w:hAnsi="Arial"/>
          <w:sz w:val="14"/>
          <w:szCs w:val="14"/>
          <w:b w:val="1"/>
          <w:bCs w:val="1"/>
          <w:color w:val="auto"/>
        </w:rPr>
        <w:t>B</w:t>
      </w:r>
      <w:r>
        <w:rPr>
          <w:rFonts w:ascii="Arial" w:cs="Arial" w:eastAsia="Arial" w:hAnsi="Arial"/>
          <w:sz w:val="17"/>
          <w:szCs w:val="17"/>
          <w:b w:val="1"/>
          <w:bCs w:val="1"/>
          <w:color w:val="auto"/>
        </w:rPr>
        <w:t>) E</w:t>
      </w:r>
      <w:r>
        <w:rPr>
          <w:rFonts w:ascii="Arial" w:cs="Arial" w:eastAsia="Arial" w:hAnsi="Arial"/>
          <w:sz w:val="14"/>
          <w:szCs w:val="14"/>
          <w:b w:val="1"/>
          <w:bCs w:val="1"/>
          <w:color w:val="auto"/>
        </w:rPr>
        <w:t>LECTION</w:t>
      </w:r>
    </w:p>
    <w:p>
      <w:pPr>
        <w:sectPr>
          <w:pgSz w:w="11900" w:h="16838" w:orient="portrait"/>
          <w:cols w:equalWidth="0" w:num="1">
            <w:col w:w="9019"/>
          </w:cols>
          <w:pgMar w:left="1440" w:top="265" w:right="1440" w:bottom="1440" w:gutter="0" w:footer="0" w:header="0"/>
          <w:type w:val="continuous"/>
        </w:sectPr>
      </w:pPr>
    </w:p>
    <w:bookmarkStart w:id="349" w:name="page350"/>
    <w:bookmarkEnd w:id="349"/>
    <w:p>
      <w:pPr>
        <w:jc w:val="center"/>
        <w:ind w:right="-48"/>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w:t>
      </w:r>
      <w:r>
        <w:rPr>
          <w:rFonts w:ascii="Arial" w:cs="Arial" w:eastAsia="Arial" w:hAnsi="Arial"/>
          <w:sz w:val="14"/>
          <w:szCs w:val="14"/>
          <w:b w:val="1"/>
          <w:bCs w:val="1"/>
          <w:color w:val="auto"/>
        </w:rPr>
        <w:t>NSTRUCTIONS FOR</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ILING</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83(b) E</w:t>
      </w:r>
      <w:r>
        <w:rPr>
          <w:rFonts w:ascii="Arial" w:cs="Arial" w:eastAsia="Arial" w:hAnsi="Arial"/>
          <w:sz w:val="14"/>
          <w:szCs w:val="14"/>
          <w:b w:val="1"/>
          <w:bCs w:val="1"/>
          <w:color w:val="auto"/>
        </w:rPr>
        <w:t>LECTION</w:t>
      </w:r>
    </w:p>
    <w:p>
      <w:pPr>
        <w:spacing w:after="0" w:line="230" w:lineRule="exact"/>
        <w:rPr>
          <w:sz w:val="20"/>
          <w:szCs w:val="20"/>
          <w:color w:val="auto"/>
        </w:rPr>
      </w:pPr>
    </w:p>
    <w:p>
      <w:pPr>
        <w:ind w:left="9" w:right="140" w:firstLine="427"/>
        <w:spacing w:after="0" w:line="289" w:lineRule="auto"/>
        <w:rPr>
          <w:sz w:val="20"/>
          <w:szCs w:val="20"/>
          <w:color w:val="auto"/>
        </w:rPr>
      </w:pPr>
      <w:r>
        <w:rPr>
          <w:rFonts w:ascii="Arial" w:cs="Arial" w:eastAsia="Arial" w:hAnsi="Arial"/>
          <w:sz w:val="17"/>
          <w:szCs w:val="17"/>
          <w:color w:val="auto"/>
        </w:rPr>
        <w:t>Attached is a form of election under Section 83(b) of the Internal Revenue Code and an accompanying IRS cover letter. Please fill in your social security number</w:t>
      </w:r>
      <w:r>
        <w:rPr>
          <w:rFonts w:ascii="Arial" w:cs="Arial" w:eastAsia="Arial" w:hAnsi="Arial"/>
          <w:sz w:val="14"/>
          <w:szCs w:val="14"/>
          <w:color w:val="auto"/>
        </w:rPr>
        <w:t>1</w:t>
      </w:r>
      <w:r>
        <w:rPr>
          <w:rFonts w:ascii="Arial" w:cs="Arial" w:eastAsia="Arial" w:hAnsi="Arial"/>
          <w:sz w:val="17"/>
          <w:szCs w:val="17"/>
          <w:color w:val="auto"/>
        </w:rPr>
        <w:t xml:space="preserve"> and sign the election and cover letter, then proceed as follows:</w:t>
      </w:r>
    </w:p>
    <w:p>
      <w:pPr>
        <w:spacing w:after="0" w:line="60" w:lineRule="exact"/>
        <w:rPr>
          <w:sz w:val="20"/>
          <w:szCs w:val="20"/>
          <w:color w:val="auto"/>
        </w:rPr>
      </w:pPr>
    </w:p>
    <w:p>
      <w:pPr>
        <w:ind w:left="429" w:hanging="429"/>
        <w:spacing w:after="0"/>
        <w:tabs>
          <w:tab w:leader="none" w:pos="429" w:val="left"/>
        </w:tabs>
        <w:numPr>
          <w:ilvl w:val="0"/>
          <w:numId w:val="240"/>
        </w:numPr>
        <w:rPr>
          <w:rFonts w:ascii="Arial" w:cs="Arial" w:eastAsia="Arial" w:hAnsi="Arial"/>
          <w:sz w:val="17"/>
          <w:szCs w:val="17"/>
          <w:b w:val="1"/>
          <w:bCs w:val="1"/>
          <w:color w:val="auto"/>
        </w:rPr>
      </w:pPr>
      <w:r>
        <w:rPr>
          <w:rFonts w:ascii="Arial" w:cs="Arial" w:eastAsia="Arial" w:hAnsi="Arial"/>
          <w:sz w:val="17"/>
          <w:szCs w:val="17"/>
          <w:color w:val="auto"/>
        </w:rPr>
        <w:t xml:space="preserve">Make </w:t>
      </w:r>
      <w:r>
        <w:rPr>
          <w:rFonts w:ascii="Arial" w:cs="Arial" w:eastAsia="Arial" w:hAnsi="Arial"/>
          <w:sz w:val="17"/>
          <w:szCs w:val="17"/>
          <w:b w:val="1"/>
          <w:bCs w:val="1"/>
          <w:u w:val="single" w:color="auto"/>
          <w:color w:val="auto"/>
        </w:rPr>
        <w:t>three</w:t>
      </w:r>
      <w:r>
        <w:rPr>
          <w:rFonts w:ascii="Arial" w:cs="Arial" w:eastAsia="Arial" w:hAnsi="Arial"/>
          <w:sz w:val="17"/>
          <w:szCs w:val="17"/>
          <w:color w:val="auto"/>
        </w:rPr>
        <w:t xml:space="preserve"> copies of the completed election form and one copy of the IRS cover letter.</w:t>
      </w:r>
    </w:p>
    <w:p>
      <w:pPr>
        <w:spacing w:after="0" w:line="131" w:lineRule="exact"/>
        <w:rPr>
          <w:rFonts w:ascii="Arial" w:cs="Arial" w:eastAsia="Arial" w:hAnsi="Arial"/>
          <w:sz w:val="17"/>
          <w:szCs w:val="17"/>
          <w:b w:val="1"/>
          <w:bCs w:val="1"/>
          <w:color w:val="auto"/>
        </w:rPr>
      </w:pPr>
    </w:p>
    <w:p>
      <w:pPr>
        <w:ind w:left="429" w:right="160" w:hanging="429"/>
        <w:spacing w:after="0" w:line="270" w:lineRule="auto"/>
        <w:tabs>
          <w:tab w:leader="none" w:pos="429" w:val="left"/>
        </w:tabs>
        <w:numPr>
          <w:ilvl w:val="0"/>
          <w:numId w:val="240"/>
        </w:numPr>
        <w:rPr>
          <w:rFonts w:ascii="Arial" w:cs="Arial" w:eastAsia="Arial" w:hAnsi="Arial"/>
          <w:sz w:val="17"/>
          <w:szCs w:val="17"/>
          <w:b w:val="1"/>
          <w:bCs w:val="1"/>
          <w:color w:val="auto"/>
        </w:rPr>
      </w:pPr>
      <w:r>
        <w:rPr>
          <w:rFonts w:ascii="Arial" w:cs="Arial" w:eastAsia="Arial" w:hAnsi="Arial"/>
          <w:sz w:val="17"/>
          <w:szCs w:val="17"/>
          <w:color w:val="auto"/>
        </w:rPr>
        <w:t xml:space="preserve">Send the </w:t>
      </w:r>
      <w:r>
        <w:rPr>
          <w:rFonts w:ascii="Arial" w:cs="Arial" w:eastAsia="Arial" w:hAnsi="Arial"/>
          <w:sz w:val="17"/>
          <w:szCs w:val="17"/>
          <w:b w:val="1"/>
          <w:bCs w:val="1"/>
          <w:u w:val="single" w:color="auto"/>
          <w:color w:val="auto"/>
        </w:rPr>
        <w:t>original</w:t>
      </w:r>
      <w:r>
        <w:rPr>
          <w:rFonts w:ascii="Arial" w:cs="Arial" w:eastAsia="Arial" w:hAnsi="Arial"/>
          <w:sz w:val="17"/>
          <w:szCs w:val="17"/>
          <w:color w:val="auto"/>
        </w:rPr>
        <w:t xml:space="preserve"> signed election form and cover letter, the copy of the cover letter, and a self-addressed stamped return envelope to the Internal Revenue Service Center where you would otherwise file your tax return</w:t>
      </w:r>
      <w:r>
        <w:rPr>
          <w:rFonts w:ascii="Arial" w:cs="Arial" w:eastAsia="Arial" w:hAnsi="Arial"/>
          <w:sz w:val="14"/>
          <w:szCs w:val="14"/>
          <w:color w:val="auto"/>
        </w:rPr>
        <w:t>23</w:t>
      </w:r>
      <w:r>
        <w:rPr>
          <w:rFonts w:ascii="Arial" w:cs="Arial" w:eastAsia="Arial" w:hAnsi="Arial"/>
          <w:sz w:val="17"/>
          <w:szCs w:val="17"/>
          <w:color w:val="auto"/>
        </w:rPr>
        <w:t xml:space="preserve">. Even if an address for an Internal Revenue Service Center is already included in the forms below, it is your obligation to verify such address. This can be done by searching for the term “where to file” on </w:t>
      </w:r>
      <w:r>
        <w:rPr>
          <w:rFonts w:ascii="Arial" w:cs="Arial" w:eastAsia="Arial" w:hAnsi="Arial"/>
          <w:sz w:val="17"/>
          <w:szCs w:val="17"/>
          <w:u w:val="single" w:color="auto"/>
          <w:color w:val="auto"/>
        </w:rPr>
        <w:t>www.irs.gov</w:t>
      </w:r>
      <w:r>
        <w:rPr>
          <w:rFonts w:ascii="Arial" w:cs="Arial" w:eastAsia="Arial" w:hAnsi="Arial"/>
          <w:sz w:val="17"/>
          <w:szCs w:val="17"/>
          <w:color w:val="auto"/>
        </w:rPr>
        <w:t xml:space="preserve"> or by calling 1 (800) 829-1040.</w:t>
      </w:r>
    </w:p>
    <w:p>
      <w:pPr>
        <w:spacing w:after="0" w:line="69" w:lineRule="exact"/>
        <w:rPr>
          <w:rFonts w:ascii="Arial" w:cs="Arial" w:eastAsia="Arial" w:hAnsi="Arial"/>
          <w:sz w:val="17"/>
          <w:szCs w:val="17"/>
          <w:b w:val="1"/>
          <w:bCs w:val="1"/>
          <w:color w:val="auto"/>
        </w:rPr>
      </w:pPr>
    </w:p>
    <w:p>
      <w:pPr>
        <w:ind w:left="429"/>
        <w:spacing w:after="0"/>
        <w:rPr>
          <w:rFonts w:ascii="Arial" w:cs="Arial" w:eastAsia="Arial" w:hAnsi="Arial"/>
          <w:sz w:val="17"/>
          <w:szCs w:val="17"/>
          <w:b w:val="1"/>
          <w:bCs w:val="1"/>
          <w:color w:val="auto"/>
        </w:rPr>
      </w:pPr>
      <w:r>
        <w:rPr>
          <w:rFonts w:ascii="Arial" w:cs="Arial" w:eastAsia="Arial" w:hAnsi="Arial"/>
          <w:sz w:val="16"/>
          <w:szCs w:val="16"/>
          <w:color w:val="auto"/>
        </w:rPr>
        <w:t>Sending the election via certified mail, requesting a return receipt, with the certified mail number written on the cover letter is also recommended.</w:t>
      </w:r>
    </w:p>
    <w:p>
      <w:pPr>
        <w:spacing w:after="0" w:line="143" w:lineRule="exact"/>
        <w:rPr>
          <w:rFonts w:ascii="Arial" w:cs="Arial" w:eastAsia="Arial" w:hAnsi="Arial"/>
          <w:sz w:val="17"/>
          <w:szCs w:val="17"/>
          <w:b w:val="1"/>
          <w:bCs w:val="1"/>
          <w:color w:val="auto"/>
        </w:rPr>
      </w:pPr>
    </w:p>
    <w:p>
      <w:pPr>
        <w:ind w:left="429" w:hanging="429"/>
        <w:spacing w:after="0"/>
        <w:tabs>
          <w:tab w:leader="none" w:pos="429" w:val="left"/>
        </w:tabs>
        <w:numPr>
          <w:ilvl w:val="0"/>
          <w:numId w:val="240"/>
        </w:numPr>
        <w:rPr>
          <w:rFonts w:ascii="Arial" w:cs="Arial" w:eastAsia="Arial" w:hAnsi="Arial"/>
          <w:sz w:val="17"/>
          <w:szCs w:val="17"/>
          <w:b w:val="1"/>
          <w:bCs w:val="1"/>
          <w:color w:val="auto"/>
        </w:rPr>
      </w:pPr>
      <w:r>
        <w:rPr>
          <w:rFonts w:ascii="Arial" w:cs="Arial" w:eastAsia="Arial" w:hAnsi="Arial"/>
          <w:sz w:val="17"/>
          <w:szCs w:val="17"/>
          <w:color w:val="auto"/>
        </w:rPr>
        <w:t>Deliver one copy of the completed election form to NGM Pharmaceutials, Inc.</w:t>
      </w:r>
    </w:p>
    <w:p>
      <w:pPr>
        <w:spacing w:after="0" w:line="131" w:lineRule="exact"/>
        <w:rPr>
          <w:rFonts w:ascii="Arial" w:cs="Arial" w:eastAsia="Arial" w:hAnsi="Arial"/>
          <w:sz w:val="17"/>
          <w:szCs w:val="17"/>
          <w:b w:val="1"/>
          <w:bCs w:val="1"/>
          <w:color w:val="auto"/>
        </w:rPr>
      </w:pPr>
    </w:p>
    <w:p>
      <w:pPr>
        <w:ind w:left="429" w:hanging="429"/>
        <w:spacing w:after="0" w:line="289" w:lineRule="auto"/>
        <w:tabs>
          <w:tab w:leader="none" w:pos="429" w:val="left"/>
        </w:tabs>
        <w:numPr>
          <w:ilvl w:val="0"/>
          <w:numId w:val="240"/>
        </w:numPr>
        <w:rPr>
          <w:rFonts w:ascii="Arial" w:cs="Arial" w:eastAsia="Arial" w:hAnsi="Arial"/>
          <w:sz w:val="17"/>
          <w:szCs w:val="17"/>
          <w:b w:val="1"/>
          <w:bCs w:val="1"/>
          <w:color w:val="auto"/>
        </w:rPr>
      </w:pPr>
      <w:r>
        <w:rPr>
          <w:rFonts w:ascii="Arial" w:cs="Arial" w:eastAsia="Arial" w:hAnsi="Arial"/>
          <w:sz w:val="17"/>
          <w:szCs w:val="17"/>
          <w:color w:val="auto"/>
        </w:rPr>
        <w:t>Applicable state law may require that you attach a copy of the completed election form to your state personal income tax return(s) when you file it for the year (assuming you file a state personal income tax return).</w:t>
      </w:r>
      <w:r>
        <w:rPr>
          <w:rFonts w:ascii="Arial" w:cs="Arial" w:eastAsia="Arial" w:hAnsi="Arial"/>
          <w:sz w:val="14"/>
          <w:szCs w:val="14"/>
          <w:color w:val="auto"/>
        </w:rPr>
        <w:t>4</w:t>
      </w:r>
    </w:p>
    <w:p>
      <w:pPr>
        <w:spacing w:after="0" w:line="53" w:lineRule="exact"/>
        <w:rPr>
          <w:rFonts w:ascii="Arial" w:cs="Arial" w:eastAsia="Arial" w:hAnsi="Arial"/>
          <w:sz w:val="17"/>
          <w:szCs w:val="17"/>
          <w:b w:val="1"/>
          <w:bCs w:val="1"/>
          <w:color w:val="auto"/>
        </w:rPr>
      </w:pPr>
    </w:p>
    <w:p>
      <w:pPr>
        <w:ind w:left="429" w:right="520"/>
        <w:spacing w:after="0" w:line="289" w:lineRule="auto"/>
        <w:rPr>
          <w:rFonts w:ascii="Arial" w:cs="Arial" w:eastAsia="Arial" w:hAnsi="Arial"/>
          <w:sz w:val="17"/>
          <w:szCs w:val="17"/>
          <w:b w:val="1"/>
          <w:bCs w:val="1"/>
          <w:color w:val="auto"/>
        </w:rPr>
      </w:pPr>
      <w:r>
        <w:rPr>
          <w:rFonts w:ascii="Arial" w:cs="Arial" w:eastAsia="Arial" w:hAnsi="Arial"/>
          <w:sz w:val="17"/>
          <w:szCs w:val="17"/>
          <w:color w:val="auto"/>
        </w:rPr>
        <w:t>Please consult your personal tax advisor(s) to determine whether or not a copy of this Section 83(b) election should be filed with your state personal income tax return(s).</w:t>
      </w:r>
    </w:p>
    <w:p>
      <w:pPr>
        <w:spacing w:after="0" w:line="66" w:lineRule="exact"/>
        <w:rPr>
          <w:rFonts w:ascii="Arial" w:cs="Arial" w:eastAsia="Arial" w:hAnsi="Arial"/>
          <w:sz w:val="17"/>
          <w:szCs w:val="17"/>
          <w:b w:val="1"/>
          <w:bCs w:val="1"/>
          <w:color w:val="auto"/>
        </w:rPr>
      </w:pPr>
    </w:p>
    <w:p>
      <w:pPr>
        <w:ind w:left="429" w:hanging="429"/>
        <w:spacing w:after="0"/>
        <w:tabs>
          <w:tab w:leader="none" w:pos="429" w:val="left"/>
        </w:tabs>
        <w:numPr>
          <w:ilvl w:val="0"/>
          <w:numId w:val="240"/>
        </w:numPr>
        <w:rPr>
          <w:rFonts w:ascii="Arial" w:cs="Arial" w:eastAsia="Arial" w:hAnsi="Arial"/>
          <w:sz w:val="17"/>
          <w:szCs w:val="17"/>
          <w:b w:val="1"/>
          <w:bCs w:val="1"/>
          <w:color w:val="auto"/>
        </w:rPr>
      </w:pPr>
      <w:r>
        <w:rPr>
          <w:rFonts w:ascii="Arial" w:cs="Arial" w:eastAsia="Arial" w:hAnsi="Arial"/>
          <w:sz w:val="17"/>
          <w:szCs w:val="17"/>
          <w:color w:val="auto"/>
        </w:rPr>
        <w:t>Retain one copy of the completed election form for your personal permanent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6819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5">
                      <a:extLst>
                        <a:ext uri="{28A0092B-C50C-407E-A947-70E740481C1C}"/>
                      </a:extLst>
                    </a:blip>
                    <a:srcRect/>
                    <a:stretch>
                      <a:fillRect/>
                    </a:stretch>
                  </pic:blipFill>
                  <pic:spPr bwMode="auto">
                    <a:xfrm>
                      <a:off x="0" y="0"/>
                      <a:ext cx="681990" cy="8255"/>
                    </a:xfrm>
                    <a:prstGeom prst="rect">
                      <a:avLst/>
                    </a:prstGeom>
                    <a:noFill/>
                  </pic:spPr>
                </pic:pic>
              </a:graphicData>
            </a:graphic>
          </wp:anchor>
        </w:drawing>
      </w:r>
    </w:p>
    <w:p>
      <w:pPr>
        <w:spacing w:after="0" w:line="177" w:lineRule="exact"/>
        <w:rPr>
          <w:sz w:val="20"/>
          <w:szCs w:val="20"/>
          <w:color w:val="auto"/>
        </w:rPr>
      </w:pPr>
    </w:p>
    <w:p>
      <w:pPr>
        <w:ind w:left="429" w:right="60" w:hanging="429"/>
        <w:spacing w:after="0" w:line="299" w:lineRule="auto"/>
        <w:tabs>
          <w:tab w:leader="none" w:pos="429" w:val="left"/>
        </w:tabs>
        <w:numPr>
          <w:ilvl w:val="0"/>
          <w:numId w:val="241"/>
        </w:numPr>
        <w:rPr>
          <w:rFonts w:ascii="Arial" w:cs="Arial" w:eastAsia="Arial" w:hAnsi="Arial"/>
          <w:sz w:val="13"/>
          <w:szCs w:val="13"/>
          <w:color w:val="auto"/>
        </w:rPr>
      </w:pPr>
      <w:r>
        <w:rPr>
          <w:rFonts w:ascii="Arial" w:cs="Arial" w:eastAsia="Arial" w:hAnsi="Arial"/>
          <w:sz w:val="15"/>
          <w:szCs w:val="15"/>
          <w:b w:val="1"/>
          <w:bCs w:val="1"/>
          <w:i w:val="1"/>
          <w:iCs w:val="1"/>
          <w:color w:val="auto"/>
        </w:rPr>
        <w:t>Note</w:t>
      </w:r>
      <w:r>
        <w:rPr>
          <w:rFonts w:ascii="Arial" w:cs="Arial" w:eastAsia="Arial" w:hAnsi="Arial"/>
          <w:sz w:val="15"/>
          <w:szCs w:val="15"/>
          <w:color w:val="auto"/>
        </w:rPr>
        <w:t>: If you do not have a taxpayer ID number (TIN), put “None –non-US taxpayer” and include in the cover letter to the IRS a statement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explaining that the Section 83(b) election is being filed because the individual may become a US taxpayer before the stock vests. If the individual</w:t>
      </w:r>
    </w:p>
    <w:p>
      <w:pPr>
        <w:spacing w:after="0" w:line="1" w:lineRule="exact"/>
        <w:rPr>
          <w:sz w:val="20"/>
          <w:szCs w:val="20"/>
          <w:color w:val="auto"/>
        </w:rPr>
      </w:pPr>
    </w:p>
    <w:p>
      <w:pPr>
        <w:ind w:left="429" w:right="580"/>
        <w:spacing w:after="0" w:line="256" w:lineRule="auto"/>
        <w:rPr>
          <w:sz w:val="20"/>
          <w:szCs w:val="20"/>
          <w:color w:val="auto"/>
        </w:rPr>
      </w:pPr>
      <w:r>
        <w:rPr>
          <w:rFonts w:ascii="Arial" w:cs="Arial" w:eastAsia="Arial" w:hAnsi="Arial"/>
          <w:sz w:val="17"/>
          <w:szCs w:val="17"/>
          <w:color w:val="auto"/>
        </w:rPr>
        <w:t>is applying for a TIN, instead include “applied for” and enclose a copy of the W-7 application. Note that there may be important factors to consider before applying for a TIN, including immigration status, etc.</w:t>
      </w:r>
    </w:p>
    <w:p>
      <w:pPr>
        <w:spacing w:after="0" w:line="1" w:lineRule="exact"/>
        <w:rPr>
          <w:sz w:val="20"/>
          <w:szCs w:val="20"/>
          <w:color w:val="auto"/>
        </w:rPr>
      </w:pPr>
    </w:p>
    <w:p>
      <w:pPr>
        <w:ind w:left="429" w:right="60" w:hanging="429"/>
        <w:spacing w:after="0" w:line="257" w:lineRule="auto"/>
        <w:tabs>
          <w:tab w:leader="none" w:pos="429" w:val="left"/>
        </w:tabs>
        <w:numPr>
          <w:ilvl w:val="0"/>
          <w:numId w:val="242"/>
        </w:numPr>
        <w:rPr>
          <w:rFonts w:ascii="Arial" w:cs="Arial" w:eastAsia="Arial" w:hAnsi="Arial"/>
          <w:sz w:val="15"/>
          <w:szCs w:val="15"/>
          <w:color w:val="auto"/>
        </w:rPr>
      </w:pPr>
      <w:r>
        <w:rPr>
          <w:rFonts w:ascii="Arial" w:cs="Arial" w:eastAsia="Arial" w:hAnsi="Arial"/>
          <w:sz w:val="17"/>
          <w:szCs w:val="17"/>
          <w:b w:val="1"/>
          <w:bCs w:val="1"/>
          <w:i w:val="1"/>
          <w:iCs w:val="1"/>
          <w:color w:val="auto"/>
        </w:rPr>
        <w:t>Note</w:t>
      </w:r>
      <w:r>
        <w:rPr>
          <w:rFonts w:ascii="Arial" w:cs="Arial" w:eastAsia="Arial" w:hAnsi="Arial"/>
          <w:sz w:val="17"/>
          <w:szCs w:val="17"/>
          <w:color w:val="auto"/>
        </w:rPr>
        <w:t>: Per Treasury Regulation § 1.83-2(c), the Section 83(b) election must be filed with the IRS office where the person otherwise files his or 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 return. Assuming these are individual taxpayers who would file a Form 1040, see</w:t>
      </w:r>
    </w:p>
    <w:p>
      <w:pPr>
        <w:spacing w:after="0" w:line="1" w:lineRule="exact"/>
        <w:rPr>
          <w:sz w:val="20"/>
          <w:szCs w:val="20"/>
          <w:color w:val="auto"/>
        </w:rPr>
      </w:pPr>
    </w:p>
    <w:p>
      <w:pPr>
        <w:ind w:left="429" w:right="280"/>
        <w:spacing w:after="0" w:line="256" w:lineRule="auto"/>
        <w:rPr>
          <w:sz w:val="20"/>
          <w:szCs w:val="20"/>
          <w:color w:val="auto"/>
        </w:rPr>
      </w:pPr>
      <w:r>
        <w:rPr>
          <w:rFonts w:ascii="Arial" w:cs="Arial" w:eastAsia="Arial" w:hAnsi="Arial"/>
          <w:sz w:val="17"/>
          <w:szCs w:val="17"/>
          <w:u w:val="single" w:color="auto"/>
          <w:color w:val="auto"/>
        </w:rPr>
        <w:t>http://www.irs.gov/uac/Where-to-File-Addresses-for--Taxpayers-and--Tax-Professionals-Filing-Form-1040</w:t>
      </w:r>
      <w:r>
        <w:rPr>
          <w:rFonts w:ascii="Arial" w:cs="Arial" w:eastAsia="Arial" w:hAnsi="Arial"/>
          <w:sz w:val="17"/>
          <w:szCs w:val="17"/>
          <w:color w:val="auto"/>
        </w:rPr>
        <w:t xml:space="preserve"> . Use the address in the row which includes the state in which the service provider lives and in the column entitled “And you </w:t>
      </w:r>
      <w:r>
        <w:rPr>
          <w:rFonts w:ascii="Arial" w:cs="Arial" w:eastAsia="Arial" w:hAnsi="Arial"/>
          <w:sz w:val="17"/>
          <w:szCs w:val="17"/>
          <w:u w:val="single" w:color="auto"/>
          <w:color w:val="auto"/>
        </w:rPr>
        <w:t>ARE NOT</w:t>
      </w:r>
      <w:r>
        <w:rPr>
          <w:rFonts w:ascii="Arial" w:cs="Arial" w:eastAsia="Arial" w:hAnsi="Arial"/>
          <w:sz w:val="17"/>
          <w:szCs w:val="17"/>
          <w:color w:val="auto"/>
        </w:rPr>
        <w:t xml:space="preserve"> enclosing a payment”.</w:t>
      </w:r>
    </w:p>
    <w:p>
      <w:pPr>
        <w:spacing w:after="0" w:line="1" w:lineRule="exact"/>
        <w:rPr>
          <w:sz w:val="20"/>
          <w:szCs w:val="20"/>
          <w:color w:val="auto"/>
        </w:rPr>
      </w:pPr>
    </w:p>
    <w:p>
      <w:pPr>
        <w:ind w:left="429" w:right="20" w:hanging="429"/>
        <w:spacing w:after="0" w:line="257" w:lineRule="auto"/>
        <w:tabs>
          <w:tab w:leader="none" w:pos="429" w:val="left"/>
        </w:tabs>
        <w:numPr>
          <w:ilvl w:val="0"/>
          <w:numId w:val="243"/>
        </w:numPr>
        <w:rPr>
          <w:rFonts w:ascii="Arial" w:cs="Arial" w:eastAsia="Arial" w:hAnsi="Arial"/>
          <w:sz w:val="15"/>
          <w:szCs w:val="15"/>
          <w:color w:val="auto"/>
        </w:rPr>
      </w:pPr>
      <w:r>
        <w:rPr>
          <w:rFonts w:ascii="Arial" w:cs="Arial" w:eastAsia="Arial" w:hAnsi="Arial"/>
          <w:sz w:val="17"/>
          <w:szCs w:val="17"/>
          <w:b w:val="1"/>
          <w:bCs w:val="1"/>
          <w:i w:val="1"/>
          <w:iCs w:val="1"/>
          <w:color w:val="auto"/>
        </w:rPr>
        <w:t>Note</w:t>
      </w:r>
      <w:r>
        <w:rPr>
          <w:rFonts w:ascii="Arial" w:cs="Arial" w:eastAsia="Arial" w:hAnsi="Arial"/>
          <w:sz w:val="17"/>
          <w:szCs w:val="17"/>
          <w:color w:val="auto"/>
        </w:rPr>
        <w:t>: Per Treasury Regulation § 1.83-2(c), the Section 83(b) election must be filed with the IRS office where the person otherwise files his or 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tax return. As of October 2018, if you live in a foreign country or are a dual status alien (foreigners that will have lived both in their home country and the United States during the year in which they make the election) you should send the 83(b) election to Austin, TX 73301-0215. You can verify this is still the correct address at: </w:t>
      </w:r>
      <w:r>
        <w:rPr>
          <w:rFonts w:ascii="Arial" w:cs="Arial" w:eastAsia="Arial" w:hAnsi="Arial"/>
          <w:sz w:val="17"/>
          <w:szCs w:val="17"/>
          <w:u w:val="single" w:color="auto"/>
          <w:color w:val="auto"/>
        </w:rPr>
        <w:t>http://www.irs.gov/uac/Where-to-File-Addresses-for--Taxpayers-and--Tax-Professionals-Filing-Form-1040</w:t>
      </w:r>
      <w:r>
        <w:rPr>
          <w:rFonts w:ascii="Arial" w:cs="Arial" w:eastAsia="Arial" w:hAnsi="Arial"/>
          <w:sz w:val="17"/>
          <w:szCs w:val="17"/>
          <w:color w:val="auto"/>
        </w:rPr>
        <w:t xml:space="preserve"> .</w:t>
      </w:r>
    </w:p>
    <w:p>
      <w:pPr>
        <w:spacing w:after="0" w:line="1" w:lineRule="exact"/>
        <w:rPr>
          <w:sz w:val="20"/>
          <w:szCs w:val="20"/>
          <w:color w:val="auto"/>
        </w:rPr>
      </w:pPr>
    </w:p>
    <w:p>
      <w:pPr>
        <w:ind w:left="429" w:right="20" w:hanging="429"/>
        <w:spacing w:after="0" w:line="261" w:lineRule="auto"/>
        <w:tabs>
          <w:tab w:leader="none" w:pos="429" w:val="left"/>
        </w:tabs>
        <w:numPr>
          <w:ilvl w:val="0"/>
          <w:numId w:val="244"/>
        </w:numPr>
        <w:rPr>
          <w:rFonts w:ascii="Arial" w:cs="Arial" w:eastAsia="Arial" w:hAnsi="Arial"/>
          <w:sz w:val="15"/>
          <w:szCs w:val="15"/>
          <w:color w:val="auto"/>
        </w:rPr>
      </w:pPr>
      <w:r>
        <w:rPr>
          <w:rFonts w:ascii="Arial" w:cs="Arial" w:eastAsia="Arial" w:hAnsi="Arial"/>
          <w:sz w:val="17"/>
          <w:szCs w:val="17"/>
          <w:b w:val="1"/>
          <w:bCs w:val="1"/>
          <w:i w:val="1"/>
          <w:iCs w:val="1"/>
          <w:color w:val="auto"/>
        </w:rPr>
        <w:t>Note</w:t>
      </w:r>
      <w:r>
        <w:rPr>
          <w:rFonts w:ascii="Arial" w:cs="Arial" w:eastAsia="Arial" w:hAnsi="Arial"/>
          <w:sz w:val="17"/>
          <w:szCs w:val="17"/>
          <w:color w:val="auto"/>
        </w:rPr>
        <w:t>: Pursuant to Treasury Regulations finalized in July 2016 (Treas. Reg. § 1.83-2(c); T.D. 9779), taxpayers are no longer required to submit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copy of a Code Sec. 83(b) election with their </w:t>
      </w:r>
      <w:r>
        <w:rPr>
          <w:rFonts w:ascii="Arial" w:cs="Arial" w:eastAsia="Arial" w:hAnsi="Arial"/>
          <w:sz w:val="17"/>
          <w:szCs w:val="17"/>
          <w:b w:val="1"/>
          <w:bCs w:val="1"/>
          <w:i w:val="1"/>
          <w:iCs w:val="1"/>
          <w:color w:val="auto"/>
        </w:rPr>
        <w:t>federal</w:t>
      </w:r>
      <w:r>
        <w:rPr>
          <w:rFonts w:ascii="Arial" w:cs="Arial" w:eastAsia="Arial" w:hAnsi="Arial"/>
          <w:sz w:val="17"/>
          <w:szCs w:val="17"/>
          <w:color w:val="auto"/>
        </w:rPr>
        <w:t xml:space="preserve"> personal income tax returns for the year in which the property subject to the election was transferred. However, you are strongly encouraged to retain a copy of the completed election form and the IRS filed-stamped copy of your cover letter along with a copy of the federal personal income tax return for the year in which the property subject to the election was transferred for your personal permanent records in case you ever need to demonstrate proper and timely filing.</w:t>
      </w:r>
    </w:p>
    <w:p>
      <w:pPr>
        <w:sectPr>
          <w:pgSz w:w="11900" w:h="16838" w:orient="portrait"/>
          <w:cols w:equalWidth="0" w:num="1">
            <w:col w:w="10649"/>
          </w:cols>
          <w:pgMar w:left="611" w:top="265" w:right="639" w:bottom="1440" w:gutter="0" w:footer="0" w:header="0"/>
        </w:sectPr>
      </w:pPr>
    </w:p>
    <w:bookmarkStart w:id="350" w:name="page351"/>
    <w:bookmarkEnd w:id="350"/>
    <w:p>
      <w:pPr>
        <w:ind w:left="420" w:right="2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Note: An additional copy of the completed election form must be delivered to the transferee (recipient) of the property if the service provider and the transferee are not the same person.</w:t>
      </w:r>
    </w:p>
    <w:p>
      <w:pPr>
        <w:spacing w:after="0" w:line="158" w:lineRule="exact"/>
        <w:rPr>
          <w:sz w:val="20"/>
          <w:szCs w:val="20"/>
          <w:color w:val="auto"/>
        </w:rPr>
      </w:pPr>
    </w:p>
    <w:p>
      <w:pPr>
        <w:jc w:val="both"/>
        <w:spacing w:after="0" w:line="325" w:lineRule="auto"/>
        <w:rPr>
          <w:sz w:val="20"/>
          <w:szCs w:val="20"/>
          <w:color w:val="auto"/>
        </w:rPr>
      </w:pPr>
      <w:r>
        <w:rPr>
          <w:rFonts w:ascii="Arial" w:cs="Arial" w:eastAsia="Arial" w:hAnsi="Arial"/>
          <w:sz w:val="15"/>
          <w:szCs w:val="15"/>
          <w:b w:val="1"/>
          <w:bCs w:val="1"/>
          <w:i w:val="1"/>
          <w:iCs w:val="1"/>
          <w:color w:val="auto"/>
        </w:rPr>
        <w:t>Please note that the election must be filed with the IRS within 30 days of the date of the Option exercise. Failure to file within that time will render the election void and you may recognize ordinary taxable income or alternative minimum taxable income, as applicable, as your vesting restrictions lapse. The Company and its counsel cannot assume responsibility for failure to file the election in a timely manner under any circumstances.</w:t>
      </w:r>
    </w:p>
    <w:p>
      <w:pPr>
        <w:sectPr>
          <w:pgSz w:w="11900" w:h="16838" w:orient="portrait"/>
          <w:cols w:equalWidth="0" w:num="1">
            <w:col w:w="10580"/>
          </w:cols>
          <w:pgMar w:left="620" w:top="271" w:right="699" w:bottom="1440" w:gutter="0" w:footer="0" w:header="0"/>
        </w:sectPr>
      </w:pPr>
    </w:p>
    <w:bookmarkStart w:id="351" w:name="page352"/>
    <w:bookmarkEnd w:id="351"/>
    <w:p>
      <w:pPr>
        <w:jc w:val="center"/>
        <w:ind w:right="-8"/>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83(b) E</w:t>
      </w:r>
      <w:r>
        <w:rPr>
          <w:rFonts w:ascii="Arial" w:cs="Arial" w:eastAsia="Arial" w:hAnsi="Arial"/>
          <w:sz w:val="14"/>
          <w:szCs w:val="14"/>
          <w:b w:val="1"/>
          <w:bCs w:val="1"/>
          <w:color w:val="auto"/>
        </w:rPr>
        <w:t>LECTION</w:t>
      </w:r>
    </w:p>
    <w:p>
      <w:pPr>
        <w:spacing w:after="0" w:line="230" w:lineRule="exact"/>
        <w:rPr>
          <w:sz w:val="20"/>
          <w:szCs w:val="20"/>
          <w:color w:val="auto"/>
        </w:rPr>
      </w:pPr>
    </w:p>
    <w:p>
      <w:pPr>
        <w:ind w:left="10249"/>
        <w:spacing w:after="0"/>
        <w:rPr>
          <w:sz w:val="20"/>
          <w:szCs w:val="20"/>
          <w:color w:val="auto"/>
        </w:rPr>
      </w:pPr>
      <w:r>
        <w:rPr>
          <w:rFonts w:ascii="Arial" w:cs="Arial" w:eastAsia="Arial" w:hAnsi="Arial"/>
          <w:sz w:val="17"/>
          <w:szCs w:val="17"/>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6175375</wp:posOffset>
            </wp:positionH>
            <wp:positionV relativeFrom="paragraph">
              <wp:posOffset>-7620</wp:posOffset>
            </wp:positionV>
            <wp:extent cx="33274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8">
                      <a:extLst>
                        <a:ext uri="{28A0092B-C50C-407E-A947-70E740481C1C}"/>
                      </a:extLst>
                    </a:blip>
                    <a:srcRect/>
                    <a:stretch>
                      <a:fillRect/>
                    </a:stretch>
                  </pic:blipFill>
                  <pic:spPr bwMode="auto">
                    <a:xfrm>
                      <a:off x="0" y="0"/>
                      <a:ext cx="33274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-7620</wp:posOffset>
            </wp:positionV>
            <wp:extent cx="11112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4" w:lineRule="exact"/>
        <w:rPr>
          <w:sz w:val="20"/>
          <w:szCs w:val="20"/>
          <w:color w:val="auto"/>
        </w:rPr>
      </w:pPr>
    </w:p>
    <w:p>
      <w:pPr>
        <w:ind w:left="9"/>
        <w:spacing w:after="0"/>
        <w:rPr>
          <w:sz w:val="20"/>
          <w:szCs w:val="20"/>
          <w:color w:val="auto"/>
        </w:rPr>
      </w:pPr>
      <w:r>
        <w:rPr>
          <w:rFonts w:ascii="Arial" w:cs="Arial" w:eastAsia="Arial" w:hAnsi="Arial"/>
          <w:sz w:val="17"/>
          <w:szCs w:val="17"/>
          <w:color w:val="auto"/>
        </w:rPr>
        <w:t>Department of the Treasury</w:t>
      </w:r>
    </w:p>
    <w:p>
      <w:pPr>
        <w:spacing w:after="0" w:line="26" w:lineRule="exact"/>
        <w:rPr>
          <w:sz w:val="20"/>
          <w:szCs w:val="20"/>
          <w:color w:val="auto"/>
        </w:rPr>
      </w:pPr>
    </w:p>
    <w:p>
      <w:pPr>
        <w:ind w:left="9"/>
        <w:spacing w:after="0"/>
        <w:rPr>
          <w:sz w:val="20"/>
          <w:szCs w:val="20"/>
          <w:color w:val="auto"/>
        </w:rPr>
      </w:pPr>
      <w:r>
        <w:rPr>
          <w:rFonts w:ascii="Arial" w:cs="Arial" w:eastAsia="Arial" w:hAnsi="Arial"/>
          <w:sz w:val="17"/>
          <w:szCs w:val="17"/>
          <w:color w:val="auto"/>
        </w:rPr>
        <w:t>Internal Revenue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819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0">
                      <a:extLst>
                        <a:ext uri="{28A0092B-C50C-407E-A947-70E740481C1C}"/>
                      </a:extLst>
                    </a:blip>
                    <a:srcRect/>
                    <a:stretch>
                      <a:fillRect/>
                    </a:stretch>
                  </pic:blipFill>
                  <pic:spPr bwMode="auto">
                    <a:xfrm>
                      <a:off x="0" y="0"/>
                      <a:ext cx="681990" cy="8255"/>
                    </a:xfrm>
                    <a:prstGeom prst="rect">
                      <a:avLst/>
                    </a:prstGeom>
                    <a:noFill/>
                  </pic:spPr>
                </pic:pic>
              </a:graphicData>
            </a:graphic>
          </wp:anchor>
        </w:drawing>
      </w:r>
    </w:p>
    <w:p>
      <w:pPr>
        <w:spacing w:after="0" w:line="165" w:lineRule="exact"/>
        <w:rPr>
          <w:sz w:val="20"/>
          <w:szCs w:val="20"/>
          <w:color w:val="auto"/>
        </w:rPr>
      </w:pPr>
    </w:p>
    <w:p>
      <w:pPr>
        <w:ind w:left="9"/>
        <w:spacing w:after="0"/>
        <w:rPr>
          <w:sz w:val="20"/>
          <w:szCs w:val="20"/>
          <w:color w:val="auto"/>
        </w:rPr>
      </w:pPr>
      <w:r>
        <w:rPr>
          <w:rFonts w:ascii="Arial" w:cs="Arial" w:eastAsia="Arial" w:hAnsi="Arial"/>
          <w:sz w:val="17"/>
          <w:szCs w:val="17"/>
          <w:i w:val="1"/>
          <w:iCs w:val="1"/>
          <w:color w:val="auto"/>
        </w:rPr>
        <w:t>City, State Zip</w:t>
      </w:r>
    </w:p>
    <w:p>
      <w:pPr>
        <w:spacing w:after="0" w:line="250" w:lineRule="exact"/>
        <w:rPr>
          <w:sz w:val="20"/>
          <w:szCs w:val="20"/>
          <w:color w:val="auto"/>
        </w:rPr>
      </w:pPr>
    </w:p>
    <w:p>
      <w:pPr>
        <w:ind w:left="9"/>
        <w:spacing w:after="0"/>
        <w:tabs>
          <w:tab w:leader="none" w:pos="408"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5"/>
          <w:szCs w:val="15"/>
          <w:color w:val="auto"/>
        </w:rPr>
        <w:t>Election Under Section 83(b)</w:t>
      </w:r>
    </w:p>
    <w:p>
      <w:pPr>
        <w:spacing w:after="0" w:line="224" w:lineRule="exact"/>
        <w:rPr>
          <w:sz w:val="20"/>
          <w:szCs w:val="20"/>
          <w:color w:val="auto"/>
        </w:rPr>
      </w:pPr>
    </w:p>
    <w:p>
      <w:pPr>
        <w:ind w:left="9"/>
        <w:spacing w:after="0"/>
        <w:rPr>
          <w:sz w:val="20"/>
          <w:szCs w:val="20"/>
          <w:color w:val="auto"/>
        </w:rPr>
      </w:pPr>
      <w:r>
        <w:rPr>
          <w:rFonts w:ascii="Arial" w:cs="Arial" w:eastAsia="Arial" w:hAnsi="Arial"/>
          <w:sz w:val="17"/>
          <w:szCs w:val="17"/>
          <w:color w:val="auto"/>
        </w:rPr>
        <w:t>Ladies and Gentlemen:</w:t>
      </w:r>
    </w:p>
    <w:p>
      <w:pPr>
        <w:spacing w:after="0" w:line="119" w:lineRule="exact"/>
        <w:rPr>
          <w:sz w:val="20"/>
          <w:szCs w:val="20"/>
          <w:color w:val="auto"/>
        </w:rPr>
      </w:pPr>
    </w:p>
    <w:p>
      <w:pPr>
        <w:ind w:left="9" w:right="80"/>
        <w:spacing w:after="0" w:line="297" w:lineRule="auto"/>
        <w:rPr>
          <w:sz w:val="20"/>
          <w:szCs w:val="20"/>
          <w:color w:val="auto"/>
        </w:rPr>
      </w:pPr>
      <w:r>
        <w:rPr>
          <w:rFonts w:ascii="Arial" w:cs="Arial" w:eastAsia="Arial" w:hAnsi="Arial"/>
          <w:sz w:val="16"/>
          <w:szCs w:val="16"/>
          <w:color w:val="auto"/>
        </w:rPr>
        <w:t>The undersigned taxpayer hereby elects, pursuant to Section 83(b) of the Internal Revenue Code of 1986, as amended, to include in gross income as compensation for services or as alternative taxable income, as applicable, the excess (if any) of the fair market value of the shares described below over the amount paid for those shares. The following information is supplied in accordance with Treasury Regulation § 1.83-2:</w:t>
      </w:r>
    </w:p>
    <w:p>
      <w:pPr>
        <w:spacing w:after="0" w:line="57" w:lineRule="exact"/>
        <w:rPr>
          <w:sz w:val="20"/>
          <w:szCs w:val="20"/>
          <w:color w:val="auto"/>
        </w:rPr>
      </w:pPr>
    </w:p>
    <w:p>
      <w:pPr>
        <w:ind w:left="429" w:hanging="429"/>
        <w:spacing w:after="0"/>
        <w:tabs>
          <w:tab w:leader="none" w:pos="429" w:val="left"/>
        </w:tabs>
        <w:numPr>
          <w:ilvl w:val="0"/>
          <w:numId w:val="245"/>
        </w:numPr>
        <w:rPr>
          <w:rFonts w:ascii="Arial" w:cs="Arial" w:eastAsia="Arial" w:hAnsi="Arial"/>
          <w:sz w:val="17"/>
          <w:szCs w:val="17"/>
          <w:b w:val="1"/>
          <w:bCs w:val="1"/>
          <w:color w:val="auto"/>
        </w:rPr>
      </w:pPr>
      <w:r>
        <w:rPr>
          <w:rFonts w:ascii="Arial" w:cs="Arial" w:eastAsia="Arial" w:hAnsi="Arial"/>
          <w:sz w:val="17"/>
          <w:szCs w:val="17"/>
          <w:b w:val="1"/>
          <w:bCs w:val="1"/>
          <w:color w:val="auto"/>
        </w:rPr>
        <w:t>The name, social security number, address of the undersigned, and the taxable year for which this election is being made are:</w:t>
      </w:r>
    </w:p>
    <w:p>
      <w:pPr>
        <w:spacing w:after="0" w:line="138" w:lineRule="exact"/>
        <w:rPr>
          <w:sz w:val="20"/>
          <w:szCs w:val="20"/>
          <w:color w:val="auto"/>
        </w:rPr>
      </w:pPr>
    </w:p>
    <w:p>
      <w:pPr>
        <w:ind w:left="469"/>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1704340</wp:posOffset>
            </wp:positionH>
            <wp:positionV relativeFrom="paragraph">
              <wp:posOffset>-7620</wp:posOffset>
            </wp:positionV>
            <wp:extent cx="44323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1">
                      <a:extLst>
                        <a:ext uri="{28A0092B-C50C-407E-A947-70E740481C1C}"/>
                      </a:extLst>
                    </a:blip>
                    <a:srcRect/>
                    <a:stretch>
                      <a:fillRect/>
                    </a:stretch>
                  </pic:blipFill>
                  <pic:spPr bwMode="auto">
                    <a:xfrm>
                      <a:off x="0" y="0"/>
                      <a:ext cx="443230" cy="8255"/>
                    </a:xfrm>
                    <a:prstGeom prst="rect">
                      <a:avLst/>
                    </a:prstGeom>
                    <a:noFill/>
                  </pic:spPr>
                </pic:pic>
              </a:graphicData>
            </a:graphic>
          </wp:anchor>
        </w:drawing>
      </w:r>
    </w:p>
    <w:p>
      <w:pPr>
        <w:spacing w:after="0" w:line="6" w:lineRule="exact"/>
        <w:rPr>
          <w:sz w:val="20"/>
          <w:szCs w:val="20"/>
          <w:color w:val="auto"/>
        </w:rPr>
      </w:pPr>
    </w:p>
    <w:p>
      <w:pPr>
        <w:ind w:left="469"/>
        <w:spacing w:after="0"/>
        <w:rPr>
          <w:sz w:val="20"/>
          <w:szCs w:val="20"/>
          <w:color w:val="auto"/>
        </w:rPr>
      </w:pPr>
      <w:r>
        <w:rPr>
          <w:rFonts w:ascii="Arial" w:cs="Arial" w:eastAsia="Arial" w:hAnsi="Arial"/>
          <w:sz w:val="17"/>
          <w:szCs w:val="17"/>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1704340</wp:posOffset>
            </wp:positionH>
            <wp:positionV relativeFrom="paragraph">
              <wp:posOffset>-15240</wp:posOffset>
            </wp:positionV>
            <wp:extent cx="44323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2">
                      <a:extLst>
                        <a:ext uri="{28A0092B-C50C-407E-A947-70E740481C1C}"/>
                      </a:extLst>
                    </a:blip>
                    <a:srcRect/>
                    <a:stretch>
                      <a:fillRect/>
                    </a:stretch>
                  </pic:blipFill>
                  <pic:spPr bwMode="auto">
                    <a:xfrm>
                      <a:off x="0" y="0"/>
                      <a:ext cx="443230" cy="8255"/>
                    </a:xfrm>
                    <a:prstGeom prst="rect">
                      <a:avLst/>
                    </a:prstGeom>
                    <a:noFill/>
                  </pic:spPr>
                </pic:pic>
              </a:graphicData>
            </a:graphic>
          </wp:anchor>
        </w:drawing>
      </w:r>
    </w:p>
    <w:p>
      <w:pPr>
        <w:ind w:left="449"/>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1704340</wp:posOffset>
            </wp:positionH>
            <wp:positionV relativeFrom="paragraph">
              <wp:posOffset>-15240</wp:posOffset>
            </wp:positionV>
            <wp:extent cx="44323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3">
                      <a:extLst>
                        <a:ext uri="{28A0092B-C50C-407E-A947-70E740481C1C}"/>
                      </a:extLst>
                    </a:blip>
                    <a:srcRect/>
                    <a:stretch>
                      <a:fillRect/>
                    </a:stretch>
                  </pic:blipFill>
                  <pic:spPr bwMode="auto">
                    <a:xfrm>
                      <a:off x="0" y="0"/>
                      <a:ext cx="443230" cy="8255"/>
                    </a:xfrm>
                    <a:prstGeom prst="rect">
                      <a:avLst/>
                    </a:prstGeom>
                    <a:noFill/>
                  </pic:spPr>
                </pic:pic>
              </a:graphicData>
            </a:graphic>
          </wp:anchor>
        </w:drawing>
        <w:drawing>
          <wp:anchor simplePos="0" relativeHeight="251657728" behindDoc="1" locked="0" layoutInCell="0" allowOverlap="1">
            <wp:simplePos x="0" y="0"/>
            <wp:positionH relativeFrom="column">
              <wp:posOffset>1704340</wp:posOffset>
            </wp:positionH>
            <wp:positionV relativeFrom="paragraph">
              <wp:posOffset>117475</wp:posOffset>
            </wp:positionV>
            <wp:extent cx="44323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4">
                      <a:extLst>
                        <a:ext uri="{28A0092B-C50C-407E-A947-70E740481C1C}"/>
                      </a:extLst>
                    </a:blip>
                    <a:srcRect/>
                    <a:stretch>
                      <a:fillRect/>
                    </a:stretch>
                  </pic:blipFill>
                  <pic:spPr bwMode="auto">
                    <a:xfrm>
                      <a:off x="0" y="0"/>
                      <a:ext cx="443230" cy="8255"/>
                    </a:xfrm>
                    <a:prstGeom prst="rect">
                      <a:avLst/>
                    </a:prstGeom>
                    <a:noFill/>
                  </pic:spPr>
                </pic:pic>
              </a:graphicData>
            </a:graphic>
          </wp:anchor>
        </w:drawing>
      </w:r>
    </w:p>
    <w:p>
      <w:pPr>
        <w:spacing w:after="0" w:line="192" w:lineRule="exact"/>
        <w:rPr>
          <w:sz w:val="20"/>
          <w:szCs w:val="20"/>
          <w:color w:val="auto"/>
        </w:rPr>
      </w:pPr>
    </w:p>
    <w:p>
      <w:pPr>
        <w:ind w:left="469"/>
        <w:spacing w:after="0"/>
        <w:tabs>
          <w:tab w:leader="none" w:pos="3708" w:val="left"/>
        </w:tabs>
        <w:rPr>
          <w:sz w:val="20"/>
          <w:szCs w:val="20"/>
          <w:color w:val="auto"/>
        </w:rPr>
      </w:pPr>
      <w:r>
        <w:rPr>
          <w:rFonts w:ascii="Arial" w:cs="Arial" w:eastAsia="Arial" w:hAnsi="Arial"/>
          <w:sz w:val="17"/>
          <w:szCs w:val="17"/>
          <w:color w:val="auto"/>
        </w:rPr>
        <w:t>Taxable year: Calendar year</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1704340</wp:posOffset>
            </wp:positionH>
            <wp:positionV relativeFrom="paragraph">
              <wp:posOffset>-7620</wp:posOffset>
            </wp:positionV>
            <wp:extent cx="66484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5">
                      <a:extLst>
                        <a:ext uri="{28A0092B-C50C-407E-A947-70E740481C1C}"/>
                      </a:extLst>
                    </a:blip>
                    <a:srcRect/>
                    <a:stretch>
                      <a:fillRect/>
                    </a:stretch>
                  </pic:blipFill>
                  <pic:spPr bwMode="auto">
                    <a:xfrm>
                      <a:off x="0" y="0"/>
                      <a:ext cx="664845" cy="8255"/>
                    </a:xfrm>
                    <a:prstGeom prst="rect">
                      <a:avLst/>
                    </a:prstGeom>
                    <a:noFill/>
                  </pic:spPr>
                </pic:pic>
              </a:graphicData>
            </a:graphic>
          </wp:anchor>
        </w:drawing>
      </w:r>
    </w:p>
    <w:p>
      <w:pPr>
        <w:spacing w:after="0" w:line="106" w:lineRule="exact"/>
        <w:rPr>
          <w:sz w:val="20"/>
          <w:szCs w:val="20"/>
          <w:color w:val="auto"/>
        </w:rPr>
      </w:pPr>
    </w:p>
    <w:p>
      <w:pPr>
        <w:ind w:left="429" w:right="240" w:hanging="429"/>
        <w:spacing w:after="0" w:line="296" w:lineRule="auto"/>
        <w:tabs>
          <w:tab w:leader="none" w:pos="429" w:val="left"/>
        </w:tabs>
        <w:numPr>
          <w:ilvl w:val="0"/>
          <w:numId w:val="2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The property that is the subject of this election: </w:t>
      </w:r>
      <w:r>
        <w:rPr>
          <w:rFonts w:ascii="Arial" w:cs="Arial" w:eastAsia="Arial" w:hAnsi="Arial"/>
          <w:sz w:val="17"/>
          <w:szCs w:val="17"/>
          <w:color w:val="auto"/>
        </w:rPr>
        <w:t>________________ shares of common stock of NGM Biopharmaceuticals, Inc., a Delaware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w:t>
      </w:r>
    </w:p>
    <w:p>
      <w:pPr>
        <w:spacing w:after="0" w:line="55" w:lineRule="exact"/>
        <w:rPr>
          <w:sz w:val="20"/>
          <w:szCs w:val="20"/>
          <w:color w:val="auto"/>
        </w:rPr>
      </w:pPr>
    </w:p>
    <w:p>
      <w:pPr>
        <w:ind w:left="9"/>
        <w:spacing w:after="0"/>
        <w:tabs>
          <w:tab w:leader="none" w:pos="408" w:val="left"/>
          <w:tab w:leader="none" w:pos="3808" w:val="left"/>
          <w:tab w:leader="none" w:pos="4328" w:val="left"/>
        </w:tabs>
        <w:rPr>
          <w:sz w:val="20"/>
          <w:szCs w:val="20"/>
          <w:color w:val="auto"/>
        </w:rPr>
      </w:pPr>
      <w:r>
        <w:rPr>
          <w:rFonts w:ascii="Arial" w:cs="Arial" w:eastAsia="Arial" w:hAnsi="Arial"/>
          <w:sz w:val="17"/>
          <w:szCs w:val="17"/>
          <w:b w:val="1"/>
          <w:bCs w:val="1"/>
          <w:color w:val="auto"/>
        </w:rPr>
        <w:t>3.</w:t>
      </w:r>
      <w:r>
        <w:rPr>
          <w:sz w:val="20"/>
          <w:szCs w:val="20"/>
          <w:color w:val="auto"/>
        </w:rPr>
        <w:tab/>
      </w:r>
      <w:r>
        <w:rPr>
          <w:rFonts w:ascii="Arial" w:cs="Arial" w:eastAsia="Arial" w:hAnsi="Arial"/>
          <w:sz w:val="17"/>
          <w:szCs w:val="17"/>
          <w:b w:val="1"/>
          <w:bCs w:val="1"/>
          <w:color w:val="auto"/>
        </w:rPr>
        <w:t>The property was transferred on:</w:t>
      </w:r>
      <w:r>
        <w:rPr>
          <w:sz w:val="20"/>
          <w:szCs w:val="20"/>
          <w:color w:val="auto"/>
        </w:rPr>
        <w:tab/>
      </w:r>
      <w:r>
        <w:rPr>
          <w:rFonts w:ascii="Arial" w:cs="Arial" w:eastAsia="Arial" w:hAnsi="Arial"/>
          <w:sz w:val="17"/>
          <w:szCs w:val="17"/>
          <w:color w:val="auto"/>
        </w:rPr>
        <w:t>, 20</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1877695</wp:posOffset>
            </wp:positionH>
            <wp:positionV relativeFrom="paragraph">
              <wp:posOffset>-3810</wp:posOffset>
            </wp:positionV>
            <wp:extent cx="88646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6">
                      <a:extLst>
                        <a:ext uri="{28A0092B-C50C-407E-A947-70E740481C1C}"/>
                      </a:extLst>
                    </a:blip>
                    <a:srcRect/>
                    <a:stretch>
                      <a:fillRect/>
                    </a:stretch>
                  </pic:blipFill>
                  <pic:spPr bwMode="auto">
                    <a:xfrm>
                      <a:off x="0" y="0"/>
                      <a:ext cx="886460" cy="8255"/>
                    </a:xfrm>
                    <a:prstGeom prst="rect">
                      <a:avLst/>
                    </a:prstGeom>
                    <a:noFill/>
                  </pic:spPr>
                </pic:pic>
              </a:graphicData>
            </a:graphic>
          </wp:anchor>
        </w:drawing>
      </w:r>
    </w:p>
    <w:p>
      <w:pPr>
        <w:spacing w:after="0" w:line="112" w:lineRule="exact"/>
        <w:rPr>
          <w:sz w:val="20"/>
          <w:szCs w:val="20"/>
          <w:color w:val="auto"/>
        </w:rPr>
      </w:pPr>
    </w:p>
    <w:p>
      <w:pPr>
        <w:ind w:left="429" w:right="240" w:hanging="429"/>
        <w:spacing w:after="0" w:line="276" w:lineRule="auto"/>
        <w:tabs>
          <w:tab w:leader="none" w:pos="429" w:val="left"/>
        </w:tabs>
        <w:numPr>
          <w:ilvl w:val="0"/>
          <w:numId w:val="2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The property is subject to the following restrictions: </w:t>
      </w:r>
      <w:r>
        <w:rPr>
          <w:rFonts w:ascii="Arial" w:cs="Arial" w:eastAsia="Arial" w:hAnsi="Arial"/>
          <w:sz w:val="17"/>
          <w:szCs w:val="17"/>
          <w:color w:val="auto"/>
        </w:rPr>
        <w:t>Some or all of the shares are subject to forfeiture or repurchase at less than their fair</w:t>
      </w:r>
      <w:r>
        <w:rPr>
          <w:rFonts w:ascii="Arial" w:cs="Arial" w:eastAsia="Arial" w:hAnsi="Arial"/>
          <w:sz w:val="17"/>
          <w:szCs w:val="17"/>
          <w:b w:val="1"/>
          <w:bCs w:val="1"/>
          <w:color w:val="auto"/>
        </w:rPr>
        <w:t xml:space="preserve"> </w:t>
      </w:r>
      <w:r>
        <w:rPr>
          <w:rFonts w:ascii="Arial" w:cs="Arial" w:eastAsia="Arial" w:hAnsi="Arial"/>
          <w:sz w:val="17"/>
          <w:szCs w:val="17"/>
          <w:color w:val="auto"/>
        </w:rPr>
        <w:t>market value if the undersigned does not continue to provide services for the Company for a designated period of time. The risk of forfeiture or repurchase lapses over a specified vesting period.</w:t>
      </w:r>
    </w:p>
    <w:p>
      <w:pPr>
        <w:spacing w:after="0" w:line="72" w:lineRule="exact"/>
        <w:rPr>
          <w:rFonts w:ascii="Arial" w:cs="Arial" w:eastAsia="Arial" w:hAnsi="Arial"/>
          <w:sz w:val="17"/>
          <w:szCs w:val="17"/>
          <w:b w:val="1"/>
          <w:bCs w:val="1"/>
          <w:color w:val="auto"/>
        </w:rPr>
      </w:pPr>
    </w:p>
    <w:p>
      <w:pPr>
        <w:ind w:left="429" w:hanging="429"/>
        <w:spacing w:after="0" w:line="368" w:lineRule="auto"/>
        <w:tabs>
          <w:tab w:leader="none" w:pos="429" w:val="left"/>
        </w:tabs>
        <w:numPr>
          <w:ilvl w:val="0"/>
          <w:numId w:val="24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The fair market value of the property at the time of transfer (determined without regard to any restriction other than a nonlapse restriction as defined in Treasury Regulation § 1.83-3(h)): </w:t>
      </w:r>
      <w:r>
        <w:rPr>
          <w:rFonts w:ascii="Arial" w:cs="Arial" w:eastAsia="Arial" w:hAnsi="Arial"/>
          <w:sz w:val="15"/>
          <w:szCs w:val="15"/>
          <w:color w:val="auto"/>
        </w:rPr>
        <w:t>$________________ per share x ________________ shares = $________________.</w:t>
      </w:r>
    </w:p>
    <w:p>
      <w:pPr>
        <w:spacing w:after="0" w:line="7" w:lineRule="exact"/>
        <w:rPr>
          <w:rFonts w:ascii="Arial" w:cs="Arial" w:eastAsia="Arial" w:hAnsi="Arial"/>
          <w:sz w:val="15"/>
          <w:szCs w:val="15"/>
          <w:b w:val="1"/>
          <w:bCs w:val="1"/>
          <w:color w:val="auto"/>
        </w:rPr>
      </w:pPr>
    </w:p>
    <w:p>
      <w:pPr>
        <w:ind w:left="429" w:hanging="429"/>
        <w:spacing w:after="0"/>
        <w:tabs>
          <w:tab w:leader="none" w:pos="429" w:val="left"/>
        </w:tabs>
        <w:numPr>
          <w:ilvl w:val="0"/>
          <w:numId w:val="2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For the property transferred, the undersigned paid: </w:t>
      </w:r>
      <w:r>
        <w:rPr>
          <w:rFonts w:ascii="Arial" w:cs="Arial" w:eastAsia="Arial" w:hAnsi="Arial"/>
          <w:sz w:val="16"/>
          <w:szCs w:val="16"/>
          <w:color w:val="auto"/>
        </w:rPr>
        <w:t>$________________ per share x ________________ shares = $________________.</w:t>
      </w:r>
    </w:p>
    <w:p>
      <w:pPr>
        <w:spacing w:after="0" w:line="143" w:lineRule="exact"/>
        <w:rPr>
          <w:rFonts w:ascii="Arial" w:cs="Arial" w:eastAsia="Arial" w:hAnsi="Arial"/>
          <w:sz w:val="16"/>
          <w:szCs w:val="16"/>
          <w:b w:val="1"/>
          <w:bCs w:val="1"/>
          <w:color w:val="auto"/>
        </w:rPr>
      </w:pPr>
    </w:p>
    <w:p>
      <w:pPr>
        <w:ind w:left="429" w:hanging="429"/>
        <w:spacing w:after="0"/>
        <w:tabs>
          <w:tab w:leader="none" w:pos="429" w:val="left"/>
        </w:tabs>
        <w:numPr>
          <w:ilvl w:val="0"/>
          <w:numId w:val="2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The amount to include in gross income is: </w:t>
      </w:r>
      <w:r>
        <w:rPr>
          <w:rFonts w:ascii="Arial" w:cs="Arial" w:eastAsia="Arial" w:hAnsi="Arial"/>
          <w:sz w:val="17"/>
          <w:szCs w:val="17"/>
          <w:color w:val="auto"/>
        </w:rPr>
        <w:t>$________________.</w:t>
      </w: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6819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7">
                      <a:extLst>
                        <a:ext uri="{28A0092B-C50C-407E-A947-70E740481C1C}"/>
                      </a:extLst>
                    </a:blip>
                    <a:srcRect/>
                    <a:stretch>
                      <a:fillRect/>
                    </a:stretch>
                  </pic:blipFill>
                  <pic:spPr bwMode="auto">
                    <a:xfrm>
                      <a:off x="0" y="0"/>
                      <a:ext cx="681990" cy="8255"/>
                    </a:xfrm>
                    <a:prstGeom prst="rect">
                      <a:avLst/>
                    </a:prstGeom>
                    <a:noFill/>
                  </pic:spPr>
                </pic:pic>
              </a:graphicData>
            </a:graphic>
          </wp:anchor>
        </w:drawing>
      </w:r>
    </w:p>
    <w:p>
      <w:pPr>
        <w:spacing w:after="0" w:line="170" w:lineRule="exact"/>
        <w:rPr>
          <w:sz w:val="20"/>
          <w:szCs w:val="20"/>
          <w:color w:val="auto"/>
        </w:rPr>
      </w:pPr>
    </w:p>
    <w:p>
      <w:pPr>
        <w:ind w:left="429" w:hanging="429"/>
        <w:spacing w:after="0"/>
        <w:tabs>
          <w:tab w:leader="none" w:pos="429" w:val="left"/>
        </w:tabs>
        <w:numPr>
          <w:ilvl w:val="0"/>
          <w:numId w:val="248"/>
        </w:numPr>
        <w:rPr>
          <w:rFonts w:ascii="Arial" w:cs="Arial" w:eastAsia="Arial" w:hAnsi="Arial"/>
          <w:sz w:val="15"/>
          <w:szCs w:val="15"/>
          <w:color w:val="auto"/>
        </w:rPr>
      </w:pPr>
      <w:r>
        <w:rPr>
          <w:rFonts w:ascii="Arial" w:cs="Arial" w:eastAsia="Arial" w:hAnsi="Arial"/>
          <w:sz w:val="17"/>
          <w:szCs w:val="17"/>
          <w:b w:val="1"/>
          <w:bCs w:val="1"/>
          <w:i w:val="1"/>
          <w:iCs w:val="1"/>
          <w:color w:val="auto"/>
        </w:rPr>
        <w:t>Note</w:t>
      </w:r>
      <w:r>
        <w:rPr>
          <w:rFonts w:ascii="Arial" w:cs="Arial" w:eastAsia="Arial" w:hAnsi="Arial"/>
          <w:sz w:val="17"/>
          <w:szCs w:val="17"/>
          <w:color w:val="auto"/>
        </w:rPr>
        <w:t>: This should equal the amount in Item 5 minus the amount in Item 6.</w:t>
      </w:r>
    </w:p>
    <w:p>
      <w:pPr>
        <w:sectPr>
          <w:pgSz w:w="11900" w:h="16838" w:orient="portrait"/>
          <w:cols w:equalWidth="0" w:num="1">
            <w:col w:w="10669"/>
          </w:cols>
          <w:pgMar w:left="611" w:top="265" w:right="619" w:bottom="1440" w:gutter="0" w:footer="0" w:header="0"/>
        </w:sectPr>
      </w:pPr>
    </w:p>
    <w:bookmarkStart w:id="352" w:name="page353"/>
    <w:bookmarkEnd w:id="352"/>
    <w:p>
      <w:pPr>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undersigned taxpayer will file this election with the Internal Revenue Service office with which taxpayer files his or her annual income tax return not later than 30 days after the date of transfer of the property. A copy of the election also will be furnished to the person for whom the services were performed and the transferee of the property. Additionally, if required by applicable law, the undersigned will include a copy of the election with his or her state income tax return for the taxable year in which the property is transferred. The undersigned is the person performing the services in connection with which the property was transferred.</w:t>
      </w:r>
    </w:p>
    <w:p>
      <w:pPr>
        <w:spacing w:after="0" w:line="20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4069080</wp:posOffset>
            </wp:positionH>
            <wp:positionV relativeFrom="paragraph">
              <wp:posOffset>324485</wp:posOffset>
            </wp:positionV>
            <wp:extent cx="271081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9">
                      <a:extLst>
                        <a:ext uri="{28A0092B-C50C-407E-A947-70E740481C1C}"/>
                      </a:extLst>
                    </a:blip>
                    <a:srcRect/>
                    <a:stretch>
                      <a:fillRect/>
                    </a:stretch>
                  </pic:blipFill>
                  <pic:spPr bwMode="auto">
                    <a:xfrm>
                      <a:off x="0" y="0"/>
                      <a:ext cx="271081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Name:</w:t>
      </w:r>
    </w:p>
    <w:p>
      <w:pPr>
        <w:sectPr>
          <w:pgSz w:w="11900" w:h="16838" w:orient="portrait"/>
          <w:cols w:equalWidth="0" w:num="1">
            <w:col w:w="10600"/>
          </w:cols>
          <w:pgMar w:left="620" w:top="271" w:right="679" w:bottom="1440" w:gutter="0" w:footer="0" w:header="0"/>
        </w:sectPr>
      </w:pPr>
    </w:p>
    <w:bookmarkStart w:id="353" w:name="page354"/>
    <w:bookmarkEnd w:id="353"/>
    <w:p>
      <w:pP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RETURN SERVICE REQUESTED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Department of the Treasury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Internal Revenue Service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[City, State Zip]</w:t>
      </w:r>
    </w:p>
    <w:p>
      <w:pPr>
        <w:spacing w:after="0" w:line="232"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5"/>
          <w:szCs w:val="15"/>
          <w:b w:val="1"/>
          <w:bCs w:val="1"/>
          <w:u w:val="single" w:color="auto"/>
          <w:color w:val="auto"/>
        </w:rPr>
        <w:t>Election Under Section 83(b) of the Internal Revenue Code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Dear Sir or Madam:</w:t>
      </w:r>
    </w:p>
    <w:p>
      <w:pPr>
        <w:spacing w:after="0" w:line="119" w:lineRule="exact"/>
        <w:rPr>
          <w:sz w:val="20"/>
          <w:szCs w:val="20"/>
          <w:color w:val="auto"/>
        </w:rPr>
      </w:pPr>
    </w:p>
    <w:p>
      <w:pPr>
        <w:ind w:firstLine="427"/>
        <w:spacing w:after="0" w:line="289" w:lineRule="auto"/>
        <w:rPr>
          <w:sz w:val="20"/>
          <w:szCs w:val="20"/>
          <w:color w:val="auto"/>
        </w:rPr>
      </w:pPr>
      <w:r>
        <w:rPr>
          <w:rFonts w:ascii="Arial" w:cs="Arial" w:eastAsia="Arial" w:hAnsi="Arial"/>
          <w:sz w:val="17"/>
          <w:szCs w:val="17"/>
          <w:color w:val="auto"/>
        </w:rPr>
        <w:t>Enclosed please find an executed form of election under Section 83(b) of the Internal Revenue Code of 1986, as amended, filed with respect to an interest in NGM Biopharmaceuticals, Inc.</w:t>
      </w:r>
    </w:p>
    <w:p>
      <w:pPr>
        <w:spacing w:after="0" w:line="158" w:lineRule="exact"/>
        <w:rPr>
          <w:sz w:val="20"/>
          <w:szCs w:val="20"/>
          <w:color w:val="auto"/>
        </w:rPr>
      </w:pPr>
    </w:p>
    <w:p>
      <w:pPr>
        <w:ind w:right="220" w:firstLine="427"/>
        <w:spacing w:after="0" w:line="289" w:lineRule="auto"/>
        <w:rPr>
          <w:sz w:val="20"/>
          <w:szCs w:val="20"/>
          <w:color w:val="auto"/>
        </w:rPr>
      </w:pPr>
      <w:r>
        <w:rPr>
          <w:rFonts w:ascii="Arial" w:cs="Arial" w:eastAsia="Arial" w:hAnsi="Arial"/>
          <w:sz w:val="17"/>
          <w:szCs w:val="17"/>
          <w:color w:val="auto"/>
        </w:rPr>
        <w:t>Also enclosed is a copy of the signed form of election under Section 83(b). Please acknowledge receipt of these materials by marking the copy when received and returning it in the enclosed stamped, self-addressed envelope.</w:t>
      </w:r>
    </w:p>
    <w:p>
      <w:pPr>
        <w:spacing w:after="0" w:line="158"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Thank you very much for your assistance.</w:t>
      </w:r>
    </w:p>
    <w:p>
      <w:pPr>
        <w:spacing w:after="0" w:line="25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4069080</wp:posOffset>
            </wp:positionH>
            <wp:positionV relativeFrom="paragraph">
              <wp:posOffset>324485</wp:posOffset>
            </wp:positionV>
            <wp:extent cx="271081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1">
                      <a:extLst>
                        <a:ext uri="{28A0092B-C50C-407E-A947-70E740481C1C}"/>
                      </a:extLst>
                    </a:blip>
                    <a:srcRect/>
                    <a:stretch>
                      <a:fillRect/>
                    </a:stretch>
                  </pic:blipFill>
                  <pic:spPr bwMode="auto">
                    <a:xfrm>
                      <a:off x="0" y="0"/>
                      <a:ext cx="271081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Name: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Enclosures</w:t>
      </w:r>
    </w:p>
    <w:p>
      <w:pPr>
        <w:sectPr>
          <w:pgSz w:w="11900" w:h="16838" w:orient="portrait"/>
          <w:cols w:equalWidth="0" w:num="1">
            <w:col w:w="10600"/>
          </w:cols>
          <w:pgMar w:left="620" w:top="265" w:right="679" w:bottom="1440" w:gutter="0" w:footer="0" w:header="0"/>
        </w:sectPr>
      </w:pPr>
    </w:p>
    <w:bookmarkStart w:id="354" w:name="page355"/>
    <w:bookmarkEnd w:id="354"/>
    <w:p>
      <w:pPr>
        <w:jc w:val="right"/>
        <w:spacing w:after="0"/>
        <w:rPr>
          <w:sz w:val="20"/>
          <w:szCs w:val="20"/>
          <w:color w:val="auto"/>
        </w:rPr>
      </w:pPr>
      <w:r>
        <w:rPr>
          <w:rFonts w:ascii="Arial" w:cs="Arial" w:eastAsia="Arial" w:hAnsi="Arial"/>
          <w:sz w:val="17"/>
          <w:szCs w:val="17"/>
          <w:b w:val="1"/>
          <w:bCs w:val="1"/>
          <w:color w:val="auto"/>
        </w:rPr>
        <w:t>Exhibit 10.5</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2018 E</w:t>
      </w:r>
      <w:r>
        <w:rPr>
          <w:rFonts w:ascii="Arial" w:cs="Arial" w:eastAsia="Arial" w:hAnsi="Arial"/>
          <w:sz w:val="14"/>
          <w:szCs w:val="14"/>
          <w:b w:val="1"/>
          <w:bCs w:val="1"/>
          <w:color w:val="auto"/>
        </w:rPr>
        <w:t>QUITY</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w:t>
      </w:r>
      <w:r>
        <w:rPr>
          <w:rFonts w:ascii="Arial" w:cs="Arial" w:eastAsia="Arial" w:hAnsi="Arial"/>
          <w:sz w:val="14"/>
          <w:szCs w:val="14"/>
          <w:b w:val="1"/>
          <w:bCs w:val="1"/>
          <w:color w:val="auto"/>
        </w:rPr>
        <w:t>ESTRICTED</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17"/>
          <w:szCs w:val="17"/>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17"/>
          <w:szCs w:val="17"/>
          <w:b w:val="1"/>
          <w:bCs w:val="1"/>
          <w:color w:val="auto"/>
        </w:rPr>
        <w:t xml:space="preserve"> N</w:t>
      </w:r>
      <w:r>
        <w:rPr>
          <w:rFonts w:ascii="Arial" w:cs="Arial" w:eastAsia="Arial" w:hAnsi="Arial"/>
          <w:sz w:val="14"/>
          <w:szCs w:val="14"/>
          <w:b w:val="1"/>
          <w:bCs w:val="1"/>
          <w:color w:val="auto"/>
        </w:rPr>
        <w:t>OTICE</w:t>
      </w:r>
    </w:p>
    <w:p>
      <w:pPr>
        <w:spacing w:after="0" w:line="230"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color w:val="auto"/>
        </w:rPr>
        <w:t>NGM Biopharmaceuticals,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awarded to Participant the number of restricted stock units under its 2018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set forth below (the “</w:t>
      </w:r>
      <w:r>
        <w:rPr>
          <w:rFonts w:ascii="Arial" w:cs="Arial" w:eastAsia="Arial" w:hAnsi="Arial"/>
          <w:sz w:val="17"/>
          <w:szCs w:val="17"/>
          <w:b w:val="1"/>
          <w:bCs w:val="1"/>
          <w:i w:val="1"/>
          <w:iCs w:val="1"/>
          <w:color w:val="auto"/>
        </w:rPr>
        <w:t>Award</w:t>
      </w:r>
      <w:r>
        <w:rPr>
          <w:rFonts w:ascii="Arial" w:cs="Arial" w:eastAsia="Arial" w:hAnsi="Arial"/>
          <w:sz w:val="17"/>
          <w:szCs w:val="17"/>
          <w:color w:val="auto"/>
        </w:rPr>
        <w: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Participant:</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Date of Grant:</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Number of Restricted Stock</w:t>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Units (“</w:t>
      </w:r>
      <w:r>
        <w:rPr>
          <w:rFonts w:ascii="Arial" w:cs="Arial" w:eastAsia="Arial" w:hAnsi="Arial"/>
          <w:sz w:val="17"/>
          <w:szCs w:val="17"/>
          <w:b w:val="1"/>
          <w:bCs w:val="1"/>
          <w:i w:val="1"/>
          <w:iCs w:val="1"/>
          <w:color w:val="auto"/>
        </w:rPr>
        <w:t>RSUs</w:t>
      </w:r>
      <w:r>
        <w:rPr>
          <w:rFonts w:ascii="Arial" w:cs="Arial" w:eastAsia="Arial" w:hAnsi="Arial"/>
          <w:sz w:val="17"/>
          <w:szCs w:val="17"/>
          <w:color w:val="auto"/>
        </w:rPr>
        <w:t>”):</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Vesting Commencement Date:</w:t>
      </w:r>
    </w:p>
    <w:p>
      <w:pPr>
        <w:sectPr>
          <w:pgSz w:w="11900" w:h="16838" w:orient="portrait"/>
          <w:cols w:equalWidth="0" w:num="1">
            <w:col w:w="10680"/>
          </w:cols>
          <w:pgMar w:left="620" w:top="121" w:right="599" w:bottom="1440" w:gutter="0" w:footer="0" w:header="0"/>
        </w:sectPr>
      </w:pPr>
    </w:p>
    <w:p>
      <w:pPr>
        <w:spacing w:after="0" w:line="11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Vesting Schedule</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Subject to the Participant’s Continuous Service through each applicable vesting date, the Award will vest as follows:</w:t>
      </w:r>
    </w:p>
    <w:p>
      <w:pPr>
        <w:spacing w:after="0" w:line="152" w:lineRule="exact"/>
        <w:rPr>
          <w:sz w:val="20"/>
          <w:szCs w:val="20"/>
          <w:color w:val="auto"/>
        </w:rPr>
      </w:pPr>
    </w:p>
    <w:p>
      <w:pPr>
        <w:sectPr>
          <w:pgSz w:w="11900" w:h="16838" w:orient="portrait"/>
          <w:cols w:equalWidth="0" w:num="2">
            <w:col w:w="2280" w:space="720"/>
            <w:col w:w="7680"/>
          </w:cols>
          <w:pgMar w:left="620" w:top="121" w:right="599" w:bottom="1440" w:gutter="0" w:footer="0" w:header="0"/>
          <w:type w:val="continuous"/>
        </w:sectPr>
      </w:pPr>
    </w:p>
    <w:p>
      <w:pPr>
        <w:ind w:right="100"/>
        <w:spacing w:after="0" w:line="284" w:lineRule="auto"/>
        <w:rPr>
          <w:sz w:val="20"/>
          <w:szCs w:val="20"/>
          <w:color w:val="auto"/>
        </w:rPr>
      </w:pPr>
      <w:r>
        <w:rPr>
          <w:rFonts w:ascii="Arial" w:cs="Arial" w:eastAsia="Arial" w:hAnsi="Arial"/>
          <w:sz w:val="16"/>
          <w:szCs w:val="16"/>
          <w:b w:val="1"/>
          <w:bCs w:val="1"/>
          <w:color w:val="auto"/>
        </w:rPr>
        <w:t xml:space="preserve">Participant Acknowledgements: </w:t>
      </w:r>
      <w:r>
        <w:rPr>
          <w:rFonts w:ascii="Arial" w:cs="Arial" w:eastAsia="Arial" w:hAnsi="Arial"/>
          <w:sz w:val="16"/>
          <w:szCs w:val="16"/>
          <w:color w:val="auto"/>
        </w:rPr>
        <w:t>By Participant’s acceptance of this Award, Participant understands and agrees that the Award is governed by this</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Unit Grant Notice (this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and the provisions of the Plan and the attached RSU Terms and Conditions (the “</w:t>
      </w:r>
      <w:r>
        <w:rPr>
          <w:rFonts w:ascii="Arial" w:cs="Arial" w:eastAsia="Arial" w:hAnsi="Arial"/>
          <w:sz w:val="16"/>
          <w:szCs w:val="16"/>
          <w:b w:val="1"/>
          <w:bCs w:val="1"/>
          <w:i w:val="1"/>
          <w:iCs w:val="1"/>
          <w:color w:val="auto"/>
        </w:rPr>
        <w:t>Terms</w:t>
      </w:r>
      <w:r>
        <w:rPr>
          <w:rFonts w:ascii="Arial" w:cs="Arial" w:eastAsia="Arial" w:hAnsi="Arial"/>
          <w:sz w:val="16"/>
          <w:szCs w:val="16"/>
          <w:color w:val="auto"/>
        </w:rPr>
        <w:t>”), all of which are made a part of this document. The Grant Notice and the Terms are collectively referred to as the “</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applicable to the Award. Participant further acknowledges that the Award comprises the entire understanding between Participant and the Company regarding the acquisition of stock in the Company and supersedes all prior oral and written agreements, promises and/or representations on that subject with the exception of other equity awards previously granted to Participant and Common Stock previously issued to Participant.</w:t>
      </w:r>
    </w:p>
    <w:p>
      <w:pPr>
        <w:spacing w:after="0" w:line="166" w:lineRule="exact"/>
        <w:rPr>
          <w:sz w:val="20"/>
          <w:szCs w:val="20"/>
          <w:color w:val="auto"/>
        </w:rPr>
      </w:pPr>
    </w:p>
    <w:p>
      <w:pPr>
        <w:ind w:right="560"/>
        <w:spacing w:after="0" w:line="289" w:lineRule="auto"/>
        <w:rPr>
          <w:sz w:val="20"/>
          <w:szCs w:val="20"/>
          <w:color w:val="auto"/>
        </w:rPr>
      </w:pPr>
      <w:r>
        <w:rPr>
          <w:rFonts w:ascii="Arial" w:cs="Arial" w:eastAsia="Arial" w:hAnsi="Arial"/>
          <w:sz w:val="17"/>
          <w:szCs w:val="17"/>
          <w:color w:val="auto"/>
        </w:rPr>
        <w:t>Participant further consents to receive Plan documents by electronic delivery and to participate in the Plan through an online or electronic system established and maintained by the Company or another third party designated by the Company.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0" w:type="dxa"/>
            <w:vAlign w:val="bottom"/>
            <w:gridSpan w:val="2"/>
          </w:tcPr>
          <w:p>
            <w:pPr>
              <w:spacing w:after="0"/>
              <w:rPr>
                <w:sz w:val="20"/>
                <w:szCs w:val="20"/>
                <w:color w:val="auto"/>
              </w:rPr>
            </w:pPr>
            <w:r>
              <w:rPr>
                <w:rFonts w:ascii="Arial" w:cs="Arial" w:eastAsia="Arial" w:hAnsi="Arial"/>
                <w:sz w:val="17"/>
                <w:szCs w:val="17"/>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tc>
        <w:tc>
          <w:tcPr>
            <w:tcW w:w="5680" w:type="dxa"/>
            <w:vAlign w:val="bottom"/>
            <w:gridSpan w:val="3"/>
          </w:tcPr>
          <w:p>
            <w:pPr>
              <w:ind w:left="680"/>
              <w:spacing w:after="0"/>
              <w:rPr>
                <w:sz w:val="20"/>
                <w:szCs w:val="20"/>
                <w:color w:val="auto"/>
              </w:rPr>
            </w:pP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p>
        </w:tc>
      </w:tr>
      <w:tr>
        <w:trPr>
          <w:trHeight w:val="419"/>
        </w:trPr>
        <w:tc>
          <w:tcPr>
            <w:tcW w:w="5000" w:type="dxa"/>
            <w:vAlign w:val="bottom"/>
            <w:gridSpan w:val="2"/>
          </w:tcPr>
          <w:p>
            <w:pPr>
              <w:spacing w:after="0"/>
              <w:rPr>
                <w:sz w:val="20"/>
                <w:szCs w:val="20"/>
                <w:color w:val="auto"/>
              </w:rPr>
            </w:pPr>
            <w:r>
              <w:rPr>
                <w:rFonts w:ascii="Arial" w:cs="Arial" w:eastAsia="Arial" w:hAnsi="Arial"/>
                <w:sz w:val="17"/>
                <w:szCs w:val="17"/>
                <w:color w:val="auto"/>
              </w:rPr>
              <w:t>By:</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4480" w:type="dxa"/>
            <w:vAlign w:val="bottom"/>
            <w:tcBorders>
              <w:top w:val="single" w:sz="8" w:color="auto"/>
            </w:tcBorders>
          </w:tcPr>
          <w:p>
            <w:pPr>
              <w:ind w:left="1900"/>
              <w:spacing w:after="0"/>
              <w:rPr>
                <w:sz w:val="20"/>
                <w:szCs w:val="20"/>
                <w:color w:val="auto"/>
              </w:rPr>
            </w:pPr>
            <w:r>
              <w:rPr>
                <w:rFonts w:ascii="Arial" w:cs="Arial" w:eastAsia="Arial" w:hAnsi="Arial"/>
                <w:sz w:val="17"/>
                <w:szCs w:val="17"/>
                <w:color w:val="auto"/>
              </w:rPr>
              <w:t>Signature</w:t>
            </w:r>
          </w:p>
        </w:tc>
        <w:tc>
          <w:tcPr>
            <w:tcW w:w="6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480" w:type="dxa"/>
            <w:vAlign w:val="bottom"/>
            <w:tcBorders>
              <w:top w:val="single" w:sz="8" w:color="auto"/>
            </w:tcBorders>
          </w:tcPr>
          <w:p>
            <w:pPr>
              <w:ind w:left="1900"/>
              <w:spacing w:after="0"/>
              <w:rPr>
                <w:sz w:val="20"/>
                <w:szCs w:val="20"/>
                <w:color w:val="auto"/>
              </w:rPr>
            </w:pPr>
            <w:r>
              <w:rPr>
                <w:rFonts w:ascii="Arial" w:cs="Arial" w:eastAsia="Arial" w:hAnsi="Arial"/>
                <w:sz w:val="17"/>
                <w:szCs w:val="17"/>
                <w:color w:val="auto"/>
              </w:rPr>
              <w:t>Signature</w:t>
            </w:r>
          </w:p>
        </w:tc>
      </w:tr>
      <w:tr>
        <w:trPr>
          <w:trHeight w:val="419"/>
        </w:trPr>
        <w:tc>
          <w:tcPr>
            <w:tcW w:w="520" w:type="dxa"/>
            <w:vAlign w:val="bottom"/>
          </w:tcPr>
          <w:p>
            <w:pPr>
              <w:spacing w:after="0"/>
              <w:rPr>
                <w:sz w:val="20"/>
                <w:szCs w:val="20"/>
                <w:color w:val="auto"/>
              </w:rPr>
            </w:pPr>
            <w:r>
              <w:rPr>
                <w:rFonts w:ascii="Arial" w:cs="Arial" w:eastAsia="Arial" w:hAnsi="Arial"/>
                <w:sz w:val="17"/>
                <w:szCs w:val="17"/>
                <w:color w:val="auto"/>
              </w:rPr>
              <w:t>Title:</w:t>
            </w:r>
          </w:p>
        </w:tc>
        <w:tc>
          <w:tcPr>
            <w:tcW w:w="4480" w:type="dxa"/>
            <w:vAlign w:val="bottom"/>
            <w:tcBorders>
              <w:bottom w:val="single" w:sz="8" w:color="auto"/>
            </w:tcBorders>
          </w:tcPr>
          <w:p>
            <w:pPr>
              <w:spacing w:after="0"/>
              <w:rPr>
                <w:sz w:val="24"/>
                <w:szCs w:val="24"/>
                <w:color w:val="auto"/>
              </w:rPr>
            </w:pPr>
          </w:p>
        </w:tc>
        <w:tc>
          <w:tcPr>
            <w:tcW w:w="1200" w:type="dxa"/>
            <w:vAlign w:val="bottom"/>
            <w:gridSpan w:val="2"/>
          </w:tcPr>
          <w:p>
            <w:pPr>
              <w:ind w:left="680"/>
              <w:spacing w:after="0"/>
              <w:rPr>
                <w:sz w:val="20"/>
                <w:szCs w:val="20"/>
                <w:color w:val="auto"/>
              </w:rPr>
            </w:pPr>
            <w:r>
              <w:rPr>
                <w:rFonts w:ascii="Arial" w:cs="Arial" w:eastAsia="Arial" w:hAnsi="Arial"/>
                <w:sz w:val="17"/>
                <w:szCs w:val="17"/>
                <w:color w:val="auto"/>
              </w:rPr>
              <w:t>Date:</w:t>
            </w:r>
          </w:p>
        </w:tc>
        <w:tc>
          <w:tcPr>
            <w:tcW w:w="4480" w:type="dxa"/>
            <w:vAlign w:val="bottom"/>
            <w:tcBorders>
              <w:bottom w:val="single" w:sz="8" w:color="auto"/>
            </w:tcBorders>
          </w:tcPr>
          <w:p>
            <w:pPr>
              <w:spacing w:after="0"/>
              <w:rPr>
                <w:sz w:val="24"/>
                <w:szCs w:val="24"/>
                <w:color w:val="auto"/>
              </w:rPr>
            </w:pPr>
          </w:p>
        </w:tc>
      </w:tr>
      <w:tr>
        <w:trPr>
          <w:trHeight w:val="425"/>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44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80" w:type="dxa"/>
            <w:vAlign w:val="bottom"/>
          </w:tcPr>
          <w:p>
            <w:pPr>
              <w:spacing w:after="0"/>
              <w:rPr>
                <w:sz w:val="24"/>
                <w:szCs w:val="24"/>
                <w:color w:val="auto"/>
              </w:rPr>
            </w:pPr>
          </w:p>
        </w:tc>
      </w:tr>
    </w:tbl>
    <w:p>
      <w:pPr>
        <w:sectPr>
          <w:pgSz w:w="11900" w:h="16838" w:orient="portrait"/>
          <w:cols w:equalWidth="0" w:num="1">
            <w:col w:w="10680"/>
          </w:cols>
          <w:pgMar w:left="620" w:top="121" w:right="599" w:bottom="1440" w:gutter="0" w:footer="0" w:header="0"/>
          <w:type w:val="continuous"/>
        </w:sectPr>
      </w:pPr>
    </w:p>
    <w:bookmarkStart w:id="355" w:name="page356"/>
    <w:bookmarkEnd w:id="355"/>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RSU T</w:t>
      </w:r>
      <w:r>
        <w:rPr>
          <w:rFonts w:ascii="Arial" w:cs="Arial" w:eastAsia="Arial" w:hAnsi="Arial"/>
          <w:sz w:val="14"/>
          <w:szCs w:val="14"/>
          <w:b w:val="1"/>
          <w:bCs w:val="1"/>
          <w:color w:val="auto"/>
        </w:rPr>
        <w:t>ERMS AND</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ONDITIONS</w:t>
      </w:r>
    </w:p>
    <w:p>
      <w:pPr>
        <w:spacing w:after="0" w:line="224" w:lineRule="exact"/>
        <w:rPr>
          <w:sz w:val="20"/>
          <w:szCs w:val="20"/>
          <w:color w:val="auto"/>
        </w:rPr>
      </w:pPr>
    </w:p>
    <w:p>
      <w:pPr>
        <w:ind w:firstLine="419"/>
        <w:spacing w:after="0" w:line="284" w:lineRule="auto"/>
        <w:tabs>
          <w:tab w:leader="none" w:pos="602" w:val="left"/>
        </w:tabs>
        <w:numPr>
          <w:ilvl w:val="0"/>
          <w:numId w:val="249"/>
        </w:numPr>
        <w:rPr>
          <w:rFonts w:ascii="Arial" w:cs="Arial" w:eastAsia="Arial" w:hAnsi="Arial"/>
          <w:sz w:val="16"/>
          <w:szCs w:val="16"/>
          <w:b w:val="1"/>
          <w:bCs w:val="1"/>
          <w:color w:val="auto"/>
        </w:rPr>
      </w:pPr>
      <w:r>
        <w:rPr>
          <w:rFonts w:ascii="Arial" w:cs="Arial" w:eastAsia="Arial" w:hAnsi="Arial"/>
          <w:sz w:val="16"/>
          <w:szCs w:val="16"/>
          <w:b w:val="1"/>
          <w:bCs w:val="1"/>
          <w:color w:val="auto"/>
        </w:rPr>
        <w:t>G</w:t>
      </w:r>
      <w:r>
        <w:rPr>
          <w:rFonts w:ascii="Arial" w:cs="Arial" w:eastAsia="Arial" w:hAnsi="Arial"/>
          <w:sz w:val="13"/>
          <w:szCs w:val="13"/>
          <w:b w:val="1"/>
          <w:bCs w:val="1"/>
          <w:color w:val="auto"/>
        </w:rPr>
        <w:t>ENERAL</w:t>
      </w:r>
      <w:r>
        <w:rPr>
          <w:rFonts w:ascii="Arial" w:cs="Arial" w:eastAsia="Arial" w:hAnsi="Arial"/>
          <w:sz w:val="16"/>
          <w:szCs w:val="16"/>
          <w:b w:val="1"/>
          <w:bCs w:val="1"/>
          <w:color w:val="auto"/>
        </w:rPr>
        <w:t xml:space="preserve">. </w:t>
      </w:r>
      <w:r>
        <w:rPr>
          <w:rFonts w:ascii="Arial" w:cs="Arial" w:eastAsia="Arial" w:hAnsi="Arial"/>
          <w:sz w:val="16"/>
          <w:szCs w:val="16"/>
          <w:color w:val="auto"/>
        </w:rPr>
        <w:t>These RSU Terms and Conditions (these “</w:t>
      </w:r>
      <w:r>
        <w:rPr>
          <w:rFonts w:ascii="Arial" w:cs="Arial" w:eastAsia="Arial" w:hAnsi="Arial"/>
          <w:sz w:val="16"/>
          <w:szCs w:val="16"/>
          <w:b w:val="1"/>
          <w:bCs w:val="1"/>
          <w:i w:val="1"/>
          <w:iCs w:val="1"/>
          <w:color w:val="auto"/>
        </w:rPr>
        <w:t>Terms</w:t>
      </w:r>
      <w:r>
        <w:rPr>
          <w:rFonts w:ascii="Arial" w:cs="Arial" w:eastAsia="Arial" w:hAnsi="Arial"/>
          <w:sz w:val="16"/>
          <w:szCs w:val="16"/>
          <w:color w:val="auto"/>
        </w:rPr>
        <w:t>”) apply to a particular restricted stock unit award (the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granted by NGM</w:t>
      </w:r>
      <w:r>
        <w:rPr>
          <w:rFonts w:ascii="Arial" w:cs="Arial" w:eastAsia="Arial" w:hAnsi="Arial"/>
          <w:sz w:val="16"/>
          <w:szCs w:val="16"/>
          <w:b w:val="1"/>
          <w:bCs w:val="1"/>
          <w:color w:val="auto"/>
        </w:rPr>
        <w:t xml:space="preserve"> </w:t>
      </w:r>
      <w:r>
        <w:rPr>
          <w:rFonts w:ascii="Arial" w:cs="Arial" w:eastAsia="Arial" w:hAnsi="Arial"/>
          <w:sz w:val="16"/>
          <w:szCs w:val="16"/>
          <w:color w:val="auto"/>
        </w:rPr>
        <w:t>Biopharmaceuticals,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are incorporated by reference in the Restricted Stock Unit Grant Notice (the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corresponding to that particular grant. The recipient of the Award identified in the Grant Notice is sometimes referred to as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The effective date of grant of the Award as set forth in the Grant Notice is referred to as the “</w:t>
      </w:r>
      <w:r>
        <w:rPr>
          <w:rFonts w:ascii="Arial" w:cs="Arial" w:eastAsia="Arial" w:hAnsi="Arial"/>
          <w:sz w:val="16"/>
          <w:szCs w:val="16"/>
          <w:b w:val="1"/>
          <w:bCs w:val="1"/>
          <w:i w:val="1"/>
          <w:iCs w:val="1"/>
          <w:color w:val="auto"/>
        </w:rPr>
        <w:t>Date of Grant</w:t>
      </w:r>
      <w:r>
        <w:rPr>
          <w:rFonts w:ascii="Arial" w:cs="Arial" w:eastAsia="Arial" w:hAnsi="Arial"/>
          <w:sz w:val="16"/>
          <w:szCs w:val="16"/>
          <w:color w:val="auto"/>
        </w:rPr>
        <w:t>”. The Award has been granted to Participant in addition to, and not in lieu of, any other form of compensation otherwise payable or to be paid to Participant. The Grant Notice and these Terms are collectively referred to as the “</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applicable to the Award. Capitalized terms are defined in the Plan if not defined in the Award Agreement.</w:t>
      </w:r>
    </w:p>
    <w:p>
      <w:pPr>
        <w:spacing w:after="0" w:line="160" w:lineRule="exact"/>
        <w:rPr>
          <w:rFonts w:ascii="Arial" w:cs="Arial" w:eastAsia="Arial" w:hAnsi="Arial"/>
          <w:sz w:val="16"/>
          <w:szCs w:val="16"/>
          <w:b w:val="1"/>
          <w:bCs w:val="1"/>
          <w:color w:val="auto"/>
        </w:rPr>
      </w:pPr>
    </w:p>
    <w:p>
      <w:pPr>
        <w:ind w:right="40" w:firstLine="419"/>
        <w:spacing w:after="0" w:line="267" w:lineRule="auto"/>
        <w:tabs>
          <w:tab w:leader="none" w:pos="602" w:val="left"/>
        </w:tabs>
        <w:numPr>
          <w:ilvl w:val="0"/>
          <w:numId w:val="249"/>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4"/>
          <w:szCs w:val="14"/>
          <w:b w:val="1"/>
          <w:bCs w:val="1"/>
          <w:color w:val="auto"/>
        </w:rPr>
        <w:t>RANT OF THE</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WARD</w:t>
      </w:r>
      <w:r>
        <w:rPr>
          <w:rFonts w:ascii="Arial" w:cs="Arial" w:eastAsia="Arial" w:hAnsi="Arial"/>
          <w:sz w:val="17"/>
          <w:szCs w:val="17"/>
          <w:b w:val="1"/>
          <w:bCs w:val="1"/>
          <w:color w:val="auto"/>
        </w:rPr>
        <w:t xml:space="preserve">. </w:t>
      </w:r>
      <w:r>
        <w:rPr>
          <w:rFonts w:ascii="Arial" w:cs="Arial" w:eastAsia="Arial" w:hAnsi="Arial"/>
          <w:sz w:val="17"/>
          <w:szCs w:val="17"/>
          <w:color w:val="auto"/>
        </w:rPr>
        <w:t>This Award represents Participant’s right to be issued on a future date the number of shares of Common Stock that is</w:t>
      </w:r>
      <w:r>
        <w:rPr>
          <w:rFonts w:ascii="Arial" w:cs="Arial" w:eastAsia="Arial" w:hAnsi="Arial"/>
          <w:sz w:val="17"/>
          <w:szCs w:val="17"/>
          <w:b w:val="1"/>
          <w:bCs w:val="1"/>
          <w:color w:val="auto"/>
        </w:rPr>
        <w:t xml:space="preserve"> </w:t>
      </w:r>
      <w:r>
        <w:rPr>
          <w:rFonts w:ascii="Arial" w:cs="Arial" w:eastAsia="Arial" w:hAnsi="Arial"/>
          <w:sz w:val="17"/>
          <w:szCs w:val="17"/>
          <w:color w:val="auto"/>
        </w:rPr>
        <w:t>equal to the number of restricted stock units indicated in the Grant Notice subject to satisfaction of the vesting conditions set forth therein (the “</w:t>
      </w:r>
      <w:r>
        <w:rPr>
          <w:rFonts w:ascii="Arial" w:cs="Arial" w:eastAsia="Arial" w:hAnsi="Arial"/>
          <w:sz w:val="17"/>
          <w:szCs w:val="17"/>
          <w:b w:val="1"/>
          <w:bCs w:val="1"/>
          <w:i w:val="1"/>
          <w:iCs w:val="1"/>
          <w:color w:val="auto"/>
        </w:rPr>
        <w:t>RSUs</w:t>
      </w:r>
      <w:r>
        <w:rPr>
          <w:rFonts w:ascii="Arial" w:cs="Arial" w:eastAsia="Arial" w:hAnsi="Arial"/>
          <w:sz w:val="17"/>
          <w:szCs w:val="17"/>
          <w:color w:val="auto"/>
        </w:rPr>
        <w:t>”). Any additional RSUs that become subject to the Award pursuant to Capitalization Adjustments as set forth in the Plan, if any, shall be subject, in a manner determined by the Board, to the same forfeiture restrictions, restrictions on transferability, and time and manner of delivery as applicable to the other RSUs covered by the Award.</w:t>
      </w:r>
    </w:p>
    <w:p>
      <w:pPr>
        <w:spacing w:after="0" w:line="169" w:lineRule="exact"/>
        <w:rPr>
          <w:rFonts w:ascii="Arial" w:cs="Arial" w:eastAsia="Arial" w:hAnsi="Arial"/>
          <w:sz w:val="17"/>
          <w:szCs w:val="17"/>
          <w:b w:val="1"/>
          <w:bCs w:val="1"/>
          <w:color w:val="auto"/>
        </w:rPr>
      </w:pPr>
    </w:p>
    <w:p>
      <w:pPr>
        <w:ind w:right="360" w:firstLine="419"/>
        <w:spacing w:after="0" w:line="329" w:lineRule="auto"/>
        <w:tabs>
          <w:tab w:leader="none" w:pos="602" w:val="left"/>
        </w:tabs>
        <w:numPr>
          <w:ilvl w:val="0"/>
          <w:numId w:val="249"/>
        </w:numPr>
        <w:rPr>
          <w:rFonts w:ascii="Arial" w:cs="Arial" w:eastAsia="Arial" w:hAnsi="Arial"/>
          <w:sz w:val="15"/>
          <w:szCs w:val="15"/>
          <w:b w:val="1"/>
          <w:bCs w:val="1"/>
          <w:color w:val="auto"/>
        </w:rPr>
      </w:pPr>
      <w:r>
        <w:rPr>
          <w:rFonts w:ascii="Arial" w:cs="Arial" w:eastAsia="Arial" w:hAnsi="Arial"/>
          <w:sz w:val="15"/>
          <w:szCs w:val="15"/>
          <w:b w:val="1"/>
          <w:bCs w:val="1"/>
          <w:color w:val="auto"/>
        </w:rPr>
        <w:t>D</w:t>
      </w:r>
      <w:r>
        <w:rPr>
          <w:rFonts w:ascii="Arial" w:cs="Arial" w:eastAsia="Arial" w:hAnsi="Arial"/>
          <w:sz w:val="12"/>
          <w:szCs w:val="12"/>
          <w:b w:val="1"/>
          <w:bCs w:val="1"/>
          <w:color w:val="auto"/>
        </w:rPr>
        <w:t>IVIDENDS</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Participant will receive no benefit or adjustment to the Award with respect to any cash dividend, stock dividend or other</w:t>
      </w:r>
      <w:r>
        <w:rPr>
          <w:rFonts w:ascii="Arial" w:cs="Arial" w:eastAsia="Arial" w:hAnsi="Arial"/>
          <w:sz w:val="15"/>
          <w:szCs w:val="15"/>
          <w:b w:val="1"/>
          <w:bCs w:val="1"/>
          <w:color w:val="auto"/>
        </w:rPr>
        <w:t xml:space="preserve"> </w:t>
      </w:r>
      <w:r>
        <w:rPr>
          <w:rFonts w:ascii="Arial" w:cs="Arial" w:eastAsia="Arial" w:hAnsi="Arial"/>
          <w:sz w:val="15"/>
          <w:szCs w:val="15"/>
          <w:color w:val="auto"/>
        </w:rPr>
        <w:t>distribution that does not result from a Capitalization Adjustment as provided in the Plan; provided, however, that this sentence shall not apply with respect to any shares of Common Stock that are delivered to Participant in connection with the Award after such shares have been delivered.</w:t>
      </w:r>
    </w:p>
    <w:p>
      <w:pPr>
        <w:spacing w:after="0" w:line="128" w:lineRule="exact"/>
        <w:rPr>
          <w:rFonts w:ascii="Arial" w:cs="Arial" w:eastAsia="Arial" w:hAnsi="Arial"/>
          <w:sz w:val="15"/>
          <w:szCs w:val="15"/>
          <w:b w:val="1"/>
          <w:bCs w:val="1"/>
          <w:color w:val="auto"/>
        </w:rPr>
      </w:pPr>
    </w:p>
    <w:p>
      <w:pPr>
        <w:ind w:firstLine="419"/>
        <w:spacing w:after="0" w:line="278" w:lineRule="auto"/>
        <w:tabs>
          <w:tab w:leader="none" w:pos="602" w:val="left"/>
        </w:tabs>
        <w:numPr>
          <w:ilvl w:val="0"/>
          <w:numId w:val="249"/>
        </w:numPr>
        <w:rPr>
          <w:rFonts w:ascii="Arial" w:cs="Arial" w:eastAsia="Arial" w:hAnsi="Arial"/>
          <w:sz w:val="16"/>
          <w:szCs w:val="16"/>
          <w:b w:val="1"/>
          <w:bCs w:val="1"/>
          <w:color w:val="auto"/>
        </w:rPr>
      </w:pPr>
      <w:r>
        <w:rPr>
          <w:rFonts w:ascii="Arial" w:cs="Arial" w:eastAsia="Arial" w:hAnsi="Arial"/>
          <w:sz w:val="16"/>
          <w:szCs w:val="16"/>
          <w:b w:val="1"/>
          <w:bCs w:val="1"/>
          <w:color w:val="auto"/>
        </w:rPr>
        <w:t>D</w:t>
      </w:r>
      <w:r>
        <w:rPr>
          <w:rFonts w:ascii="Arial" w:cs="Arial" w:eastAsia="Arial" w:hAnsi="Arial"/>
          <w:sz w:val="13"/>
          <w:szCs w:val="13"/>
          <w:b w:val="1"/>
          <w:bCs w:val="1"/>
          <w:color w:val="auto"/>
        </w:rPr>
        <w:t>ATE OF</w:t>
      </w:r>
      <w:r>
        <w:rPr>
          <w:rFonts w:ascii="Arial" w:cs="Arial" w:eastAsia="Arial" w:hAnsi="Arial"/>
          <w:sz w:val="16"/>
          <w:szCs w:val="16"/>
          <w:b w:val="1"/>
          <w:bCs w:val="1"/>
          <w:color w:val="auto"/>
        </w:rPr>
        <w:t xml:space="preserve"> I</w:t>
      </w:r>
      <w:r>
        <w:rPr>
          <w:rFonts w:ascii="Arial" w:cs="Arial" w:eastAsia="Arial" w:hAnsi="Arial"/>
          <w:sz w:val="13"/>
          <w:szCs w:val="13"/>
          <w:b w:val="1"/>
          <w:bCs w:val="1"/>
          <w:color w:val="auto"/>
        </w:rPr>
        <w:t>SSUANCE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the Award is exempt from application of Section 409A of the Code and any state law of similar effect,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will deliver to Participant a number of shares of Common Stock equal to the number of vested RSUs subject to the Award that relate to those vested RSUs on the applicable vesting date(s), or if such date is not a business day, such delivery date shall instead fall on the next following business day (the “</w:t>
      </w:r>
      <w:r>
        <w:rPr>
          <w:rFonts w:ascii="Arial" w:cs="Arial" w:eastAsia="Arial" w:hAnsi="Arial"/>
          <w:sz w:val="16"/>
          <w:szCs w:val="16"/>
          <w:b w:val="1"/>
          <w:bCs w:val="1"/>
          <w:i w:val="1"/>
          <w:iCs w:val="1"/>
          <w:color w:val="auto"/>
        </w:rPr>
        <w:t>Original Distribution Date</w:t>
      </w:r>
      <w:r>
        <w:rPr>
          <w:rFonts w:ascii="Arial" w:cs="Arial" w:eastAsia="Arial" w:hAnsi="Arial"/>
          <w:sz w:val="16"/>
          <w:szCs w:val="16"/>
          <w:color w:val="auto"/>
        </w:rPr>
        <w:t>”). Notwithstanding the foregoing, in the event that Participant is prohibited from selling shares of Common Stock in the public market on the scheduled delivery date by the Company’s insider trading policy or otherwise, and the Company elects not to satisfy its tax withholding obligations by: (i) withholding shares from Participant’s distribution, (ii) withholding from payroll or other amounts payable to Participant, or (iii) permitting Participant to provide for a cash payment of such amounts, then such shares shall not be delivered on such Original Distribution Date and shall instead be delivered on the first business day when Participant is not prohibited from selling shares of Common Stock in the open market, but in no event later than the 15th day of the third calendar month of the calendar year following the calendar year in which the shares covered by the Award vest. Delivery of the shares in settlement of the Award is intended to comply with the requirements for the short-term deferral exemption available under Treasury Regulations Section 1.409A-1(b)(4) and shall be construed and administered in such manner. However, if and to the extent the Award is subject to a deferral election that complies with Section 409A of the Code, the provisions of the Plan and such deferral election will govern the timing of delivery of the shares in settlement of the Award in lieu of the provisions in this Award Agreement.</w:t>
      </w:r>
    </w:p>
    <w:p>
      <w:pPr>
        <w:spacing w:after="0" w:line="162" w:lineRule="exact"/>
        <w:rPr>
          <w:rFonts w:ascii="Arial" w:cs="Arial" w:eastAsia="Arial" w:hAnsi="Arial"/>
          <w:sz w:val="16"/>
          <w:szCs w:val="16"/>
          <w:b w:val="1"/>
          <w:bCs w:val="1"/>
          <w:color w:val="auto"/>
        </w:rPr>
      </w:pPr>
    </w:p>
    <w:p>
      <w:pPr>
        <w:ind w:right="440" w:firstLine="419"/>
        <w:spacing w:after="0" w:line="296" w:lineRule="auto"/>
        <w:tabs>
          <w:tab w:leader="none" w:pos="602" w:val="left"/>
        </w:tabs>
        <w:numPr>
          <w:ilvl w:val="0"/>
          <w:numId w:val="249"/>
        </w:numPr>
        <w:rPr>
          <w:rFonts w:ascii="Arial" w:cs="Arial" w:eastAsia="Arial" w:hAnsi="Arial"/>
          <w:sz w:val="17"/>
          <w:szCs w:val="17"/>
          <w:b w:val="1"/>
          <w:bCs w:val="1"/>
          <w:color w:val="auto"/>
        </w:rPr>
      </w:pPr>
      <w:r>
        <w:rPr>
          <w:rFonts w:ascii="Arial" w:cs="Arial" w:eastAsia="Arial" w:hAnsi="Arial"/>
          <w:sz w:val="17"/>
          <w:szCs w:val="17"/>
          <w:b w:val="1"/>
          <w:bCs w:val="1"/>
          <w:color w:val="auto"/>
        </w:rPr>
        <w:t>T</w:t>
      </w:r>
      <w:r>
        <w:rPr>
          <w:rFonts w:ascii="Arial" w:cs="Arial" w:eastAsia="Arial" w:hAnsi="Arial"/>
          <w:sz w:val="14"/>
          <w:szCs w:val="14"/>
          <w:b w:val="1"/>
          <w:bCs w:val="1"/>
          <w:color w:val="auto"/>
        </w:rPr>
        <w:t>RANSFERABILITY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in the Plan, the Option is not transferable, except by will or by the laws of descent and</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distribution.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660"/>
          </w:cols>
          <w:pgMar w:left="620" w:top="265" w:right="619" w:bottom="1440" w:gutter="0" w:footer="0" w:header="0"/>
        </w:sectPr>
      </w:pPr>
    </w:p>
    <w:bookmarkStart w:id="356" w:name="page357"/>
    <w:bookmarkEnd w:id="356"/>
    <w:p>
      <w:pPr>
        <w:ind w:left="600" w:hanging="181"/>
        <w:spacing w:after="0"/>
        <w:tabs>
          <w:tab w:leader="none" w:pos="600" w:val="left"/>
        </w:tabs>
        <w:numPr>
          <w:ilvl w:val="0"/>
          <w:numId w:val="250"/>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w:t>
      </w:r>
      <w:r>
        <w:rPr>
          <w:rFonts w:ascii="Arial" w:cs="Arial" w:eastAsia="Arial" w:hAnsi="Arial"/>
          <w:sz w:val="14"/>
          <w:szCs w:val="14"/>
          <w:b w:val="1"/>
          <w:bCs w:val="1"/>
          <w:color w:val="auto"/>
        </w:rPr>
        <w:t>ESPONSIBILITY FOR</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AXES</w:t>
      </w:r>
      <w:r>
        <w:rPr>
          <w:rFonts w:ascii="Arial" w:cs="Arial" w:eastAsia="Arial" w:hAnsi="Arial"/>
          <w:sz w:val="17"/>
          <w:szCs w:val="17"/>
          <w:b w:val="1"/>
          <w:bCs w:val="1"/>
          <w:color w:val="auto"/>
        </w:rPr>
        <w:t>.</w:t>
      </w:r>
    </w:p>
    <w:p>
      <w:pPr>
        <w:spacing w:after="0" w:line="229" w:lineRule="exact"/>
        <w:rPr>
          <w:rFonts w:ascii="Arial" w:cs="Arial" w:eastAsia="Arial" w:hAnsi="Arial"/>
          <w:sz w:val="17"/>
          <w:szCs w:val="17"/>
          <w:b w:val="1"/>
          <w:bCs w:val="1"/>
          <w:color w:val="auto"/>
        </w:rPr>
      </w:pPr>
    </w:p>
    <w:p>
      <w:pPr>
        <w:ind w:right="100" w:firstLine="846"/>
        <w:spacing w:after="0" w:line="267" w:lineRule="auto"/>
        <w:tabs>
          <w:tab w:leader="none" w:pos="1102" w:val="left"/>
        </w:tabs>
        <w:numPr>
          <w:ilvl w:val="1"/>
          <w:numId w:val="250"/>
        </w:numPr>
        <w:rPr>
          <w:rFonts w:ascii="Arial" w:cs="Arial" w:eastAsia="Arial" w:hAnsi="Arial"/>
          <w:sz w:val="17"/>
          <w:szCs w:val="17"/>
          <w:b w:val="1"/>
          <w:bCs w:val="1"/>
          <w:color w:val="auto"/>
        </w:rPr>
      </w:pPr>
      <w:r>
        <w:rPr>
          <w:rFonts w:ascii="Arial" w:cs="Arial" w:eastAsia="Arial" w:hAnsi="Arial"/>
          <w:sz w:val="17"/>
          <w:szCs w:val="17"/>
          <w:color w:val="auto"/>
        </w:rPr>
        <w:t>By accepting the Award, Participant agrees that the Company or an Affiliate may satisfy any applicable tax withholding obligations for Tax-Related Items at its sole election as provided in Section 8 of the Plan. Further, if Participant is subject to Tax-Related Items in more than one jurisdiction, Participant acknowledges that the Company and/or an Affiliate may be required to withhold or account for Tax-Related Items in more than one jurisdiction.</w:t>
      </w:r>
    </w:p>
    <w:p>
      <w:pPr>
        <w:spacing w:after="0" w:line="177" w:lineRule="exact"/>
        <w:rPr>
          <w:rFonts w:ascii="Arial" w:cs="Arial" w:eastAsia="Arial" w:hAnsi="Arial"/>
          <w:sz w:val="17"/>
          <w:szCs w:val="17"/>
          <w:b w:val="1"/>
          <w:bCs w:val="1"/>
          <w:color w:val="auto"/>
        </w:rPr>
      </w:pPr>
    </w:p>
    <w:p>
      <w:pPr>
        <w:ind w:firstLine="846"/>
        <w:spacing w:after="0" w:line="261" w:lineRule="auto"/>
        <w:tabs>
          <w:tab w:leader="none" w:pos="1111" w:val="left"/>
        </w:tabs>
        <w:numPr>
          <w:ilvl w:val="1"/>
          <w:numId w:val="250"/>
        </w:numPr>
        <w:rPr>
          <w:rFonts w:ascii="Arial" w:cs="Arial" w:eastAsia="Arial" w:hAnsi="Arial"/>
          <w:sz w:val="17"/>
          <w:szCs w:val="17"/>
          <w:b w:val="1"/>
          <w:bCs w:val="1"/>
          <w:color w:val="auto"/>
        </w:rPr>
      </w:pPr>
      <w:r>
        <w:rPr>
          <w:rFonts w:ascii="Arial" w:cs="Arial" w:eastAsia="Arial" w:hAnsi="Arial"/>
          <w:sz w:val="17"/>
          <w:szCs w:val="17"/>
          <w:color w:val="auto"/>
        </w:rPr>
        <w:t>Neither the Company nor any Affiliates make any representations or undertakings regarding the treatment of any Tax-Related Items in connection with any aspect of the Award, and are under no obligation to structure the Award to reduce or eliminate Participant’s liability for Tax-Related Items or achieve any particular tax result. Participant acknowledges that, regardless of any action the Company or any Affiliate takes with respect to any or all Tax-Related Items, the ultimate liability for all Tax-Related Items is and remains Participant’s responsibility and may exceed the amount actually withheld by the Company or an Affiliate. In the event that the amount of the Company’s withholding obligation was greater than the amount withheld by the Company, Participant agrees to indemnify and hold the Company harmless from any failure by the Company to withhold the proper amount. Participant further acknowledges and agrees not to make any claim against the Company, or any of its Officers, Directors, Employees or Affiliates for Tax-Related Items arising from the Award.</w:t>
      </w:r>
    </w:p>
    <w:p>
      <w:pPr>
        <w:spacing w:after="0" w:line="179" w:lineRule="exact"/>
        <w:rPr>
          <w:rFonts w:ascii="Arial" w:cs="Arial" w:eastAsia="Arial" w:hAnsi="Arial"/>
          <w:sz w:val="17"/>
          <w:szCs w:val="17"/>
          <w:b w:val="1"/>
          <w:bCs w:val="1"/>
          <w:color w:val="auto"/>
        </w:rPr>
      </w:pPr>
    </w:p>
    <w:p>
      <w:pPr>
        <w:ind w:left="600" w:hanging="181"/>
        <w:spacing w:after="0"/>
        <w:tabs>
          <w:tab w:leader="none" w:pos="600" w:val="left"/>
        </w:tabs>
        <w:numPr>
          <w:ilvl w:val="0"/>
          <w:numId w:val="250"/>
        </w:numPr>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3"/>
          <w:szCs w:val="13"/>
          <w:b w:val="1"/>
          <w:bCs w:val="1"/>
          <w:color w:val="auto"/>
        </w:rPr>
        <w:t>OTICES</w:t>
      </w:r>
      <w:r>
        <w:rPr>
          <w:rFonts w:ascii="Arial" w:cs="Arial" w:eastAsia="Arial" w:hAnsi="Arial"/>
          <w:sz w:val="16"/>
          <w:szCs w:val="16"/>
          <w:color w:val="auto"/>
        </w:rPr>
        <w:t>. Any notice or request required or permitted in the plan or this Award Agreement (including any attachments) will be given in writing</w:t>
      </w:r>
    </w:p>
    <w:p>
      <w:pPr>
        <w:spacing w:after="0" w:line="44" w:lineRule="exact"/>
        <w:rPr>
          <w:sz w:val="20"/>
          <w:szCs w:val="20"/>
          <w:color w:val="auto"/>
        </w:rPr>
      </w:pPr>
    </w:p>
    <w:p>
      <w:pPr>
        <w:ind w:right="200"/>
        <w:spacing w:after="0" w:line="308" w:lineRule="auto"/>
        <w:rPr>
          <w:sz w:val="20"/>
          <w:szCs w:val="20"/>
          <w:color w:val="auto"/>
        </w:rPr>
      </w:pPr>
      <w:r>
        <w:rPr>
          <w:rFonts w:ascii="Arial" w:cs="Arial" w:eastAsia="Arial" w:hAnsi="Arial"/>
          <w:sz w:val="15"/>
          <w:szCs w:val="15"/>
          <w:color w:val="auto"/>
        </w:rPr>
        <w:t>to each of the other parties hereto and will be deemed effectively given on the earlier of (i) the date of personal delivery, including delivery by express courier, or delivery via electronic means, or (ii) the date that is five (5) days after deposit in the United States Post Office (whether or not actually received by the addressee), by registered or certified mail with postage and fees prepaid, addressed to the Company at its primary executive offices, attention: Stock Plan Administrator, and addressed to Participant at the address as on file with the Company at the time notice is given.</w:t>
      </w:r>
    </w:p>
    <w:p>
      <w:pPr>
        <w:spacing w:after="0" w:line="144" w:lineRule="exact"/>
        <w:rPr>
          <w:sz w:val="20"/>
          <w:szCs w:val="20"/>
          <w:color w:val="auto"/>
        </w:rPr>
      </w:pPr>
    </w:p>
    <w:p>
      <w:pPr>
        <w:ind w:right="200" w:firstLine="419"/>
        <w:spacing w:after="0" w:line="270" w:lineRule="auto"/>
        <w:tabs>
          <w:tab w:leader="none" w:pos="602" w:val="left"/>
        </w:tabs>
        <w:numPr>
          <w:ilvl w:val="0"/>
          <w:numId w:val="251"/>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4"/>
          <w:szCs w:val="14"/>
          <w:b w:val="1"/>
          <w:bCs w:val="1"/>
          <w:color w:val="auto"/>
        </w:rPr>
        <w:t>OVERNING</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OCUMENT</w:t>
      </w:r>
      <w:r>
        <w:rPr>
          <w:rFonts w:ascii="Arial" w:cs="Arial" w:eastAsia="Arial" w:hAnsi="Arial"/>
          <w:sz w:val="17"/>
          <w:szCs w:val="17"/>
          <w:color w:val="auto"/>
        </w:rPr>
        <w:t>. The Award is subject to all the provisions of the Plan, including but not limited to the general provisions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9 of the Plan, and the provisions in Section 10 of the Plan regarding the impact of certain transactions on the Award. The Award is further subject to all interpretations, amendments, rules and regulations, which may be adopted from time to time, pursuant to the Plan. If there is any conflict between the provisions of the Award and those of the Plan, the provisions of the Plan will control.</w:t>
      </w:r>
    </w:p>
    <w:p>
      <w:pPr>
        <w:spacing w:after="0" w:line="167" w:lineRule="exact"/>
        <w:rPr>
          <w:rFonts w:ascii="Arial" w:cs="Arial" w:eastAsia="Arial" w:hAnsi="Arial"/>
          <w:sz w:val="17"/>
          <w:szCs w:val="17"/>
          <w:b w:val="1"/>
          <w:bCs w:val="1"/>
          <w:color w:val="auto"/>
        </w:rPr>
      </w:pPr>
    </w:p>
    <w:p>
      <w:pPr>
        <w:ind w:right="420" w:firstLine="419"/>
        <w:spacing w:after="0" w:line="296" w:lineRule="auto"/>
        <w:tabs>
          <w:tab w:leader="none" w:pos="602" w:val="left"/>
        </w:tabs>
        <w:numPr>
          <w:ilvl w:val="0"/>
          <w:numId w:val="251"/>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4"/>
          <w:szCs w:val="14"/>
          <w:b w:val="1"/>
          <w:bCs w:val="1"/>
          <w:color w:val="auto"/>
        </w:rPr>
        <w:t>OVERNING</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7"/>
          <w:szCs w:val="17"/>
          <w:b w:val="1"/>
          <w:bCs w:val="1"/>
          <w:color w:val="auto"/>
        </w:rPr>
        <w:t xml:space="preserve">. </w:t>
      </w:r>
      <w:r>
        <w:rPr>
          <w:rFonts w:ascii="Arial" w:cs="Arial" w:eastAsia="Arial" w:hAnsi="Arial"/>
          <w:sz w:val="17"/>
          <w:szCs w:val="17"/>
          <w:color w:val="auto"/>
        </w:rPr>
        <w:t>The interpretation, performance and enforcement of this Award Agreement will be governed by the law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without regard to that state’s conflicts of laws rules.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80"/>
          </w:cols>
          <w:pgMar w:left="620" w:top="265" w:right="599" w:bottom="1440" w:gutter="0" w:footer="0" w:header="0"/>
        </w:sectPr>
      </w:pPr>
    </w:p>
    <w:bookmarkStart w:id="357" w:name="page358"/>
    <w:bookmarkEnd w:id="357"/>
    <w:p>
      <w:pPr>
        <w:jc w:val="right"/>
        <w:spacing w:after="0"/>
        <w:rPr>
          <w:sz w:val="20"/>
          <w:szCs w:val="20"/>
          <w:color w:val="auto"/>
        </w:rPr>
      </w:pPr>
      <w:r>
        <w:rPr>
          <w:rFonts w:ascii="Arial" w:cs="Arial" w:eastAsia="Arial" w:hAnsi="Arial"/>
          <w:sz w:val="17"/>
          <w:szCs w:val="17"/>
          <w:b w:val="1"/>
          <w:bCs w:val="1"/>
          <w:color w:val="auto"/>
        </w:rPr>
        <w:t>Exhibit 10.6</w:t>
      </w:r>
    </w:p>
    <w:p>
      <w:pPr>
        <w:spacing w:after="0" w:line="224" w:lineRule="exact"/>
        <w:rPr>
          <w:sz w:val="20"/>
          <w:szCs w:val="20"/>
          <w:color w:val="auto"/>
        </w:rPr>
      </w:pPr>
    </w:p>
    <w:p>
      <w:pPr>
        <w:jc w:val="center"/>
        <w:ind w:right="-8"/>
        <w:spacing w:after="0"/>
        <w:rPr>
          <w:sz w:val="20"/>
          <w:szCs w:val="20"/>
          <w:color w:val="auto"/>
        </w:rPr>
      </w:pPr>
      <w:r>
        <w:rPr>
          <w:rFonts w:ascii="Arial" w:cs="Arial" w:eastAsia="Arial" w:hAnsi="Arial"/>
          <w:sz w:val="17"/>
          <w:szCs w:val="17"/>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p>
      <w:pPr>
        <w:spacing w:after="0" w:line="224" w:lineRule="exact"/>
        <w:rPr>
          <w:sz w:val="20"/>
          <w:szCs w:val="20"/>
          <w:color w:val="auto"/>
        </w:rPr>
      </w:pPr>
    </w:p>
    <w:p>
      <w:pPr>
        <w:jc w:val="center"/>
        <w:ind w:right="-8"/>
        <w:spacing w:after="0"/>
        <w:rPr>
          <w:sz w:val="20"/>
          <w:szCs w:val="20"/>
          <w:color w:val="auto"/>
        </w:rPr>
      </w:pPr>
      <w:r>
        <w:rPr>
          <w:rFonts w:ascii="Arial" w:cs="Arial" w:eastAsia="Arial" w:hAnsi="Arial"/>
          <w:sz w:val="17"/>
          <w:szCs w:val="17"/>
          <w:b w:val="1"/>
          <w:bCs w:val="1"/>
          <w:color w:val="auto"/>
        </w:rPr>
        <w:t>2019 E</w:t>
      </w:r>
      <w:r>
        <w:rPr>
          <w:rFonts w:ascii="Arial" w:cs="Arial" w:eastAsia="Arial" w:hAnsi="Arial"/>
          <w:sz w:val="14"/>
          <w:szCs w:val="14"/>
          <w:b w:val="1"/>
          <w:bCs w:val="1"/>
          <w:color w:val="auto"/>
        </w:rPr>
        <w:t>MPLOYEE</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p>
    <w:p>
      <w:pPr>
        <w:spacing w:after="0" w:line="132" w:lineRule="exact"/>
        <w:rPr>
          <w:sz w:val="20"/>
          <w:szCs w:val="20"/>
          <w:color w:val="auto"/>
        </w:rPr>
      </w:pPr>
    </w:p>
    <w:p>
      <w:pPr>
        <w:ind w:left="429" w:hanging="429"/>
        <w:spacing w:after="0"/>
        <w:tabs>
          <w:tab w:leader="none" w:pos="429" w:val="left"/>
        </w:tabs>
        <w:numPr>
          <w:ilvl w:val="0"/>
          <w:numId w:val="252"/>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4"/>
          <w:szCs w:val="14"/>
          <w:b w:val="1"/>
          <w:bCs w:val="1"/>
          <w:color w:val="auto"/>
        </w:rPr>
        <w:t>ENERAL</w:t>
      </w:r>
      <w:r>
        <w:rPr>
          <w:rFonts w:ascii="Arial" w:cs="Arial" w:eastAsia="Arial" w:hAnsi="Arial"/>
          <w:sz w:val="17"/>
          <w:szCs w:val="17"/>
          <w:b w:val="1"/>
          <w:bCs w:val="1"/>
          <w:color w:val="auto"/>
        </w:rPr>
        <w:t>; P</w:t>
      </w:r>
      <w:r>
        <w:rPr>
          <w:rFonts w:ascii="Arial" w:cs="Arial" w:eastAsia="Arial" w:hAnsi="Arial"/>
          <w:sz w:val="14"/>
          <w:szCs w:val="14"/>
          <w:b w:val="1"/>
          <w:bCs w:val="1"/>
          <w:color w:val="auto"/>
        </w:rPr>
        <w:t>URPOSE</w:t>
      </w:r>
      <w:r>
        <w:rPr>
          <w:rFonts w:ascii="Arial" w:cs="Arial" w:eastAsia="Arial" w:hAnsi="Arial"/>
          <w:sz w:val="17"/>
          <w:szCs w:val="17"/>
          <w:b w:val="1"/>
          <w:bCs w:val="1"/>
          <w:color w:val="auto"/>
        </w:rPr>
        <w:t>.</w:t>
      </w:r>
    </w:p>
    <w:p>
      <w:pPr>
        <w:spacing w:after="0" w:line="124" w:lineRule="exact"/>
        <w:rPr>
          <w:rFonts w:ascii="Arial" w:cs="Arial" w:eastAsia="Arial" w:hAnsi="Arial"/>
          <w:sz w:val="17"/>
          <w:szCs w:val="17"/>
          <w:b w:val="1"/>
          <w:bCs w:val="1"/>
          <w:color w:val="auto"/>
        </w:rPr>
      </w:pPr>
    </w:p>
    <w:p>
      <w:pPr>
        <w:ind w:left="9" w:right="60" w:firstLine="419"/>
        <w:spacing w:after="0" w:line="273" w:lineRule="auto"/>
        <w:tabs>
          <w:tab w:leader="none" w:pos="683" w:val="left"/>
        </w:tabs>
        <w:numPr>
          <w:ilvl w:val="1"/>
          <w:numId w:val="252"/>
        </w:numPr>
        <w:rPr>
          <w:rFonts w:ascii="Arial" w:cs="Arial" w:eastAsia="Arial" w:hAnsi="Arial"/>
          <w:sz w:val="17"/>
          <w:szCs w:val="17"/>
          <w:b w:val="1"/>
          <w:bCs w:val="1"/>
          <w:color w:val="auto"/>
        </w:rPr>
      </w:pPr>
      <w:r>
        <w:rPr>
          <w:rFonts w:ascii="Arial" w:cs="Arial" w:eastAsia="Arial" w:hAnsi="Arial"/>
          <w:sz w:val="17"/>
          <w:szCs w:val="17"/>
          <w:color w:val="auto"/>
        </w:rPr>
        <w:t>The Plan provides a means by which Eligible Employees of the Company and certain Designated Companies may be given an opportunity to purchase shares of Common Stock. The Plan permits the Company to grant a series of Purchase Rights to Eligible Employees under an Employee Stock Purchase Plan.</w:t>
      </w:r>
    </w:p>
    <w:p>
      <w:pPr>
        <w:spacing w:after="0" w:line="66" w:lineRule="exact"/>
        <w:rPr>
          <w:rFonts w:ascii="Arial" w:cs="Arial" w:eastAsia="Arial" w:hAnsi="Arial"/>
          <w:sz w:val="17"/>
          <w:szCs w:val="17"/>
          <w:b w:val="1"/>
          <w:bCs w:val="1"/>
          <w:color w:val="auto"/>
        </w:rPr>
      </w:pPr>
    </w:p>
    <w:p>
      <w:pPr>
        <w:ind w:left="9" w:right="20" w:firstLine="419"/>
        <w:spacing w:after="0" w:line="322" w:lineRule="auto"/>
        <w:tabs>
          <w:tab w:leader="none" w:pos="693" w:val="left"/>
        </w:tabs>
        <w:numPr>
          <w:ilvl w:val="1"/>
          <w:numId w:val="252"/>
        </w:numPr>
        <w:rPr>
          <w:rFonts w:ascii="Arial" w:cs="Arial" w:eastAsia="Arial" w:hAnsi="Arial"/>
          <w:sz w:val="16"/>
          <w:szCs w:val="16"/>
          <w:b w:val="1"/>
          <w:bCs w:val="1"/>
          <w:color w:val="auto"/>
        </w:rPr>
      </w:pPr>
      <w:r>
        <w:rPr>
          <w:rFonts w:ascii="Arial" w:cs="Arial" w:eastAsia="Arial" w:hAnsi="Arial"/>
          <w:sz w:val="16"/>
          <w:szCs w:val="16"/>
          <w:color w:val="auto"/>
        </w:rPr>
        <w:t>The Company, by means of the Plan, seeks to retain the services of such Employees, to secure and retain the services of new Employees and to provide incentives for such persons to exert maximum efforts for the success of the Company and its Related Corporations and Affiliates.</w:t>
      </w:r>
    </w:p>
    <w:p>
      <w:pPr>
        <w:spacing w:after="0" w:line="30" w:lineRule="exact"/>
        <w:rPr>
          <w:rFonts w:ascii="Arial" w:cs="Arial" w:eastAsia="Arial" w:hAnsi="Arial"/>
          <w:sz w:val="16"/>
          <w:szCs w:val="16"/>
          <w:b w:val="1"/>
          <w:bCs w:val="1"/>
          <w:color w:val="auto"/>
        </w:rPr>
      </w:pPr>
    </w:p>
    <w:p>
      <w:pPr>
        <w:ind w:left="9" w:right="60" w:firstLine="419"/>
        <w:spacing w:after="0" w:line="261" w:lineRule="auto"/>
        <w:tabs>
          <w:tab w:leader="none" w:pos="673" w:val="left"/>
        </w:tabs>
        <w:numPr>
          <w:ilvl w:val="1"/>
          <w:numId w:val="252"/>
        </w:numPr>
        <w:rPr>
          <w:rFonts w:ascii="Arial" w:cs="Arial" w:eastAsia="Arial" w:hAnsi="Arial"/>
          <w:sz w:val="17"/>
          <w:szCs w:val="17"/>
          <w:b w:val="1"/>
          <w:bCs w:val="1"/>
          <w:color w:val="auto"/>
        </w:rPr>
      </w:pPr>
      <w:r>
        <w:rPr>
          <w:rFonts w:ascii="Arial" w:cs="Arial" w:eastAsia="Arial" w:hAnsi="Arial"/>
          <w:sz w:val="17"/>
          <w:szCs w:val="17"/>
          <w:color w:val="auto"/>
        </w:rPr>
        <w:t>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an Employee Stock Purchase Plan), and the Company will designate which Designated Company is participating in each separate Offering.</w:t>
      </w:r>
    </w:p>
    <w:p>
      <w:pPr>
        <w:spacing w:after="0" w:line="323" w:lineRule="exact"/>
        <w:rPr>
          <w:rFonts w:ascii="Arial" w:cs="Arial" w:eastAsia="Arial" w:hAnsi="Arial"/>
          <w:sz w:val="17"/>
          <w:szCs w:val="17"/>
          <w:b w:val="1"/>
          <w:bCs w:val="1"/>
          <w:color w:val="auto"/>
        </w:rPr>
      </w:pPr>
    </w:p>
    <w:p>
      <w:pPr>
        <w:ind w:left="429" w:hanging="429"/>
        <w:spacing w:after="0"/>
        <w:tabs>
          <w:tab w:leader="none" w:pos="429" w:val="left"/>
        </w:tabs>
        <w:numPr>
          <w:ilvl w:val="0"/>
          <w:numId w:val="252"/>
        </w:numPr>
        <w:rPr>
          <w:rFonts w:ascii="Arial" w:cs="Arial" w:eastAsia="Arial" w:hAnsi="Arial"/>
          <w:sz w:val="17"/>
          <w:szCs w:val="17"/>
          <w:b w:val="1"/>
          <w:bCs w:val="1"/>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DMINISTRATION</w:t>
      </w:r>
      <w:r>
        <w:rPr>
          <w:rFonts w:ascii="Arial" w:cs="Arial" w:eastAsia="Arial" w:hAnsi="Arial"/>
          <w:sz w:val="17"/>
          <w:szCs w:val="17"/>
          <w:b w:val="1"/>
          <w:bCs w:val="1"/>
          <w:color w:val="auto"/>
        </w:rPr>
        <w:t>.</w:t>
      </w:r>
    </w:p>
    <w:p>
      <w:pPr>
        <w:spacing w:after="0" w:line="124" w:lineRule="exact"/>
        <w:rPr>
          <w:rFonts w:ascii="Arial" w:cs="Arial" w:eastAsia="Arial" w:hAnsi="Arial"/>
          <w:sz w:val="17"/>
          <w:szCs w:val="17"/>
          <w:b w:val="1"/>
          <w:bCs w:val="1"/>
          <w:color w:val="auto"/>
        </w:rPr>
      </w:pPr>
    </w:p>
    <w:p>
      <w:pPr>
        <w:ind w:left="9" w:right="60" w:firstLine="419"/>
        <w:spacing w:after="0" w:line="289" w:lineRule="auto"/>
        <w:tabs>
          <w:tab w:leader="none" w:pos="683" w:val="left"/>
        </w:tabs>
        <w:numPr>
          <w:ilvl w:val="1"/>
          <w:numId w:val="252"/>
        </w:numPr>
        <w:rPr>
          <w:rFonts w:ascii="Arial" w:cs="Arial" w:eastAsia="Arial" w:hAnsi="Arial"/>
          <w:sz w:val="17"/>
          <w:szCs w:val="17"/>
          <w:b w:val="1"/>
          <w:bCs w:val="1"/>
          <w:color w:val="auto"/>
        </w:rPr>
      </w:pPr>
      <w:r>
        <w:rPr>
          <w:rFonts w:ascii="Arial" w:cs="Arial" w:eastAsia="Arial" w:hAnsi="Arial"/>
          <w:sz w:val="17"/>
          <w:szCs w:val="17"/>
          <w:color w:val="auto"/>
        </w:rPr>
        <w:t>The Board will administer the Plan unless and until the Board delegates administration of the Plan to a Committee or Committees, as provided in Section 2(c).</w:t>
      </w:r>
    </w:p>
    <w:p>
      <w:pPr>
        <w:spacing w:after="0" w:line="53" w:lineRule="exact"/>
        <w:rPr>
          <w:rFonts w:ascii="Arial" w:cs="Arial" w:eastAsia="Arial" w:hAnsi="Arial"/>
          <w:sz w:val="17"/>
          <w:szCs w:val="17"/>
          <w:b w:val="1"/>
          <w:bCs w:val="1"/>
          <w:color w:val="auto"/>
        </w:rPr>
      </w:pPr>
    </w:p>
    <w:p>
      <w:pPr>
        <w:ind w:left="689" w:hanging="261"/>
        <w:spacing w:after="0"/>
        <w:tabs>
          <w:tab w:leader="none" w:pos="689" w:val="left"/>
        </w:tabs>
        <w:numPr>
          <w:ilvl w:val="1"/>
          <w:numId w:val="252"/>
        </w:numPr>
        <w:rPr>
          <w:rFonts w:ascii="Arial" w:cs="Arial" w:eastAsia="Arial" w:hAnsi="Arial"/>
          <w:sz w:val="17"/>
          <w:szCs w:val="17"/>
          <w:b w:val="1"/>
          <w:bCs w:val="1"/>
          <w:color w:val="auto"/>
        </w:rPr>
      </w:pPr>
      <w:r>
        <w:rPr>
          <w:rFonts w:ascii="Arial" w:cs="Arial" w:eastAsia="Arial" w:hAnsi="Arial"/>
          <w:sz w:val="17"/>
          <w:szCs w:val="17"/>
          <w:color w:val="auto"/>
        </w:rPr>
        <w:t>The Board will have the power, subject to, and within the limitations of, the express provisions of the Plan:</w:t>
      </w:r>
    </w:p>
    <w:p>
      <w:pPr>
        <w:spacing w:after="0" w:line="118" w:lineRule="exact"/>
        <w:rPr>
          <w:rFonts w:ascii="Arial" w:cs="Arial" w:eastAsia="Arial" w:hAnsi="Arial"/>
          <w:sz w:val="17"/>
          <w:szCs w:val="17"/>
          <w:b w:val="1"/>
          <w:bCs w:val="1"/>
          <w:color w:val="auto"/>
        </w:rPr>
      </w:pPr>
    </w:p>
    <w:p>
      <w:pPr>
        <w:ind w:left="1069" w:hanging="214"/>
        <w:spacing w:after="0"/>
        <w:tabs>
          <w:tab w:leader="none" w:pos="1069" w:val="left"/>
        </w:tabs>
        <w:numPr>
          <w:ilvl w:val="2"/>
          <w:numId w:val="252"/>
        </w:numPr>
        <w:rPr>
          <w:rFonts w:ascii="Arial" w:cs="Arial" w:eastAsia="Arial" w:hAnsi="Arial"/>
          <w:sz w:val="17"/>
          <w:szCs w:val="17"/>
          <w:b w:val="1"/>
          <w:bCs w:val="1"/>
          <w:color w:val="auto"/>
        </w:rPr>
      </w:pPr>
      <w:r>
        <w:rPr>
          <w:rFonts w:ascii="Arial" w:cs="Arial" w:eastAsia="Arial" w:hAnsi="Arial"/>
          <w:sz w:val="17"/>
          <w:szCs w:val="17"/>
          <w:color w:val="auto"/>
        </w:rPr>
        <w:t>To determine how and when Purchase Rights will be granted and the provisions of each Offering (which need not be identical).</w:t>
      </w:r>
    </w:p>
    <w:p>
      <w:pPr>
        <w:spacing w:after="0" w:line="118" w:lineRule="exact"/>
        <w:rPr>
          <w:rFonts w:ascii="Arial" w:cs="Arial" w:eastAsia="Arial" w:hAnsi="Arial"/>
          <w:sz w:val="17"/>
          <w:szCs w:val="17"/>
          <w:b w:val="1"/>
          <w:bCs w:val="1"/>
          <w:color w:val="auto"/>
        </w:rPr>
      </w:pPr>
    </w:p>
    <w:p>
      <w:pPr>
        <w:ind w:left="9" w:right="120" w:firstLine="846"/>
        <w:spacing w:after="0" w:line="273" w:lineRule="auto"/>
        <w:tabs>
          <w:tab w:leader="none" w:pos="1120" w:val="left"/>
        </w:tabs>
        <w:numPr>
          <w:ilvl w:val="2"/>
          <w:numId w:val="252"/>
        </w:numPr>
        <w:rPr>
          <w:rFonts w:ascii="Arial" w:cs="Arial" w:eastAsia="Arial" w:hAnsi="Arial"/>
          <w:sz w:val="17"/>
          <w:szCs w:val="17"/>
          <w:b w:val="1"/>
          <w:bCs w:val="1"/>
          <w:color w:val="auto"/>
        </w:rPr>
      </w:pPr>
      <w:r>
        <w:rPr>
          <w:rFonts w:ascii="Arial" w:cs="Arial" w:eastAsia="Arial" w:hAnsi="Arial"/>
          <w:sz w:val="17"/>
          <w:szCs w:val="17"/>
          <w:color w:val="auto"/>
        </w:rPr>
        <w:t>To designate from time to time which Related Corporations will be eligible to participate in the Plan as Designated 423 Corporations or as Designated Non-423 Corporations, which Affiliates may be excluded from participation in the Plan, and which Designated Companies will participate in each separate Offering (to the extent that the Company makes separate Offerings).</w:t>
      </w:r>
    </w:p>
    <w:p>
      <w:pPr>
        <w:spacing w:after="0" w:line="66" w:lineRule="exact"/>
        <w:rPr>
          <w:rFonts w:ascii="Arial" w:cs="Arial" w:eastAsia="Arial" w:hAnsi="Arial"/>
          <w:sz w:val="17"/>
          <w:szCs w:val="17"/>
          <w:b w:val="1"/>
          <w:bCs w:val="1"/>
          <w:color w:val="auto"/>
        </w:rPr>
      </w:pPr>
    </w:p>
    <w:p>
      <w:pPr>
        <w:jc w:val="both"/>
        <w:ind w:left="9" w:right="60" w:firstLine="846"/>
        <w:spacing w:after="0" w:line="273" w:lineRule="auto"/>
        <w:tabs>
          <w:tab w:leader="none" w:pos="1169" w:val="left"/>
        </w:tabs>
        <w:numPr>
          <w:ilvl w:val="2"/>
          <w:numId w:val="252"/>
        </w:numPr>
        <w:rPr>
          <w:rFonts w:ascii="Arial" w:cs="Arial" w:eastAsia="Arial" w:hAnsi="Arial"/>
          <w:sz w:val="17"/>
          <w:szCs w:val="17"/>
          <w:b w:val="1"/>
          <w:bCs w:val="1"/>
          <w:color w:val="auto"/>
        </w:rPr>
      </w:pPr>
      <w:r>
        <w:rPr>
          <w:rFonts w:ascii="Arial" w:cs="Arial" w:eastAsia="Arial" w:hAnsi="Arial"/>
          <w:sz w:val="17"/>
          <w:szCs w:val="17"/>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66" w:lineRule="exact"/>
        <w:rPr>
          <w:rFonts w:ascii="Arial" w:cs="Arial" w:eastAsia="Arial" w:hAnsi="Arial"/>
          <w:sz w:val="17"/>
          <w:szCs w:val="17"/>
          <w:b w:val="1"/>
          <w:bCs w:val="1"/>
          <w:color w:val="auto"/>
        </w:rPr>
      </w:pPr>
    </w:p>
    <w:p>
      <w:pPr>
        <w:ind w:left="1149" w:hanging="294"/>
        <w:spacing w:after="0"/>
        <w:tabs>
          <w:tab w:leader="none" w:pos="1149" w:val="left"/>
        </w:tabs>
        <w:numPr>
          <w:ilvl w:val="2"/>
          <w:numId w:val="252"/>
        </w:numPr>
        <w:rPr>
          <w:rFonts w:ascii="Arial" w:cs="Arial" w:eastAsia="Arial" w:hAnsi="Arial"/>
          <w:sz w:val="17"/>
          <w:szCs w:val="17"/>
          <w:b w:val="1"/>
          <w:bCs w:val="1"/>
          <w:color w:val="auto"/>
        </w:rPr>
      </w:pPr>
      <w:r>
        <w:rPr>
          <w:rFonts w:ascii="Arial" w:cs="Arial" w:eastAsia="Arial" w:hAnsi="Arial"/>
          <w:sz w:val="17"/>
          <w:szCs w:val="17"/>
          <w:color w:val="auto"/>
        </w:rPr>
        <w:t>To settle all controversies regarding the Plan and Purchase Rights granted under the Plan.</w:t>
      </w:r>
    </w:p>
    <w:p>
      <w:pPr>
        <w:sectPr>
          <w:pgSz w:w="11900" w:h="16838" w:orient="portrait"/>
          <w:cols w:equalWidth="0" w:num="1">
            <w:col w:w="10689"/>
          </w:cols>
          <w:pgMar w:left="611" w:top="121" w:right="599" w:bottom="1440" w:gutter="0" w:footer="0" w:header="0"/>
        </w:sectPr>
      </w:pPr>
    </w:p>
    <w:bookmarkStart w:id="358" w:name="page359"/>
    <w:bookmarkEnd w:id="358"/>
    <w:p>
      <w:pPr>
        <w:ind w:left="1109" w:hanging="254"/>
        <w:spacing w:after="0"/>
        <w:tabs>
          <w:tab w:leader="none" w:pos="1109" w:val="left"/>
        </w:tabs>
        <w:numPr>
          <w:ilvl w:val="2"/>
          <w:numId w:val="253"/>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To suspend or terminate the Plan at any time as provided in Section 12.</w:t>
      </w:r>
    </w:p>
    <w:p>
      <w:pPr>
        <w:spacing w:after="0" w:line="118" w:lineRule="exact"/>
        <w:rPr>
          <w:rFonts w:ascii="Arial" w:cs="Arial" w:eastAsia="Arial" w:hAnsi="Arial"/>
          <w:sz w:val="17"/>
          <w:szCs w:val="17"/>
          <w:b w:val="1"/>
          <w:bCs w:val="1"/>
          <w:color w:val="auto"/>
        </w:rPr>
      </w:pPr>
    </w:p>
    <w:p>
      <w:pPr>
        <w:ind w:left="1149" w:hanging="294"/>
        <w:spacing w:after="0"/>
        <w:tabs>
          <w:tab w:leader="none" w:pos="1149" w:val="left"/>
        </w:tabs>
        <w:numPr>
          <w:ilvl w:val="2"/>
          <w:numId w:val="253"/>
        </w:numPr>
        <w:rPr>
          <w:rFonts w:ascii="Arial" w:cs="Arial" w:eastAsia="Arial" w:hAnsi="Arial"/>
          <w:sz w:val="17"/>
          <w:szCs w:val="17"/>
          <w:b w:val="1"/>
          <w:bCs w:val="1"/>
          <w:color w:val="auto"/>
        </w:rPr>
      </w:pPr>
      <w:r>
        <w:rPr>
          <w:rFonts w:ascii="Arial" w:cs="Arial" w:eastAsia="Arial" w:hAnsi="Arial"/>
          <w:sz w:val="17"/>
          <w:szCs w:val="17"/>
          <w:color w:val="auto"/>
        </w:rPr>
        <w:t>To amend the Plan at any time as provided in Section 12.</w:t>
      </w:r>
    </w:p>
    <w:p>
      <w:pPr>
        <w:spacing w:after="0" w:line="118" w:lineRule="exact"/>
        <w:rPr>
          <w:rFonts w:ascii="Arial" w:cs="Arial" w:eastAsia="Arial" w:hAnsi="Arial"/>
          <w:sz w:val="17"/>
          <w:szCs w:val="17"/>
          <w:b w:val="1"/>
          <w:bCs w:val="1"/>
          <w:color w:val="auto"/>
        </w:rPr>
      </w:pPr>
    </w:p>
    <w:p>
      <w:pPr>
        <w:ind w:left="9" w:right="220" w:firstLine="846"/>
        <w:spacing w:after="0" w:line="359" w:lineRule="auto"/>
        <w:tabs>
          <w:tab w:leader="none" w:pos="1207" w:val="left"/>
        </w:tabs>
        <w:numPr>
          <w:ilvl w:val="2"/>
          <w:numId w:val="253"/>
        </w:numPr>
        <w:rPr>
          <w:rFonts w:ascii="Arial" w:cs="Arial" w:eastAsia="Arial" w:hAnsi="Arial"/>
          <w:sz w:val="15"/>
          <w:szCs w:val="15"/>
          <w:b w:val="1"/>
          <w:bCs w:val="1"/>
          <w:color w:val="auto"/>
        </w:rPr>
      </w:pPr>
      <w:r>
        <w:rPr>
          <w:rFonts w:ascii="Arial" w:cs="Arial" w:eastAsia="Arial" w:hAnsi="Arial"/>
          <w:sz w:val="15"/>
          <w:szCs w:val="15"/>
          <w:color w:val="auto"/>
        </w:rPr>
        <w:t>Generally, to exercise such powers and to perform such acts as it deems necessary or expedient to promote the best interests of the Company, its Related Corporations, and Affiliates and to carry out the intent that the 423 Component be treated as an Employee Stock Purchase Plan.</w:t>
      </w:r>
    </w:p>
    <w:p>
      <w:pPr>
        <w:spacing w:after="0" w:line="7" w:lineRule="exact"/>
        <w:rPr>
          <w:rFonts w:ascii="Arial" w:cs="Arial" w:eastAsia="Arial" w:hAnsi="Arial"/>
          <w:sz w:val="15"/>
          <w:szCs w:val="15"/>
          <w:b w:val="1"/>
          <w:bCs w:val="1"/>
          <w:color w:val="auto"/>
        </w:rPr>
      </w:pPr>
    </w:p>
    <w:p>
      <w:pPr>
        <w:ind w:left="9" w:right="40" w:firstLine="846"/>
        <w:spacing w:after="0" w:line="261" w:lineRule="auto"/>
        <w:tabs>
          <w:tab w:leader="none" w:pos="1256" w:val="left"/>
        </w:tabs>
        <w:numPr>
          <w:ilvl w:val="2"/>
          <w:numId w:val="253"/>
        </w:numPr>
        <w:rPr>
          <w:rFonts w:ascii="Arial" w:cs="Arial" w:eastAsia="Arial" w:hAnsi="Arial"/>
          <w:sz w:val="17"/>
          <w:szCs w:val="17"/>
          <w:b w:val="1"/>
          <w:bCs w:val="1"/>
          <w:color w:val="auto"/>
        </w:rPr>
      </w:pPr>
      <w:r>
        <w:rPr>
          <w:rFonts w:ascii="Arial" w:cs="Arial" w:eastAsia="Arial" w:hAnsi="Arial"/>
          <w:sz w:val="17"/>
          <w:szCs w:val="17"/>
          <w:color w:val="auto"/>
        </w:rPr>
        <w:t>To adopt such rules, procedures and sub-plans relating to the operation and administration of the Plan as are necessary or appropriate under applicable local laws, regulations and procedures to permit or facilitate participation in the Plan by Employees who are foreign nationals or employed or located outside the United States. Without limiting the generality of, but consistent with, the foregoing, the Board specifically is authorized to adopt rules, procedures, and sub-plans, which, if applicable to a Designated Non-423 Corporation, do not have to comply with the requirements of Section 423 of the Code,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w:t>
      </w:r>
    </w:p>
    <w:p>
      <w:pPr>
        <w:spacing w:after="0" w:line="80" w:lineRule="exact"/>
        <w:rPr>
          <w:rFonts w:ascii="Arial" w:cs="Arial" w:eastAsia="Arial" w:hAnsi="Arial"/>
          <w:sz w:val="17"/>
          <w:szCs w:val="17"/>
          <w:b w:val="1"/>
          <w:bCs w:val="1"/>
          <w:color w:val="auto"/>
        </w:rPr>
      </w:pPr>
    </w:p>
    <w:p>
      <w:pPr>
        <w:ind w:left="9" w:firstLine="419"/>
        <w:spacing w:after="0" w:line="278" w:lineRule="auto"/>
        <w:tabs>
          <w:tab w:leader="none" w:pos="673" w:val="left"/>
        </w:tabs>
        <w:numPr>
          <w:ilvl w:val="1"/>
          <w:numId w:val="254"/>
        </w:numPr>
        <w:rPr>
          <w:rFonts w:ascii="Arial" w:cs="Arial" w:eastAsia="Arial" w:hAnsi="Arial"/>
          <w:sz w:val="16"/>
          <w:szCs w:val="16"/>
          <w:b w:val="1"/>
          <w:bCs w:val="1"/>
          <w:color w:val="auto"/>
        </w:rPr>
      </w:pPr>
      <w:r>
        <w:rPr>
          <w:rFonts w:ascii="Arial" w:cs="Arial" w:eastAsia="Arial" w:hAnsi="Arial"/>
          <w:sz w:val="16"/>
          <w:szCs w:val="16"/>
          <w:color w:val="auto"/>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other persons or groups of persons as it deems necessary, appropriate, or advisable under conditions or limitations that it may set at or after the time of the delegation. The Board may retain the authority to concurrently administer the Plan with the Committee and may, at any time, revest in the Board some or all of the powers previously delegated. Whether or not the Board has delegated administration of the Plan to a Committee, the Board will have the final power to determine all questions of policy and expediency that may arise in the administration of the Plan.</w:t>
      </w:r>
    </w:p>
    <w:p>
      <w:pPr>
        <w:spacing w:after="0" w:line="68" w:lineRule="exact"/>
        <w:rPr>
          <w:rFonts w:ascii="Arial" w:cs="Arial" w:eastAsia="Arial" w:hAnsi="Arial"/>
          <w:sz w:val="16"/>
          <w:szCs w:val="16"/>
          <w:b w:val="1"/>
          <w:bCs w:val="1"/>
          <w:color w:val="auto"/>
        </w:rPr>
      </w:pPr>
    </w:p>
    <w:p>
      <w:pPr>
        <w:ind w:left="9" w:right="140" w:firstLine="419"/>
        <w:spacing w:after="0" w:line="289" w:lineRule="auto"/>
        <w:tabs>
          <w:tab w:leader="none" w:pos="693" w:val="left"/>
        </w:tabs>
        <w:numPr>
          <w:ilvl w:val="1"/>
          <w:numId w:val="254"/>
        </w:numPr>
        <w:rPr>
          <w:rFonts w:ascii="Arial" w:cs="Arial" w:eastAsia="Arial" w:hAnsi="Arial"/>
          <w:sz w:val="17"/>
          <w:szCs w:val="17"/>
          <w:b w:val="1"/>
          <w:bCs w:val="1"/>
          <w:color w:val="auto"/>
        </w:rPr>
      </w:pPr>
      <w:r>
        <w:rPr>
          <w:rFonts w:ascii="Arial" w:cs="Arial" w:eastAsia="Arial" w:hAnsi="Arial"/>
          <w:sz w:val="17"/>
          <w:szCs w:val="17"/>
          <w:color w:val="auto"/>
        </w:rPr>
        <w:t>All determinations, interpretations and constructions made by the Board in good faith will not be subject to review by any person and will be final, binding and conclusive on all persons.</w:t>
      </w:r>
    </w:p>
    <w:p>
      <w:pPr>
        <w:spacing w:after="0" w:line="295" w:lineRule="exact"/>
        <w:rPr>
          <w:rFonts w:ascii="Arial" w:cs="Arial" w:eastAsia="Arial" w:hAnsi="Arial"/>
          <w:sz w:val="17"/>
          <w:szCs w:val="17"/>
          <w:b w:val="1"/>
          <w:bCs w:val="1"/>
          <w:color w:val="auto"/>
        </w:rPr>
      </w:pPr>
    </w:p>
    <w:p>
      <w:pPr>
        <w:ind w:left="429" w:hanging="429"/>
        <w:spacing w:after="0"/>
        <w:tabs>
          <w:tab w:leader="none" w:pos="429" w:val="left"/>
        </w:tabs>
        <w:numPr>
          <w:ilvl w:val="0"/>
          <w:numId w:val="255"/>
        </w:numPr>
        <w:rPr>
          <w:rFonts w:ascii="Arial" w:cs="Arial" w:eastAsia="Arial" w:hAnsi="Arial"/>
          <w:sz w:val="17"/>
          <w:szCs w:val="17"/>
          <w:b w:val="1"/>
          <w:bCs w:val="1"/>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HARES OF</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p>
    <w:p>
      <w:pPr>
        <w:spacing w:after="0" w:line="124" w:lineRule="exact"/>
        <w:rPr>
          <w:rFonts w:ascii="Arial" w:cs="Arial" w:eastAsia="Arial" w:hAnsi="Arial"/>
          <w:sz w:val="17"/>
          <w:szCs w:val="17"/>
          <w:b w:val="1"/>
          <w:bCs w:val="1"/>
          <w:color w:val="auto"/>
        </w:rPr>
      </w:pPr>
    </w:p>
    <w:p>
      <w:pPr>
        <w:ind w:left="9" w:right="60" w:firstLine="419"/>
        <w:spacing w:after="0" w:line="302" w:lineRule="auto"/>
        <w:tabs>
          <w:tab w:leader="none" w:pos="683" w:val="left"/>
        </w:tabs>
        <w:numPr>
          <w:ilvl w:val="1"/>
          <w:numId w:val="255"/>
        </w:numPr>
        <w:rPr>
          <w:rFonts w:ascii="Arial" w:cs="Arial" w:eastAsia="Arial" w:hAnsi="Arial"/>
          <w:sz w:val="15"/>
          <w:szCs w:val="15"/>
          <w:b w:val="1"/>
          <w:bCs w:val="1"/>
          <w:color w:val="auto"/>
        </w:rPr>
      </w:pPr>
      <w:r>
        <w:rPr>
          <w:rFonts w:ascii="Arial" w:cs="Arial" w:eastAsia="Arial" w:hAnsi="Arial"/>
          <w:sz w:val="15"/>
          <w:szCs w:val="15"/>
          <w:color w:val="auto"/>
        </w:rPr>
        <w:t>Subject to the provisions of Section 11(a) relating to Capitalization Adjustments and the following sentence regarding the Evergreen Increase, the initial number of shares of Common Stock that may be issued under the Plan shall equal 1,000,000 shares of Common Stock (the “</w:t>
      </w:r>
      <w:r>
        <w:rPr>
          <w:rFonts w:ascii="Arial" w:cs="Arial" w:eastAsia="Arial" w:hAnsi="Arial"/>
          <w:sz w:val="15"/>
          <w:szCs w:val="15"/>
          <w:b w:val="1"/>
          <w:bCs w:val="1"/>
          <w:i w:val="1"/>
          <w:iCs w:val="1"/>
          <w:color w:val="auto"/>
        </w:rPr>
        <w:t>Share Reserve</w:t>
      </w:r>
      <w:r>
        <w:rPr>
          <w:rFonts w:ascii="Arial" w:cs="Arial" w:eastAsia="Arial" w:hAnsi="Arial"/>
          <w:sz w:val="15"/>
          <w:szCs w:val="15"/>
          <w:color w:val="auto"/>
        </w:rPr>
        <w:t>”). In addition, the Share Reserve will automatically increase on January 1</w:t>
      </w:r>
      <w:r>
        <w:rPr>
          <w:rFonts w:ascii="Arial" w:cs="Arial" w:eastAsia="Arial" w:hAnsi="Arial"/>
          <w:sz w:val="12"/>
          <w:szCs w:val="12"/>
          <w:color w:val="auto"/>
        </w:rPr>
        <w:t>st</w:t>
      </w:r>
      <w:r>
        <w:rPr>
          <w:rFonts w:ascii="Arial" w:cs="Arial" w:eastAsia="Arial" w:hAnsi="Arial"/>
          <w:sz w:val="15"/>
          <w:szCs w:val="15"/>
          <w:color w:val="auto"/>
        </w:rPr>
        <w:t xml:space="preserve"> of each year for a period of up to ten (10) years, commencing on January 1, 2020 and ending on (and including) January 1, 2029 (each, an “</w:t>
      </w:r>
      <w:r>
        <w:rPr>
          <w:rFonts w:ascii="Arial" w:cs="Arial" w:eastAsia="Arial" w:hAnsi="Arial"/>
          <w:sz w:val="15"/>
          <w:szCs w:val="15"/>
          <w:b w:val="1"/>
          <w:bCs w:val="1"/>
          <w:i w:val="1"/>
          <w:iCs w:val="1"/>
          <w:color w:val="auto"/>
        </w:rPr>
        <w:t>Evergreen Date</w:t>
      </w:r>
      <w:r>
        <w:rPr>
          <w:rFonts w:ascii="Arial" w:cs="Arial" w:eastAsia="Arial" w:hAnsi="Arial"/>
          <w:sz w:val="15"/>
          <w:szCs w:val="15"/>
          <w:color w:val="auto"/>
        </w:rPr>
        <w:t xml:space="preserve">”), in an amount equal to the </w:t>
      </w:r>
      <w:r>
        <w:rPr>
          <w:rFonts w:ascii="Arial" w:cs="Arial" w:eastAsia="Arial" w:hAnsi="Arial"/>
          <w:sz w:val="15"/>
          <w:szCs w:val="15"/>
          <w:u w:val="single" w:color="auto"/>
          <w:color w:val="auto"/>
        </w:rPr>
        <w:t>lesser</w:t>
      </w:r>
      <w:r>
        <w:rPr>
          <w:rFonts w:ascii="Arial" w:cs="Arial" w:eastAsia="Arial" w:hAnsi="Arial"/>
          <w:sz w:val="15"/>
          <w:szCs w:val="15"/>
          <w:color w:val="auto"/>
        </w:rPr>
        <w:t xml:space="preserve"> of (i) 1.0% of the total number of shares of Capital Stock outstanding on December 31</w:t>
      </w:r>
      <w:r>
        <w:rPr>
          <w:rFonts w:ascii="Arial" w:cs="Arial" w:eastAsia="Arial" w:hAnsi="Arial"/>
          <w:sz w:val="12"/>
          <w:szCs w:val="12"/>
          <w:color w:val="auto"/>
        </w:rPr>
        <w:t>st</w:t>
      </w:r>
      <w:r>
        <w:rPr>
          <w:rFonts w:ascii="Arial" w:cs="Arial" w:eastAsia="Arial" w:hAnsi="Arial"/>
          <w:sz w:val="15"/>
          <w:szCs w:val="15"/>
          <w:color w:val="auto"/>
        </w:rPr>
        <w:t xml:space="preserve"> immediately preceding the applicable Evergreen Date, and (ii) 1,000,000 shares (the “</w:t>
      </w:r>
      <w:r>
        <w:rPr>
          <w:rFonts w:ascii="Arial" w:cs="Arial" w:eastAsia="Arial" w:hAnsi="Arial"/>
          <w:sz w:val="15"/>
          <w:szCs w:val="15"/>
          <w:b w:val="1"/>
          <w:bCs w:val="1"/>
          <w:i w:val="1"/>
          <w:iCs w:val="1"/>
          <w:color w:val="auto"/>
        </w:rPr>
        <w:t>Evergreen</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Increase</w:t>
      </w:r>
      <w:r>
        <w:rPr>
          <w:rFonts w:ascii="Arial" w:cs="Arial" w:eastAsia="Arial" w:hAnsi="Arial"/>
          <w:sz w:val="15"/>
          <w:szCs w:val="15"/>
          <w:color w:val="auto"/>
        </w:rPr>
        <w:t>”). Notwithstanding the foregoing, the Board may act prior to the Evergreen Date of a given year to provide that there will be no Evergreen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Increase for such year or that the Evergreen Increase for such year will be a lesser number of shares of Common Stock than</w:t>
      </w:r>
    </w:p>
    <w:p>
      <w:pPr>
        <w:sectPr>
          <w:pgSz w:w="11900" w:h="16838" w:orient="portrait"/>
          <w:cols w:equalWidth="0" w:num="1">
            <w:col w:w="10669"/>
          </w:cols>
          <w:pgMar w:left="611" w:top="271" w:right="619" w:bottom="1440" w:gutter="0" w:footer="0" w:header="0"/>
        </w:sectPr>
      </w:pPr>
    </w:p>
    <w:bookmarkStart w:id="359" w:name="page360"/>
    <w:bookmarkEnd w:id="359"/>
    <w:p>
      <w:pPr>
        <w:ind w:left="9"/>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would otherwise occur pursuant to the preceding sentence. For the avoidance of doubt, up to the maximum number of shares of Common Stock reserved under this Section 3(a) may be used to satisfy purchases of Common Stock under the 423 Component and any remaining portion of such maximum number of shares may be used to satisfy purchases of Common Stock under the Non-423 Component.</w:t>
      </w:r>
    </w:p>
    <w:p>
      <w:pPr>
        <w:spacing w:after="0" w:line="66" w:lineRule="exact"/>
        <w:rPr>
          <w:sz w:val="20"/>
          <w:szCs w:val="20"/>
          <w:color w:val="auto"/>
        </w:rPr>
      </w:pPr>
    </w:p>
    <w:p>
      <w:pPr>
        <w:ind w:left="9" w:right="320" w:firstLine="419"/>
        <w:spacing w:after="0" w:line="289" w:lineRule="auto"/>
        <w:tabs>
          <w:tab w:leader="none" w:pos="693" w:val="left"/>
        </w:tabs>
        <w:numPr>
          <w:ilvl w:val="1"/>
          <w:numId w:val="256"/>
        </w:numPr>
        <w:rPr>
          <w:rFonts w:ascii="Arial" w:cs="Arial" w:eastAsia="Arial" w:hAnsi="Arial"/>
          <w:sz w:val="17"/>
          <w:szCs w:val="17"/>
          <w:b w:val="1"/>
          <w:bCs w:val="1"/>
          <w:color w:val="auto"/>
        </w:rPr>
      </w:pPr>
      <w:r>
        <w:rPr>
          <w:rFonts w:ascii="Arial" w:cs="Arial" w:eastAsia="Arial" w:hAnsi="Arial"/>
          <w:sz w:val="17"/>
          <w:szCs w:val="17"/>
          <w:color w:val="auto"/>
        </w:rPr>
        <w:t>If any Purchase Right granted under the Plan terminates without having been exercised in full, the shares of Common Stock not purchased under such Purchase Right will again become available for issuance under the Plan.</w:t>
      </w:r>
    </w:p>
    <w:p>
      <w:pPr>
        <w:spacing w:after="0" w:line="53" w:lineRule="exact"/>
        <w:rPr>
          <w:rFonts w:ascii="Arial" w:cs="Arial" w:eastAsia="Arial" w:hAnsi="Arial"/>
          <w:sz w:val="17"/>
          <w:szCs w:val="17"/>
          <w:b w:val="1"/>
          <w:bCs w:val="1"/>
          <w:color w:val="auto"/>
        </w:rPr>
      </w:pPr>
    </w:p>
    <w:p>
      <w:pPr>
        <w:ind w:left="9" w:right="60" w:firstLine="419"/>
        <w:spacing w:after="0" w:line="289" w:lineRule="auto"/>
        <w:tabs>
          <w:tab w:leader="none" w:pos="673" w:val="left"/>
        </w:tabs>
        <w:numPr>
          <w:ilvl w:val="1"/>
          <w:numId w:val="256"/>
        </w:numPr>
        <w:rPr>
          <w:rFonts w:ascii="Arial" w:cs="Arial" w:eastAsia="Arial" w:hAnsi="Arial"/>
          <w:sz w:val="17"/>
          <w:szCs w:val="17"/>
          <w:b w:val="1"/>
          <w:bCs w:val="1"/>
          <w:color w:val="auto"/>
        </w:rPr>
      </w:pPr>
      <w:r>
        <w:rPr>
          <w:rFonts w:ascii="Arial" w:cs="Arial" w:eastAsia="Arial" w:hAnsi="Arial"/>
          <w:sz w:val="17"/>
          <w:szCs w:val="17"/>
          <w:color w:val="auto"/>
        </w:rPr>
        <w:t>The stock purchasable under the Plan will be shares of authorized but unissued or reacquired Common Stock, including shares repurchased by the Company on the open market.</w:t>
      </w:r>
    </w:p>
    <w:p>
      <w:pPr>
        <w:spacing w:after="0" w:line="295" w:lineRule="exact"/>
        <w:rPr>
          <w:rFonts w:ascii="Arial" w:cs="Arial" w:eastAsia="Arial" w:hAnsi="Arial"/>
          <w:sz w:val="17"/>
          <w:szCs w:val="17"/>
          <w:b w:val="1"/>
          <w:bCs w:val="1"/>
          <w:color w:val="auto"/>
        </w:rPr>
      </w:pPr>
    </w:p>
    <w:p>
      <w:pPr>
        <w:ind w:left="429" w:hanging="429"/>
        <w:spacing w:after="0"/>
        <w:tabs>
          <w:tab w:leader="none" w:pos="429" w:val="left"/>
        </w:tabs>
        <w:numPr>
          <w:ilvl w:val="0"/>
          <w:numId w:val="257"/>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4"/>
          <w:szCs w:val="14"/>
          <w:b w:val="1"/>
          <w:bCs w:val="1"/>
          <w:color w:val="auto"/>
        </w:rPr>
        <w:t>RANT OF</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7"/>
          <w:szCs w:val="17"/>
          <w:b w:val="1"/>
          <w:bCs w:val="1"/>
          <w:color w:val="auto"/>
        </w:rPr>
        <w:t>; O</w:t>
      </w:r>
      <w:r>
        <w:rPr>
          <w:rFonts w:ascii="Arial" w:cs="Arial" w:eastAsia="Arial" w:hAnsi="Arial"/>
          <w:sz w:val="14"/>
          <w:szCs w:val="14"/>
          <w:b w:val="1"/>
          <w:bCs w:val="1"/>
          <w:color w:val="auto"/>
        </w:rPr>
        <w:t>FFERING</w:t>
      </w:r>
      <w:r>
        <w:rPr>
          <w:rFonts w:ascii="Arial" w:cs="Arial" w:eastAsia="Arial" w:hAnsi="Arial"/>
          <w:sz w:val="17"/>
          <w:szCs w:val="17"/>
          <w:b w:val="1"/>
          <w:bCs w:val="1"/>
          <w:color w:val="auto"/>
        </w:rPr>
        <w:t>.</w:t>
      </w:r>
    </w:p>
    <w:p>
      <w:pPr>
        <w:spacing w:after="0" w:line="124" w:lineRule="exact"/>
        <w:rPr>
          <w:rFonts w:ascii="Arial" w:cs="Arial" w:eastAsia="Arial" w:hAnsi="Arial"/>
          <w:sz w:val="17"/>
          <w:szCs w:val="17"/>
          <w:b w:val="1"/>
          <w:bCs w:val="1"/>
          <w:color w:val="auto"/>
        </w:rPr>
      </w:pPr>
    </w:p>
    <w:p>
      <w:pPr>
        <w:ind w:left="9" w:right="20" w:firstLine="419"/>
        <w:spacing w:after="0" w:line="261" w:lineRule="auto"/>
        <w:tabs>
          <w:tab w:leader="none" w:pos="683" w:val="left"/>
        </w:tabs>
        <w:numPr>
          <w:ilvl w:val="1"/>
          <w:numId w:val="257"/>
        </w:numPr>
        <w:rPr>
          <w:rFonts w:ascii="Arial" w:cs="Arial" w:eastAsia="Arial" w:hAnsi="Arial"/>
          <w:sz w:val="17"/>
          <w:szCs w:val="17"/>
          <w:b w:val="1"/>
          <w:bCs w:val="1"/>
          <w:color w:val="auto"/>
        </w:rPr>
      </w:pPr>
      <w:r>
        <w:rPr>
          <w:rFonts w:ascii="Arial" w:cs="Arial" w:eastAsia="Arial" w:hAnsi="Arial"/>
          <w:sz w:val="17"/>
          <w:szCs w:val="17"/>
          <w:color w:val="auto"/>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Offering Document or otherwise) the period during which the Offering will be effective, which period will not exceed 27 months beginning with the Offering Date, and the substance of the provisions contained in Sections 5 through 8, inclusive.</w:t>
      </w:r>
    </w:p>
    <w:p>
      <w:pPr>
        <w:spacing w:after="0" w:line="80" w:lineRule="exact"/>
        <w:rPr>
          <w:rFonts w:ascii="Arial" w:cs="Arial" w:eastAsia="Arial" w:hAnsi="Arial"/>
          <w:sz w:val="17"/>
          <w:szCs w:val="17"/>
          <w:b w:val="1"/>
          <w:bCs w:val="1"/>
          <w:color w:val="auto"/>
        </w:rPr>
      </w:pPr>
    </w:p>
    <w:p>
      <w:pPr>
        <w:ind w:left="9" w:right="40" w:firstLine="419"/>
        <w:spacing w:after="0" w:line="265" w:lineRule="auto"/>
        <w:tabs>
          <w:tab w:leader="none" w:pos="693" w:val="left"/>
        </w:tabs>
        <w:numPr>
          <w:ilvl w:val="1"/>
          <w:numId w:val="257"/>
        </w:numPr>
        <w:rPr>
          <w:rFonts w:ascii="Arial" w:cs="Arial" w:eastAsia="Arial" w:hAnsi="Arial"/>
          <w:sz w:val="17"/>
          <w:szCs w:val="17"/>
          <w:b w:val="1"/>
          <w:bCs w:val="1"/>
          <w:color w:val="auto"/>
        </w:rPr>
      </w:pPr>
      <w:r>
        <w:rPr>
          <w:rFonts w:ascii="Arial" w:cs="Arial" w:eastAsia="Arial" w:hAnsi="Arial"/>
          <w:sz w:val="17"/>
          <w:szCs w:val="17"/>
          <w:color w:val="auto"/>
        </w:rPr>
        <w:t>If a Participant has more than one Purchase Right outstanding under the Plan, unless he or she otherwise indicates in forms delivered to the Company or a third party designated by the Company (each, a “</w:t>
      </w:r>
      <w:r>
        <w:rPr>
          <w:rFonts w:ascii="Arial" w:cs="Arial" w:eastAsia="Arial" w:hAnsi="Arial"/>
          <w:sz w:val="17"/>
          <w:szCs w:val="17"/>
          <w:b w:val="1"/>
          <w:bCs w:val="1"/>
          <w:i w:val="1"/>
          <w:iCs w:val="1"/>
          <w:color w:val="auto"/>
        </w:rPr>
        <w:t>Company Designee</w:t>
      </w:r>
      <w:r>
        <w:rPr>
          <w:rFonts w:ascii="Arial" w:cs="Arial" w:eastAsia="Arial" w:hAnsi="Arial"/>
          <w:sz w:val="17"/>
          <w:szCs w:val="17"/>
          <w:color w:val="auto"/>
        </w:rPr>
        <w:t>”):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73" w:lineRule="exact"/>
        <w:rPr>
          <w:rFonts w:ascii="Arial" w:cs="Arial" w:eastAsia="Arial" w:hAnsi="Arial"/>
          <w:sz w:val="17"/>
          <w:szCs w:val="17"/>
          <w:b w:val="1"/>
          <w:bCs w:val="1"/>
          <w:color w:val="auto"/>
        </w:rPr>
      </w:pPr>
    </w:p>
    <w:p>
      <w:pPr>
        <w:ind w:left="9" w:right="140" w:firstLine="419"/>
        <w:spacing w:after="0" w:line="267" w:lineRule="auto"/>
        <w:tabs>
          <w:tab w:leader="none" w:pos="673" w:val="left"/>
        </w:tabs>
        <w:numPr>
          <w:ilvl w:val="1"/>
          <w:numId w:val="257"/>
        </w:numPr>
        <w:rPr>
          <w:rFonts w:ascii="Arial" w:cs="Arial" w:eastAsia="Arial" w:hAnsi="Arial"/>
          <w:sz w:val="17"/>
          <w:szCs w:val="17"/>
          <w:b w:val="1"/>
          <w:bCs w:val="1"/>
          <w:color w:val="auto"/>
        </w:rPr>
      </w:pPr>
      <w:r>
        <w:rPr>
          <w:rFonts w:ascii="Arial" w:cs="Arial" w:eastAsia="Arial" w:hAnsi="Arial"/>
          <w:sz w:val="17"/>
          <w:szCs w:val="17"/>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315" w:lineRule="exact"/>
        <w:rPr>
          <w:rFonts w:ascii="Arial" w:cs="Arial" w:eastAsia="Arial" w:hAnsi="Arial"/>
          <w:sz w:val="17"/>
          <w:szCs w:val="17"/>
          <w:b w:val="1"/>
          <w:bCs w:val="1"/>
          <w:color w:val="auto"/>
        </w:rPr>
      </w:pPr>
    </w:p>
    <w:p>
      <w:pPr>
        <w:ind w:left="429" w:hanging="429"/>
        <w:spacing w:after="0"/>
        <w:tabs>
          <w:tab w:leader="none" w:pos="429" w:val="left"/>
        </w:tabs>
        <w:numPr>
          <w:ilvl w:val="0"/>
          <w:numId w:val="257"/>
        </w:numPr>
        <w:rPr>
          <w:rFonts w:ascii="Arial" w:cs="Arial" w:eastAsia="Arial" w:hAnsi="Arial"/>
          <w:sz w:val="17"/>
          <w:szCs w:val="17"/>
          <w:b w:val="1"/>
          <w:bCs w:val="1"/>
          <w:color w:val="auto"/>
        </w:rPr>
      </w:pPr>
      <w:r>
        <w:rPr>
          <w:rFonts w:ascii="Arial" w:cs="Arial" w:eastAsia="Arial" w:hAnsi="Arial"/>
          <w:sz w:val="17"/>
          <w:szCs w:val="17"/>
          <w:b w:val="1"/>
          <w:bCs w:val="1"/>
          <w:color w:val="auto"/>
        </w:rPr>
        <w:t>E</w:t>
      </w:r>
      <w:r>
        <w:rPr>
          <w:rFonts w:ascii="Arial" w:cs="Arial" w:eastAsia="Arial" w:hAnsi="Arial"/>
          <w:sz w:val="14"/>
          <w:szCs w:val="14"/>
          <w:b w:val="1"/>
          <w:bCs w:val="1"/>
          <w:color w:val="auto"/>
        </w:rPr>
        <w:t>LIGIBILITY</w:t>
      </w:r>
      <w:r>
        <w:rPr>
          <w:rFonts w:ascii="Arial" w:cs="Arial" w:eastAsia="Arial" w:hAnsi="Arial"/>
          <w:sz w:val="17"/>
          <w:szCs w:val="17"/>
          <w:b w:val="1"/>
          <w:bCs w:val="1"/>
          <w:color w:val="auto"/>
        </w:rPr>
        <w:t>.</w:t>
      </w:r>
    </w:p>
    <w:p>
      <w:pPr>
        <w:spacing w:after="0" w:line="124" w:lineRule="exact"/>
        <w:rPr>
          <w:rFonts w:ascii="Arial" w:cs="Arial" w:eastAsia="Arial" w:hAnsi="Arial"/>
          <w:sz w:val="17"/>
          <w:szCs w:val="17"/>
          <w:b w:val="1"/>
          <w:bCs w:val="1"/>
          <w:color w:val="auto"/>
        </w:rPr>
      </w:pPr>
    </w:p>
    <w:p>
      <w:pPr>
        <w:ind w:left="9" w:right="20" w:firstLine="419"/>
        <w:spacing w:after="0" w:line="263" w:lineRule="auto"/>
        <w:tabs>
          <w:tab w:leader="none" w:pos="683" w:val="left"/>
        </w:tabs>
        <w:numPr>
          <w:ilvl w:val="1"/>
          <w:numId w:val="257"/>
        </w:numPr>
        <w:rPr>
          <w:rFonts w:ascii="Arial" w:cs="Arial" w:eastAsia="Arial" w:hAnsi="Arial"/>
          <w:sz w:val="17"/>
          <w:szCs w:val="17"/>
          <w:b w:val="1"/>
          <w:bCs w:val="1"/>
          <w:color w:val="auto"/>
        </w:rPr>
      </w:pPr>
      <w:r>
        <w:rPr>
          <w:rFonts w:ascii="Arial" w:cs="Arial" w:eastAsia="Arial" w:hAnsi="Arial"/>
          <w:sz w:val="17"/>
          <w:szCs w:val="17"/>
          <w:color w:val="auto"/>
        </w:rPr>
        <w:t>Purchase Rights may be granted only to Employees of the Company or, as the Board may designate in accordance with Section 2(b), to Employees of a Related Corporation or an Affiliate. Except as provided in Section 5(b) or as required by applicable law, an Employee will not be eligible to be granted Purchase Rights unless, on the Offering Date, the Employee has been in the employ of the Company, a Related Corporation or an Affiliate, as the case may be, for such continuous period preceding such Offering Date as the Board may require, but in no event will the required period of continuous employment be equal to or greater than two years. In addition, the Board may provide that no Employee will be eligible to be granted Purchase Rights under the Plan unless, on the Offering Date, such</w:t>
      </w:r>
    </w:p>
    <w:p>
      <w:pPr>
        <w:sectPr>
          <w:pgSz w:w="11900" w:h="16838" w:orient="portrait"/>
          <w:cols w:equalWidth="0" w:num="1">
            <w:col w:w="10669"/>
          </w:cols>
          <w:pgMar w:left="611" w:top="271" w:right="619" w:bottom="1440" w:gutter="0" w:footer="0" w:header="0"/>
        </w:sectPr>
      </w:pPr>
    </w:p>
    <w:bookmarkStart w:id="360" w:name="page361"/>
    <w:bookmarkEnd w:id="360"/>
    <w:p>
      <w:pPr>
        <w:ind w:right="1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Employee’s customary employment with the Company, the Related Corporation, or the Affiliate, as applicable, is more than 20 hours per week and more than five months per calendar year or such other criteria as the Board may determine consistent with Section 423 of the Code with respect to the 423 Component and applicable laws.</w:t>
      </w:r>
    </w:p>
    <w:p>
      <w:pPr>
        <w:spacing w:after="0" w:line="66" w:lineRule="exact"/>
        <w:rPr>
          <w:sz w:val="20"/>
          <w:szCs w:val="20"/>
          <w:color w:val="auto"/>
        </w:rPr>
      </w:pPr>
    </w:p>
    <w:p>
      <w:pPr>
        <w:ind w:right="200" w:firstLine="419"/>
        <w:spacing w:after="0" w:line="289" w:lineRule="auto"/>
        <w:tabs>
          <w:tab w:leader="none" w:pos="684" w:val="left"/>
        </w:tabs>
        <w:numPr>
          <w:ilvl w:val="0"/>
          <w:numId w:val="258"/>
        </w:numPr>
        <w:rPr>
          <w:rFonts w:ascii="Arial" w:cs="Arial" w:eastAsia="Arial" w:hAnsi="Arial"/>
          <w:sz w:val="16"/>
          <w:szCs w:val="16"/>
          <w:b w:val="1"/>
          <w:bCs w:val="1"/>
          <w:color w:val="auto"/>
        </w:rPr>
      </w:pPr>
      <w:r>
        <w:rPr>
          <w:rFonts w:ascii="Arial" w:cs="Arial" w:eastAsia="Arial" w:hAnsi="Arial"/>
          <w:sz w:val="16"/>
          <w:szCs w:val="16"/>
          <w:color w:val="auto"/>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56" w:lineRule="exact"/>
        <w:rPr>
          <w:rFonts w:ascii="Arial" w:cs="Arial" w:eastAsia="Arial" w:hAnsi="Arial"/>
          <w:sz w:val="16"/>
          <w:szCs w:val="16"/>
          <w:b w:val="1"/>
          <w:bCs w:val="1"/>
          <w:color w:val="auto"/>
        </w:rPr>
      </w:pPr>
    </w:p>
    <w:p>
      <w:pPr>
        <w:ind w:right="640" w:firstLine="846"/>
        <w:spacing w:after="0" w:line="289" w:lineRule="auto"/>
        <w:tabs>
          <w:tab w:leader="none" w:pos="1063" w:val="left"/>
        </w:tabs>
        <w:numPr>
          <w:ilvl w:val="1"/>
          <w:numId w:val="258"/>
        </w:numPr>
        <w:rPr>
          <w:rFonts w:ascii="Arial" w:cs="Arial" w:eastAsia="Arial" w:hAnsi="Arial"/>
          <w:sz w:val="17"/>
          <w:szCs w:val="17"/>
          <w:b w:val="1"/>
          <w:bCs w:val="1"/>
          <w:color w:val="auto"/>
        </w:rPr>
      </w:pPr>
      <w:r>
        <w:rPr>
          <w:rFonts w:ascii="Arial" w:cs="Arial" w:eastAsia="Arial" w:hAnsi="Arial"/>
          <w:sz w:val="17"/>
          <w:szCs w:val="17"/>
          <w:color w:val="auto"/>
        </w:rPr>
        <w:t>the date on which such Purchase Right is granted will be the “Offering Date” of such Purchase Right for all purposes, including determination of the exercise price of such Purchase Right;</w:t>
      </w:r>
    </w:p>
    <w:p>
      <w:pPr>
        <w:spacing w:after="0" w:line="53" w:lineRule="exact"/>
        <w:rPr>
          <w:rFonts w:ascii="Arial" w:cs="Arial" w:eastAsia="Arial" w:hAnsi="Arial"/>
          <w:sz w:val="17"/>
          <w:szCs w:val="17"/>
          <w:b w:val="1"/>
          <w:bCs w:val="1"/>
          <w:color w:val="auto"/>
        </w:rPr>
      </w:pPr>
    </w:p>
    <w:p>
      <w:pPr>
        <w:ind w:left="1100" w:hanging="254"/>
        <w:spacing w:after="0"/>
        <w:tabs>
          <w:tab w:leader="none" w:pos="1100" w:val="left"/>
        </w:tabs>
        <w:numPr>
          <w:ilvl w:val="1"/>
          <w:numId w:val="258"/>
        </w:numPr>
        <w:rPr>
          <w:rFonts w:ascii="Arial" w:cs="Arial" w:eastAsia="Arial" w:hAnsi="Arial"/>
          <w:sz w:val="16"/>
          <w:szCs w:val="16"/>
          <w:b w:val="1"/>
          <w:bCs w:val="1"/>
          <w:color w:val="auto"/>
        </w:rPr>
      </w:pPr>
      <w:r>
        <w:rPr>
          <w:rFonts w:ascii="Arial" w:cs="Arial" w:eastAsia="Arial" w:hAnsi="Arial"/>
          <w:sz w:val="16"/>
          <w:szCs w:val="16"/>
          <w:color w:val="auto"/>
        </w:rPr>
        <w:t>the period of the Offering with respect to such Purchase Right will begin on its Offering Date and end coincident with the end of such</w:t>
      </w:r>
    </w:p>
    <w:p>
      <w:pPr>
        <w:spacing w:after="0" w:line="37"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7"/>
          <w:szCs w:val="17"/>
          <w:color w:val="auto"/>
        </w:rPr>
        <w:t>Offering; and</w:t>
      </w:r>
    </w:p>
    <w:p>
      <w:pPr>
        <w:spacing w:after="0" w:line="106" w:lineRule="exact"/>
        <w:rPr>
          <w:rFonts w:ascii="Arial" w:cs="Arial" w:eastAsia="Arial" w:hAnsi="Arial"/>
          <w:sz w:val="16"/>
          <w:szCs w:val="16"/>
          <w:b w:val="1"/>
          <w:bCs w:val="1"/>
          <w:color w:val="auto"/>
        </w:rPr>
      </w:pPr>
    </w:p>
    <w:p>
      <w:pPr>
        <w:ind w:right="180" w:firstLine="846"/>
        <w:spacing w:after="0" w:line="289" w:lineRule="auto"/>
        <w:tabs>
          <w:tab w:leader="none" w:pos="1160" w:val="left"/>
        </w:tabs>
        <w:numPr>
          <w:ilvl w:val="1"/>
          <w:numId w:val="258"/>
        </w:numPr>
        <w:rPr>
          <w:rFonts w:ascii="Arial" w:cs="Arial" w:eastAsia="Arial" w:hAnsi="Arial"/>
          <w:sz w:val="17"/>
          <w:szCs w:val="17"/>
          <w:b w:val="1"/>
          <w:bCs w:val="1"/>
          <w:color w:val="auto"/>
        </w:rPr>
      </w:pPr>
      <w:r>
        <w:rPr>
          <w:rFonts w:ascii="Arial" w:cs="Arial" w:eastAsia="Arial" w:hAnsi="Arial"/>
          <w:sz w:val="17"/>
          <w:szCs w:val="17"/>
          <w:color w:val="auto"/>
        </w:rPr>
        <w:t>the Board may provide that if such person first becomes an Eligible Employee within a specified period of time before the end of the Offering, he or she will not receive any Purchase Right under that Offering.</w:t>
      </w:r>
    </w:p>
    <w:p>
      <w:pPr>
        <w:spacing w:after="0" w:line="53" w:lineRule="exact"/>
        <w:rPr>
          <w:rFonts w:ascii="Arial" w:cs="Arial" w:eastAsia="Arial" w:hAnsi="Arial"/>
          <w:sz w:val="17"/>
          <w:szCs w:val="17"/>
          <w:b w:val="1"/>
          <w:bCs w:val="1"/>
          <w:color w:val="auto"/>
        </w:rPr>
      </w:pPr>
    </w:p>
    <w:p>
      <w:pPr>
        <w:ind w:right="40" w:firstLine="419"/>
        <w:spacing w:after="0" w:line="314" w:lineRule="auto"/>
        <w:tabs>
          <w:tab w:leader="none" w:pos="664" w:val="left"/>
        </w:tabs>
        <w:numPr>
          <w:ilvl w:val="0"/>
          <w:numId w:val="258"/>
        </w:numPr>
        <w:rPr>
          <w:rFonts w:ascii="Arial" w:cs="Arial" w:eastAsia="Arial" w:hAnsi="Arial"/>
          <w:sz w:val="15"/>
          <w:szCs w:val="15"/>
          <w:b w:val="1"/>
          <w:bCs w:val="1"/>
          <w:color w:val="auto"/>
        </w:rPr>
      </w:pPr>
      <w:r>
        <w:rPr>
          <w:rFonts w:ascii="Arial" w:cs="Arial" w:eastAsia="Arial" w:hAnsi="Arial"/>
          <w:sz w:val="15"/>
          <w:szCs w:val="15"/>
          <w:color w:val="auto"/>
        </w:rPr>
        <w:t>No Employee will be eligible for the grant of any Purchase Rights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40" w:lineRule="exact"/>
        <w:rPr>
          <w:rFonts w:ascii="Arial" w:cs="Arial" w:eastAsia="Arial" w:hAnsi="Arial"/>
          <w:sz w:val="15"/>
          <w:szCs w:val="15"/>
          <w:b w:val="1"/>
          <w:bCs w:val="1"/>
          <w:color w:val="auto"/>
        </w:rPr>
      </w:pPr>
    </w:p>
    <w:p>
      <w:pPr>
        <w:ind w:right="80" w:firstLine="419"/>
        <w:spacing w:after="0" w:line="263" w:lineRule="auto"/>
        <w:tabs>
          <w:tab w:leader="none" w:pos="684" w:val="left"/>
        </w:tabs>
        <w:numPr>
          <w:ilvl w:val="0"/>
          <w:numId w:val="258"/>
        </w:numPr>
        <w:rPr>
          <w:rFonts w:ascii="Arial" w:cs="Arial" w:eastAsia="Arial" w:hAnsi="Arial"/>
          <w:sz w:val="17"/>
          <w:szCs w:val="17"/>
          <w:b w:val="1"/>
          <w:bCs w:val="1"/>
          <w:color w:val="auto"/>
        </w:rPr>
      </w:pPr>
      <w:r>
        <w:rPr>
          <w:rFonts w:ascii="Arial" w:cs="Arial" w:eastAsia="Arial" w:hAnsi="Arial"/>
          <w:sz w:val="17"/>
          <w:szCs w:val="17"/>
          <w:color w:val="auto"/>
        </w:rPr>
        <w:t>As specified by Section 423(b)(8) of the Code, an Eligible Employee may be granted Purchase Rights only if such Purchase Rights, together with any other rights granted under all Employee Stock Purchase Plans of the Company and any Related Corporations or Affiliates, do not permit such Eligible Employee’s rights to purchase stock of the Company or any Related Corporation or Affiliates to accrue at a rate which, when aggregated, exceeds US$25,000 of Fair Market Value of such stock (determined at the time such rights are granted, and which, with respect to the Plan, will be determined as of their respective Offering Dates) for each calendar year in which such rights are outstanding at any time, subject to compliance with applicable laws.</w:t>
      </w:r>
    </w:p>
    <w:p>
      <w:pPr>
        <w:spacing w:after="0" w:line="76" w:lineRule="exact"/>
        <w:rPr>
          <w:rFonts w:ascii="Arial" w:cs="Arial" w:eastAsia="Arial" w:hAnsi="Arial"/>
          <w:sz w:val="17"/>
          <w:szCs w:val="17"/>
          <w:b w:val="1"/>
          <w:bCs w:val="1"/>
          <w:color w:val="auto"/>
        </w:rPr>
      </w:pPr>
    </w:p>
    <w:p>
      <w:pPr>
        <w:jc w:val="both"/>
        <w:ind w:right="160" w:firstLine="419"/>
        <w:spacing w:after="0" w:line="273" w:lineRule="auto"/>
        <w:tabs>
          <w:tab w:leader="none" w:pos="664" w:val="left"/>
        </w:tabs>
        <w:numPr>
          <w:ilvl w:val="0"/>
          <w:numId w:val="258"/>
        </w:numPr>
        <w:rPr>
          <w:rFonts w:ascii="Arial" w:cs="Arial" w:eastAsia="Arial" w:hAnsi="Arial"/>
          <w:sz w:val="17"/>
          <w:szCs w:val="17"/>
          <w:b w:val="1"/>
          <w:bCs w:val="1"/>
          <w:color w:val="auto"/>
        </w:rPr>
      </w:pPr>
      <w:r>
        <w:rPr>
          <w:rFonts w:ascii="Arial" w:cs="Arial" w:eastAsia="Arial" w:hAnsi="Arial"/>
          <w:sz w:val="17"/>
          <w:szCs w:val="17"/>
          <w:color w:val="auto"/>
        </w:rPr>
        <w:t>Officers of the Company and any Designated Company, if they are otherwise Eligible Employees, will be eligible to participate in Offerings under the Plan. Notwithstanding the foregoing, the Board may provide in an Offering that Employees who are highly compensated Employees within the meaning of Section 423(b)(4)(D) of the Code will not be eligible to participate.</w:t>
      </w:r>
    </w:p>
    <w:p>
      <w:pPr>
        <w:spacing w:after="0" w:line="66" w:lineRule="exact"/>
        <w:rPr>
          <w:rFonts w:ascii="Arial" w:cs="Arial" w:eastAsia="Arial" w:hAnsi="Arial"/>
          <w:sz w:val="17"/>
          <w:szCs w:val="17"/>
          <w:b w:val="1"/>
          <w:bCs w:val="1"/>
          <w:color w:val="auto"/>
        </w:rPr>
      </w:pPr>
    </w:p>
    <w:p>
      <w:pPr>
        <w:ind w:firstLine="419"/>
        <w:spacing w:after="0" w:line="273" w:lineRule="auto"/>
        <w:tabs>
          <w:tab w:leader="none" w:pos="645" w:val="left"/>
        </w:tabs>
        <w:numPr>
          <w:ilvl w:val="0"/>
          <w:numId w:val="258"/>
        </w:numPr>
        <w:rPr>
          <w:rFonts w:ascii="Arial" w:cs="Arial" w:eastAsia="Arial" w:hAnsi="Arial"/>
          <w:sz w:val="17"/>
          <w:szCs w:val="17"/>
          <w:b w:val="1"/>
          <w:bCs w:val="1"/>
          <w:color w:val="auto"/>
        </w:rPr>
      </w:pPr>
      <w:r>
        <w:rPr>
          <w:rFonts w:ascii="Arial" w:cs="Arial" w:eastAsia="Arial" w:hAnsi="Arial"/>
          <w:sz w:val="17"/>
          <w:szCs w:val="17"/>
          <w:color w:val="auto"/>
        </w:rPr>
        <w:t>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w:t>
      </w:r>
    </w:p>
    <w:p>
      <w:pPr>
        <w:sectPr>
          <w:pgSz w:w="11900" w:h="16838" w:orient="portrait"/>
          <w:cols w:equalWidth="0" w:num="1">
            <w:col w:w="10600"/>
          </w:cols>
          <w:pgMar w:left="620" w:top="271" w:right="679" w:bottom="1440" w:gutter="0" w:footer="0" w:header="0"/>
        </w:sectPr>
      </w:pPr>
    </w:p>
    <w:bookmarkStart w:id="361" w:name="page362"/>
    <w:bookmarkEnd w:id="361"/>
    <w:p>
      <w:pPr>
        <w:ind w:left="429" w:hanging="429"/>
        <w:spacing w:after="0"/>
        <w:tabs>
          <w:tab w:leader="none" w:pos="429" w:val="left"/>
        </w:tabs>
        <w:numPr>
          <w:ilvl w:val="0"/>
          <w:numId w:val="259"/>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w:t>
      </w:r>
      <w:r>
        <w:rPr>
          <w:rFonts w:ascii="Arial" w:cs="Arial" w:eastAsia="Arial" w:hAnsi="Arial"/>
          <w:sz w:val="14"/>
          <w:szCs w:val="14"/>
          <w:b w:val="1"/>
          <w:bCs w:val="1"/>
          <w:color w:val="auto"/>
        </w:rPr>
        <w:t>URCHASE</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7"/>
          <w:szCs w:val="17"/>
          <w:b w:val="1"/>
          <w:bCs w:val="1"/>
          <w:color w:val="auto"/>
        </w:rPr>
        <w:t>; P</w:t>
      </w:r>
      <w:r>
        <w:rPr>
          <w:rFonts w:ascii="Arial" w:cs="Arial" w:eastAsia="Arial" w:hAnsi="Arial"/>
          <w:sz w:val="14"/>
          <w:szCs w:val="14"/>
          <w:b w:val="1"/>
          <w:bCs w:val="1"/>
          <w:color w:val="auto"/>
        </w:rPr>
        <w:t>URCHASE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7"/>
          <w:szCs w:val="17"/>
          <w:b w:val="1"/>
          <w:bCs w:val="1"/>
          <w:color w:val="auto"/>
        </w:rPr>
        <w:t>.</w:t>
      </w:r>
    </w:p>
    <w:p>
      <w:pPr>
        <w:spacing w:after="0" w:line="124" w:lineRule="exact"/>
        <w:rPr>
          <w:rFonts w:ascii="Arial" w:cs="Arial" w:eastAsia="Arial" w:hAnsi="Arial"/>
          <w:sz w:val="17"/>
          <w:szCs w:val="17"/>
          <w:b w:val="1"/>
          <w:bCs w:val="1"/>
          <w:color w:val="auto"/>
        </w:rPr>
      </w:pPr>
    </w:p>
    <w:p>
      <w:pPr>
        <w:ind w:left="9" w:firstLine="419"/>
        <w:spacing w:after="0" w:line="265" w:lineRule="auto"/>
        <w:tabs>
          <w:tab w:leader="none" w:pos="683" w:val="left"/>
        </w:tabs>
        <w:numPr>
          <w:ilvl w:val="1"/>
          <w:numId w:val="259"/>
        </w:numPr>
        <w:rPr>
          <w:rFonts w:ascii="Arial" w:cs="Arial" w:eastAsia="Arial" w:hAnsi="Arial"/>
          <w:sz w:val="17"/>
          <w:szCs w:val="17"/>
          <w:b w:val="1"/>
          <w:bCs w:val="1"/>
          <w:color w:val="auto"/>
        </w:rPr>
      </w:pPr>
      <w:r>
        <w:rPr>
          <w:rFonts w:ascii="Arial" w:cs="Arial" w:eastAsia="Arial" w:hAnsi="Arial"/>
          <w:sz w:val="17"/>
          <w:szCs w:val="17"/>
          <w:color w:val="auto"/>
        </w:rPr>
        <w:t>On each Offering Date, each Eligible Employee, pursuant to an Offering made under the Plan, will be granted a Purchase Right to purchase up to that number of shares of Common Stock (rounded down to the nearest whole share) purchasable either with a percentage or with a maximum dollar amount, as designated by the Board, but in either case not exceeding 15% of such Employee’s earnings (as defined by the Board in each Offering) during the period that begins on the Offering Date (or such later date as the Board determines for a particular Offering) and ends on the date stated in the Offering, which date will be no later than the end of the Offering.</w:t>
      </w:r>
    </w:p>
    <w:p>
      <w:pPr>
        <w:spacing w:after="0" w:line="73" w:lineRule="exact"/>
        <w:rPr>
          <w:rFonts w:ascii="Arial" w:cs="Arial" w:eastAsia="Arial" w:hAnsi="Arial"/>
          <w:sz w:val="17"/>
          <w:szCs w:val="17"/>
          <w:b w:val="1"/>
          <w:bCs w:val="1"/>
          <w:color w:val="auto"/>
        </w:rPr>
      </w:pPr>
    </w:p>
    <w:p>
      <w:pPr>
        <w:ind w:left="9" w:right="60" w:firstLine="419"/>
        <w:spacing w:after="0" w:line="289" w:lineRule="auto"/>
        <w:tabs>
          <w:tab w:leader="none" w:pos="693" w:val="left"/>
        </w:tabs>
        <w:numPr>
          <w:ilvl w:val="1"/>
          <w:numId w:val="259"/>
        </w:numPr>
        <w:rPr>
          <w:rFonts w:ascii="Arial" w:cs="Arial" w:eastAsia="Arial" w:hAnsi="Arial"/>
          <w:sz w:val="17"/>
          <w:szCs w:val="17"/>
          <w:b w:val="1"/>
          <w:bCs w:val="1"/>
          <w:color w:val="auto"/>
        </w:rPr>
      </w:pPr>
      <w:r>
        <w:rPr>
          <w:rFonts w:ascii="Arial" w:cs="Arial" w:eastAsia="Arial" w:hAnsi="Arial"/>
          <w:sz w:val="17"/>
          <w:szCs w:val="17"/>
          <w:color w:val="auto"/>
        </w:rPr>
        <w:t>The Board will establish one or more Purchase Dates during an Offering on which Purchase Rights granted for that Offering will be exercised and shares of Common Stock will be purchased in accordance with such Offering.</w:t>
      </w:r>
    </w:p>
    <w:p>
      <w:pPr>
        <w:spacing w:after="0" w:line="53" w:lineRule="exact"/>
        <w:rPr>
          <w:rFonts w:ascii="Arial" w:cs="Arial" w:eastAsia="Arial" w:hAnsi="Arial"/>
          <w:sz w:val="17"/>
          <w:szCs w:val="17"/>
          <w:b w:val="1"/>
          <w:bCs w:val="1"/>
          <w:color w:val="auto"/>
        </w:rPr>
      </w:pPr>
    </w:p>
    <w:p>
      <w:pPr>
        <w:ind w:left="9" w:right="20" w:firstLine="419"/>
        <w:spacing w:after="0" w:line="281" w:lineRule="auto"/>
        <w:tabs>
          <w:tab w:leader="none" w:pos="673" w:val="left"/>
        </w:tabs>
        <w:numPr>
          <w:ilvl w:val="1"/>
          <w:numId w:val="259"/>
        </w:numPr>
        <w:rPr>
          <w:rFonts w:ascii="Arial" w:cs="Arial" w:eastAsia="Arial" w:hAnsi="Arial"/>
          <w:sz w:val="16"/>
          <w:szCs w:val="16"/>
          <w:b w:val="1"/>
          <w:bCs w:val="1"/>
          <w:color w:val="auto"/>
        </w:rPr>
      </w:pPr>
      <w:r>
        <w:rPr>
          <w:rFonts w:ascii="Arial" w:cs="Arial" w:eastAsia="Arial" w:hAnsi="Arial"/>
          <w:sz w:val="16"/>
          <w:szCs w:val="16"/>
          <w:color w:val="auto"/>
        </w:rPr>
        <w:t>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w:t>
      </w:r>
    </w:p>
    <w:p>
      <w:pPr>
        <w:spacing w:after="0" w:line="63" w:lineRule="exact"/>
        <w:rPr>
          <w:rFonts w:ascii="Arial" w:cs="Arial" w:eastAsia="Arial" w:hAnsi="Arial"/>
          <w:sz w:val="16"/>
          <w:szCs w:val="16"/>
          <w:b w:val="1"/>
          <w:bCs w:val="1"/>
          <w:color w:val="auto"/>
        </w:rPr>
      </w:pPr>
    </w:p>
    <w:p>
      <w:pPr>
        <w:ind w:left="689" w:hanging="261"/>
        <w:spacing w:after="0"/>
        <w:tabs>
          <w:tab w:leader="none" w:pos="689" w:val="left"/>
        </w:tabs>
        <w:numPr>
          <w:ilvl w:val="1"/>
          <w:numId w:val="259"/>
        </w:numPr>
        <w:rPr>
          <w:rFonts w:ascii="Arial" w:cs="Arial" w:eastAsia="Arial" w:hAnsi="Arial"/>
          <w:sz w:val="17"/>
          <w:szCs w:val="17"/>
          <w:b w:val="1"/>
          <w:bCs w:val="1"/>
          <w:color w:val="auto"/>
        </w:rPr>
      </w:pPr>
      <w:r>
        <w:rPr>
          <w:rFonts w:ascii="Arial" w:cs="Arial" w:eastAsia="Arial" w:hAnsi="Arial"/>
          <w:sz w:val="17"/>
          <w:szCs w:val="17"/>
          <w:color w:val="auto"/>
        </w:rPr>
        <w:t>The purchase price of shares of Common Stock acquired pursuant to Purchase Rights will be not less than the lesser of:</w:t>
      </w:r>
    </w:p>
    <w:p>
      <w:pPr>
        <w:spacing w:after="0" w:line="118" w:lineRule="exact"/>
        <w:rPr>
          <w:rFonts w:ascii="Arial" w:cs="Arial" w:eastAsia="Arial" w:hAnsi="Arial"/>
          <w:sz w:val="17"/>
          <w:szCs w:val="17"/>
          <w:b w:val="1"/>
          <w:bCs w:val="1"/>
          <w:color w:val="auto"/>
        </w:rPr>
      </w:pPr>
    </w:p>
    <w:p>
      <w:pPr>
        <w:ind w:left="1069" w:hanging="214"/>
        <w:spacing w:after="0"/>
        <w:tabs>
          <w:tab w:leader="none" w:pos="1069" w:val="left"/>
        </w:tabs>
        <w:numPr>
          <w:ilvl w:val="2"/>
          <w:numId w:val="259"/>
        </w:numPr>
        <w:rPr>
          <w:rFonts w:ascii="Arial" w:cs="Arial" w:eastAsia="Arial" w:hAnsi="Arial"/>
          <w:sz w:val="17"/>
          <w:szCs w:val="17"/>
          <w:b w:val="1"/>
          <w:bCs w:val="1"/>
          <w:color w:val="auto"/>
        </w:rPr>
      </w:pPr>
      <w:r>
        <w:rPr>
          <w:rFonts w:ascii="Arial" w:cs="Arial" w:eastAsia="Arial" w:hAnsi="Arial"/>
          <w:sz w:val="17"/>
          <w:szCs w:val="17"/>
          <w:color w:val="auto"/>
        </w:rPr>
        <w:t>an amount equal to 85% of the Fair Market Value of the shares of Common Stock on the Offering Date; or</w:t>
      </w:r>
    </w:p>
    <w:p>
      <w:pPr>
        <w:spacing w:after="0" w:line="118" w:lineRule="exact"/>
        <w:rPr>
          <w:rFonts w:ascii="Arial" w:cs="Arial" w:eastAsia="Arial" w:hAnsi="Arial"/>
          <w:sz w:val="17"/>
          <w:szCs w:val="17"/>
          <w:b w:val="1"/>
          <w:bCs w:val="1"/>
          <w:color w:val="auto"/>
        </w:rPr>
      </w:pPr>
    </w:p>
    <w:p>
      <w:pPr>
        <w:ind w:left="1109" w:hanging="254"/>
        <w:spacing w:after="0"/>
        <w:tabs>
          <w:tab w:leader="none" w:pos="1109" w:val="left"/>
        </w:tabs>
        <w:numPr>
          <w:ilvl w:val="2"/>
          <w:numId w:val="259"/>
        </w:numPr>
        <w:rPr>
          <w:rFonts w:ascii="Arial" w:cs="Arial" w:eastAsia="Arial" w:hAnsi="Arial"/>
          <w:sz w:val="17"/>
          <w:szCs w:val="17"/>
          <w:b w:val="1"/>
          <w:bCs w:val="1"/>
          <w:color w:val="auto"/>
        </w:rPr>
      </w:pPr>
      <w:r>
        <w:rPr>
          <w:rFonts w:ascii="Arial" w:cs="Arial" w:eastAsia="Arial" w:hAnsi="Arial"/>
          <w:sz w:val="17"/>
          <w:szCs w:val="17"/>
          <w:color w:val="auto"/>
        </w:rPr>
        <w:t>an amount equal to 85% of the Fair Market Value of the shares of Common Stock on the applicable Purchase Date.</w:t>
      </w:r>
    </w:p>
    <w:p>
      <w:pPr>
        <w:spacing w:after="0" w:line="361" w:lineRule="exact"/>
        <w:rPr>
          <w:rFonts w:ascii="Arial" w:cs="Arial" w:eastAsia="Arial" w:hAnsi="Arial"/>
          <w:sz w:val="17"/>
          <w:szCs w:val="17"/>
          <w:b w:val="1"/>
          <w:bCs w:val="1"/>
          <w:color w:val="auto"/>
        </w:rPr>
      </w:pPr>
    </w:p>
    <w:p>
      <w:pPr>
        <w:ind w:left="429" w:hanging="429"/>
        <w:spacing w:after="0"/>
        <w:tabs>
          <w:tab w:leader="none" w:pos="429" w:val="left"/>
        </w:tabs>
        <w:numPr>
          <w:ilvl w:val="0"/>
          <w:numId w:val="259"/>
        </w:numPr>
        <w:rPr>
          <w:rFonts w:ascii="Arial" w:cs="Arial" w:eastAsia="Arial" w:hAnsi="Arial"/>
          <w:sz w:val="17"/>
          <w:szCs w:val="17"/>
          <w:b w:val="1"/>
          <w:bCs w:val="1"/>
          <w:color w:val="auto"/>
        </w:rPr>
      </w:pPr>
      <w:r>
        <w:rPr>
          <w:rFonts w:ascii="Arial" w:cs="Arial" w:eastAsia="Arial" w:hAnsi="Arial"/>
          <w:sz w:val="17"/>
          <w:szCs w:val="17"/>
          <w:b w:val="1"/>
          <w:bCs w:val="1"/>
          <w:color w:val="auto"/>
        </w:rPr>
        <w:t>P</w:t>
      </w:r>
      <w:r>
        <w:rPr>
          <w:rFonts w:ascii="Arial" w:cs="Arial" w:eastAsia="Arial" w:hAnsi="Arial"/>
          <w:sz w:val="14"/>
          <w:szCs w:val="14"/>
          <w:b w:val="1"/>
          <w:bCs w:val="1"/>
          <w:color w:val="auto"/>
        </w:rPr>
        <w:t>ARTICIPATION</w:t>
      </w:r>
      <w:r>
        <w:rPr>
          <w:rFonts w:ascii="Arial" w:cs="Arial" w:eastAsia="Arial" w:hAnsi="Arial"/>
          <w:sz w:val="17"/>
          <w:szCs w:val="17"/>
          <w:b w:val="1"/>
          <w:bCs w:val="1"/>
          <w:color w:val="auto"/>
        </w:rPr>
        <w:t>; W</w:t>
      </w:r>
      <w:r>
        <w:rPr>
          <w:rFonts w:ascii="Arial" w:cs="Arial" w:eastAsia="Arial" w:hAnsi="Arial"/>
          <w:sz w:val="14"/>
          <w:szCs w:val="14"/>
          <w:b w:val="1"/>
          <w:bCs w:val="1"/>
          <w:color w:val="auto"/>
        </w:rPr>
        <w:t>ITHDRAWAL</w:t>
      </w:r>
      <w:r>
        <w:rPr>
          <w:rFonts w:ascii="Arial" w:cs="Arial" w:eastAsia="Arial" w:hAnsi="Arial"/>
          <w:sz w:val="17"/>
          <w:szCs w:val="17"/>
          <w:b w:val="1"/>
          <w:bCs w:val="1"/>
          <w:color w:val="auto"/>
        </w:rPr>
        <w:t>; T</w:t>
      </w:r>
      <w:r>
        <w:rPr>
          <w:rFonts w:ascii="Arial" w:cs="Arial" w:eastAsia="Arial" w:hAnsi="Arial"/>
          <w:sz w:val="14"/>
          <w:szCs w:val="14"/>
          <w:b w:val="1"/>
          <w:bCs w:val="1"/>
          <w:color w:val="auto"/>
        </w:rPr>
        <w:t>ERMINATION</w:t>
      </w:r>
      <w:r>
        <w:rPr>
          <w:rFonts w:ascii="Arial" w:cs="Arial" w:eastAsia="Arial" w:hAnsi="Arial"/>
          <w:sz w:val="17"/>
          <w:szCs w:val="17"/>
          <w:b w:val="1"/>
          <w:bCs w:val="1"/>
          <w:color w:val="auto"/>
        </w:rPr>
        <w:t>.</w:t>
      </w:r>
    </w:p>
    <w:p>
      <w:pPr>
        <w:spacing w:after="0" w:line="124" w:lineRule="exact"/>
        <w:rPr>
          <w:rFonts w:ascii="Arial" w:cs="Arial" w:eastAsia="Arial" w:hAnsi="Arial"/>
          <w:sz w:val="17"/>
          <w:szCs w:val="17"/>
          <w:b w:val="1"/>
          <w:bCs w:val="1"/>
          <w:color w:val="auto"/>
        </w:rPr>
      </w:pPr>
    </w:p>
    <w:p>
      <w:pPr>
        <w:ind w:left="9" w:firstLine="419"/>
        <w:spacing w:after="0" w:line="260" w:lineRule="auto"/>
        <w:tabs>
          <w:tab w:leader="none" w:pos="683" w:val="left"/>
        </w:tabs>
        <w:numPr>
          <w:ilvl w:val="1"/>
          <w:numId w:val="259"/>
        </w:numPr>
        <w:rPr>
          <w:rFonts w:ascii="Arial" w:cs="Arial" w:eastAsia="Arial" w:hAnsi="Arial"/>
          <w:sz w:val="17"/>
          <w:szCs w:val="17"/>
          <w:b w:val="1"/>
          <w:bCs w:val="1"/>
          <w:color w:val="auto"/>
        </w:rPr>
      </w:pPr>
      <w:r>
        <w:rPr>
          <w:rFonts w:ascii="Arial" w:cs="Arial" w:eastAsia="Arial" w:hAnsi="Arial"/>
          <w:sz w:val="17"/>
          <w:szCs w:val="17"/>
          <w:color w:val="auto"/>
        </w:rPr>
        <w:t>An Eligible Employee may elect to authorize payroll deductions as the means of making Contributions by completing and delivering to the Company or Company Designee, within the time specified in the Offering, an enrollment form provided by the Company or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laws or regulations require that Contributions be deposited with a Company Designee or otherwise segregated. If permitted in the Offering, a Participant may begin such Contributions with the first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his or her Contributions. If required under applicable laws or regulations or if specifically provided in the Offering, in addition to or instead of making Contributions by payroll deductions, a Participant may make Contributions through a payment by cash, check, or wire transfer prior to a Purchase Date, in a manner directed by the Company or a Company Designee.</w:t>
      </w:r>
    </w:p>
    <w:p>
      <w:pPr>
        <w:sectPr>
          <w:pgSz w:w="11900" w:h="16838" w:orient="portrait"/>
          <w:cols w:equalWidth="0" w:num="1">
            <w:col w:w="10649"/>
          </w:cols>
          <w:pgMar w:left="611" w:top="265" w:right="639" w:bottom="1440" w:gutter="0" w:footer="0" w:header="0"/>
        </w:sectPr>
      </w:pPr>
    </w:p>
    <w:bookmarkStart w:id="362" w:name="page363"/>
    <w:bookmarkEnd w:id="362"/>
    <w:p>
      <w:pPr>
        <w:ind w:left="9" w:firstLine="419"/>
        <w:spacing w:after="0" w:line="283" w:lineRule="auto"/>
        <w:tabs>
          <w:tab w:leader="none" w:pos="693" w:val="left"/>
        </w:tabs>
        <w:numPr>
          <w:ilvl w:val="1"/>
          <w:numId w:val="260"/>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During an Offering, a Participant may cease making Contributions and withdraw from the Offering by delivering to the Company or a Company Designee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spacing w:after="0" w:line="60" w:lineRule="exact"/>
        <w:rPr>
          <w:rFonts w:ascii="Arial" w:cs="Arial" w:eastAsia="Arial" w:hAnsi="Arial"/>
          <w:sz w:val="16"/>
          <w:szCs w:val="16"/>
          <w:b w:val="1"/>
          <w:bCs w:val="1"/>
          <w:color w:val="auto"/>
        </w:rPr>
      </w:pPr>
    </w:p>
    <w:p>
      <w:pPr>
        <w:ind w:left="9" w:right="20" w:firstLine="419"/>
        <w:spacing w:after="0" w:line="279" w:lineRule="auto"/>
        <w:tabs>
          <w:tab w:leader="none" w:pos="673" w:val="left"/>
        </w:tabs>
        <w:numPr>
          <w:ilvl w:val="1"/>
          <w:numId w:val="260"/>
        </w:numPr>
        <w:rPr>
          <w:rFonts w:ascii="Arial" w:cs="Arial" w:eastAsia="Arial" w:hAnsi="Arial"/>
          <w:sz w:val="16"/>
          <w:szCs w:val="16"/>
          <w:b w:val="1"/>
          <w:bCs w:val="1"/>
          <w:color w:val="auto"/>
        </w:rPr>
      </w:pPr>
      <w:r>
        <w:rPr>
          <w:rFonts w:ascii="Arial" w:cs="Arial" w:eastAsia="Arial" w:hAnsi="Arial"/>
          <w:sz w:val="16"/>
          <w:szCs w:val="16"/>
          <w:color w:val="auto"/>
        </w:rPr>
        <w:t>Unless otherwise required by applicable law, Purchase Rights granted pursuant to any Offering under the Plan will terminate immediately if the Participant either (i) is no longer an Employee for any reason or for no reason or (ii) is otherwise no longer eligible to participate. In this regard, unless otherwise determined by the Board, a Participant whose employment transfers or whose employment terminates with an immediate rehire (with no break in service) by or between the Company and a Designated Company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In the event that a Participant’s Purchase Right is terminated under the Plan, the Company will distribute as soon as practicable to such individual all of his or her accumulated but unused Contributions.</w:t>
      </w:r>
    </w:p>
    <w:p>
      <w:pPr>
        <w:spacing w:after="0" w:line="65" w:lineRule="exact"/>
        <w:rPr>
          <w:rFonts w:ascii="Arial" w:cs="Arial" w:eastAsia="Arial" w:hAnsi="Arial"/>
          <w:sz w:val="16"/>
          <w:szCs w:val="16"/>
          <w:b w:val="1"/>
          <w:bCs w:val="1"/>
          <w:color w:val="auto"/>
        </w:rPr>
      </w:pPr>
    </w:p>
    <w:p>
      <w:pPr>
        <w:jc w:val="both"/>
        <w:ind w:left="9" w:right="600" w:firstLine="419"/>
        <w:spacing w:after="0" w:line="273" w:lineRule="auto"/>
        <w:tabs>
          <w:tab w:leader="none" w:pos="693" w:val="left"/>
        </w:tabs>
        <w:numPr>
          <w:ilvl w:val="1"/>
          <w:numId w:val="260"/>
        </w:numPr>
        <w:rPr>
          <w:rFonts w:ascii="Arial" w:cs="Arial" w:eastAsia="Arial" w:hAnsi="Arial"/>
          <w:sz w:val="17"/>
          <w:szCs w:val="17"/>
          <w:b w:val="1"/>
          <w:bCs w:val="1"/>
          <w:color w:val="auto"/>
        </w:rPr>
      </w:pPr>
      <w:r>
        <w:rPr>
          <w:rFonts w:ascii="Arial" w:cs="Arial" w:eastAsia="Arial" w:hAnsi="Arial"/>
          <w:sz w:val="17"/>
          <w:szCs w:val="17"/>
          <w:color w:val="auto"/>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spacing w:after="0" w:line="66" w:lineRule="exact"/>
        <w:rPr>
          <w:rFonts w:ascii="Arial" w:cs="Arial" w:eastAsia="Arial" w:hAnsi="Arial"/>
          <w:sz w:val="17"/>
          <w:szCs w:val="17"/>
          <w:b w:val="1"/>
          <w:bCs w:val="1"/>
          <w:color w:val="auto"/>
        </w:rPr>
      </w:pPr>
    </w:p>
    <w:p>
      <w:pPr>
        <w:ind w:left="669" w:hanging="241"/>
        <w:spacing w:after="0"/>
        <w:tabs>
          <w:tab w:leader="none" w:pos="669" w:val="left"/>
        </w:tabs>
        <w:numPr>
          <w:ilvl w:val="1"/>
          <w:numId w:val="260"/>
        </w:numPr>
        <w:rPr>
          <w:rFonts w:ascii="Arial" w:cs="Arial" w:eastAsia="Arial" w:hAnsi="Arial"/>
          <w:sz w:val="16"/>
          <w:szCs w:val="16"/>
          <w:b w:val="1"/>
          <w:bCs w:val="1"/>
          <w:color w:val="auto"/>
        </w:rPr>
      </w:pPr>
      <w:r>
        <w:rPr>
          <w:rFonts w:ascii="Arial" w:cs="Arial" w:eastAsia="Arial" w:hAnsi="Arial"/>
          <w:sz w:val="16"/>
          <w:szCs w:val="16"/>
          <w:color w:val="auto"/>
        </w:rPr>
        <w:t>Unless otherwise specified in the Offering or required by applicable law, the Company will have no obligation to pay interest on Contributions.</w:t>
      </w:r>
    </w:p>
    <w:p>
      <w:pPr>
        <w:spacing w:after="0" w:line="373" w:lineRule="exact"/>
        <w:rPr>
          <w:rFonts w:ascii="Arial" w:cs="Arial" w:eastAsia="Arial" w:hAnsi="Arial"/>
          <w:sz w:val="16"/>
          <w:szCs w:val="16"/>
          <w:b w:val="1"/>
          <w:bCs w:val="1"/>
          <w:color w:val="auto"/>
        </w:rPr>
      </w:pPr>
    </w:p>
    <w:p>
      <w:pPr>
        <w:ind w:left="429" w:hanging="429"/>
        <w:spacing w:after="0"/>
        <w:tabs>
          <w:tab w:leader="none" w:pos="429" w:val="left"/>
        </w:tabs>
        <w:numPr>
          <w:ilvl w:val="0"/>
          <w:numId w:val="261"/>
        </w:numPr>
        <w:rPr>
          <w:rFonts w:ascii="Arial" w:cs="Arial" w:eastAsia="Arial" w:hAnsi="Arial"/>
          <w:sz w:val="17"/>
          <w:szCs w:val="17"/>
          <w:b w:val="1"/>
          <w:bCs w:val="1"/>
          <w:color w:val="auto"/>
        </w:rPr>
      </w:pPr>
      <w:r>
        <w:rPr>
          <w:rFonts w:ascii="Arial" w:cs="Arial" w:eastAsia="Arial" w:hAnsi="Arial"/>
          <w:sz w:val="17"/>
          <w:szCs w:val="17"/>
          <w:b w:val="1"/>
          <w:bCs w:val="1"/>
          <w:color w:val="auto"/>
        </w:rPr>
        <w:t>E</w:t>
      </w:r>
      <w:r>
        <w:rPr>
          <w:rFonts w:ascii="Arial" w:cs="Arial" w:eastAsia="Arial" w:hAnsi="Arial"/>
          <w:sz w:val="14"/>
          <w:szCs w:val="14"/>
          <w:b w:val="1"/>
          <w:bCs w:val="1"/>
          <w:color w:val="auto"/>
        </w:rPr>
        <w:t>XERCISE</w:t>
      </w:r>
      <w:r>
        <w:rPr>
          <w:rFonts w:ascii="Arial" w:cs="Arial" w:eastAsia="Arial" w:hAnsi="Arial"/>
          <w:sz w:val="17"/>
          <w:szCs w:val="17"/>
          <w:b w:val="1"/>
          <w:bCs w:val="1"/>
          <w:color w:val="auto"/>
        </w:rPr>
        <w:t xml:space="preserve"> OF P</w:t>
      </w:r>
      <w:r>
        <w:rPr>
          <w:rFonts w:ascii="Arial" w:cs="Arial" w:eastAsia="Arial" w:hAnsi="Arial"/>
          <w:sz w:val="14"/>
          <w:szCs w:val="14"/>
          <w:b w:val="1"/>
          <w:bCs w:val="1"/>
          <w:color w:val="auto"/>
        </w:rPr>
        <w:t>URCHASE</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7"/>
          <w:szCs w:val="17"/>
          <w:b w:val="1"/>
          <w:bCs w:val="1"/>
          <w:color w:val="auto"/>
        </w:rPr>
        <w:t>.</w:t>
      </w:r>
    </w:p>
    <w:p>
      <w:pPr>
        <w:spacing w:after="0" w:line="124" w:lineRule="exact"/>
        <w:rPr>
          <w:rFonts w:ascii="Arial" w:cs="Arial" w:eastAsia="Arial" w:hAnsi="Arial"/>
          <w:sz w:val="17"/>
          <w:szCs w:val="17"/>
          <w:b w:val="1"/>
          <w:bCs w:val="1"/>
          <w:color w:val="auto"/>
        </w:rPr>
      </w:pPr>
    </w:p>
    <w:p>
      <w:pPr>
        <w:ind w:left="9" w:right="280" w:firstLine="419"/>
        <w:spacing w:after="0" w:line="297" w:lineRule="auto"/>
        <w:tabs>
          <w:tab w:leader="none" w:pos="683" w:val="left"/>
        </w:tabs>
        <w:numPr>
          <w:ilvl w:val="1"/>
          <w:numId w:val="261"/>
        </w:numPr>
        <w:rPr>
          <w:rFonts w:ascii="Arial" w:cs="Arial" w:eastAsia="Arial" w:hAnsi="Arial"/>
          <w:sz w:val="16"/>
          <w:szCs w:val="16"/>
          <w:b w:val="1"/>
          <w:bCs w:val="1"/>
          <w:color w:val="auto"/>
        </w:rPr>
      </w:pPr>
      <w:r>
        <w:rPr>
          <w:rFonts w:ascii="Arial" w:cs="Arial" w:eastAsia="Arial" w:hAnsi="Arial"/>
          <w:sz w:val="16"/>
          <w:szCs w:val="16"/>
          <w:color w:val="auto"/>
        </w:rPr>
        <w:t>On each Purchase Date, each Participant’s accumulated Contributions will be applied to the purchase of shares of Common Stock (rounded down to the nearest whole share), up to the maximum number of shares of Common Stock permitted by the Plan and the applicable Offering, at the purchase price specified in the Offering. No fractional shares will be issued unless specifically provided for in the Offering.</w:t>
      </w:r>
    </w:p>
    <w:p>
      <w:pPr>
        <w:spacing w:after="0" w:line="50" w:lineRule="exact"/>
        <w:rPr>
          <w:rFonts w:ascii="Arial" w:cs="Arial" w:eastAsia="Arial" w:hAnsi="Arial"/>
          <w:sz w:val="16"/>
          <w:szCs w:val="16"/>
          <w:b w:val="1"/>
          <w:bCs w:val="1"/>
          <w:color w:val="auto"/>
        </w:rPr>
      </w:pPr>
    </w:p>
    <w:p>
      <w:pPr>
        <w:ind w:left="9" w:firstLine="419"/>
        <w:spacing w:after="0" w:line="273" w:lineRule="auto"/>
        <w:tabs>
          <w:tab w:leader="none" w:pos="693" w:val="left"/>
        </w:tabs>
        <w:numPr>
          <w:ilvl w:val="1"/>
          <w:numId w:val="261"/>
        </w:numPr>
        <w:rPr>
          <w:rFonts w:ascii="Arial" w:cs="Arial" w:eastAsia="Arial" w:hAnsi="Arial"/>
          <w:sz w:val="17"/>
          <w:szCs w:val="17"/>
          <w:b w:val="1"/>
          <w:bCs w:val="1"/>
          <w:color w:val="auto"/>
        </w:rPr>
      </w:pPr>
      <w:r>
        <w:rPr>
          <w:rFonts w:ascii="Arial" w:cs="Arial" w:eastAsia="Arial" w:hAnsi="Arial"/>
          <w:sz w:val="17"/>
          <w:szCs w:val="17"/>
          <w:color w:val="auto"/>
        </w:rPr>
        <w:t>Unless otherwise provided in the Offering, if any amount of accumulated Contributions remains in a Participant’s account after the purchase of shares of Common Stock on a Purchase Date in an Offering, then such remaining amount will be distributed to such Participant as soon as practicable after the applicable Purchase Date, without interest, unless the payment of interest is required by applicable laws.</w:t>
      </w:r>
    </w:p>
    <w:p>
      <w:pPr>
        <w:spacing w:after="0" w:line="66" w:lineRule="exact"/>
        <w:rPr>
          <w:rFonts w:ascii="Arial" w:cs="Arial" w:eastAsia="Arial" w:hAnsi="Arial"/>
          <w:sz w:val="17"/>
          <w:szCs w:val="17"/>
          <w:b w:val="1"/>
          <w:bCs w:val="1"/>
          <w:color w:val="auto"/>
        </w:rPr>
      </w:pPr>
    </w:p>
    <w:p>
      <w:pPr>
        <w:ind w:left="9" w:right="80" w:firstLine="419"/>
        <w:spacing w:after="0" w:line="267" w:lineRule="auto"/>
        <w:tabs>
          <w:tab w:leader="none" w:pos="673" w:val="left"/>
        </w:tabs>
        <w:numPr>
          <w:ilvl w:val="1"/>
          <w:numId w:val="261"/>
        </w:numPr>
        <w:rPr>
          <w:rFonts w:ascii="Arial" w:cs="Arial" w:eastAsia="Arial" w:hAnsi="Arial"/>
          <w:sz w:val="17"/>
          <w:szCs w:val="17"/>
          <w:b w:val="1"/>
          <w:bCs w:val="1"/>
          <w:color w:val="auto"/>
        </w:rPr>
      </w:pPr>
      <w:r>
        <w:rPr>
          <w:rFonts w:ascii="Arial" w:cs="Arial" w:eastAsia="Arial" w:hAnsi="Arial"/>
          <w:sz w:val="17"/>
          <w:szCs w:val="17"/>
          <w:color w:val="auto"/>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U.S. federal and state, foreign and other securities, exchange control and other laws applicable to the Plan. If on a Purchase Date the shares of Common Stock are not so registered or the Plan is not in such compliance, no Purchase</w:t>
      </w:r>
    </w:p>
    <w:p>
      <w:pPr>
        <w:sectPr>
          <w:pgSz w:w="11900" w:h="16838" w:orient="portrait"/>
          <w:cols w:equalWidth="0" w:num="1">
            <w:col w:w="10669"/>
          </w:cols>
          <w:pgMar w:left="611" w:top="271" w:right="619" w:bottom="1440" w:gutter="0" w:footer="0" w:header="0"/>
        </w:sectPr>
      </w:pPr>
    </w:p>
    <w:bookmarkStart w:id="363" w:name="page364"/>
    <w:bookmarkEnd w:id="363"/>
    <w:p>
      <w:pPr>
        <w:ind w:left="9"/>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Rights will be exercised on such Purchase Date, and the Purchase Date will be delayed until the shares of Common Stock are subject to such an effective registration statement and the Plan is in material compliance, except that the Purchase Date will in no event be more than 6 months from the Offering Date. If, on the Purchase Date, as delayed to the maximum extent permissible, the shares of Common Stock are not registered and the Plan is not in material compliance with all applicable laws or regulations, as determined by the Company in its sole discretion, no Purchase Rights will be exercised and all accumulated but unused Contributions will be distributed as soon as practicable to the Participants without interest, unless the payment of interest is required by applicable laws.</w:t>
      </w:r>
    </w:p>
    <w:p>
      <w:pPr>
        <w:spacing w:after="0" w:line="319" w:lineRule="exact"/>
        <w:rPr>
          <w:sz w:val="20"/>
          <w:szCs w:val="20"/>
          <w:color w:val="auto"/>
        </w:rPr>
      </w:pPr>
    </w:p>
    <w:p>
      <w:pPr>
        <w:ind w:left="429" w:hanging="429"/>
        <w:spacing w:after="0"/>
        <w:tabs>
          <w:tab w:leader="none" w:pos="429" w:val="left"/>
        </w:tabs>
        <w:numPr>
          <w:ilvl w:val="0"/>
          <w:numId w:val="262"/>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4"/>
          <w:szCs w:val="14"/>
          <w:b w:val="1"/>
          <w:bCs w:val="1"/>
          <w:color w:val="auto"/>
        </w:rPr>
        <w:t>OVENANTS OF THE</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7"/>
          <w:szCs w:val="17"/>
          <w:b w:val="1"/>
          <w:bCs w:val="1"/>
          <w:color w:val="auto"/>
        </w:rPr>
        <w:t>.</w:t>
      </w:r>
    </w:p>
    <w:p>
      <w:pPr>
        <w:spacing w:after="0" w:line="125" w:lineRule="exact"/>
        <w:rPr>
          <w:sz w:val="20"/>
          <w:szCs w:val="20"/>
          <w:color w:val="auto"/>
        </w:rPr>
      </w:pPr>
    </w:p>
    <w:p>
      <w:pPr>
        <w:ind w:left="9" w:right="40" w:firstLine="427"/>
        <w:spacing w:after="0" w:line="283" w:lineRule="auto"/>
        <w:rPr>
          <w:sz w:val="20"/>
          <w:szCs w:val="20"/>
          <w:color w:val="auto"/>
        </w:rPr>
      </w:pPr>
      <w:r>
        <w:rPr>
          <w:rFonts w:ascii="Arial" w:cs="Arial" w:eastAsia="Arial" w:hAnsi="Arial"/>
          <w:sz w:val="16"/>
          <w:szCs w:val="16"/>
          <w:color w:val="auto"/>
        </w:rPr>
        <w:t>The Company will seek to obtain from each U.S. federal or state, foreign or other regulatory commission or agency having jurisdiction over the Plan such authority as may be required to grant Purchase Rights and issue and sell shares of Common Stock thereunder unless the Company determines, in its sole discretion, that doing so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303" w:lineRule="exact"/>
        <w:rPr>
          <w:sz w:val="20"/>
          <w:szCs w:val="20"/>
          <w:color w:val="auto"/>
        </w:rPr>
      </w:pPr>
    </w:p>
    <w:p>
      <w:pPr>
        <w:ind w:left="429" w:hanging="429"/>
        <w:spacing w:after="0"/>
        <w:tabs>
          <w:tab w:leader="none" w:pos="429" w:val="left"/>
        </w:tabs>
        <w:numPr>
          <w:ilvl w:val="0"/>
          <w:numId w:val="263"/>
        </w:numPr>
        <w:rPr>
          <w:rFonts w:ascii="Arial" w:cs="Arial" w:eastAsia="Arial" w:hAnsi="Arial"/>
          <w:sz w:val="17"/>
          <w:szCs w:val="17"/>
          <w:b w:val="1"/>
          <w:bCs w:val="1"/>
          <w:color w:val="auto"/>
        </w:rPr>
      </w:pPr>
      <w:r>
        <w:rPr>
          <w:rFonts w:ascii="Arial" w:cs="Arial" w:eastAsia="Arial" w:hAnsi="Arial"/>
          <w:sz w:val="17"/>
          <w:szCs w:val="17"/>
          <w:b w:val="1"/>
          <w:bCs w:val="1"/>
          <w:color w:val="auto"/>
        </w:rPr>
        <w:t>D</w:t>
      </w:r>
      <w:r>
        <w:rPr>
          <w:rFonts w:ascii="Arial" w:cs="Arial" w:eastAsia="Arial" w:hAnsi="Arial"/>
          <w:sz w:val="14"/>
          <w:szCs w:val="14"/>
          <w:b w:val="1"/>
          <w:bCs w:val="1"/>
          <w:color w:val="auto"/>
        </w:rPr>
        <w:t>ESIGNATION OF</w:t>
      </w:r>
      <w:r>
        <w:rPr>
          <w:rFonts w:ascii="Arial" w:cs="Arial" w:eastAsia="Arial" w:hAnsi="Arial"/>
          <w:sz w:val="17"/>
          <w:szCs w:val="17"/>
          <w:b w:val="1"/>
          <w:bCs w:val="1"/>
          <w:color w:val="auto"/>
        </w:rPr>
        <w:t xml:space="preserve"> B</w:t>
      </w:r>
      <w:r>
        <w:rPr>
          <w:rFonts w:ascii="Arial" w:cs="Arial" w:eastAsia="Arial" w:hAnsi="Arial"/>
          <w:sz w:val="14"/>
          <w:szCs w:val="14"/>
          <w:b w:val="1"/>
          <w:bCs w:val="1"/>
          <w:color w:val="auto"/>
        </w:rPr>
        <w:t>ENEFICIARY</w:t>
      </w:r>
      <w:r>
        <w:rPr>
          <w:rFonts w:ascii="Arial" w:cs="Arial" w:eastAsia="Arial" w:hAnsi="Arial"/>
          <w:sz w:val="17"/>
          <w:szCs w:val="17"/>
          <w:b w:val="1"/>
          <w:bCs w:val="1"/>
          <w:color w:val="auto"/>
        </w:rPr>
        <w:t>.</w:t>
      </w:r>
    </w:p>
    <w:p>
      <w:pPr>
        <w:spacing w:after="0" w:line="124" w:lineRule="exact"/>
        <w:rPr>
          <w:rFonts w:ascii="Arial" w:cs="Arial" w:eastAsia="Arial" w:hAnsi="Arial"/>
          <w:sz w:val="17"/>
          <w:szCs w:val="17"/>
          <w:b w:val="1"/>
          <w:bCs w:val="1"/>
          <w:color w:val="auto"/>
        </w:rPr>
      </w:pPr>
    </w:p>
    <w:p>
      <w:pPr>
        <w:ind w:left="9" w:right="300" w:firstLine="419"/>
        <w:spacing w:after="0" w:line="289" w:lineRule="auto"/>
        <w:tabs>
          <w:tab w:leader="none" w:pos="683" w:val="left"/>
        </w:tabs>
        <w:numPr>
          <w:ilvl w:val="1"/>
          <w:numId w:val="263"/>
        </w:numPr>
        <w:rPr>
          <w:rFonts w:ascii="Arial" w:cs="Arial" w:eastAsia="Arial" w:hAnsi="Arial"/>
          <w:sz w:val="16"/>
          <w:szCs w:val="16"/>
          <w:b w:val="1"/>
          <w:bCs w:val="1"/>
          <w:color w:val="auto"/>
        </w:rPr>
      </w:pPr>
      <w:r>
        <w:rPr>
          <w:rFonts w:ascii="Arial" w:cs="Arial" w:eastAsia="Arial" w:hAnsi="Arial"/>
          <w:sz w:val="16"/>
          <w:szCs w:val="16"/>
          <w:color w:val="auto"/>
        </w:rPr>
        <w:t>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 or as approved by the Company for use by a Company Designee.</w:t>
      </w:r>
    </w:p>
    <w:p>
      <w:pPr>
        <w:spacing w:after="0" w:line="56" w:lineRule="exact"/>
        <w:rPr>
          <w:rFonts w:ascii="Arial" w:cs="Arial" w:eastAsia="Arial" w:hAnsi="Arial"/>
          <w:sz w:val="16"/>
          <w:szCs w:val="16"/>
          <w:b w:val="1"/>
          <w:bCs w:val="1"/>
          <w:color w:val="auto"/>
        </w:rPr>
      </w:pPr>
    </w:p>
    <w:p>
      <w:pPr>
        <w:ind w:left="9" w:right="20" w:firstLine="419"/>
        <w:spacing w:after="0" w:line="265" w:lineRule="auto"/>
        <w:tabs>
          <w:tab w:leader="none" w:pos="693" w:val="left"/>
        </w:tabs>
        <w:numPr>
          <w:ilvl w:val="1"/>
          <w:numId w:val="263"/>
        </w:numPr>
        <w:rPr>
          <w:rFonts w:ascii="Arial" w:cs="Arial" w:eastAsia="Arial" w:hAnsi="Arial"/>
          <w:sz w:val="17"/>
          <w:szCs w:val="17"/>
          <w:b w:val="1"/>
          <w:bCs w:val="1"/>
          <w:color w:val="auto"/>
        </w:rPr>
      </w:pPr>
      <w:r>
        <w:rPr>
          <w:rFonts w:ascii="Arial" w:cs="Arial" w:eastAsia="Arial" w:hAnsi="Arial"/>
          <w:sz w:val="17"/>
          <w:szCs w:val="17"/>
          <w:color w:val="auto"/>
        </w:rPr>
        <w:t>If a Participant dies,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required by applicable laws, to the Participant’s spouse, dependents or relatives, or if no spouse, dependent or relative is known to the Company, then to such other person as the Company may designate.</w:t>
      </w:r>
    </w:p>
    <w:p>
      <w:pPr>
        <w:spacing w:after="0" w:line="315" w:lineRule="exact"/>
        <w:rPr>
          <w:rFonts w:ascii="Arial" w:cs="Arial" w:eastAsia="Arial" w:hAnsi="Arial"/>
          <w:sz w:val="17"/>
          <w:szCs w:val="17"/>
          <w:b w:val="1"/>
          <w:bCs w:val="1"/>
          <w:color w:val="auto"/>
        </w:rPr>
      </w:pPr>
    </w:p>
    <w:p>
      <w:pPr>
        <w:ind w:left="429" w:hanging="429"/>
        <w:spacing w:after="0"/>
        <w:tabs>
          <w:tab w:leader="none" w:pos="429" w:val="left"/>
        </w:tabs>
        <w:numPr>
          <w:ilvl w:val="0"/>
          <w:numId w:val="263"/>
        </w:numPr>
        <w:rPr>
          <w:rFonts w:ascii="Arial" w:cs="Arial" w:eastAsia="Arial" w:hAnsi="Arial"/>
          <w:sz w:val="17"/>
          <w:szCs w:val="17"/>
          <w:b w:val="1"/>
          <w:bCs w:val="1"/>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DJUSTMENTS UPON</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C</w:t>
      </w:r>
      <w:r>
        <w:rPr>
          <w:rFonts w:ascii="Arial" w:cs="Arial" w:eastAsia="Arial" w:hAnsi="Arial"/>
          <w:sz w:val="14"/>
          <w:szCs w:val="14"/>
          <w:b w:val="1"/>
          <w:bCs w:val="1"/>
          <w:color w:val="auto"/>
        </w:rPr>
        <w:t>ORPORATE</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RANSACTIONS</w:t>
      </w:r>
      <w:r>
        <w:rPr>
          <w:rFonts w:ascii="Arial" w:cs="Arial" w:eastAsia="Arial" w:hAnsi="Arial"/>
          <w:sz w:val="17"/>
          <w:szCs w:val="17"/>
          <w:b w:val="1"/>
          <w:bCs w:val="1"/>
          <w:color w:val="auto"/>
        </w:rPr>
        <w:t>.</w:t>
      </w:r>
    </w:p>
    <w:p>
      <w:pPr>
        <w:spacing w:after="0" w:line="124" w:lineRule="exact"/>
        <w:rPr>
          <w:rFonts w:ascii="Arial" w:cs="Arial" w:eastAsia="Arial" w:hAnsi="Arial"/>
          <w:sz w:val="17"/>
          <w:szCs w:val="17"/>
          <w:b w:val="1"/>
          <w:bCs w:val="1"/>
          <w:color w:val="auto"/>
        </w:rPr>
      </w:pPr>
    </w:p>
    <w:p>
      <w:pPr>
        <w:ind w:left="9" w:right="100" w:firstLine="419"/>
        <w:spacing w:after="0" w:line="285" w:lineRule="auto"/>
        <w:tabs>
          <w:tab w:leader="none" w:pos="683" w:val="left"/>
        </w:tabs>
        <w:numPr>
          <w:ilvl w:val="1"/>
          <w:numId w:val="263"/>
        </w:numPr>
        <w:rPr>
          <w:rFonts w:ascii="Arial" w:cs="Arial" w:eastAsia="Arial" w:hAnsi="Arial"/>
          <w:sz w:val="16"/>
          <w:szCs w:val="16"/>
          <w:b w:val="1"/>
          <w:bCs w:val="1"/>
          <w:color w:val="auto"/>
        </w:rPr>
      </w:pPr>
      <w:r>
        <w:rPr>
          <w:rFonts w:ascii="Arial" w:cs="Arial" w:eastAsia="Arial" w:hAnsi="Arial"/>
          <w:sz w:val="16"/>
          <w:szCs w:val="16"/>
          <w:color w:val="auto"/>
        </w:rPr>
        <w:t>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w:t>
      </w:r>
    </w:p>
    <w:p>
      <w:pPr>
        <w:sectPr>
          <w:pgSz w:w="11900" w:h="16838" w:orient="portrait"/>
          <w:cols w:equalWidth="0" w:num="1">
            <w:col w:w="10689"/>
          </w:cols>
          <w:pgMar w:left="611" w:top="271" w:right="599" w:bottom="1440" w:gutter="0" w:footer="0" w:header="0"/>
        </w:sectPr>
      </w:pPr>
    </w:p>
    <w:bookmarkStart w:id="364" w:name="page365"/>
    <w:bookmarkEnd w:id="364"/>
    <w:p>
      <w:pPr>
        <w:ind w:left="9" w:right="160" w:firstLine="419"/>
        <w:spacing w:after="0" w:line="262" w:lineRule="auto"/>
        <w:tabs>
          <w:tab w:leader="none" w:pos="693" w:val="left"/>
        </w:tabs>
        <w:numPr>
          <w:ilvl w:val="1"/>
          <w:numId w:val="264"/>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(rounded down to the nearest whole share) within ten business days prior to the Corporate Transaction under the outstanding Purchase Rights, and the Purchase Rights will terminate immediately after such purchase.</w:t>
      </w:r>
    </w:p>
    <w:p>
      <w:pPr>
        <w:spacing w:after="0" w:line="77" w:lineRule="exact"/>
        <w:rPr>
          <w:rFonts w:ascii="Arial" w:cs="Arial" w:eastAsia="Arial" w:hAnsi="Arial"/>
          <w:sz w:val="17"/>
          <w:szCs w:val="17"/>
          <w:b w:val="1"/>
          <w:bCs w:val="1"/>
          <w:color w:val="auto"/>
        </w:rPr>
      </w:pPr>
    </w:p>
    <w:p>
      <w:pPr>
        <w:ind w:left="669" w:hanging="241"/>
        <w:spacing w:after="0"/>
        <w:tabs>
          <w:tab w:leader="none" w:pos="669" w:val="left"/>
        </w:tabs>
        <w:numPr>
          <w:ilvl w:val="1"/>
          <w:numId w:val="264"/>
        </w:numPr>
        <w:rPr>
          <w:rFonts w:ascii="Arial" w:cs="Arial" w:eastAsia="Arial" w:hAnsi="Arial"/>
          <w:sz w:val="17"/>
          <w:szCs w:val="17"/>
          <w:b w:val="1"/>
          <w:bCs w:val="1"/>
          <w:color w:val="auto"/>
        </w:rPr>
      </w:pPr>
      <w:r>
        <w:rPr>
          <w:rFonts w:ascii="Arial" w:cs="Arial" w:eastAsia="Arial" w:hAnsi="Arial"/>
          <w:sz w:val="17"/>
          <w:szCs w:val="17"/>
          <w:color w:val="auto"/>
        </w:rPr>
        <w:t>In the event of a spin-off or similar transaction, the Board may take actions including shortening an Offering.</w:t>
      </w:r>
    </w:p>
    <w:p>
      <w:pPr>
        <w:spacing w:after="0" w:line="361" w:lineRule="exact"/>
        <w:rPr>
          <w:rFonts w:ascii="Arial" w:cs="Arial" w:eastAsia="Arial" w:hAnsi="Arial"/>
          <w:sz w:val="17"/>
          <w:szCs w:val="17"/>
          <w:b w:val="1"/>
          <w:bCs w:val="1"/>
          <w:color w:val="auto"/>
        </w:rPr>
      </w:pPr>
    </w:p>
    <w:p>
      <w:pPr>
        <w:ind w:left="429" w:hanging="429"/>
        <w:spacing w:after="0"/>
        <w:tabs>
          <w:tab w:leader="none" w:pos="429" w:val="left"/>
        </w:tabs>
        <w:numPr>
          <w:ilvl w:val="0"/>
          <w:numId w:val="265"/>
        </w:numPr>
        <w:rPr>
          <w:rFonts w:ascii="Arial" w:cs="Arial" w:eastAsia="Arial" w:hAnsi="Arial"/>
          <w:sz w:val="17"/>
          <w:szCs w:val="17"/>
          <w:b w:val="1"/>
          <w:bCs w:val="1"/>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MENDMENT</w:t>
      </w:r>
      <w:r>
        <w:rPr>
          <w:rFonts w:ascii="Arial" w:cs="Arial" w:eastAsia="Arial" w:hAnsi="Arial"/>
          <w:sz w:val="17"/>
          <w:szCs w:val="17"/>
          <w:b w:val="1"/>
          <w:bCs w:val="1"/>
          <w:color w:val="auto"/>
        </w:rPr>
        <w:t>, T</w:t>
      </w:r>
      <w:r>
        <w:rPr>
          <w:rFonts w:ascii="Arial" w:cs="Arial" w:eastAsia="Arial" w:hAnsi="Arial"/>
          <w:sz w:val="14"/>
          <w:szCs w:val="14"/>
          <w:b w:val="1"/>
          <w:bCs w:val="1"/>
          <w:color w:val="auto"/>
        </w:rPr>
        <w:t>ERMINATION OR</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USPENSION OF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p>
    <w:p>
      <w:pPr>
        <w:spacing w:after="0" w:line="124" w:lineRule="exact"/>
        <w:rPr>
          <w:rFonts w:ascii="Arial" w:cs="Arial" w:eastAsia="Arial" w:hAnsi="Arial"/>
          <w:sz w:val="17"/>
          <w:szCs w:val="17"/>
          <w:b w:val="1"/>
          <w:bCs w:val="1"/>
          <w:color w:val="auto"/>
        </w:rPr>
      </w:pPr>
    </w:p>
    <w:p>
      <w:pPr>
        <w:ind w:left="669" w:hanging="241"/>
        <w:spacing w:after="0"/>
        <w:tabs>
          <w:tab w:leader="none" w:pos="669" w:val="left"/>
        </w:tabs>
        <w:numPr>
          <w:ilvl w:val="1"/>
          <w:numId w:val="265"/>
        </w:numPr>
        <w:rPr>
          <w:rFonts w:ascii="Arial" w:cs="Arial" w:eastAsia="Arial" w:hAnsi="Arial"/>
          <w:sz w:val="16"/>
          <w:szCs w:val="16"/>
          <w:b w:val="1"/>
          <w:bCs w:val="1"/>
          <w:color w:val="auto"/>
        </w:rPr>
      </w:pPr>
      <w:r>
        <w:rPr>
          <w:rFonts w:ascii="Arial" w:cs="Arial" w:eastAsia="Arial" w:hAnsi="Arial"/>
          <w:sz w:val="16"/>
          <w:szCs w:val="16"/>
          <w:color w:val="auto"/>
        </w:rPr>
        <w:t>The Board may amend the Plan at any time in any respect the Board deems necessary or advisable. However, except as provided in</w:t>
      </w:r>
    </w:p>
    <w:p>
      <w:pPr>
        <w:spacing w:after="0" w:line="38" w:lineRule="exact"/>
        <w:rPr>
          <w:sz w:val="20"/>
          <w:szCs w:val="20"/>
          <w:color w:val="auto"/>
        </w:rPr>
      </w:pPr>
    </w:p>
    <w:p>
      <w:pPr>
        <w:ind w:left="9" w:right="20"/>
        <w:spacing w:after="0" w:line="260" w:lineRule="auto"/>
        <w:rPr>
          <w:sz w:val="20"/>
          <w:szCs w:val="20"/>
          <w:color w:val="auto"/>
        </w:rPr>
      </w:pPr>
      <w:r>
        <w:rPr>
          <w:rFonts w:ascii="Arial" w:cs="Arial" w:eastAsia="Arial" w:hAnsi="Arial"/>
          <w:sz w:val="17"/>
          <w:szCs w:val="17"/>
          <w:color w:val="auto"/>
        </w:rPr>
        <w:t>Section 11(a) relating to Capitalization Adjustments, stockholder approval will be required for any amendment of the Plan for which stockholder approval is required by applicable laws, regulations or listing requirements, including any amendment that either (i) materially increases the number of shares of Common Stock available for issuance under the Plan, (ii) materially expands the class of individuals eligible to become Participants and receive Purchase Rights, (iii) materially increases the benefits accruing to Participants under the Plan or materially reduces the price at which shares of Common Stock may be purchased under the Plan, (iv) materially extends the term of the Plan, or (v) expands the types of awards available for issuance under the Plan, but in each of (i) through (v) above only to the extent stockholder approval is required by applicable laws, regulations, or listing requirements.</w:t>
      </w:r>
    </w:p>
    <w:p>
      <w:pPr>
        <w:spacing w:after="0" w:line="77" w:lineRule="exact"/>
        <w:rPr>
          <w:sz w:val="20"/>
          <w:szCs w:val="20"/>
          <w:color w:val="auto"/>
        </w:rPr>
      </w:pPr>
    </w:p>
    <w:p>
      <w:pPr>
        <w:ind w:left="9" w:right="100" w:firstLine="419"/>
        <w:spacing w:after="0" w:line="289" w:lineRule="auto"/>
        <w:tabs>
          <w:tab w:leader="none" w:pos="693" w:val="left"/>
        </w:tabs>
        <w:numPr>
          <w:ilvl w:val="1"/>
          <w:numId w:val="266"/>
        </w:numPr>
        <w:rPr>
          <w:rFonts w:ascii="Arial" w:cs="Arial" w:eastAsia="Arial" w:hAnsi="Arial"/>
          <w:sz w:val="17"/>
          <w:szCs w:val="17"/>
          <w:b w:val="1"/>
          <w:bCs w:val="1"/>
          <w:color w:val="auto"/>
        </w:rPr>
      </w:pPr>
      <w:r>
        <w:rPr>
          <w:rFonts w:ascii="Arial" w:cs="Arial" w:eastAsia="Arial" w:hAnsi="Arial"/>
          <w:sz w:val="17"/>
          <w:szCs w:val="17"/>
          <w:color w:val="auto"/>
        </w:rPr>
        <w:t>The Board may suspend or terminate the Plan at any time. No Purchase Rights may be granted under the Plan while the Plan is suspended or after it is terminated.</w:t>
      </w:r>
    </w:p>
    <w:p>
      <w:pPr>
        <w:spacing w:after="0" w:line="53" w:lineRule="exact"/>
        <w:rPr>
          <w:rFonts w:ascii="Arial" w:cs="Arial" w:eastAsia="Arial" w:hAnsi="Arial"/>
          <w:sz w:val="17"/>
          <w:szCs w:val="17"/>
          <w:b w:val="1"/>
          <w:bCs w:val="1"/>
          <w:color w:val="auto"/>
        </w:rPr>
      </w:pPr>
    </w:p>
    <w:p>
      <w:pPr>
        <w:ind w:left="9" w:firstLine="419"/>
        <w:spacing w:after="0" w:line="294" w:lineRule="auto"/>
        <w:tabs>
          <w:tab w:leader="none" w:pos="673" w:val="left"/>
        </w:tabs>
        <w:numPr>
          <w:ilvl w:val="1"/>
          <w:numId w:val="266"/>
        </w:numPr>
        <w:rPr>
          <w:rFonts w:ascii="Arial" w:cs="Arial" w:eastAsia="Arial" w:hAnsi="Arial"/>
          <w:sz w:val="15"/>
          <w:szCs w:val="15"/>
          <w:b w:val="1"/>
          <w:bCs w:val="1"/>
          <w:color w:val="auto"/>
        </w:rPr>
      </w:pPr>
      <w:r>
        <w:rPr>
          <w:rFonts w:ascii="Arial" w:cs="Arial" w:eastAsia="Arial" w:hAnsi="Arial"/>
          <w:sz w:val="15"/>
          <w:szCs w:val="15"/>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comply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Effective Date, or</w:t>
      </w:r>
    </w:p>
    <w:p>
      <w:pPr>
        <w:spacing w:after="0" w:line="3" w:lineRule="exact"/>
        <w:rPr>
          <w:rFonts w:ascii="Arial" w:cs="Arial" w:eastAsia="Arial" w:hAnsi="Arial"/>
          <w:sz w:val="15"/>
          <w:szCs w:val="15"/>
          <w:b w:val="1"/>
          <w:bCs w:val="1"/>
          <w:color w:val="auto"/>
        </w:rPr>
      </w:pPr>
    </w:p>
    <w:p>
      <w:pPr>
        <w:ind w:left="9" w:right="120" w:hanging="9"/>
        <w:spacing w:after="0" w:line="289" w:lineRule="auto"/>
        <w:tabs>
          <w:tab w:leader="none" w:pos="314" w:val="left"/>
        </w:tabs>
        <w:numPr>
          <w:ilvl w:val="0"/>
          <w:numId w:val="267"/>
        </w:numPr>
        <w:rPr>
          <w:rFonts w:ascii="Arial" w:cs="Arial" w:eastAsia="Arial" w:hAnsi="Arial"/>
          <w:sz w:val="16"/>
          <w:szCs w:val="16"/>
          <w:color w:val="auto"/>
        </w:rPr>
      </w:pPr>
      <w:r>
        <w:rPr>
          <w:rFonts w:ascii="Arial" w:cs="Arial" w:eastAsia="Arial" w:hAnsi="Arial"/>
          <w:sz w:val="16"/>
          <w:szCs w:val="16"/>
          <w:color w:val="auto"/>
        </w:rPr>
        <w:t>as necessary to obtain or maintain any special tax, listing, or regulatory treatment. To be clear, the Board may amend outstanding Purchase Rights without a Participant’s consent if such amendment is necessary to ensure that the Purchase Right and/or the 423 Component complies with the requirements of Section 423 of the Code, or other applicable laws, listing requirements, or governmental regulations.</w:t>
      </w:r>
    </w:p>
    <w:p>
      <w:pPr>
        <w:spacing w:after="0" w:line="161" w:lineRule="exact"/>
        <w:rPr>
          <w:sz w:val="20"/>
          <w:szCs w:val="20"/>
          <w:color w:val="auto"/>
        </w:rPr>
      </w:pPr>
    </w:p>
    <w:p>
      <w:pPr>
        <w:ind w:left="9" w:right="20" w:firstLine="427"/>
        <w:spacing w:after="0" w:line="294" w:lineRule="auto"/>
        <w:rPr>
          <w:sz w:val="20"/>
          <w:szCs w:val="20"/>
          <w:color w:val="auto"/>
        </w:rPr>
      </w:pPr>
      <w:r>
        <w:rPr>
          <w:rFonts w:ascii="Arial" w:cs="Arial" w:eastAsia="Arial" w:hAnsi="Arial"/>
          <w:sz w:val="15"/>
          <w:szCs w:val="15"/>
          <w:color w:val="auto"/>
        </w:rPr>
        <w:t>Notwithstanding anything in the Plan to the contrary, the Board will be entitled to: (i) permit Contributions in excess of the amount designated by a Participant in order to adjust for mistakes in the Company’s processing of properly completed Contribution elections; (ii) establish reasonable waiting and adjustment periods and/or accounting and crediting procedures to ensure that amounts applied toward the purchase of Common Stock for each Participant properly correspond with amounts withheld from the Participant’s Contributions; (iii) amend any outstanding Purchase Rights or clarify any ambiguities regarding the terms of any Offering to enable the Purchase Rights to qualify under and/or comply with Section 423 of the Code; and</w:t>
      </w:r>
    </w:p>
    <w:p>
      <w:pPr>
        <w:spacing w:after="0" w:line="3" w:lineRule="exact"/>
        <w:rPr>
          <w:sz w:val="20"/>
          <w:szCs w:val="20"/>
          <w:color w:val="auto"/>
        </w:rPr>
      </w:pPr>
    </w:p>
    <w:p>
      <w:pPr>
        <w:ind w:left="9" w:right="20" w:hanging="9"/>
        <w:spacing w:after="0" w:line="265" w:lineRule="auto"/>
        <w:tabs>
          <w:tab w:leader="none" w:pos="304" w:val="left"/>
        </w:tabs>
        <w:numPr>
          <w:ilvl w:val="0"/>
          <w:numId w:val="268"/>
        </w:numPr>
        <w:rPr>
          <w:rFonts w:ascii="Arial" w:cs="Arial" w:eastAsia="Arial" w:hAnsi="Arial"/>
          <w:sz w:val="17"/>
          <w:szCs w:val="17"/>
          <w:color w:val="auto"/>
        </w:rPr>
      </w:pPr>
      <w:r>
        <w:rPr>
          <w:rFonts w:ascii="Arial" w:cs="Arial" w:eastAsia="Arial" w:hAnsi="Arial"/>
          <w:sz w:val="17"/>
          <w:szCs w:val="17"/>
          <w:color w:val="auto"/>
        </w:rPr>
        <w:t>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sectPr>
          <w:pgSz w:w="11900" w:h="16838" w:orient="portrait"/>
          <w:cols w:equalWidth="0" w:num="1">
            <w:col w:w="10609"/>
          </w:cols>
          <w:pgMar w:left="611" w:top="271" w:right="679" w:bottom="1440" w:gutter="0" w:footer="0" w:header="0"/>
        </w:sectPr>
      </w:pPr>
    </w:p>
    <w:bookmarkStart w:id="365" w:name="page366"/>
    <w:bookmarkEnd w:id="365"/>
    <w:p>
      <w:pPr>
        <w:ind w:left="429" w:hanging="429"/>
        <w:spacing w:after="0"/>
        <w:tabs>
          <w:tab w:leader="none" w:pos="429" w:val="left"/>
        </w:tabs>
        <w:numPr>
          <w:ilvl w:val="0"/>
          <w:numId w:val="269"/>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w:t>
      </w:r>
      <w:r>
        <w:rPr>
          <w:rFonts w:ascii="Arial" w:cs="Arial" w:eastAsia="Arial" w:hAnsi="Arial"/>
          <w:sz w:val="14"/>
          <w:szCs w:val="14"/>
          <w:b w:val="1"/>
          <w:bCs w:val="1"/>
          <w:color w:val="auto"/>
        </w:rPr>
        <w:t>AX</w:t>
      </w:r>
      <w:r>
        <w:rPr>
          <w:rFonts w:ascii="Arial" w:cs="Arial" w:eastAsia="Arial" w:hAnsi="Arial"/>
          <w:sz w:val="17"/>
          <w:szCs w:val="17"/>
          <w:b w:val="1"/>
          <w:bCs w:val="1"/>
          <w:color w:val="auto"/>
        </w:rPr>
        <w:t xml:space="preserve"> M</w:t>
      </w:r>
      <w:r>
        <w:rPr>
          <w:rFonts w:ascii="Arial" w:cs="Arial" w:eastAsia="Arial" w:hAnsi="Arial"/>
          <w:sz w:val="14"/>
          <w:szCs w:val="14"/>
          <w:b w:val="1"/>
          <w:bCs w:val="1"/>
          <w:color w:val="auto"/>
        </w:rPr>
        <w:t>ATTERS</w:t>
      </w:r>
      <w:r>
        <w:rPr>
          <w:rFonts w:ascii="Arial" w:cs="Arial" w:eastAsia="Arial" w:hAnsi="Arial"/>
          <w:sz w:val="17"/>
          <w:szCs w:val="17"/>
          <w:b w:val="1"/>
          <w:bCs w:val="1"/>
          <w:color w:val="auto"/>
        </w:rPr>
        <w:t>.</w:t>
      </w:r>
    </w:p>
    <w:p>
      <w:pPr>
        <w:spacing w:after="0" w:line="124" w:lineRule="exact"/>
        <w:rPr>
          <w:rFonts w:ascii="Arial" w:cs="Arial" w:eastAsia="Arial" w:hAnsi="Arial"/>
          <w:sz w:val="17"/>
          <w:szCs w:val="17"/>
          <w:b w:val="1"/>
          <w:bCs w:val="1"/>
          <w:color w:val="auto"/>
        </w:rPr>
      </w:pPr>
    </w:p>
    <w:p>
      <w:pPr>
        <w:jc w:val="both"/>
        <w:ind w:left="9" w:right="260" w:firstLine="419"/>
        <w:spacing w:after="0" w:line="267" w:lineRule="auto"/>
        <w:tabs>
          <w:tab w:leader="none" w:pos="683" w:val="left"/>
        </w:tabs>
        <w:numPr>
          <w:ilvl w:val="1"/>
          <w:numId w:val="269"/>
        </w:numPr>
        <w:rPr>
          <w:rFonts w:ascii="Arial" w:cs="Arial" w:eastAsia="Arial" w:hAnsi="Arial"/>
          <w:sz w:val="17"/>
          <w:szCs w:val="17"/>
          <w:b w:val="1"/>
          <w:bCs w:val="1"/>
          <w:color w:val="auto"/>
        </w:rPr>
      </w:pPr>
      <w:r>
        <w:rPr>
          <w:rFonts w:ascii="Arial" w:cs="Arial" w:eastAsia="Arial" w:hAnsi="Arial"/>
          <w:sz w:val="17"/>
          <w:szCs w:val="17"/>
          <w:color w:val="auto"/>
        </w:rPr>
        <w:t>Purchase Rights granted under the 423 Component are intended to be exempt from the application of Section 409A of the Code under U.S. Treasury Regulation Section 1.409A-1(b)(5)(ii). Purchase Rights granted under the Non-423 Component to U.S. taxpayers are intended to be exempt from the application of Section 409A of the Code under the short-term deferral exception or compliant with Section 409A of the Code and any ambiguities will be construed and interpreted in accordance with such intent.</w:t>
      </w:r>
    </w:p>
    <w:p>
      <w:pPr>
        <w:spacing w:after="0" w:line="72" w:lineRule="exact"/>
        <w:rPr>
          <w:rFonts w:ascii="Arial" w:cs="Arial" w:eastAsia="Arial" w:hAnsi="Arial"/>
          <w:sz w:val="17"/>
          <w:szCs w:val="17"/>
          <w:b w:val="1"/>
          <w:bCs w:val="1"/>
          <w:color w:val="auto"/>
        </w:rPr>
      </w:pPr>
    </w:p>
    <w:p>
      <w:pPr>
        <w:jc w:val="both"/>
        <w:ind w:left="9" w:right="60" w:firstLine="419"/>
        <w:spacing w:after="0" w:line="325" w:lineRule="auto"/>
        <w:tabs>
          <w:tab w:leader="none" w:pos="693" w:val="left"/>
        </w:tabs>
        <w:numPr>
          <w:ilvl w:val="1"/>
          <w:numId w:val="269"/>
        </w:numPr>
        <w:rPr>
          <w:rFonts w:ascii="Arial" w:cs="Arial" w:eastAsia="Arial" w:hAnsi="Arial"/>
          <w:sz w:val="15"/>
          <w:szCs w:val="15"/>
          <w:b w:val="1"/>
          <w:bCs w:val="1"/>
          <w:color w:val="auto"/>
        </w:rPr>
      </w:pPr>
      <w:r>
        <w:rPr>
          <w:rFonts w:ascii="Arial" w:cs="Arial" w:eastAsia="Arial" w:hAnsi="Arial"/>
          <w:sz w:val="15"/>
          <w:szCs w:val="15"/>
          <w:color w:val="auto"/>
        </w:rPr>
        <w:t>Although the Company may endeavor to qualify a Purchase Right for special tax treatment under the laws of the United States or jurisdictions outside of the United States, or avoid adverse tax treatment (</w:t>
      </w:r>
      <w:r>
        <w:rPr>
          <w:rFonts w:ascii="Arial" w:cs="Arial" w:eastAsia="Arial" w:hAnsi="Arial"/>
          <w:sz w:val="15"/>
          <w:szCs w:val="15"/>
          <w:i w:val="1"/>
          <w:iCs w:val="1"/>
          <w:color w:val="auto"/>
        </w:rPr>
        <w:t>e.g.</w:t>
      </w:r>
      <w:r>
        <w:rPr>
          <w:rFonts w:ascii="Arial" w:cs="Arial" w:eastAsia="Arial" w:hAnsi="Arial"/>
          <w:sz w:val="15"/>
          <w:szCs w:val="15"/>
          <w:color w:val="auto"/>
        </w:rPr>
        <w:t>, under Section 409A of the Code), the Company makes no representation to that effect and expressly disavows any covenant to maintain special or to avoid unfavorable tax treatment, notwithstanding anything to the contrary in this Plan.</w:t>
      </w:r>
    </w:p>
    <w:p>
      <w:pPr>
        <w:spacing w:after="0" w:line="275" w:lineRule="exact"/>
        <w:rPr>
          <w:rFonts w:ascii="Arial" w:cs="Arial" w:eastAsia="Arial" w:hAnsi="Arial"/>
          <w:sz w:val="15"/>
          <w:szCs w:val="15"/>
          <w:b w:val="1"/>
          <w:bCs w:val="1"/>
          <w:color w:val="auto"/>
        </w:rPr>
      </w:pPr>
    </w:p>
    <w:p>
      <w:pPr>
        <w:ind w:left="429" w:hanging="429"/>
        <w:spacing w:after="0"/>
        <w:tabs>
          <w:tab w:leader="none" w:pos="429" w:val="left"/>
        </w:tabs>
        <w:numPr>
          <w:ilvl w:val="0"/>
          <w:numId w:val="269"/>
        </w:numPr>
        <w:rPr>
          <w:rFonts w:ascii="Arial" w:cs="Arial" w:eastAsia="Arial" w:hAnsi="Arial"/>
          <w:sz w:val="17"/>
          <w:szCs w:val="17"/>
          <w:b w:val="1"/>
          <w:bCs w:val="1"/>
          <w:color w:val="auto"/>
        </w:rPr>
      </w:pPr>
      <w:r>
        <w:rPr>
          <w:rFonts w:ascii="Arial" w:cs="Arial" w:eastAsia="Arial" w:hAnsi="Arial"/>
          <w:sz w:val="17"/>
          <w:szCs w:val="17"/>
          <w:b w:val="1"/>
          <w:bCs w:val="1"/>
          <w:color w:val="auto"/>
        </w:rPr>
        <w:t>T</w:t>
      </w:r>
      <w:r>
        <w:rPr>
          <w:rFonts w:ascii="Arial" w:cs="Arial" w:eastAsia="Arial" w:hAnsi="Arial"/>
          <w:sz w:val="14"/>
          <w:szCs w:val="14"/>
          <w:b w:val="1"/>
          <w:bCs w:val="1"/>
          <w:color w:val="auto"/>
        </w:rPr>
        <w:t>AX</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ITHHOLDING</w:t>
      </w:r>
      <w:r>
        <w:rPr>
          <w:rFonts w:ascii="Arial" w:cs="Arial" w:eastAsia="Arial" w:hAnsi="Arial"/>
          <w:sz w:val="17"/>
          <w:szCs w:val="17"/>
          <w:b w:val="1"/>
          <w:bCs w:val="1"/>
          <w:color w:val="auto"/>
        </w:rPr>
        <w:t>.</w:t>
      </w:r>
    </w:p>
    <w:p>
      <w:pPr>
        <w:spacing w:after="0" w:line="125" w:lineRule="exact"/>
        <w:rPr>
          <w:sz w:val="20"/>
          <w:szCs w:val="20"/>
          <w:color w:val="auto"/>
        </w:rPr>
      </w:pPr>
    </w:p>
    <w:p>
      <w:pPr>
        <w:ind w:left="9" w:firstLine="427"/>
        <w:spacing w:after="0" w:line="262" w:lineRule="auto"/>
        <w:rPr>
          <w:sz w:val="20"/>
          <w:szCs w:val="20"/>
          <w:color w:val="auto"/>
        </w:rPr>
      </w:pPr>
      <w:r>
        <w:rPr>
          <w:rFonts w:ascii="Arial" w:cs="Arial" w:eastAsia="Arial" w:hAnsi="Arial"/>
          <w:sz w:val="17"/>
          <w:szCs w:val="17"/>
          <w:color w:val="auto"/>
        </w:rPr>
        <w:t>The Participant will make adequate provision to satisfy the Tax-Related Items withholding obligations, if any, of the Company and/or the applicable Designated Company which arise with respect to Participant’s participation in the Plan or upon the disposition of the shares of the Common Stock. The Company and/or the Designated Company may, but will not be obligated to, withhold from the Participant’s compensation or any other payments due the Participant the amount necessary to meet such withholding obligations or withhold from the proceeds of the sale of shares of Common Stock or any other method of withholding that the Company and/or the Designated Company deems appropriate. The Company and/or the Designated Company will have the right to take such other action as may be necessary in the opinion of the Company or a Designated Company to satisfy withholding and/or reporting obligations for such Tax-Related Items.</w:t>
      </w:r>
    </w:p>
    <w:p>
      <w:pPr>
        <w:spacing w:after="0" w:line="320" w:lineRule="exact"/>
        <w:rPr>
          <w:sz w:val="20"/>
          <w:szCs w:val="20"/>
          <w:color w:val="auto"/>
        </w:rPr>
      </w:pPr>
    </w:p>
    <w:p>
      <w:pPr>
        <w:ind w:left="429" w:hanging="429"/>
        <w:spacing w:after="0"/>
        <w:tabs>
          <w:tab w:leader="none" w:pos="429" w:val="left"/>
        </w:tabs>
        <w:numPr>
          <w:ilvl w:val="0"/>
          <w:numId w:val="270"/>
        </w:numPr>
        <w:rPr>
          <w:rFonts w:ascii="Arial" w:cs="Arial" w:eastAsia="Arial" w:hAnsi="Arial"/>
          <w:sz w:val="17"/>
          <w:szCs w:val="17"/>
          <w:b w:val="1"/>
          <w:bCs w:val="1"/>
          <w:color w:val="auto"/>
        </w:rPr>
      </w:pPr>
      <w:r>
        <w:rPr>
          <w:rFonts w:ascii="Arial" w:cs="Arial" w:eastAsia="Arial" w:hAnsi="Arial"/>
          <w:sz w:val="17"/>
          <w:szCs w:val="17"/>
          <w:b w:val="1"/>
          <w:bCs w:val="1"/>
          <w:color w:val="auto"/>
        </w:rPr>
        <w:t>E</w:t>
      </w:r>
      <w:r>
        <w:rPr>
          <w:rFonts w:ascii="Arial" w:cs="Arial" w:eastAsia="Arial" w:hAnsi="Arial"/>
          <w:sz w:val="14"/>
          <w:szCs w:val="14"/>
          <w:b w:val="1"/>
          <w:bCs w:val="1"/>
          <w:color w:val="auto"/>
        </w:rPr>
        <w:t>FFECTIVE</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ATE OF</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p>
    <w:p>
      <w:pPr>
        <w:spacing w:after="0" w:line="125" w:lineRule="exact"/>
        <w:rPr>
          <w:sz w:val="20"/>
          <w:szCs w:val="20"/>
          <w:color w:val="auto"/>
        </w:rPr>
      </w:pPr>
    </w:p>
    <w:p>
      <w:pPr>
        <w:jc w:val="both"/>
        <w:ind w:left="9" w:right="40" w:firstLine="427"/>
        <w:spacing w:after="0" w:line="273" w:lineRule="auto"/>
        <w:rPr>
          <w:sz w:val="20"/>
          <w:szCs w:val="20"/>
          <w:color w:val="auto"/>
        </w:rPr>
      </w:pPr>
      <w:r>
        <w:rPr>
          <w:rFonts w:ascii="Arial" w:cs="Arial" w:eastAsia="Arial" w:hAnsi="Arial"/>
          <w:sz w:val="17"/>
          <w:szCs w:val="17"/>
          <w:color w:val="auto"/>
        </w:rPr>
        <w:t>The Plan will become effective immediately prior to and contingent upon the IPO Date. No Purchase Rights will be exercised unless and until the Plan has been approved by the stockholders of the Company, which approval must be within 12 months before or after the date the Plan is adopted (or if required under Section 12(a) above, materially amended) by the Board.</w:t>
      </w:r>
    </w:p>
    <w:p>
      <w:pPr>
        <w:spacing w:after="0" w:line="309" w:lineRule="exact"/>
        <w:rPr>
          <w:sz w:val="20"/>
          <w:szCs w:val="20"/>
          <w:color w:val="auto"/>
        </w:rPr>
      </w:pPr>
    </w:p>
    <w:p>
      <w:pPr>
        <w:ind w:left="429" w:hanging="429"/>
        <w:spacing w:after="0"/>
        <w:tabs>
          <w:tab w:leader="none" w:pos="429" w:val="left"/>
        </w:tabs>
        <w:numPr>
          <w:ilvl w:val="0"/>
          <w:numId w:val="271"/>
        </w:numPr>
        <w:rPr>
          <w:rFonts w:ascii="Arial" w:cs="Arial" w:eastAsia="Arial" w:hAnsi="Arial"/>
          <w:sz w:val="17"/>
          <w:szCs w:val="17"/>
          <w:b w:val="1"/>
          <w:bCs w:val="1"/>
          <w:color w:val="auto"/>
        </w:rPr>
      </w:pPr>
      <w:r>
        <w:rPr>
          <w:rFonts w:ascii="Arial" w:cs="Arial" w:eastAsia="Arial" w:hAnsi="Arial"/>
          <w:sz w:val="17"/>
          <w:szCs w:val="17"/>
          <w:b w:val="1"/>
          <w:bCs w:val="1"/>
          <w:color w:val="auto"/>
        </w:rPr>
        <w:t>M</w:t>
      </w:r>
      <w:r>
        <w:rPr>
          <w:rFonts w:ascii="Arial" w:cs="Arial" w:eastAsia="Arial" w:hAnsi="Arial"/>
          <w:sz w:val="14"/>
          <w:szCs w:val="14"/>
          <w:b w:val="1"/>
          <w:bCs w:val="1"/>
          <w:color w:val="auto"/>
        </w:rPr>
        <w:t>ISCELLANEOUS</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ROVISIONS</w:t>
      </w:r>
      <w:r>
        <w:rPr>
          <w:rFonts w:ascii="Arial" w:cs="Arial" w:eastAsia="Arial" w:hAnsi="Arial"/>
          <w:sz w:val="17"/>
          <w:szCs w:val="17"/>
          <w:b w:val="1"/>
          <w:bCs w:val="1"/>
          <w:color w:val="auto"/>
        </w:rPr>
        <w:t>.</w:t>
      </w:r>
    </w:p>
    <w:p>
      <w:pPr>
        <w:spacing w:after="0" w:line="124" w:lineRule="exact"/>
        <w:rPr>
          <w:rFonts w:ascii="Arial" w:cs="Arial" w:eastAsia="Arial" w:hAnsi="Arial"/>
          <w:sz w:val="17"/>
          <w:szCs w:val="17"/>
          <w:b w:val="1"/>
          <w:bCs w:val="1"/>
          <w:color w:val="auto"/>
        </w:rPr>
      </w:pPr>
    </w:p>
    <w:p>
      <w:pPr>
        <w:ind w:left="669" w:hanging="241"/>
        <w:spacing w:after="0"/>
        <w:tabs>
          <w:tab w:leader="none" w:pos="669" w:val="left"/>
        </w:tabs>
        <w:numPr>
          <w:ilvl w:val="1"/>
          <w:numId w:val="271"/>
        </w:numPr>
        <w:rPr>
          <w:rFonts w:ascii="Arial" w:cs="Arial" w:eastAsia="Arial" w:hAnsi="Arial"/>
          <w:sz w:val="17"/>
          <w:szCs w:val="17"/>
          <w:b w:val="1"/>
          <w:bCs w:val="1"/>
          <w:color w:val="auto"/>
        </w:rPr>
      </w:pPr>
      <w:r>
        <w:rPr>
          <w:rFonts w:ascii="Arial" w:cs="Arial" w:eastAsia="Arial" w:hAnsi="Arial"/>
          <w:sz w:val="17"/>
          <w:szCs w:val="17"/>
          <w:color w:val="auto"/>
        </w:rPr>
        <w:t>Proceeds from the sale of shares of Common Stock pursuant to Purchase Rights will constitute general funds of the Company.</w:t>
      </w:r>
    </w:p>
    <w:p>
      <w:pPr>
        <w:spacing w:after="0" w:line="118" w:lineRule="exact"/>
        <w:rPr>
          <w:rFonts w:ascii="Arial" w:cs="Arial" w:eastAsia="Arial" w:hAnsi="Arial"/>
          <w:sz w:val="17"/>
          <w:szCs w:val="17"/>
          <w:b w:val="1"/>
          <w:bCs w:val="1"/>
          <w:color w:val="auto"/>
        </w:rPr>
      </w:pPr>
    </w:p>
    <w:p>
      <w:pPr>
        <w:ind w:left="9" w:right="140" w:firstLine="419"/>
        <w:spacing w:after="0" w:line="273" w:lineRule="auto"/>
        <w:tabs>
          <w:tab w:leader="none" w:pos="693" w:val="left"/>
        </w:tabs>
        <w:numPr>
          <w:ilvl w:val="1"/>
          <w:numId w:val="271"/>
        </w:numPr>
        <w:rPr>
          <w:rFonts w:ascii="Arial" w:cs="Arial" w:eastAsia="Arial" w:hAnsi="Arial"/>
          <w:sz w:val="17"/>
          <w:szCs w:val="17"/>
          <w:b w:val="1"/>
          <w:bCs w:val="1"/>
          <w:color w:val="auto"/>
        </w:rPr>
      </w:pPr>
      <w:r>
        <w:rPr>
          <w:rFonts w:ascii="Arial" w:cs="Arial" w:eastAsia="Arial" w:hAnsi="Arial"/>
          <w:sz w:val="17"/>
          <w:szCs w:val="17"/>
          <w:color w:val="auto"/>
        </w:rPr>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66" w:lineRule="exact"/>
        <w:rPr>
          <w:rFonts w:ascii="Arial" w:cs="Arial" w:eastAsia="Arial" w:hAnsi="Arial"/>
          <w:sz w:val="17"/>
          <w:szCs w:val="17"/>
          <w:b w:val="1"/>
          <w:bCs w:val="1"/>
          <w:color w:val="auto"/>
        </w:rPr>
      </w:pPr>
    </w:p>
    <w:p>
      <w:pPr>
        <w:ind w:left="9" w:right="80" w:firstLine="419"/>
        <w:spacing w:after="0" w:line="267" w:lineRule="auto"/>
        <w:tabs>
          <w:tab w:leader="none" w:pos="673" w:val="left"/>
        </w:tabs>
        <w:numPr>
          <w:ilvl w:val="1"/>
          <w:numId w:val="271"/>
        </w:numPr>
        <w:rPr>
          <w:rFonts w:ascii="Arial" w:cs="Arial" w:eastAsia="Arial" w:hAnsi="Arial"/>
          <w:sz w:val="17"/>
          <w:szCs w:val="17"/>
          <w:b w:val="1"/>
          <w:bCs w:val="1"/>
          <w:color w:val="auto"/>
        </w:rPr>
      </w:pPr>
      <w:r>
        <w:rPr>
          <w:rFonts w:ascii="Arial" w:cs="Arial" w:eastAsia="Arial" w:hAnsi="Arial"/>
          <w:sz w:val="17"/>
          <w:szCs w:val="17"/>
          <w:color w:val="auto"/>
        </w:rPr>
        <w:t>The Plan and Offering do not constitute an employment contract. Nothing in the Plan or in the Offering will in any way alter the at-will nature of a Participant’s employment, if applicable, or be deemed to create in any way whatsoever any obligation on the part of any Participant to continue in the employ of the Company, a Related Corporation, or an Affiliate, or on the part of the Company, a Related Corporation or an Affiliate to continue the employment of a Participant.</w:t>
      </w:r>
    </w:p>
    <w:p>
      <w:pPr>
        <w:sectPr>
          <w:pgSz w:w="11900" w:h="16838" w:orient="portrait"/>
          <w:cols w:equalWidth="0" w:num="1">
            <w:col w:w="10669"/>
          </w:cols>
          <w:pgMar w:left="611" w:top="265" w:right="619" w:bottom="1440" w:gutter="0" w:footer="0" w:header="0"/>
        </w:sectPr>
      </w:pPr>
    </w:p>
    <w:bookmarkStart w:id="366" w:name="page367"/>
    <w:bookmarkEnd w:id="366"/>
    <w:p>
      <w:pPr>
        <w:ind w:left="689" w:hanging="261"/>
        <w:spacing w:after="0"/>
        <w:tabs>
          <w:tab w:leader="none" w:pos="689" w:val="left"/>
        </w:tabs>
        <w:numPr>
          <w:ilvl w:val="0"/>
          <w:numId w:val="272"/>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provisions of the Plan will be governed by the laws of the State of Delaware without resort to that state’s conflicts of laws rules.</w:t>
      </w:r>
    </w:p>
    <w:p>
      <w:pPr>
        <w:spacing w:after="0" w:line="118" w:lineRule="exact"/>
        <w:rPr>
          <w:rFonts w:ascii="Arial" w:cs="Arial" w:eastAsia="Arial" w:hAnsi="Arial"/>
          <w:sz w:val="17"/>
          <w:szCs w:val="17"/>
          <w:b w:val="1"/>
          <w:bCs w:val="1"/>
          <w:color w:val="auto"/>
        </w:rPr>
      </w:pPr>
    </w:p>
    <w:p>
      <w:pPr>
        <w:ind w:left="9" w:right="160" w:firstLine="419"/>
        <w:spacing w:after="0" w:line="289" w:lineRule="auto"/>
        <w:tabs>
          <w:tab w:leader="none" w:pos="673" w:val="left"/>
        </w:tabs>
        <w:numPr>
          <w:ilvl w:val="0"/>
          <w:numId w:val="272"/>
        </w:numPr>
        <w:rPr>
          <w:rFonts w:ascii="Arial" w:cs="Arial" w:eastAsia="Arial" w:hAnsi="Arial"/>
          <w:sz w:val="17"/>
          <w:szCs w:val="17"/>
          <w:b w:val="1"/>
          <w:bCs w:val="1"/>
          <w:color w:val="auto"/>
        </w:rPr>
      </w:pPr>
      <w:r>
        <w:rPr>
          <w:rFonts w:ascii="Arial" w:cs="Arial" w:eastAsia="Arial" w:hAnsi="Arial"/>
          <w:sz w:val="17"/>
          <w:szCs w:val="17"/>
          <w:color w:val="auto"/>
        </w:rPr>
        <w:t>If any particular provision of the Plan is found to be invalid or otherwise unenforceable, such provision will not affect the other provisions of the Plan, but the Plan will be construed in all respects as if such invalid provision were omitted.</w:t>
      </w:r>
    </w:p>
    <w:p>
      <w:pPr>
        <w:spacing w:after="0" w:line="53" w:lineRule="exact"/>
        <w:rPr>
          <w:rFonts w:ascii="Arial" w:cs="Arial" w:eastAsia="Arial" w:hAnsi="Arial"/>
          <w:sz w:val="17"/>
          <w:szCs w:val="17"/>
          <w:b w:val="1"/>
          <w:bCs w:val="1"/>
          <w:color w:val="auto"/>
        </w:rPr>
      </w:pPr>
    </w:p>
    <w:p>
      <w:pPr>
        <w:ind w:left="9" w:right="480" w:firstLine="419"/>
        <w:spacing w:after="0" w:line="289" w:lineRule="auto"/>
        <w:tabs>
          <w:tab w:leader="none" w:pos="654" w:val="left"/>
        </w:tabs>
        <w:numPr>
          <w:ilvl w:val="0"/>
          <w:numId w:val="272"/>
        </w:numPr>
        <w:rPr>
          <w:rFonts w:ascii="Arial" w:cs="Arial" w:eastAsia="Arial" w:hAnsi="Arial"/>
          <w:sz w:val="17"/>
          <w:szCs w:val="17"/>
          <w:b w:val="1"/>
          <w:bCs w:val="1"/>
          <w:color w:val="auto"/>
        </w:rPr>
      </w:pPr>
      <w:r>
        <w:rPr>
          <w:rFonts w:ascii="Arial" w:cs="Arial" w:eastAsia="Arial" w:hAnsi="Arial"/>
          <w:sz w:val="17"/>
          <w:szCs w:val="17"/>
          <w:color w:val="auto"/>
        </w:rPr>
        <w:t>If any provision of the Plan does not comply with applicable law or regulations, such provision shall be construed in such a manner as to comply with applicable law or regulations.</w:t>
      </w:r>
    </w:p>
    <w:p>
      <w:pPr>
        <w:spacing w:after="0" w:line="296" w:lineRule="exact"/>
        <w:rPr>
          <w:sz w:val="20"/>
          <w:szCs w:val="20"/>
          <w:color w:val="auto"/>
        </w:rPr>
      </w:pPr>
    </w:p>
    <w:p>
      <w:pPr>
        <w:ind w:left="429" w:hanging="429"/>
        <w:spacing w:after="0"/>
        <w:tabs>
          <w:tab w:leader="none" w:pos="429" w:val="left"/>
        </w:tabs>
        <w:numPr>
          <w:ilvl w:val="0"/>
          <w:numId w:val="273"/>
        </w:numPr>
        <w:rPr>
          <w:rFonts w:ascii="Arial" w:cs="Arial" w:eastAsia="Arial" w:hAnsi="Arial"/>
          <w:sz w:val="17"/>
          <w:szCs w:val="17"/>
          <w:b w:val="1"/>
          <w:bCs w:val="1"/>
          <w:color w:val="auto"/>
        </w:rPr>
      </w:pPr>
      <w:r>
        <w:rPr>
          <w:rFonts w:ascii="Arial" w:cs="Arial" w:eastAsia="Arial" w:hAnsi="Arial"/>
          <w:sz w:val="17"/>
          <w:szCs w:val="17"/>
          <w:b w:val="1"/>
          <w:bCs w:val="1"/>
          <w:color w:val="auto"/>
        </w:rPr>
        <w:t>D</w:t>
      </w:r>
      <w:r>
        <w:rPr>
          <w:rFonts w:ascii="Arial" w:cs="Arial" w:eastAsia="Arial" w:hAnsi="Arial"/>
          <w:sz w:val="14"/>
          <w:szCs w:val="14"/>
          <w:b w:val="1"/>
          <w:bCs w:val="1"/>
          <w:color w:val="auto"/>
        </w:rPr>
        <w:t>EFINITIONS</w:t>
      </w:r>
      <w:r>
        <w:rPr>
          <w:rFonts w:ascii="Arial" w:cs="Arial" w:eastAsia="Arial" w:hAnsi="Arial"/>
          <w:sz w:val="17"/>
          <w:szCs w:val="17"/>
          <w:b w:val="1"/>
          <w:bCs w:val="1"/>
          <w:color w:val="auto"/>
        </w:rPr>
        <w:t>.</w:t>
      </w:r>
    </w:p>
    <w:p>
      <w:pPr>
        <w:spacing w:after="0" w:line="125" w:lineRule="exact"/>
        <w:rPr>
          <w:sz w:val="20"/>
          <w:szCs w:val="20"/>
          <w:color w:val="auto"/>
        </w:rPr>
      </w:pPr>
    </w:p>
    <w:p>
      <w:pPr>
        <w:ind w:left="429"/>
        <w:spacing w:after="0"/>
        <w:rPr>
          <w:sz w:val="20"/>
          <w:szCs w:val="20"/>
          <w:color w:val="auto"/>
        </w:rPr>
      </w:pPr>
      <w:r>
        <w:rPr>
          <w:rFonts w:ascii="Arial" w:cs="Arial" w:eastAsia="Arial" w:hAnsi="Arial"/>
          <w:sz w:val="17"/>
          <w:szCs w:val="17"/>
          <w:color w:val="auto"/>
        </w:rPr>
        <w:t>As used in the Plan, the following definitions will apply to the capitalized terms indicated below:</w:t>
      </w:r>
    </w:p>
    <w:p>
      <w:pPr>
        <w:spacing w:after="0" w:line="119" w:lineRule="exact"/>
        <w:rPr>
          <w:sz w:val="20"/>
          <w:szCs w:val="20"/>
          <w:color w:val="auto"/>
        </w:rPr>
      </w:pPr>
    </w:p>
    <w:p>
      <w:pPr>
        <w:ind w:left="9" w:right="320" w:firstLine="419"/>
        <w:spacing w:after="0" w:line="289" w:lineRule="auto"/>
        <w:tabs>
          <w:tab w:leader="none" w:pos="683" w:val="left"/>
        </w:tabs>
        <w:numPr>
          <w:ilvl w:val="0"/>
          <w:numId w:val="27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423 Component</w:t>
      </w:r>
      <w:r>
        <w:rPr>
          <w:rFonts w:ascii="Arial" w:cs="Arial" w:eastAsia="Arial" w:hAnsi="Arial"/>
          <w:sz w:val="17"/>
          <w:szCs w:val="17"/>
          <w:color w:val="auto"/>
        </w:rPr>
        <w:t>” means the part of the Plan, which excludes the Non-423 Component, pursuant to which Purchase Rights that satisfy the requirements for an Employee Stock Purchase Plan may be granted to Eligible Employees.</w:t>
      </w:r>
    </w:p>
    <w:p>
      <w:pPr>
        <w:spacing w:after="0" w:line="53" w:lineRule="exact"/>
        <w:rPr>
          <w:rFonts w:ascii="Arial" w:cs="Arial" w:eastAsia="Arial" w:hAnsi="Arial"/>
          <w:sz w:val="17"/>
          <w:szCs w:val="17"/>
          <w:b w:val="1"/>
          <w:bCs w:val="1"/>
          <w:color w:val="auto"/>
        </w:rPr>
      </w:pPr>
    </w:p>
    <w:p>
      <w:pPr>
        <w:ind w:left="9" w:right="240" w:firstLine="419"/>
        <w:spacing w:after="0" w:line="273" w:lineRule="auto"/>
        <w:tabs>
          <w:tab w:leader="none" w:pos="693" w:val="left"/>
        </w:tabs>
        <w:numPr>
          <w:ilvl w:val="0"/>
          <w:numId w:val="27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any entity, other than a Related Corporation, in which the Company has an equity or other ownership interest or that is directly or indirectly controlled by, controls, or is under common control with the Company, in all cases, as determined by the Board, whether now or hereafter existing.</w:t>
      </w:r>
    </w:p>
    <w:p>
      <w:pPr>
        <w:spacing w:after="0" w:line="66" w:lineRule="exact"/>
        <w:rPr>
          <w:rFonts w:ascii="Arial" w:cs="Arial" w:eastAsia="Arial" w:hAnsi="Arial"/>
          <w:sz w:val="17"/>
          <w:szCs w:val="17"/>
          <w:b w:val="1"/>
          <w:bCs w:val="1"/>
          <w:color w:val="auto"/>
        </w:rPr>
      </w:pPr>
    </w:p>
    <w:p>
      <w:pPr>
        <w:ind w:left="669" w:hanging="241"/>
        <w:spacing w:after="0"/>
        <w:tabs>
          <w:tab w:leader="none" w:pos="669" w:val="left"/>
        </w:tabs>
        <w:numPr>
          <w:ilvl w:val="0"/>
          <w:numId w:val="27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means the board of directors of the Company.</w:t>
      </w:r>
    </w:p>
    <w:p>
      <w:pPr>
        <w:spacing w:after="0" w:line="118" w:lineRule="exact"/>
        <w:rPr>
          <w:rFonts w:ascii="Arial" w:cs="Arial" w:eastAsia="Arial" w:hAnsi="Arial"/>
          <w:sz w:val="17"/>
          <w:szCs w:val="17"/>
          <w:b w:val="1"/>
          <w:bCs w:val="1"/>
          <w:color w:val="auto"/>
        </w:rPr>
      </w:pPr>
    </w:p>
    <w:p>
      <w:pPr>
        <w:ind w:left="689" w:hanging="261"/>
        <w:spacing w:after="0"/>
        <w:tabs>
          <w:tab w:leader="none" w:pos="689" w:val="left"/>
        </w:tabs>
        <w:numPr>
          <w:ilvl w:val="0"/>
          <w:numId w:val="27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Capital Stock</w:t>
      </w:r>
      <w:r>
        <w:rPr>
          <w:rFonts w:ascii="Arial" w:cs="Arial" w:eastAsia="Arial" w:hAnsi="Arial"/>
          <w:sz w:val="17"/>
          <w:szCs w:val="17"/>
          <w:color w:val="auto"/>
        </w:rPr>
        <w:t>” means each and every class of common stock of the Company, regardless of the number of votes per share.</w:t>
      </w:r>
    </w:p>
    <w:p>
      <w:pPr>
        <w:spacing w:after="0" w:line="118" w:lineRule="exact"/>
        <w:rPr>
          <w:rFonts w:ascii="Arial" w:cs="Arial" w:eastAsia="Arial" w:hAnsi="Arial"/>
          <w:sz w:val="17"/>
          <w:szCs w:val="17"/>
          <w:b w:val="1"/>
          <w:bCs w:val="1"/>
          <w:color w:val="auto"/>
        </w:rPr>
      </w:pPr>
    </w:p>
    <w:p>
      <w:pPr>
        <w:ind w:left="9" w:right="220" w:firstLine="419"/>
        <w:spacing w:after="0" w:line="305" w:lineRule="auto"/>
        <w:tabs>
          <w:tab w:leader="none" w:pos="673" w:val="left"/>
        </w:tabs>
        <w:numPr>
          <w:ilvl w:val="0"/>
          <w:numId w:val="274"/>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Capitalization Adjustment</w:t>
      </w:r>
      <w:r>
        <w:rPr>
          <w:rFonts w:ascii="Arial" w:cs="Arial" w:eastAsia="Arial" w:hAnsi="Arial"/>
          <w:sz w:val="15"/>
          <w:szCs w:val="15"/>
          <w:color w:val="auto"/>
        </w:rPr>
        <w:t>” means any change that is made in, or other events that occur with respect to, the Common Stock subject to the Plan or subject to any Purchase Right after the Effective Date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46" w:lineRule="exact"/>
        <w:rPr>
          <w:rFonts w:ascii="Arial" w:cs="Arial" w:eastAsia="Arial" w:hAnsi="Arial"/>
          <w:sz w:val="15"/>
          <w:szCs w:val="15"/>
          <w:b w:val="1"/>
          <w:bCs w:val="1"/>
          <w:color w:val="auto"/>
        </w:rPr>
      </w:pPr>
    </w:p>
    <w:p>
      <w:pPr>
        <w:ind w:left="649" w:hanging="221"/>
        <w:spacing w:after="0"/>
        <w:tabs>
          <w:tab w:leader="none" w:pos="649" w:val="left"/>
        </w:tabs>
        <w:numPr>
          <w:ilvl w:val="0"/>
          <w:numId w:val="27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U.S. Internal Revenue Code of 1986, as amended, including any applicable regulations and guidance thereunder</w:t>
      </w:r>
      <w:r>
        <w:rPr>
          <w:rFonts w:ascii="Arial" w:cs="Arial" w:eastAsia="Arial" w:hAnsi="Arial"/>
          <w:sz w:val="17"/>
          <w:szCs w:val="17"/>
          <w:i w:val="1"/>
          <w:iCs w:val="1"/>
          <w:color w:val="auto"/>
        </w:rPr>
        <w:t>.</w:t>
      </w:r>
    </w:p>
    <w:p>
      <w:pPr>
        <w:spacing w:after="0" w:line="118" w:lineRule="exact"/>
        <w:rPr>
          <w:rFonts w:ascii="Arial" w:cs="Arial" w:eastAsia="Arial" w:hAnsi="Arial"/>
          <w:sz w:val="17"/>
          <w:szCs w:val="17"/>
          <w:b w:val="1"/>
          <w:bCs w:val="1"/>
          <w:color w:val="auto"/>
        </w:rPr>
      </w:pPr>
    </w:p>
    <w:p>
      <w:pPr>
        <w:ind w:left="9" w:firstLine="419"/>
        <w:spacing w:after="0" w:line="289" w:lineRule="auto"/>
        <w:tabs>
          <w:tab w:leader="none" w:pos="683" w:val="left"/>
        </w:tabs>
        <w:numPr>
          <w:ilvl w:val="0"/>
          <w:numId w:val="27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means a committee of one or more members of the Board to whom authority has been delegated by the Board in accordance with Section 2(c).</w:t>
      </w:r>
    </w:p>
    <w:p>
      <w:pPr>
        <w:spacing w:after="0" w:line="53" w:lineRule="exact"/>
        <w:rPr>
          <w:rFonts w:ascii="Arial" w:cs="Arial" w:eastAsia="Arial" w:hAnsi="Arial"/>
          <w:sz w:val="17"/>
          <w:szCs w:val="17"/>
          <w:b w:val="1"/>
          <w:bCs w:val="1"/>
          <w:color w:val="auto"/>
        </w:rPr>
      </w:pPr>
    </w:p>
    <w:p>
      <w:pPr>
        <w:ind w:left="689" w:hanging="261"/>
        <w:spacing w:after="0"/>
        <w:tabs>
          <w:tab w:leader="none" w:pos="689" w:val="left"/>
        </w:tabs>
        <w:numPr>
          <w:ilvl w:val="0"/>
          <w:numId w:val="27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means, as of the IPO Date, the common stock of the Company.</w:t>
      </w:r>
    </w:p>
    <w:p>
      <w:pPr>
        <w:spacing w:after="0" w:line="118" w:lineRule="exact"/>
        <w:rPr>
          <w:rFonts w:ascii="Arial" w:cs="Arial" w:eastAsia="Arial" w:hAnsi="Arial"/>
          <w:sz w:val="17"/>
          <w:szCs w:val="17"/>
          <w:b w:val="1"/>
          <w:bCs w:val="1"/>
          <w:color w:val="auto"/>
        </w:rPr>
      </w:pPr>
    </w:p>
    <w:p>
      <w:pPr>
        <w:ind w:left="629" w:hanging="201"/>
        <w:spacing w:after="0"/>
        <w:tabs>
          <w:tab w:leader="none" w:pos="629" w:val="left"/>
        </w:tabs>
        <w:numPr>
          <w:ilvl w:val="0"/>
          <w:numId w:val="27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means NGM Biopharmaceuticals, Inc., a Delaware corporation, and any successor corporation thereto.</w:t>
      </w:r>
    </w:p>
    <w:p>
      <w:pPr>
        <w:sectPr>
          <w:pgSz w:w="11900" w:h="16838" w:orient="portrait"/>
          <w:cols w:equalWidth="0" w:num="1">
            <w:col w:w="10669"/>
          </w:cols>
          <w:pgMar w:left="611" w:top="271" w:right="619" w:bottom="1440" w:gutter="0" w:footer="0" w:header="0"/>
        </w:sectPr>
      </w:pPr>
    </w:p>
    <w:bookmarkStart w:id="367" w:name="page368"/>
    <w:bookmarkEnd w:id="367"/>
    <w:p>
      <w:pPr>
        <w:ind w:left="-419" w:right="80" w:firstLine="419"/>
        <w:spacing w:after="0" w:line="267" w:lineRule="auto"/>
        <w:tabs>
          <w:tab w:leader="none" w:pos="227" w:val="left"/>
        </w:tabs>
        <w:numPr>
          <w:ilvl w:val="0"/>
          <w:numId w:val="27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“Contributions</w:t>
      </w:r>
      <w:r>
        <w:rPr>
          <w:rFonts w:ascii="Arial" w:cs="Arial" w:eastAsia="Arial" w:hAnsi="Arial"/>
          <w:sz w:val="17"/>
          <w:szCs w:val="17"/>
          <w:color w:val="auto"/>
        </w:rPr>
        <w:t>” means the payroll deductions and/or other payments specifically provided for in the Offering that a Participant contributes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fund the exercise of a Purchase Right. A Participant may make additional payments into his or her account if specifically provided for in the Offering, and then only if the Participant has not already contributed the maximum permitted amount of payroll deductions and/or other payments during the Offering.</w:t>
      </w:r>
    </w:p>
    <w:p>
      <w:pPr>
        <w:spacing w:after="0" w:line="72" w:lineRule="exact"/>
        <w:rPr>
          <w:rFonts w:ascii="Arial" w:cs="Arial" w:eastAsia="Arial" w:hAnsi="Arial"/>
          <w:sz w:val="17"/>
          <w:szCs w:val="17"/>
          <w:b w:val="1"/>
          <w:bCs w:val="1"/>
          <w:color w:val="auto"/>
        </w:rPr>
      </w:pPr>
    </w:p>
    <w:p>
      <w:pPr>
        <w:ind w:left="-419" w:right="360" w:firstLine="419"/>
        <w:spacing w:after="0" w:line="289" w:lineRule="auto"/>
        <w:tabs>
          <w:tab w:leader="none" w:pos="265" w:val="left"/>
        </w:tabs>
        <w:numPr>
          <w:ilvl w:val="0"/>
          <w:numId w:val="27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Corporate Transaction</w:t>
      </w:r>
      <w:r>
        <w:rPr>
          <w:rFonts w:ascii="Arial" w:cs="Arial" w:eastAsia="Arial" w:hAnsi="Arial"/>
          <w:sz w:val="17"/>
          <w:szCs w:val="17"/>
          <w:color w:val="auto"/>
        </w:rPr>
        <w:t>” means the consummation, in a single transaction or in a series of related transactions, of any one or more of the following events:</w:t>
      </w:r>
    </w:p>
    <w:p>
      <w:pPr>
        <w:spacing w:after="0" w:line="53" w:lineRule="exact"/>
        <w:rPr>
          <w:rFonts w:ascii="Arial" w:cs="Arial" w:eastAsia="Arial" w:hAnsi="Arial"/>
          <w:sz w:val="17"/>
          <w:szCs w:val="17"/>
          <w:b w:val="1"/>
          <w:bCs w:val="1"/>
          <w:color w:val="auto"/>
        </w:rPr>
      </w:pPr>
    </w:p>
    <w:p>
      <w:pPr>
        <w:ind w:left="-419" w:right="280" w:firstLine="846"/>
        <w:spacing w:after="0" w:line="289" w:lineRule="auto"/>
        <w:tabs>
          <w:tab w:leader="none" w:pos="644" w:val="left"/>
        </w:tabs>
        <w:numPr>
          <w:ilvl w:val="1"/>
          <w:numId w:val="275"/>
        </w:numPr>
        <w:rPr>
          <w:rFonts w:ascii="Arial" w:cs="Arial" w:eastAsia="Arial" w:hAnsi="Arial"/>
          <w:sz w:val="17"/>
          <w:szCs w:val="17"/>
          <w:b w:val="1"/>
          <w:bCs w:val="1"/>
          <w:color w:val="auto"/>
        </w:rPr>
      </w:pPr>
      <w:r>
        <w:rPr>
          <w:rFonts w:ascii="Arial" w:cs="Arial" w:eastAsia="Arial" w:hAnsi="Arial"/>
          <w:sz w:val="17"/>
          <w:szCs w:val="17"/>
          <w:color w:val="auto"/>
        </w:rPr>
        <w:t>a sale or other disposition of all or substantially all, as determined by the Board in its sole discretion, of the consolidated assets of the Company and its Subsidiaries;</w:t>
      </w:r>
    </w:p>
    <w:p>
      <w:pPr>
        <w:spacing w:after="0" w:line="53" w:lineRule="exact"/>
        <w:rPr>
          <w:rFonts w:ascii="Arial" w:cs="Arial" w:eastAsia="Arial" w:hAnsi="Arial"/>
          <w:sz w:val="17"/>
          <w:szCs w:val="17"/>
          <w:b w:val="1"/>
          <w:bCs w:val="1"/>
          <w:color w:val="auto"/>
        </w:rPr>
      </w:pPr>
    </w:p>
    <w:p>
      <w:pPr>
        <w:ind w:left="681" w:hanging="254"/>
        <w:spacing w:after="0"/>
        <w:tabs>
          <w:tab w:leader="none" w:pos="681" w:val="left"/>
        </w:tabs>
        <w:numPr>
          <w:ilvl w:val="1"/>
          <w:numId w:val="275"/>
        </w:numPr>
        <w:rPr>
          <w:rFonts w:ascii="Arial" w:cs="Arial" w:eastAsia="Arial" w:hAnsi="Arial"/>
          <w:sz w:val="17"/>
          <w:szCs w:val="17"/>
          <w:b w:val="1"/>
          <w:bCs w:val="1"/>
          <w:color w:val="auto"/>
        </w:rPr>
      </w:pPr>
      <w:r>
        <w:rPr>
          <w:rFonts w:ascii="Arial" w:cs="Arial" w:eastAsia="Arial" w:hAnsi="Arial"/>
          <w:sz w:val="17"/>
          <w:szCs w:val="17"/>
          <w:color w:val="auto"/>
        </w:rPr>
        <w:t>a sale or other disposition of more than 50% of the outstanding securities of the Company;</w:t>
      </w:r>
    </w:p>
    <w:p>
      <w:pPr>
        <w:spacing w:after="0" w:line="118" w:lineRule="exact"/>
        <w:rPr>
          <w:rFonts w:ascii="Arial" w:cs="Arial" w:eastAsia="Arial" w:hAnsi="Arial"/>
          <w:sz w:val="17"/>
          <w:szCs w:val="17"/>
          <w:b w:val="1"/>
          <w:bCs w:val="1"/>
          <w:color w:val="auto"/>
        </w:rPr>
      </w:pPr>
    </w:p>
    <w:p>
      <w:pPr>
        <w:ind w:left="741" w:hanging="314"/>
        <w:spacing w:after="0"/>
        <w:tabs>
          <w:tab w:leader="none" w:pos="741" w:val="left"/>
        </w:tabs>
        <w:numPr>
          <w:ilvl w:val="1"/>
          <w:numId w:val="275"/>
        </w:numPr>
        <w:rPr>
          <w:rFonts w:ascii="Arial" w:cs="Arial" w:eastAsia="Arial" w:hAnsi="Arial"/>
          <w:sz w:val="17"/>
          <w:szCs w:val="17"/>
          <w:b w:val="1"/>
          <w:bCs w:val="1"/>
          <w:color w:val="auto"/>
        </w:rPr>
      </w:pPr>
      <w:r>
        <w:rPr>
          <w:rFonts w:ascii="Arial" w:cs="Arial" w:eastAsia="Arial" w:hAnsi="Arial"/>
          <w:sz w:val="17"/>
          <w:szCs w:val="17"/>
          <w:color w:val="auto"/>
        </w:rPr>
        <w:t>a merger, consolidation or similar transaction following which the Company is not the surviving corporation; or</w:t>
      </w:r>
    </w:p>
    <w:p>
      <w:pPr>
        <w:spacing w:after="0" w:line="118" w:lineRule="exact"/>
        <w:rPr>
          <w:rFonts w:ascii="Arial" w:cs="Arial" w:eastAsia="Arial" w:hAnsi="Arial"/>
          <w:sz w:val="17"/>
          <w:szCs w:val="17"/>
          <w:b w:val="1"/>
          <w:bCs w:val="1"/>
          <w:color w:val="auto"/>
        </w:rPr>
      </w:pPr>
    </w:p>
    <w:p>
      <w:pPr>
        <w:ind w:left="-419" w:right="320" w:firstLine="846"/>
        <w:spacing w:after="0" w:line="273" w:lineRule="auto"/>
        <w:tabs>
          <w:tab w:leader="none" w:pos="732" w:val="left"/>
        </w:tabs>
        <w:numPr>
          <w:ilvl w:val="1"/>
          <w:numId w:val="275"/>
        </w:numPr>
        <w:rPr>
          <w:rFonts w:ascii="Arial" w:cs="Arial" w:eastAsia="Arial" w:hAnsi="Arial"/>
          <w:sz w:val="17"/>
          <w:szCs w:val="17"/>
          <w:b w:val="1"/>
          <w:bCs w:val="1"/>
          <w:color w:val="auto"/>
        </w:rPr>
      </w:pPr>
      <w:r>
        <w:rPr>
          <w:rFonts w:ascii="Arial" w:cs="Arial" w:eastAsia="Arial" w:hAnsi="Arial"/>
          <w:sz w:val="17"/>
          <w:szCs w:val="17"/>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66" w:lineRule="exact"/>
        <w:rPr>
          <w:rFonts w:ascii="Arial" w:cs="Arial" w:eastAsia="Arial" w:hAnsi="Arial"/>
          <w:sz w:val="17"/>
          <w:szCs w:val="17"/>
          <w:b w:val="1"/>
          <w:bCs w:val="1"/>
          <w:color w:val="auto"/>
        </w:rPr>
      </w:pPr>
    </w:p>
    <w:p>
      <w:pPr>
        <w:ind w:left="201" w:hanging="201"/>
        <w:spacing w:after="0"/>
        <w:tabs>
          <w:tab w:leader="none" w:pos="201" w:val="left"/>
        </w:tabs>
        <w:numPr>
          <w:ilvl w:val="0"/>
          <w:numId w:val="27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Designated 423 Corporation</w:t>
      </w:r>
      <w:r>
        <w:rPr>
          <w:rFonts w:ascii="Arial" w:cs="Arial" w:eastAsia="Arial" w:hAnsi="Arial"/>
          <w:sz w:val="17"/>
          <w:szCs w:val="17"/>
          <w:color w:val="auto"/>
        </w:rPr>
        <w:t>” means any Related Corporation selected by the Board as participating in the 423 Component.</w:t>
      </w:r>
    </w:p>
    <w:p>
      <w:pPr>
        <w:spacing w:after="0" w:line="118" w:lineRule="exact"/>
        <w:rPr>
          <w:rFonts w:ascii="Arial" w:cs="Arial" w:eastAsia="Arial" w:hAnsi="Arial"/>
          <w:sz w:val="17"/>
          <w:szCs w:val="17"/>
          <w:b w:val="1"/>
          <w:bCs w:val="1"/>
          <w:color w:val="auto"/>
        </w:rPr>
      </w:pPr>
    </w:p>
    <w:p>
      <w:pPr>
        <w:ind w:left="-419" w:right="220" w:firstLine="419"/>
        <w:spacing w:after="0" w:line="322" w:lineRule="auto"/>
        <w:tabs>
          <w:tab w:leader="none" w:pos="314" w:val="left"/>
        </w:tabs>
        <w:numPr>
          <w:ilvl w:val="0"/>
          <w:numId w:val="27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Designated Company</w:t>
      </w:r>
      <w:r>
        <w:rPr>
          <w:rFonts w:ascii="Arial" w:cs="Arial" w:eastAsia="Arial" w:hAnsi="Arial"/>
          <w:sz w:val="16"/>
          <w:szCs w:val="16"/>
          <w:color w:val="auto"/>
        </w:rPr>
        <w:t>” means any Designated Non-423 Corporation or Designated 423 Corporation, provided, however, that at any given time, a Related Corporation participating in the 423 Component shall not be a Related Corporation participating in the Non-423 Component.</w:t>
      </w:r>
    </w:p>
    <w:p>
      <w:pPr>
        <w:spacing w:after="0" w:line="30" w:lineRule="exact"/>
        <w:rPr>
          <w:rFonts w:ascii="Arial" w:cs="Arial" w:eastAsia="Arial" w:hAnsi="Arial"/>
          <w:sz w:val="16"/>
          <w:szCs w:val="16"/>
          <w:b w:val="1"/>
          <w:bCs w:val="1"/>
          <w:color w:val="auto"/>
        </w:rPr>
      </w:pPr>
    </w:p>
    <w:p>
      <w:pPr>
        <w:ind w:left="-419" w:right="580" w:firstLine="419"/>
        <w:spacing w:after="0" w:line="289" w:lineRule="auto"/>
        <w:tabs>
          <w:tab w:leader="none" w:pos="265" w:val="left"/>
        </w:tabs>
        <w:numPr>
          <w:ilvl w:val="0"/>
          <w:numId w:val="27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Designated Non-423 Corporation</w:t>
      </w:r>
      <w:r>
        <w:rPr>
          <w:rFonts w:ascii="Arial" w:cs="Arial" w:eastAsia="Arial" w:hAnsi="Arial"/>
          <w:sz w:val="17"/>
          <w:szCs w:val="17"/>
          <w:color w:val="auto"/>
        </w:rPr>
        <w:t>” means any Related Corporation or Affiliate selected by the Board as participating in the Non-423 Component.</w:t>
      </w:r>
    </w:p>
    <w:p>
      <w:pPr>
        <w:spacing w:after="0" w:line="53" w:lineRule="exact"/>
        <w:rPr>
          <w:rFonts w:ascii="Arial" w:cs="Arial" w:eastAsia="Arial" w:hAnsi="Arial"/>
          <w:sz w:val="17"/>
          <w:szCs w:val="17"/>
          <w:b w:val="1"/>
          <w:bCs w:val="1"/>
          <w:color w:val="auto"/>
        </w:rPr>
      </w:pPr>
    </w:p>
    <w:p>
      <w:pPr>
        <w:ind w:left="241" w:hanging="241"/>
        <w:spacing w:after="0"/>
        <w:tabs>
          <w:tab w:leader="none" w:pos="241" w:val="left"/>
        </w:tabs>
        <w:numPr>
          <w:ilvl w:val="0"/>
          <w:numId w:val="27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Director</w:t>
      </w:r>
      <w:r>
        <w:rPr>
          <w:rFonts w:ascii="Arial" w:cs="Arial" w:eastAsia="Arial" w:hAnsi="Arial"/>
          <w:sz w:val="17"/>
          <w:szCs w:val="17"/>
          <w:color w:val="auto"/>
        </w:rPr>
        <w:t>” means a member of the Board.</w:t>
      </w:r>
    </w:p>
    <w:p>
      <w:pPr>
        <w:spacing w:after="0" w:line="118" w:lineRule="exact"/>
        <w:rPr>
          <w:rFonts w:ascii="Arial" w:cs="Arial" w:eastAsia="Arial" w:hAnsi="Arial"/>
          <w:sz w:val="17"/>
          <w:szCs w:val="17"/>
          <w:b w:val="1"/>
          <w:bCs w:val="1"/>
          <w:color w:val="auto"/>
        </w:rPr>
      </w:pPr>
    </w:p>
    <w:p>
      <w:pPr>
        <w:ind w:left="261" w:hanging="261"/>
        <w:spacing w:after="0"/>
        <w:tabs>
          <w:tab w:leader="none" w:pos="261" w:val="left"/>
        </w:tabs>
        <w:numPr>
          <w:ilvl w:val="0"/>
          <w:numId w:val="27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means the effective date of the Plan, as set forth in Section 15.</w:t>
      </w:r>
    </w:p>
    <w:p>
      <w:pPr>
        <w:spacing w:after="0" w:line="118" w:lineRule="exact"/>
        <w:rPr>
          <w:rFonts w:ascii="Arial" w:cs="Arial" w:eastAsia="Arial" w:hAnsi="Arial"/>
          <w:sz w:val="17"/>
          <w:szCs w:val="17"/>
          <w:b w:val="1"/>
          <w:bCs w:val="1"/>
          <w:color w:val="auto"/>
        </w:rPr>
      </w:pPr>
    </w:p>
    <w:p>
      <w:pPr>
        <w:ind w:left="-419" w:right="280" w:firstLine="419"/>
        <w:spacing w:after="0" w:line="322" w:lineRule="auto"/>
        <w:tabs>
          <w:tab w:leader="none" w:pos="265" w:val="left"/>
        </w:tabs>
        <w:numPr>
          <w:ilvl w:val="0"/>
          <w:numId w:val="27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Eligible Employee</w:t>
      </w:r>
      <w:r>
        <w:rPr>
          <w:rFonts w:ascii="Arial" w:cs="Arial" w:eastAsia="Arial" w:hAnsi="Arial"/>
          <w:sz w:val="16"/>
          <w:szCs w:val="16"/>
          <w:color w:val="auto"/>
        </w:rPr>
        <w:t>” means an Employee who meets the requirements set forth in the document(s) governing the Offering for eligibility to participate in the Offering, provided that such Employee also meets the requirements for eligibility to participate set forth in the Plan.</w:t>
      </w:r>
    </w:p>
    <w:p>
      <w:pPr>
        <w:spacing w:after="0" w:line="30" w:lineRule="exact"/>
        <w:rPr>
          <w:rFonts w:ascii="Arial" w:cs="Arial" w:eastAsia="Arial" w:hAnsi="Arial"/>
          <w:sz w:val="16"/>
          <w:szCs w:val="16"/>
          <w:b w:val="1"/>
          <w:bCs w:val="1"/>
          <w:color w:val="auto"/>
        </w:rPr>
      </w:pPr>
    </w:p>
    <w:p>
      <w:pPr>
        <w:ind w:left="-419" w:firstLine="419"/>
        <w:spacing w:after="0" w:line="273" w:lineRule="auto"/>
        <w:tabs>
          <w:tab w:leader="none" w:pos="246" w:val="left"/>
        </w:tabs>
        <w:numPr>
          <w:ilvl w:val="0"/>
          <w:numId w:val="27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Employee</w:t>
      </w:r>
      <w:r>
        <w:rPr>
          <w:rFonts w:ascii="Arial" w:cs="Arial" w:eastAsia="Arial" w:hAnsi="Arial"/>
          <w:sz w:val="17"/>
          <w:szCs w:val="17"/>
          <w:color w:val="auto"/>
        </w:rPr>
        <w:t>” means any person, including an Officer or Director, who is “employed” for purposes of Section 423(b)(4) of the Code by the Company or a Related Corporation (including an Affiliate). However, service solely as a Director, or payment of a fee for such services, will not cause a Director to be considered an “Employee” for purposes of the Plan.</w:t>
      </w:r>
    </w:p>
    <w:p>
      <w:pPr>
        <w:spacing w:after="0" w:line="66" w:lineRule="exact"/>
        <w:rPr>
          <w:rFonts w:ascii="Arial" w:cs="Arial" w:eastAsia="Arial" w:hAnsi="Arial"/>
          <w:sz w:val="17"/>
          <w:szCs w:val="17"/>
          <w:b w:val="1"/>
          <w:bCs w:val="1"/>
          <w:color w:val="auto"/>
        </w:rPr>
      </w:pPr>
    </w:p>
    <w:p>
      <w:pPr>
        <w:ind w:left="-419" w:right="80" w:firstLine="419"/>
        <w:spacing w:after="0" w:line="289" w:lineRule="auto"/>
        <w:tabs>
          <w:tab w:leader="none" w:pos="236" w:val="left"/>
        </w:tabs>
        <w:numPr>
          <w:ilvl w:val="0"/>
          <w:numId w:val="27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Employee Stock Purchase Plan</w:t>
      </w:r>
      <w:r>
        <w:rPr>
          <w:rFonts w:ascii="Arial" w:cs="Arial" w:eastAsia="Arial" w:hAnsi="Arial"/>
          <w:sz w:val="17"/>
          <w:szCs w:val="17"/>
          <w:color w:val="auto"/>
        </w:rPr>
        <w:t>” means a plan that grants Purchase Rights intended to be options issued under an “employee stock purchase plan,” as that term is defined in Section 423(b) of the Code.</w:t>
      </w:r>
    </w:p>
    <w:p>
      <w:pPr>
        <w:spacing w:after="0" w:line="53" w:lineRule="exact"/>
        <w:rPr>
          <w:rFonts w:ascii="Arial" w:cs="Arial" w:eastAsia="Arial" w:hAnsi="Arial"/>
          <w:sz w:val="17"/>
          <w:szCs w:val="17"/>
          <w:b w:val="1"/>
          <w:bCs w:val="1"/>
          <w:color w:val="auto"/>
        </w:rPr>
      </w:pPr>
    </w:p>
    <w:p>
      <w:pPr>
        <w:ind w:left="221" w:hanging="221"/>
        <w:spacing w:after="0"/>
        <w:tabs>
          <w:tab w:leader="none" w:pos="221" w:val="left"/>
        </w:tabs>
        <w:numPr>
          <w:ilvl w:val="0"/>
          <w:numId w:val="27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U.S. Securities Exchange Act of 1934, as amended and the rules and regulations promulgated thereunder.</w:t>
      </w:r>
    </w:p>
    <w:p>
      <w:pPr>
        <w:sectPr>
          <w:pgSz w:w="11900" w:h="16838" w:orient="portrait"/>
          <w:cols w:equalWidth="0" w:num="1">
            <w:col w:w="10221"/>
          </w:cols>
          <w:pgMar w:left="1039" w:top="272" w:right="639" w:bottom="1440" w:gutter="0" w:footer="0" w:header="0"/>
        </w:sectPr>
      </w:pPr>
    </w:p>
    <w:bookmarkStart w:id="368" w:name="page369"/>
    <w:bookmarkEnd w:id="368"/>
    <w:p>
      <w:pPr>
        <w:ind w:left="261" w:hanging="261"/>
        <w:spacing w:after="0"/>
        <w:tabs>
          <w:tab w:leader="none" w:pos="261" w:val="left"/>
        </w:tabs>
        <w:numPr>
          <w:ilvl w:val="0"/>
          <w:numId w:val="276"/>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means, as of any date, the value of the Common Stock determined as follows:</w:t>
      </w:r>
    </w:p>
    <w:p>
      <w:pPr>
        <w:spacing w:after="0" w:line="118" w:lineRule="exact"/>
        <w:rPr>
          <w:rFonts w:ascii="Arial" w:cs="Arial" w:eastAsia="Arial" w:hAnsi="Arial"/>
          <w:sz w:val="17"/>
          <w:szCs w:val="17"/>
          <w:b w:val="1"/>
          <w:bCs w:val="1"/>
          <w:color w:val="auto"/>
        </w:rPr>
      </w:pPr>
    </w:p>
    <w:p>
      <w:pPr>
        <w:ind w:left="-419" w:right="20" w:firstLine="846"/>
        <w:spacing w:after="0" w:line="285" w:lineRule="auto"/>
        <w:tabs>
          <w:tab w:leader="none" w:pos="644" w:val="left"/>
        </w:tabs>
        <w:numPr>
          <w:ilvl w:val="1"/>
          <w:numId w:val="276"/>
        </w:numPr>
        <w:rPr>
          <w:rFonts w:ascii="Arial" w:cs="Arial" w:eastAsia="Arial" w:hAnsi="Arial"/>
          <w:sz w:val="16"/>
          <w:szCs w:val="16"/>
          <w:b w:val="1"/>
          <w:bCs w:val="1"/>
          <w:color w:val="auto"/>
        </w:rPr>
      </w:pPr>
      <w:r>
        <w:rPr>
          <w:rFonts w:ascii="Arial" w:cs="Arial" w:eastAsia="Arial" w:hAnsi="Arial"/>
          <w:sz w:val="16"/>
          <w:szCs w:val="16"/>
          <w:color w:val="auto"/>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spacing w:after="0" w:line="59" w:lineRule="exact"/>
        <w:rPr>
          <w:rFonts w:ascii="Arial" w:cs="Arial" w:eastAsia="Arial" w:hAnsi="Arial"/>
          <w:sz w:val="16"/>
          <w:szCs w:val="16"/>
          <w:b w:val="1"/>
          <w:bCs w:val="1"/>
          <w:color w:val="auto"/>
        </w:rPr>
      </w:pPr>
    </w:p>
    <w:p>
      <w:pPr>
        <w:ind w:left="-419" w:right="740" w:firstLine="846"/>
        <w:spacing w:after="0" w:line="289" w:lineRule="auto"/>
        <w:tabs>
          <w:tab w:leader="none" w:pos="693" w:val="left"/>
        </w:tabs>
        <w:numPr>
          <w:ilvl w:val="1"/>
          <w:numId w:val="276"/>
        </w:numPr>
        <w:rPr>
          <w:rFonts w:ascii="Arial" w:cs="Arial" w:eastAsia="Arial" w:hAnsi="Arial"/>
          <w:sz w:val="17"/>
          <w:szCs w:val="17"/>
          <w:b w:val="1"/>
          <w:bCs w:val="1"/>
          <w:color w:val="auto"/>
        </w:rPr>
      </w:pPr>
      <w:r>
        <w:rPr>
          <w:rFonts w:ascii="Arial" w:cs="Arial" w:eastAsia="Arial" w:hAnsi="Arial"/>
          <w:sz w:val="17"/>
          <w:szCs w:val="17"/>
          <w:color w:val="auto"/>
        </w:rPr>
        <w:t>In the absence of such markets for the Common Stock, the Fair Market Value will be determined by the Board in good faith in compliance with applicable laws and regulations and in a manner that complies with Sections 409A of the Code.</w:t>
      </w:r>
    </w:p>
    <w:p>
      <w:pPr>
        <w:spacing w:after="0" w:line="53" w:lineRule="exact"/>
        <w:rPr>
          <w:rFonts w:ascii="Arial" w:cs="Arial" w:eastAsia="Arial" w:hAnsi="Arial"/>
          <w:sz w:val="17"/>
          <w:szCs w:val="17"/>
          <w:b w:val="1"/>
          <w:bCs w:val="1"/>
          <w:color w:val="auto"/>
        </w:rPr>
      </w:pPr>
    </w:p>
    <w:p>
      <w:pPr>
        <w:ind w:left="-419" w:right="120" w:firstLine="846"/>
        <w:spacing w:after="0" w:line="273" w:lineRule="auto"/>
        <w:tabs>
          <w:tab w:leader="none" w:pos="741" w:val="left"/>
        </w:tabs>
        <w:numPr>
          <w:ilvl w:val="1"/>
          <w:numId w:val="276"/>
        </w:numPr>
        <w:rPr>
          <w:rFonts w:ascii="Arial" w:cs="Arial" w:eastAsia="Arial" w:hAnsi="Arial"/>
          <w:sz w:val="17"/>
          <w:szCs w:val="17"/>
          <w:b w:val="1"/>
          <w:bCs w:val="1"/>
          <w:color w:val="auto"/>
        </w:rPr>
      </w:pPr>
      <w:r>
        <w:rPr>
          <w:rFonts w:ascii="Arial" w:cs="Arial" w:eastAsia="Arial" w:hAnsi="Arial"/>
          <w:sz w:val="17"/>
          <w:szCs w:val="17"/>
          <w:color w:val="auto"/>
        </w:rPr>
        <w:t>Notwithstanding the foregoing, for any Offering that commences on the IPO Date, the Fair Market Value of the shares of Common Stock on the Offering Date will be the price per share at which shares are first sold to the public in the Company’s initial public offering as specified in the final prospectus for that initial public offering.</w:t>
      </w:r>
    </w:p>
    <w:p>
      <w:pPr>
        <w:spacing w:after="0" w:line="66" w:lineRule="exact"/>
        <w:rPr>
          <w:rFonts w:ascii="Arial" w:cs="Arial" w:eastAsia="Arial" w:hAnsi="Arial"/>
          <w:sz w:val="17"/>
          <w:szCs w:val="17"/>
          <w:b w:val="1"/>
          <w:bCs w:val="1"/>
          <w:color w:val="auto"/>
        </w:rPr>
      </w:pPr>
    </w:p>
    <w:p>
      <w:pPr>
        <w:ind w:left="-419" w:firstLine="419"/>
        <w:spacing w:after="0" w:line="289" w:lineRule="auto"/>
        <w:tabs>
          <w:tab w:leader="none" w:pos="256" w:val="left"/>
        </w:tabs>
        <w:numPr>
          <w:ilvl w:val="0"/>
          <w:numId w:val="27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IPO Date</w:t>
      </w:r>
      <w:r>
        <w:rPr>
          <w:rFonts w:ascii="Arial" w:cs="Arial" w:eastAsia="Arial" w:hAnsi="Arial"/>
          <w:sz w:val="17"/>
          <w:szCs w:val="17"/>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53" w:lineRule="exact"/>
        <w:rPr>
          <w:rFonts w:ascii="Arial" w:cs="Arial" w:eastAsia="Arial" w:hAnsi="Arial"/>
          <w:sz w:val="17"/>
          <w:szCs w:val="17"/>
          <w:b w:val="1"/>
          <w:bCs w:val="1"/>
          <w:color w:val="auto"/>
        </w:rPr>
      </w:pPr>
    </w:p>
    <w:p>
      <w:pPr>
        <w:ind w:left="-419" w:right="500" w:firstLine="419"/>
        <w:spacing w:after="0" w:line="289" w:lineRule="auto"/>
        <w:tabs>
          <w:tab w:leader="none" w:pos="294" w:val="left"/>
        </w:tabs>
        <w:numPr>
          <w:ilvl w:val="0"/>
          <w:numId w:val="27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Non-423 Component</w:t>
      </w:r>
      <w:r>
        <w:rPr>
          <w:rFonts w:ascii="Arial" w:cs="Arial" w:eastAsia="Arial" w:hAnsi="Arial"/>
          <w:sz w:val="17"/>
          <w:szCs w:val="17"/>
          <w:color w:val="auto"/>
        </w:rPr>
        <w:t>” means the part of the Plan, which excludes the 423 Component, pursuant to which Purchase Rights that are not intended to satisfy the requirements for an Employee Stock Purchase Plan may be granted to Eligible Employees.</w:t>
      </w:r>
    </w:p>
    <w:p>
      <w:pPr>
        <w:spacing w:after="0" w:line="53" w:lineRule="exact"/>
        <w:rPr>
          <w:rFonts w:ascii="Arial" w:cs="Arial" w:eastAsia="Arial" w:hAnsi="Arial"/>
          <w:sz w:val="17"/>
          <w:szCs w:val="17"/>
          <w:b w:val="1"/>
          <w:bCs w:val="1"/>
          <w:color w:val="auto"/>
        </w:rPr>
      </w:pPr>
    </w:p>
    <w:p>
      <w:pPr>
        <w:jc w:val="both"/>
        <w:ind w:left="-419" w:right="160" w:firstLine="419"/>
        <w:spacing w:after="0" w:line="273" w:lineRule="auto"/>
        <w:tabs>
          <w:tab w:leader="none" w:pos="256" w:val="left"/>
        </w:tabs>
        <w:numPr>
          <w:ilvl w:val="0"/>
          <w:numId w:val="27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means the grant to Eligible Employees of Purchase Rights, with the exercise of those Purchase Rights automatically occurring at the end of one or more Purchase Periods. The terms and conditions of an Offering will generally be set forth in the “</w:t>
      </w:r>
      <w:r>
        <w:rPr>
          <w:rFonts w:ascii="Arial" w:cs="Arial" w:eastAsia="Arial" w:hAnsi="Arial"/>
          <w:sz w:val="17"/>
          <w:szCs w:val="17"/>
          <w:b w:val="1"/>
          <w:bCs w:val="1"/>
          <w:i w:val="1"/>
          <w:iCs w:val="1"/>
          <w:color w:val="auto"/>
        </w:rPr>
        <w:t>Offering Document</w:t>
      </w:r>
      <w:r>
        <w:rPr>
          <w:rFonts w:ascii="Arial" w:cs="Arial" w:eastAsia="Arial" w:hAnsi="Arial"/>
          <w:sz w:val="17"/>
          <w:szCs w:val="17"/>
          <w:color w:val="auto"/>
        </w:rPr>
        <w:t>” approved by the Board for that Offering.</w:t>
      </w:r>
    </w:p>
    <w:p>
      <w:pPr>
        <w:spacing w:after="0" w:line="66" w:lineRule="exact"/>
        <w:rPr>
          <w:rFonts w:ascii="Arial" w:cs="Arial" w:eastAsia="Arial" w:hAnsi="Arial"/>
          <w:sz w:val="17"/>
          <w:szCs w:val="17"/>
          <w:b w:val="1"/>
          <w:bCs w:val="1"/>
          <w:color w:val="auto"/>
        </w:rPr>
      </w:pPr>
    </w:p>
    <w:p>
      <w:pPr>
        <w:ind w:left="241" w:hanging="241"/>
        <w:spacing w:after="0"/>
        <w:tabs>
          <w:tab w:leader="none" w:pos="241" w:val="left"/>
        </w:tabs>
        <w:numPr>
          <w:ilvl w:val="0"/>
          <w:numId w:val="27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Offering Date</w:t>
      </w:r>
      <w:r>
        <w:rPr>
          <w:rFonts w:ascii="Arial" w:cs="Arial" w:eastAsia="Arial" w:hAnsi="Arial"/>
          <w:sz w:val="17"/>
          <w:szCs w:val="17"/>
          <w:color w:val="auto"/>
        </w:rPr>
        <w:t>” means a date selected by the Board for an Offering to commence.</w:t>
      </w:r>
    </w:p>
    <w:p>
      <w:pPr>
        <w:spacing w:after="0" w:line="118" w:lineRule="exact"/>
        <w:rPr>
          <w:rFonts w:ascii="Arial" w:cs="Arial" w:eastAsia="Arial" w:hAnsi="Arial"/>
          <w:sz w:val="17"/>
          <w:szCs w:val="17"/>
          <w:b w:val="1"/>
          <w:bCs w:val="1"/>
          <w:color w:val="auto"/>
        </w:rPr>
      </w:pPr>
    </w:p>
    <w:p>
      <w:pPr>
        <w:ind w:left="-419" w:right="440" w:firstLine="419"/>
        <w:spacing w:after="0" w:line="289" w:lineRule="auto"/>
        <w:tabs>
          <w:tab w:leader="none" w:pos="246" w:val="left"/>
        </w:tabs>
        <w:numPr>
          <w:ilvl w:val="0"/>
          <w:numId w:val="27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Officer</w:t>
      </w:r>
      <w:r>
        <w:rPr>
          <w:rFonts w:ascii="Arial" w:cs="Arial" w:eastAsia="Arial" w:hAnsi="Arial"/>
          <w:sz w:val="17"/>
          <w:szCs w:val="17"/>
          <w:color w:val="auto"/>
        </w:rPr>
        <w:t>” means a person who is an officer of the Company or a Related Corporation or Affiliate within the meaning of Section 16 of the Exchange Act.</w:t>
      </w:r>
    </w:p>
    <w:p>
      <w:pPr>
        <w:spacing w:after="0" w:line="53" w:lineRule="exact"/>
        <w:rPr>
          <w:sz w:val="20"/>
          <w:szCs w:val="20"/>
          <w:color w:val="auto"/>
        </w:rPr>
      </w:pPr>
    </w:p>
    <w:p>
      <w:pPr>
        <w:ind w:left="341" w:hanging="341"/>
        <w:spacing w:after="0"/>
        <w:tabs>
          <w:tab w:leader="none" w:pos="341" w:val="left"/>
        </w:tabs>
        <w:numPr>
          <w:ilvl w:val="0"/>
          <w:numId w:val="27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means an Eligible Employee who holds an outstanding Purchase Right.</w:t>
      </w:r>
    </w:p>
    <w:p>
      <w:pPr>
        <w:spacing w:after="0" w:line="118" w:lineRule="exact"/>
        <w:rPr>
          <w:rFonts w:ascii="Arial" w:cs="Arial" w:eastAsia="Arial" w:hAnsi="Arial"/>
          <w:sz w:val="17"/>
          <w:szCs w:val="17"/>
          <w:b w:val="1"/>
          <w:bCs w:val="1"/>
          <w:color w:val="auto"/>
        </w:rPr>
      </w:pPr>
    </w:p>
    <w:p>
      <w:pPr>
        <w:ind w:left="361" w:hanging="361"/>
        <w:spacing w:after="0"/>
        <w:tabs>
          <w:tab w:leader="none" w:pos="361" w:val="left"/>
        </w:tabs>
        <w:numPr>
          <w:ilvl w:val="0"/>
          <w:numId w:val="27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Plan</w:t>
      </w:r>
      <w:r>
        <w:rPr>
          <w:rFonts w:ascii="Arial" w:cs="Arial" w:eastAsia="Arial" w:hAnsi="Arial"/>
          <w:sz w:val="17"/>
          <w:szCs w:val="17"/>
          <w:color w:val="auto"/>
        </w:rPr>
        <w:t>” means this NGM Biopharmaceuticals, Inc. 2019 Employee Stock Purchase Plan, as amended from time to time.</w:t>
      </w:r>
    </w:p>
    <w:p>
      <w:pPr>
        <w:spacing w:after="0" w:line="118" w:lineRule="exact"/>
        <w:rPr>
          <w:rFonts w:ascii="Arial" w:cs="Arial" w:eastAsia="Arial" w:hAnsi="Arial"/>
          <w:sz w:val="17"/>
          <w:szCs w:val="17"/>
          <w:b w:val="1"/>
          <w:bCs w:val="1"/>
          <w:color w:val="auto"/>
        </w:rPr>
      </w:pPr>
    </w:p>
    <w:p>
      <w:pPr>
        <w:ind w:left="-419" w:right="440" w:firstLine="419"/>
        <w:spacing w:after="0" w:line="289" w:lineRule="auto"/>
        <w:tabs>
          <w:tab w:leader="none" w:pos="323" w:val="left"/>
        </w:tabs>
        <w:numPr>
          <w:ilvl w:val="0"/>
          <w:numId w:val="27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Purchase Date</w:t>
      </w:r>
      <w:r>
        <w:rPr>
          <w:rFonts w:ascii="Arial" w:cs="Arial" w:eastAsia="Arial" w:hAnsi="Arial"/>
          <w:sz w:val="17"/>
          <w:szCs w:val="17"/>
          <w:color w:val="auto"/>
        </w:rPr>
        <w:t>” means one or more dates during an Offering selected by the Board on which Purchase Rights will be exercised and on which purchases of shares of Common Stock will be carried out in accordance with such Offering.</w:t>
      </w:r>
    </w:p>
    <w:p>
      <w:pPr>
        <w:spacing w:after="0" w:line="53" w:lineRule="exact"/>
        <w:rPr>
          <w:rFonts w:ascii="Arial" w:cs="Arial" w:eastAsia="Arial" w:hAnsi="Arial"/>
          <w:sz w:val="17"/>
          <w:szCs w:val="17"/>
          <w:b w:val="1"/>
          <w:bCs w:val="1"/>
          <w:color w:val="auto"/>
        </w:rPr>
      </w:pPr>
    </w:p>
    <w:p>
      <w:pPr>
        <w:ind w:left="-419" w:firstLine="419"/>
        <w:spacing w:after="0" w:line="289" w:lineRule="auto"/>
        <w:tabs>
          <w:tab w:leader="none" w:pos="362" w:val="left"/>
        </w:tabs>
        <w:numPr>
          <w:ilvl w:val="0"/>
          <w:numId w:val="27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Purchase Period</w:t>
      </w:r>
      <w:r>
        <w:rPr>
          <w:rFonts w:ascii="Arial" w:cs="Arial" w:eastAsia="Arial" w:hAnsi="Arial"/>
          <w:sz w:val="17"/>
          <w:szCs w:val="17"/>
          <w:color w:val="auto"/>
        </w:rPr>
        <w:t>” means a period of time specified within an Offering, generally beginning on the Offering Date or on the first Trading Day following a Purchase Date, and ending on a Purchase Date. An Offering may consist of one or more Purchase Periods.</w:t>
      </w:r>
    </w:p>
    <w:p>
      <w:pPr>
        <w:sectPr>
          <w:pgSz w:w="11900" w:h="16838" w:orient="portrait"/>
          <w:cols w:equalWidth="0" w:num="1">
            <w:col w:w="10241"/>
          </w:cols>
          <w:pgMar w:left="1039" w:top="271" w:right="619" w:bottom="1440" w:gutter="0" w:footer="0" w:header="0"/>
        </w:sectPr>
      </w:pPr>
    </w:p>
    <w:bookmarkStart w:id="369" w:name="page370"/>
    <w:bookmarkEnd w:id="369"/>
    <w:p>
      <w:pPr>
        <w:ind w:left="321" w:hanging="321"/>
        <w:spacing w:after="0"/>
        <w:tabs>
          <w:tab w:leader="none" w:pos="321" w:val="left"/>
        </w:tabs>
        <w:numPr>
          <w:ilvl w:val="0"/>
          <w:numId w:val="278"/>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b w:val="1"/>
          <w:bCs w:val="1"/>
          <w:i w:val="1"/>
          <w:iCs w:val="1"/>
          <w:color w:val="auto"/>
        </w:rPr>
        <w:t>Purchase Right</w:t>
      </w:r>
      <w:r>
        <w:rPr>
          <w:rFonts w:ascii="Arial" w:cs="Arial" w:eastAsia="Arial" w:hAnsi="Arial"/>
          <w:sz w:val="17"/>
          <w:szCs w:val="17"/>
          <w:color w:val="auto"/>
        </w:rPr>
        <w:t>” means an option to purchase shares of Common Stock granted pursuant to the Plan.</w:t>
      </w:r>
    </w:p>
    <w:p>
      <w:pPr>
        <w:spacing w:after="0" w:line="118" w:lineRule="exact"/>
        <w:rPr>
          <w:rFonts w:ascii="Arial" w:cs="Arial" w:eastAsia="Arial" w:hAnsi="Arial"/>
          <w:sz w:val="17"/>
          <w:szCs w:val="17"/>
          <w:b w:val="1"/>
          <w:bCs w:val="1"/>
          <w:color w:val="auto"/>
        </w:rPr>
      </w:pPr>
    </w:p>
    <w:p>
      <w:pPr>
        <w:ind w:left="-419" w:firstLine="419"/>
        <w:spacing w:after="0" w:line="289" w:lineRule="auto"/>
        <w:tabs>
          <w:tab w:leader="none" w:pos="285" w:val="left"/>
        </w:tabs>
        <w:numPr>
          <w:ilvl w:val="0"/>
          <w:numId w:val="27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Related Corporation</w:t>
      </w:r>
      <w:r>
        <w:rPr>
          <w:rFonts w:ascii="Arial" w:cs="Arial" w:eastAsia="Arial" w:hAnsi="Arial"/>
          <w:sz w:val="17"/>
          <w:szCs w:val="17"/>
          <w:color w:val="auto"/>
        </w:rPr>
        <w:t>” means any “parent corporation” or “subsidiary corporation” of the Company whether now or subsequently established, as those terms are defined in Sections 424(e) and (f), respectively, of the Code.</w:t>
      </w:r>
    </w:p>
    <w:p>
      <w:pPr>
        <w:spacing w:after="0" w:line="53" w:lineRule="exact"/>
        <w:rPr>
          <w:rFonts w:ascii="Arial" w:cs="Arial" w:eastAsia="Arial" w:hAnsi="Arial"/>
          <w:sz w:val="17"/>
          <w:szCs w:val="17"/>
          <w:b w:val="1"/>
          <w:bCs w:val="1"/>
          <w:color w:val="auto"/>
        </w:rPr>
      </w:pPr>
    </w:p>
    <w:p>
      <w:pPr>
        <w:ind w:left="341" w:hanging="341"/>
        <w:spacing w:after="0"/>
        <w:tabs>
          <w:tab w:leader="none" w:pos="341" w:val="left"/>
        </w:tabs>
        <w:numPr>
          <w:ilvl w:val="0"/>
          <w:numId w:val="27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means the U.S. Securities Act of 1933, as amended.</w:t>
      </w:r>
    </w:p>
    <w:p>
      <w:pPr>
        <w:spacing w:after="0" w:line="118" w:lineRule="exact"/>
        <w:rPr>
          <w:rFonts w:ascii="Arial" w:cs="Arial" w:eastAsia="Arial" w:hAnsi="Arial"/>
          <w:sz w:val="17"/>
          <w:szCs w:val="17"/>
          <w:b w:val="1"/>
          <w:bCs w:val="1"/>
          <w:color w:val="auto"/>
        </w:rPr>
      </w:pPr>
    </w:p>
    <w:p>
      <w:pPr>
        <w:ind w:left="-419" w:right="200" w:firstLine="419"/>
        <w:spacing w:after="0" w:line="289" w:lineRule="auto"/>
        <w:tabs>
          <w:tab w:leader="none" w:pos="362" w:val="left"/>
        </w:tabs>
        <w:numPr>
          <w:ilvl w:val="0"/>
          <w:numId w:val="27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Tax-Related Items</w:t>
      </w:r>
      <w:r>
        <w:rPr>
          <w:rFonts w:ascii="Arial" w:cs="Arial" w:eastAsia="Arial" w:hAnsi="Arial"/>
          <w:sz w:val="17"/>
          <w:szCs w:val="17"/>
          <w:color w:val="auto"/>
        </w:rPr>
        <w:t>” means any income tax, social insurance, payroll tax, fringe benefit tax, payment on account or other tax-related items arising in relation to a Participant’s participation in the Plan.</w:t>
      </w:r>
    </w:p>
    <w:p>
      <w:pPr>
        <w:spacing w:after="0" w:line="53" w:lineRule="exact"/>
        <w:rPr>
          <w:rFonts w:ascii="Arial" w:cs="Arial" w:eastAsia="Arial" w:hAnsi="Arial"/>
          <w:sz w:val="17"/>
          <w:szCs w:val="17"/>
          <w:b w:val="1"/>
          <w:bCs w:val="1"/>
          <w:color w:val="auto"/>
        </w:rPr>
      </w:pPr>
    </w:p>
    <w:p>
      <w:pPr>
        <w:ind w:left="-419" w:right="120" w:firstLine="419"/>
        <w:spacing w:after="0" w:line="359" w:lineRule="auto"/>
        <w:tabs>
          <w:tab w:leader="none" w:pos="265" w:val="left"/>
        </w:tabs>
        <w:numPr>
          <w:ilvl w:val="0"/>
          <w:numId w:val="278"/>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Trading Day</w:t>
      </w:r>
      <w:r>
        <w:rPr>
          <w:rFonts w:ascii="Arial" w:cs="Arial" w:eastAsia="Arial" w:hAnsi="Arial"/>
          <w:sz w:val="15"/>
          <w:szCs w:val="15"/>
          <w:color w:val="auto"/>
        </w:rPr>
        <w:t>” means any day on which the exchange(s) or market(s) on which shares of Common Stock are listed, including but not limited to the NYSE, Nasdaq Global Select Market, the Nasdaq Global Market, the Nasdaq Capital Market or any successors thereto, is open for trading.</w:t>
      </w:r>
    </w:p>
    <w:p>
      <w:pPr>
        <w:sectPr>
          <w:pgSz w:w="11900" w:h="16838" w:orient="portrait"/>
          <w:cols w:equalWidth="0" w:num="1">
            <w:col w:w="10241"/>
          </w:cols>
          <w:pgMar w:left="1039" w:top="271" w:right="619" w:bottom="1440" w:gutter="0" w:footer="0" w:header="0"/>
        </w:sectPr>
      </w:pPr>
    </w:p>
    <w:bookmarkStart w:id="370" w:name="page371"/>
    <w:bookmarkEnd w:id="370"/>
    <w:p>
      <w:pPr>
        <w:jc w:val="right"/>
        <w:spacing w:after="0"/>
        <w:rPr>
          <w:sz w:val="20"/>
          <w:szCs w:val="20"/>
          <w:color w:val="auto"/>
        </w:rPr>
      </w:pPr>
      <w:r>
        <w:rPr>
          <w:rFonts w:ascii="Arial" w:cs="Arial" w:eastAsia="Arial" w:hAnsi="Arial"/>
          <w:sz w:val="17"/>
          <w:szCs w:val="17"/>
          <w:b w:val="1"/>
          <w:bCs w:val="1"/>
          <w:color w:val="auto"/>
        </w:rPr>
        <w:t>Exhibit 10.8</w:t>
      </w:r>
    </w:p>
    <w:p>
      <w:pPr>
        <w:spacing w:after="0" w:line="224" w:lineRule="exact"/>
        <w:rPr>
          <w:sz w:val="20"/>
          <w:szCs w:val="20"/>
          <w:color w:val="auto"/>
        </w:rPr>
      </w:pPr>
    </w:p>
    <w:p>
      <w:pPr>
        <w:jc w:val="center"/>
        <w:ind w:right="-8"/>
        <w:spacing w:after="0"/>
        <w:rPr>
          <w:sz w:val="20"/>
          <w:szCs w:val="20"/>
          <w:color w:val="auto"/>
        </w:rPr>
      </w:pPr>
      <w:r>
        <w:rPr>
          <w:rFonts w:ascii="Arial" w:cs="Arial" w:eastAsia="Arial" w:hAnsi="Arial"/>
          <w:sz w:val="17"/>
          <w:szCs w:val="17"/>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p>
      <w:pPr>
        <w:spacing w:after="0" w:line="224" w:lineRule="exact"/>
        <w:rPr>
          <w:sz w:val="20"/>
          <w:szCs w:val="20"/>
          <w:color w:val="auto"/>
        </w:rPr>
      </w:pPr>
    </w:p>
    <w:p>
      <w:pPr>
        <w:jc w:val="center"/>
        <w:ind w:right="-8"/>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4"/>
          <w:szCs w:val="14"/>
          <w:b w:val="1"/>
          <w:bCs w:val="1"/>
          <w:color w:val="auto"/>
        </w:rPr>
        <w:t>ON</w:t>
      </w:r>
      <w:r>
        <w:rPr>
          <w:rFonts w:ascii="Arial" w:cs="Arial" w:eastAsia="Arial" w:hAnsi="Arial"/>
          <w:sz w:val="17"/>
          <w:szCs w:val="17"/>
          <w:b w:val="1"/>
          <w:bCs w:val="1"/>
          <w:color w:val="auto"/>
        </w:rPr>
        <w:t>-E</w:t>
      </w:r>
      <w:r>
        <w:rPr>
          <w:rFonts w:ascii="Arial" w:cs="Arial" w:eastAsia="Arial" w:hAnsi="Arial"/>
          <w:sz w:val="14"/>
          <w:szCs w:val="14"/>
          <w:b w:val="1"/>
          <w:bCs w:val="1"/>
          <w:color w:val="auto"/>
        </w:rPr>
        <w:t>MPLOYEE</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IRECTOR</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OLICY</w:t>
      </w:r>
    </w:p>
    <w:p>
      <w:pPr>
        <w:spacing w:after="0" w:line="32" w:lineRule="exact"/>
        <w:rPr>
          <w:sz w:val="20"/>
          <w:szCs w:val="20"/>
          <w:color w:val="auto"/>
        </w:rPr>
      </w:pPr>
    </w:p>
    <w:tbl>
      <w:tblPr>
        <w:tblLayout w:type="fixed"/>
        <w:tblInd w:w="3289" w:type="dxa"/>
        <w:tblCellMar>
          <w:top w:w="0" w:type="dxa"/>
          <w:left w:w="0" w:type="dxa"/>
          <w:bottom w:w="0" w:type="dxa"/>
          <w:right w:w="0" w:type="dxa"/>
        </w:tblCellMar>
      </w:tblPr>
      <w:tr>
        <w:trPr>
          <w:trHeight w:val="228"/>
        </w:trPr>
        <w:tc>
          <w:tcPr>
            <w:tcW w:w="3200" w:type="dxa"/>
            <w:vAlign w:val="bottom"/>
          </w:tcPr>
          <w:p>
            <w:pPr>
              <w:spacing w:after="0"/>
              <w:rPr>
                <w:sz w:val="20"/>
                <w:szCs w:val="20"/>
                <w:color w:val="auto"/>
              </w:rPr>
            </w:pPr>
            <w:r>
              <w:rPr>
                <w:rFonts w:ascii="Arial" w:cs="Arial" w:eastAsia="Arial" w:hAnsi="Arial"/>
                <w:sz w:val="17"/>
                <w:szCs w:val="17"/>
                <w:b w:val="1"/>
                <w:bCs w:val="1"/>
                <w:color w:val="auto"/>
              </w:rPr>
              <w:t>Approved by the Board of Directors:</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 2019</w:t>
            </w:r>
          </w:p>
        </w:tc>
      </w:tr>
    </w:tbl>
    <w:p>
      <w:pPr>
        <w:spacing w:after="0" w:line="179" w:lineRule="exact"/>
        <w:rPr>
          <w:sz w:val="20"/>
          <w:szCs w:val="20"/>
          <w:color w:val="auto"/>
        </w:rPr>
      </w:pPr>
    </w:p>
    <w:p>
      <w:pPr>
        <w:ind w:left="9" w:right="80" w:firstLine="427"/>
        <w:spacing w:after="0" w:line="267" w:lineRule="auto"/>
        <w:rPr>
          <w:sz w:val="20"/>
          <w:szCs w:val="20"/>
          <w:color w:val="auto"/>
        </w:rPr>
      </w:pPr>
      <w:r>
        <w:rPr>
          <w:rFonts w:ascii="Arial" w:cs="Arial" w:eastAsia="Arial" w:hAnsi="Arial"/>
          <w:sz w:val="17"/>
          <w:szCs w:val="17"/>
          <w:color w:val="auto"/>
        </w:rPr>
        <w:t>Each member of the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who is not also serving as an employee of NGM Biopharmaceuticals, Inc. (“</w:t>
      </w:r>
      <w:r>
        <w:rPr>
          <w:rFonts w:ascii="Arial" w:cs="Arial" w:eastAsia="Arial" w:hAnsi="Arial"/>
          <w:sz w:val="17"/>
          <w:szCs w:val="17"/>
          <w:b w:val="1"/>
          <w:bCs w:val="1"/>
          <w:i w:val="1"/>
          <w:iCs w:val="1"/>
          <w:color w:val="auto"/>
        </w:rPr>
        <w:t>NGM</w:t>
      </w:r>
      <w:r>
        <w:rPr>
          <w:rFonts w:ascii="Arial" w:cs="Arial" w:eastAsia="Arial" w:hAnsi="Arial"/>
          <w:sz w:val="17"/>
          <w:szCs w:val="17"/>
          <w:color w:val="auto"/>
        </w:rPr>
        <w:t>”) or any of its subsidiaries (each such member, an “</w:t>
      </w:r>
      <w:r>
        <w:rPr>
          <w:rFonts w:ascii="Arial" w:cs="Arial" w:eastAsia="Arial" w:hAnsi="Arial"/>
          <w:sz w:val="17"/>
          <w:szCs w:val="17"/>
          <w:b w:val="1"/>
          <w:bCs w:val="1"/>
          <w:i w:val="1"/>
          <w:iCs w:val="1"/>
          <w:color w:val="auto"/>
        </w:rPr>
        <w:t>Eligible Director</w:t>
      </w:r>
      <w:r>
        <w:rPr>
          <w:rFonts w:ascii="Arial" w:cs="Arial" w:eastAsia="Arial" w:hAnsi="Arial"/>
          <w:sz w:val="17"/>
          <w:szCs w:val="17"/>
          <w:color w:val="auto"/>
        </w:rPr>
        <w:t>”) will receive the compensation described in this Non-Employee Director Compensation Policy (the “</w:t>
      </w:r>
      <w:r>
        <w:rPr>
          <w:rFonts w:ascii="Arial" w:cs="Arial" w:eastAsia="Arial" w:hAnsi="Arial"/>
          <w:sz w:val="17"/>
          <w:szCs w:val="17"/>
          <w:b w:val="1"/>
          <w:bCs w:val="1"/>
          <w:i w:val="1"/>
          <w:iCs w:val="1"/>
          <w:color w:val="auto"/>
        </w:rPr>
        <w:t>Director Compensation Policy</w:t>
      </w:r>
      <w:r>
        <w:rPr>
          <w:rFonts w:ascii="Arial" w:cs="Arial" w:eastAsia="Arial" w:hAnsi="Arial"/>
          <w:sz w:val="17"/>
          <w:szCs w:val="17"/>
          <w:color w:val="auto"/>
        </w:rPr>
        <w:t>”) for his or her Board service following the closing of the initial public offering of the common stock of NGM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w:t>
      </w:r>
    </w:p>
    <w:p>
      <w:pPr>
        <w:spacing w:after="0" w:line="178" w:lineRule="exact"/>
        <w:rPr>
          <w:sz w:val="20"/>
          <w:szCs w:val="20"/>
          <w:color w:val="auto"/>
        </w:rPr>
      </w:pPr>
    </w:p>
    <w:p>
      <w:pPr>
        <w:jc w:val="both"/>
        <w:ind w:left="9" w:right="220" w:firstLine="427"/>
        <w:spacing w:after="0" w:line="325" w:lineRule="auto"/>
        <w:rPr>
          <w:sz w:val="20"/>
          <w:szCs w:val="20"/>
          <w:color w:val="auto"/>
        </w:rPr>
      </w:pPr>
      <w:r>
        <w:rPr>
          <w:rFonts w:ascii="Arial" w:cs="Arial" w:eastAsia="Arial" w:hAnsi="Arial"/>
          <w:sz w:val="15"/>
          <w:szCs w:val="15"/>
          <w:color w:val="auto"/>
        </w:rPr>
        <w:t>The Director Compensation Policy will be effective upon the date of the underwriting agreement between NGM and the underwriters managing the IPO (the “</w:t>
      </w:r>
      <w:r>
        <w:rPr>
          <w:rFonts w:ascii="Arial" w:cs="Arial" w:eastAsia="Arial" w:hAnsi="Arial"/>
          <w:sz w:val="15"/>
          <w:szCs w:val="15"/>
          <w:b w:val="1"/>
          <w:bCs w:val="1"/>
          <w:i w:val="1"/>
          <w:iCs w:val="1"/>
          <w:color w:val="auto"/>
        </w:rPr>
        <w:t>Effective Date</w:t>
      </w:r>
      <w:r>
        <w:rPr>
          <w:rFonts w:ascii="Arial" w:cs="Arial" w:eastAsia="Arial" w:hAnsi="Arial"/>
          <w:sz w:val="15"/>
          <w:szCs w:val="15"/>
          <w:color w:val="auto"/>
        </w:rPr>
        <w:t>”). The Director Compensation Policy may be amended at any time in the sole discretion of the Board. Capitalized terms not explicitly defined in this Director Compensation Policy but defined in the Plan (as defined below) will have the same definitions as in the Plan.</w:t>
      </w:r>
    </w:p>
    <w:p>
      <w:pPr>
        <w:spacing w:after="0" w:line="137" w:lineRule="exact"/>
        <w:rPr>
          <w:sz w:val="20"/>
          <w:szCs w:val="20"/>
          <w:color w:val="auto"/>
        </w:rPr>
      </w:pPr>
    </w:p>
    <w:p>
      <w:pPr>
        <w:ind w:left="9" w:right="380" w:firstLine="427"/>
        <w:spacing w:after="0" w:line="289" w:lineRule="auto"/>
        <w:rPr>
          <w:sz w:val="20"/>
          <w:szCs w:val="20"/>
          <w:color w:val="auto"/>
        </w:rPr>
      </w:pPr>
      <w:r>
        <w:rPr>
          <w:rFonts w:ascii="Arial" w:cs="Arial" w:eastAsia="Arial" w:hAnsi="Arial"/>
          <w:sz w:val="17"/>
          <w:szCs w:val="17"/>
          <w:color w:val="auto"/>
        </w:rPr>
        <w:t>An Eligible Director may decline all or any portion of his or her compensation by giving notice to NGM prior to the date cash is to be paid or equity awards are to be granted, as the case may be.</w:t>
      </w:r>
    </w:p>
    <w:p>
      <w:pPr>
        <w:spacing w:after="0" w:line="257"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Annual Cash Compensation</w:t>
      </w:r>
    </w:p>
    <w:p>
      <w:pPr>
        <w:spacing w:after="0" w:line="125" w:lineRule="exact"/>
        <w:rPr>
          <w:sz w:val="20"/>
          <w:szCs w:val="20"/>
          <w:color w:val="auto"/>
        </w:rPr>
      </w:pPr>
    </w:p>
    <w:p>
      <w:pPr>
        <w:ind w:left="9" w:right="140" w:firstLine="427"/>
        <w:spacing w:after="0" w:line="283" w:lineRule="auto"/>
        <w:rPr>
          <w:sz w:val="20"/>
          <w:szCs w:val="20"/>
          <w:color w:val="auto"/>
        </w:rPr>
      </w:pPr>
      <w:r>
        <w:rPr>
          <w:rFonts w:ascii="Arial" w:cs="Arial" w:eastAsia="Arial" w:hAnsi="Arial"/>
          <w:sz w:val="16"/>
          <w:szCs w:val="16"/>
          <w:color w:val="auto"/>
        </w:rPr>
        <w:t>Commencing at the IPO, each Eligible Director shall receive the cash compensation described below. The annual cash compensation amount set forth below is payable in equal quarterly installments in advance within the first 30 days of each fiscal quarter in which the service will occur. The first installment following the IPO will be pro-rated for the number of days remaining in the calendar quarter. If an Eligible Director joins the Board or a committee of the Board (“</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at a time other than effective as of the first day of a fiscal quarter, each annual retainer set forth below will be pro-rated based on days remaining in the applicable fiscal year, with the pro-rated amount paid for the first fiscal quarter in which the Eligible Director provides the service, and regular full quarterly payments thereafter. All annual cash retainer fees are vested upon payment.</w:t>
      </w:r>
    </w:p>
    <w:p>
      <w:pPr>
        <w:spacing w:after="0" w:line="191" w:lineRule="exact"/>
        <w:rPr>
          <w:sz w:val="20"/>
          <w:szCs w:val="20"/>
          <w:color w:val="auto"/>
        </w:rPr>
      </w:pPr>
    </w:p>
    <w:p>
      <w:pPr>
        <w:ind w:left="429" w:hanging="429"/>
        <w:spacing w:after="0"/>
        <w:tabs>
          <w:tab w:leader="none" w:pos="429" w:val="left"/>
        </w:tabs>
        <w:numPr>
          <w:ilvl w:val="0"/>
          <w:numId w:val="279"/>
        </w:numPr>
        <w:rPr>
          <w:rFonts w:ascii="Arial" w:cs="Arial" w:eastAsia="Arial" w:hAnsi="Arial"/>
          <w:sz w:val="17"/>
          <w:szCs w:val="17"/>
          <w:color w:val="auto"/>
        </w:rPr>
      </w:pPr>
      <w:r>
        <w:rPr>
          <w:rFonts w:ascii="Arial" w:cs="Arial" w:eastAsia="Arial" w:hAnsi="Arial"/>
          <w:sz w:val="17"/>
          <w:szCs w:val="17"/>
          <w:u w:val="single" w:color="auto"/>
          <w:color w:val="auto"/>
        </w:rPr>
        <w:t>Annual Board Service Retainer</w:t>
      </w:r>
      <w:r>
        <w:rPr>
          <w:rFonts w:ascii="Arial" w:cs="Arial" w:eastAsia="Arial" w:hAnsi="Arial"/>
          <w:sz w:val="17"/>
          <w:szCs w:val="17"/>
          <w:color w:val="auto"/>
        </w:rPr>
        <w:t>:</w:t>
      </w:r>
    </w:p>
    <w:p>
      <w:pPr>
        <w:spacing w:after="0" w:line="26" w:lineRule="exact"/>
        <w:rPr>
          <w:rFonts w:ascii="Arial" w:cs="Arial" w:eastAsia="Arial" w:hAnsi="Arial"/>
          <w:sz w:val="17"/>
          <w:szCs w:val="17"/>
          <w:color w:val="auto"/>
        </w:rPr>
      </w:pPr>
    </w:p>
    <w:p>
      <w:pPr>
        <w:ind w:left="829" w:hanging="410"/>
        <w:spacing w:after="0"/>
        <w:tabs>
          <w:tab w:leader="none" w:pos="829" w:val="left"/>
        </w:tabs>
        <w:numPr>
          <w:ilvl w:val="1"/>
          <w:numId w:val="279"/>
        </w:numPr>
        <w:rPr>
          <w:rFonts w:ascii="Arial" w:cs="Arial" w:eastAsia="Arial" w:hAnsi="Arial"/>
          <w:sz w:val="17"/>
          <w:szCs w:val="17"/>
          <w:color w:val="auto"/>
        </w:rPr>
      </w:pPr>
      <w:r>
        <w:rPr>
          <w:rFonts w:ascii="Arial" w:cs="Arial" w:eastAsia="Arial" w:hAnsi="Arial"/>
          <w:sz w:val="17"/>
          <w:szCs w:val="17"/>
          <w:color w:val="auto"/>
        </w:rPr>
        <w:t>Eligible Directors other than the Non-Executive Chairperson: $40,000</w:t>
      </w:r>
    </w:p>
    <w:p>
      <w:pPr>
        <w:spacing w:after="0" w:line="14" w:lineRule="exact"/>
        <w:rPr>
          <w:rFonts w:ascii="Arial" w:cs="Arial" w:eastAsia="Arial" w:hAnsi="Arial"/>
          <w:sz w:val="17"/>
          <w:szCs w:val="17"/>
          <w:color w:val="auto"/>
        </w:rPr>
      </w:pPr>
    </w:p>
    <w:p>
      <w:pPr>
        <w:ind w:left="829" w:hanging="410"/>
        <w:spacing w:after="0"/>
        <w:tabs>
          <w:tab w:leader="none" w:pos="829" w:val="left"/>
        </w:tabs>
        <w:numPr>
          <w:ilvl w:val="1"/>
          <w:numId w:val="279"/>
        </w:numPr>
        <w:rPr>
          <w:rFonts w:ascii="Arial" w:cs="Arial" w:eastAsia="Arial" w:hAnsi="Arial"/>
          <w:sz w:val="17"/>
          <w:szCs w:val="17"/>
          <w:color w:val="auto"/>
        </w:rPr>
      </w:pPr>
      <w:r>
        <w:rPr>
          <w:rFonts w:ascii="Arial" w:cs="Arial" w:eastAsia="Arial" w:hAnsi="Arial"/>
          <w:sz w:val="17"/>
          <w:szCs w:val="17"/>
          <w:color w:val="auto"/>
        </w:rPr>
        <w:t>Non-Executive Chairperson: $65,000</w:t>
      </w:r>
    </w:p>
    <w:p>
      <w:pPr>
        <w:spacing w:after="0" w:line="237" w:lineRule="exact"/>
        <w:rPr>
          <w:rFonts w:ascii="Arial" w:cs="Arial" w:eastAsia="Arial" w:hAnsi="Arial"/>
          <w:sz w:val="17"/>
          <w:szCs w:val="17"/>
          <w:color w:val="auto"/>
        </w:rPr>
      </w:pPr>
    </w:p>
    <w:p>
      <w:pPr>
        <w:ind w:left="429" w:hanging="429"/>
        <w:spacing w:after="0"/>
        <w:tabs>
          <w:tab w:leader="none" w:pos="429" w:val="left"/>
        </w:tabs>
        <w:numPr>
          <w:ilvl w:val="0"/>
          <w:numId w:val="279"/>
        </w:numPr>
        <w:rPr>
          <w:rFonts w:ascii="Arial" w:cs="Arial" w:eastAsia="Arial" w:hAnsi="Arial"/>
          <w:sz w:val="17"/>
          <w:szCs w:val="17"/>
          <w:color w:val="auto"/>
        </w:rPr>
      </w:pPr>
      <w:r>
        <w:rPr>
          <w:rFonts w:ascii="Arial" w:cs="Arial" w:eastAsia="Arial" w:hAnsi="Arial"/>
          <w:sz w:val="17"/>
          <w:szCs w:val="17"/>
          <w:u w:val="single" w:color="auto"/>
          <w:color w:val="auto"/>
        </w:rPr>
        <w:t>Annual Committee Chair Service Retainer</w:t>
      </w:r>
      <w:r>
        <w:rPr>
          <w:rFonts w:ascii="Arial" w:cs="Arial" w:eastAsia="Arial" w:hAnsi="Arial"/>
          <w:sz w:val="17"/>
          <w:szCs w:val="17"/>
          <w:color w:val="auto"/>
        </w:rPr>
        <w:t>:</w:t>
      </w:r>
    </w:p>
    <w:p>
      <w:pPr>
        <w:spacing w:after="0" w:line="26" w:lineRule="exact"/>
        <w:rPr>
          <w:rFonts w:ascii="Arial" w:cs="Arial" w:eastAsia="Arial" w:hAnsi="Arial"/>
          <w:sz w:val="17"/>
          <w:szCs w:val="17"/>
          <w:color w:val="auto"/>
        </w:rPr>
      </w:pPr>
    </w:p>
    <w:p>
      <w:pPr>
        <w:ind w:left="829" w:hanging="410"/>
        <w:spacing w:after="0"/>
        <w:tabs>
          <w:tab w:leader="none" w:pos="829" w:val="left"/>
        </w:tabs>
        <w:numPr>
          <w:ilvl w:val="1"/>
          <w:numId w:val="279"/>
        </w:numPr>
        <w:rPr>
          <w:rFonts w:ascii="Arial" w:cs="Arial" w:eastAsia="Arial" w:hAnsi="Arial"/>
          <w:sz w:val="17"/>
          <w:szCs w:val="17"/>
          <w:color w:val="auto"/>
        </w:rPr>
      </w:pPr>
      <w:r>
        <w:rPr>
          <w:rFonts w:ascii="Arial" w:cs="Arial" w:eastAsia="Arial" w:hAnsi="Arial"/>
          <w:sz w:val="17"/>
          <w:szCs w:val="17"/>
          <w:color w:val="auto"/>
        </w:rPr>
        <w:t>Chairperson of the Audit Committee: $30,000</w:t>
      </w:r>
    </w:p>
    <w:p>
      <w:pPr>
        <w:spacing w:after="0" w:line="14" w:lineRule="exact"/>
        <w:rPr>
          <w:rFonts w:ascii="Arial" w:cs="Arial" w:eastAsia="Arial" w:hAnsi="Arial"/>
          <w:sz w:val="17"/>
          <w:szCs w:val="17"/>
          <w:color w:val="auto"/>
        </w:rPr>
      </w:pPr>
    </w:p>
    <w:p>
      <w:pPr>
        <w:ind w:left="829" w:hanging="410"/>
        <w:spacing w:after="0"/>
        <w:tabs>
          <w:tab w:leader="none" w:pos="829" w:val="left"/>
        </w:tabs>
        <w:numPr>
          <w:ilvl w:val="1"/>
          <w:numId w:val="279"/>
        </w:numPr>
        <w:rPr>
          <w:rFonts w:ascii="Arial" w:cs="Arial" w:eastAsia="Arial" w:hAnsi="Arial"/>
          <w:sz w:val="17"/>
          <w:szCs w:val="17"/>
          <w:color w:val="auto"/>
        </w:rPr>
      </w:pPr>
      <w:r>
        <w:rPr>
          <w:rFonts w:ascii="Arial" w:cs="Arial" w:eastAsia="Arial" w:hAnsi="Arial"/>
          <w:sz w:val="17"/>
          <w:szCs w:val="17"/>
          <w:color w:val="auto"/>
        </w:rPr>
        <w:t>Chairperson of the Compensation Committee: $15,000</w:t>
      </w:r>
    </w:p>
    <w:p>
      <w:pPr>
        <w:spacing w:after="0" w:line="14" w:lineRule="exact"/>
        <w:rPr>
          <w:rFonts w:ascii="Arial" w:cs="Arial" w:eastAsia="Arial" w:hAnsi="Arial"/>
          <w:sz w:val="17"/>
          <w:szCs w:val="17"/>
          <w:color w:val="auto"/>
        </w:rPr>
      </w:pPr>
    </w:p>
    <w:p>
      <w:pPr>
        <w:ind w:left="829" w:hanging="410"/>
        <w:spacing w:after="0"/>
        <w:tabs>
          <w:tab w:leader="none" w:pos="829" w:val="left"/>
        </w:tabs>
        <w:numPr>
          <w:ilvl w:val="1"/>
          <w:numId w:val="279"/>
        </w:numPr>
        <w:rPr>
          <w:rFonts w:ascii="Arial" w:cs="Arial" w:eastAsia="Arial" w:hAnsi="Arial"/>
          <w:sz w:val="17"/>
          <w:szCs w:val="17"/>
          <w:color w:val="auto"/>
        </w:rPr>
      </w:pPr>
      <w:r>
        <w:rPr>
          <w:rFonts w:ascii="Arial" w:cs="Arial" w:eastAsia="Arial" w:hAnsi="Arial"/>
          <w:sz w:val="17"/>
          <w:szCs w:val="17"/>
          <w:color w:val="auto"/>
        </w:rPr>
        <w:t>Chairperson of the Nominating &amp; Corporate Governance Committee: $10,000</w:t>
      </w:r>
    </w:p>
    <w:p>
      <w:pPr>
        <w:spacing w:after="0" w:line="237" w:lineRule="exact"/>
        <w:rPr>
          <w:rFonts w:ascii="Arial" w:cs="Arial" w:eastAsia="Arial" w:hAnsi="Arial"/>
          <w:sz w:val="17"/>
          <w:szCs w:val="17"/>
          <w:color w:val="auto"/>
        </w:rPr>
      </w:pPr>
    </w:p>
    <w:p>
      <w:pPr>
        <w:ind w:left="429" w:hanging="429"/>
        <w:spacing w:after="0"/>
        <w:tabs>
          <w:tab w:leader="none" w:pos="429" w:val="left"/>
        </w:tabs>
        <w:numPr>
          <w:ilvl w:val="0"/>
          <w:numId w:val="279"/>
        </w:numPr>
        <w:rPr>
          <w:rFonts w:ascii="Arial" w:cs="Arial" w:eastAsia="Arial" w:hAnsi="Arial"/>
          <w:sz w:val="17"/>
          <w:szCs w:val="17"/>
          <w:color w:val="auto"/>
        </w:rPr>
      </w:pPr>
      <w:r>
        <w:rPr>
          <w:rFonts w:ascii="Arial" w:cs="Arial" w:eastAsia="Arial" w:hAnsi="Arial"/>
          <w:sz w:val="17"/>
          <w:szCs w:val="17"/>
          <w:u w:val="single" w:color="auto"/>
          <w:color w:val="auto"/>
        </w:rPr>
        <w:t>Annual Committee Member Service Retainer (excludes Committee Chairs)</w:t>
      </w:r>
      <w:r>
        <w:rPr>
          <w:rFonts w:ascii="Arial" w:cs="Arial" w:eastAsia="Arial" w:hAnsi="Arial"/>
          <w:sz w:val="17"/>
          <w:szCs w:val="17"/>
          <w:color w:val="auto"/>
        </w:rPr>
        <w:t>:</w:t>
      </w:r>
    </w:p>
    <w:p>
      <w:pPr>
        <w:spacing w:after="0" w:line="26" w:lineRule="exact"/>
        <w:rPr>
          <w:rFonts w:ascii="Arial" w:cs="Arial" w:eastAsia="Arial" w:hAnsi="Arial"/>
          <w:sz w:val="17"/>
          <w:szCs w:val="17"/>
          <w:color w:val="auto"/>
        </w:rPr>
      </w:pPr>
    </w:p>
    <w:p>
      <w:pPr>
        <w:ind w:left="829" w:hanging="410"/>
        <w:spacing w:after="0"/>
        <w:tabs>
          <w:tab w:leader="none" w:pos="829" w:val="left"/>
        </w:tabs>
        <w:numPr>
          <w:ilvl w:val="1"/>
          <w:numId w:val="279"/>
        </w:numPr>
        <w:rPr>
          <w:rFonts w:ascii="Arial" w:cs="Arial" w:eastAsia="Arial" w:hAnsi="Arial"/>
          <w:sz w:val="17"/>
          <w:szCs w:val="17"/>
          <w:color w:val="auto"/>
        </w:rPr>
      </w:pPr>
      <w:r>
        <w:rPr>
          <w:rFonts w:ascii="Arial" w:cs="Arial" w:eastAsia="Arial" w:hAnsi="Arial"/>
          <w:sz w:val="17"/>
          <w:szCs w:val="17"/>
          <w:color w:val="auto"/>
        </w:rPr>
        <w:t>Member of the Audit Committee: $10,000</w:t>
      </w:r>
    </w:p>
    <w:p>
      <w:pPr>
        <w:spacing w:after="0" w:line="14" w:lineRule="exact"/>
        <w:rPr>
          <w:rFonts w:ascii="Arial" w:cs="Arial" w:eastAsia="Arial" w:hAnsi="Arial"/>
          <w:sz w:val="17"/>
          <w:szCs w:val="17"/>
          <w:color w:val="auto"/>
        </w:rPr>
      </w:pPr>
    </w:p>
    <w:p>
      <w:pPr>
        <w:ind w:left="829" w:hanging="410"/>
        <w:spacing w:after="0"/>
        <w:tabs>
          <w:tab w:leader="none" w:pos="829" w:val="left"/>
        </w:tabs>
        <w:numPr>
          <w:ilvl w:val="1"/>
          <w:numId w:val="279"/>
        </w:numPr>
        <w:rPr>
          <w:rFonts w:ascii="Arial" w:cs="Arial" w:eastAsia="Arial" w:hAnsi="Arial"/>
          <w:sz w:val="17"/>
          <w:szCs w:val="17"/>
          <w:color w:val="auto"/>
        </w:rPr>
      </w:pPr>
      <w:r>
        <w:rPr>
          <w:rFonts w:ascii="Arial" w:cs="Arial" w:eastAsia="Arial" w:hAnsi="Arial"/>
          <w:sz w:val="17"/>
          <w:szCs w:val="17"/>
          <w:color w:val="auto"/>
        </w:rPr>
        <w:t>Member of the Compensation Committee: $6,000</w:t>
      </w:r>
    </w:p>
    <w:p>
      <w:pPr>
        <w:spacing w:after="0" w:line="14" w:lineRule="exact"/>
        <w:rPr>
          <w:rFonts w:ascii="Arial" w:cs="Arial" w:eastAsia="Arial" w:hAnsi="Arial"/>
          <w:sz w:val="17"/>
          <w:szCs w:val="17"/>
          <w:color w:val="auto"/>
        </w:rPr>
      </w:pPr>
    </w:p>
    <w:p>
      <w:pPr>
        <w:ind w:left="829" w:hanging="410"/>
        <w:spacing w:after="0"/>
        <w:tabs>
          <w:tab w:leader="none" w:pos="829" w:val="left"/>
        </w:tabs>
        <w:numPr>
          <w:ilvl w:val="1"/>
          <w:numId w:val="279"/>
        </w:numPr>
        <w:rPr>
          <w:rFonts w:ascii="Arial" w:cs="Arial" w:eastAsia="Arial" w:hAnsi="Arial"/>
          <w:sz w:val="17"/>
          <w:szCs w:val="17"/>
          <w:color w:val="auto"/>
        </w:rPr>
      </w:pPr>
      <w:r>
        <w:rPr>
          <w:rFonts w:ascii="Arial" w:cs="Arial" w:eastAsia="Arial" w:hAnsi="Arial"/>
          <w:sz w:val="17"/>
          <w:szCs w:val="17"/>
          <w:color w:val="auto"/>
        </w:rPr>
        <w:t>Member of the Nominating &amp; Corporate Governance Committee: $5,000</w:t>
      </w:r>
    </w:p>
    <w:p>
      <w:pPr>
        <w:spacing w:after="0" w:line="310"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Equity Compensation</w:t>
      </w:r>
    </w:p>
    <w:p>
      <w:pPr>
        <w:spacing w:after="0" w:line="125" w:lineRule="exact"/>
        <w:rPr>
          <w:sz w:val="20"/>
          <w:szCs w:val="20"/>
          <w:color w:val="auto"/>
        </w:rPr>
      </w:pPr>
    </w:p>
    <w:p>
      <w:pPr>
        <w:ind w:left="9" w:right="80" w:firstLine="427"/>
        <w:spacing w:after="0" w:line="289" w:lineRule="auto"/>
        <w:rPr>
          <w:sz w:val="20"/>
          <w:szCs w:val="20"/>
          <w:color w:val="auto"/>
        </w:rPr>
      </w:pPr>
      <w:r>
        <w:rPr>
          <w:rFonts w:ascii="Arial" w:cs="Arial" w:eastAsia="Arial" w:hAnsi="Arial"/>
          <w:sz w:val="17"/>
          <w:szCs w:val="17"/>
          <w:color w:val="auto"/>
        </w:rPr>
        <w:t>The equity compensation set forth below (including pursuant to an Annual Election, as defined below) will be granted under the Company’s 2018 Equity Incentive Plan, as amended and restated from time to</w:t>
      </w:r>
    </w:p>
    <w:p>
      <w:pPr>
        <w:spacing w:after="0" w:line="92"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689"/>
          </w:cols>
          <w:pgMar w:left="611" w:top="121" w:right="599" w:bottom="1440" w:gutter="0" w:footer="0" w:header="0"/>
        </w:sectPr>
      </w:pPr>
    </w:p>
    <w:bookmarkStart w:id="371" w:name="page372"/>
    <w:bookmarkEnd w:id="371"/>
    <w:p>
      <w:pPr>
        <w:ind w:left="9" w:right="10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time, or any successor equity incentive plan adopted by NGM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and will be documented on the applicable form of equity award agreement most recently approved for use by the Board (or a duly authorized committee thereof) for Eligible Directors. All stock options granted under the Director Compensation Policy will be nonstatutory stock options, with an exercise price per share equal to 100% of the Fair Market Value of the underlying Common Stock on the date of grant, and a term of ten years from the date of grant (subject to earlier termination in connection with a termination of Continuous Service or a Corporate Transaction as provided in the Plan). Upon a termination of Continuous Service other than for death, Disability or Cause, the post-termination exercise period of a stock option will be 12 months from the date of termination.</w:t>
      </w:r>
    </w:p>
    <w:p>
      <w:pPr>
        <w:spacing w:after="0" w:line="165" w:lineRule="exact"/>
        <w:rPr>
          <w:sz w:val="20"/>
          <w:szCs w:val="20"/>
          <w:color w:val="auto"/>
        </w:rPr>
      </w:pPr>
    </w:p>
    <w:p>
      <w:pPr>
        <w:ind w:left="9" w:right="80" w:hanging="9"/>
        <w:spacing w:after="0" w:line="263" w:lineRule="auto"/>
        <w:tabs>
          <w:tab w:leader="none" w:pos="314" w:val="left"/>
        </w:tabs>
        <w:numPr>
          <w:ilvl w:val="0"/>
          <w:numId w:val="280"/>
        </w:numPr>
        <w:rPr>
          <w:rFonts w:ascii="Arial" w:cs="Arial" w:eastAsia="Arial" w:hAnsi="Arial"/>
          <w:sz w:val="17"/>
          <w:szCs w:val="17"/>
          <w:color w:val="auto"/>
        </w:rPr>
      </w:pPr>
      <w:r>
        <w:rPr>
          <w:rFonts w:ascii="Arial" w:cs="Arial" w:eastAsia="Arial" w:hAnsi="Arial"/>
          <w:sz w:val="17"/>
          <w:szCs w:val="17"/>
          <w:u w:val="single" w:color="auto"/>
          <w:color w:val="auto"/>
        </w:rPr>
        <w:t>Initial Option Grant</w:t>
      </w:r>
      <w:r>
        <w:rPr>
          <w:rFonts w:ascii="Arial" w:cs="Arial" w:eastAsia="Arial" w:hAnsi="Arial"/>
          <w:sz w:val="17"/>
          <w:szCs w:val="17"/>
          <w:color w:val="auto"/>
        </w:rPr>
        <w:t>. On the date of the Eligible Director’s initial election to the Board (or, if such date is not a market trading day, the first market trading day thereafter), the Eligible Director automatically, and without further action by the Board or Compensation Committee of the Board, will be granted a stock option to purchase shares of Common Stock having a Grant Date Value (defined below) of $500,000 (the “</w:t>
      </w:r>
      <w:r>
        <w:rPr>
          <w:rFonts w:ascii="Arial" w:cs="Arial" w:eastAsia="Arial" w:hAnsi="Arial"/>
          <w:sz w:val="17"/>
          <w:szCs w:val="17"/>
          <w:b w:val="1"/>
          <w:bCs w:val="1"/>
          <w:i w:val="1"/>
          <w:iCs w:val="1"/>
          <w:color w:val="auto"/>
        </w:rPr>
        <w:t>Initial Option Grant</w:t>
      </w:r>
      <w:r>
        <w:rPr>
          <w:rFonts w:ascii="Arial" w:cs="Arial" w:eastAsia="Arial" w:hAnsi="Arial"/>
          <w:sz w:val="17"/>
          <w:szCs w:val="17"/>
          <w:color w:val="auto"/>
        </w:rPr>
        <w:t>”). The Initial Option Grant will vest one-third after the first year, with the remaining shares vesting quarterly in years two and three following the grant date, such that the Initial Option Grant will be fully vested on the third anniversary of the date of grant, subject to the Eligible Director’s Continuous Service on each applicable vesting date.</w:t>
      </w:r>
    </w:p>
    <w:p>
      <w:pPr>
        <w:spacing w:after="0" w:line="181" w:lineRule="exact"/>
        <w:rPr>
          <w:rFonts w:ascii="Arial" w:cs="Arial" w:eastAsia="Arial" w:hAnsi="Arial"/>
          <w:sz w:val="17"/>
          <w:szCs w:val="17"/>
          <w:color w:val="auto"/>
        </w:rPr>
      </w:pPr>
    </w:p>
    <w:p>
      <w:pPr>
        <w:ind w:left="9" w:right="120" w:hanging="9"/>
        <w:spacing w:after="0" w:line="285" w:lineRule="auto"/>
        <w:tabs>
          <w:tab w:leader="none" w:pos="314"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Annual Option Grant</w:t>
      </w:r>
      <w:r>
        <w:rPr>
          <w:rFonts w:ascii="Arial" w:cs="Arial" w:eastAsia="Arial" w:hAnsi="Arial"/>
          <w:sz w:val="16"/>
          <w:szCs w:val="16"/>
          <w:color w:val="auto"/>
        </w:rPr>
        <w:t>. On the date of each NGM annual stockholder meeting held after the effective date of the IPO (an “</w:t>
      </w:r>
      <w:r>
        <w:rPr>
          <w:rFonts w:ascii="Arial" w:cs="Arial" w:eastAsia="Arial" w:hAnsi="Arial"/>
          <w:sz w:val="16"/>
          <w:szCs w:val="16"/>
          <w:b w:val="1"/>
          <w:bCs w:val="1"/>
          <w:i w:val="1"/>
          <w:iCs w:val="1"/>
          <w:color w:val="auto"/>
        </w:rPr>
        <w:t>Annual Meeting</w:t>
      </w:r>
      <w:r>
        <w:rPr>
          <w:rFonts w:ascii="Arial" w:cs="Arial" w:eastAsia="Arial" w:hAnsi="Arial"/>
          <w:sz w:val="16"/>
          <w:szCs w:val="16"/>
          <w:color w:val="auto"/>
        </w:rPr>
        <w:t>”), each Eligible Director automatically, and without further action by the Board or Compensation Committee of the Board, will be granted a stock option to purchase shares of Common Stock having a Grant Date Value of $200,000 (the “</w:t>
      </w:r>
      <w:r>
        <w:rPr>
          <w:rFonts w:ascii="Arial" w:cs="Arial" w:eastAsia="Arial" w:hAnsi="Arial"/>
          <w:sz w:val="16"/>
          <w:szCs w:val="16"/>
          <w:b w:val="1"/>
          <w:bCs w:val="1"/>
          <w:i w:val="1"/>
          <w:iCs w:val="1"/>
          <w:color w:val="auto"/>
        </w:rPr>
        <w:t>Annual Option Grant</w:t>
      </w:r>
      <w:r>
        <w:rPr>
          <w:rFonts w:ascii="Arial" w:cs="Arial" w:eastAsia="Arial" w:hAnsi="Arial"/>
          <w:sz w:val="16"/>
          <w:szCs w:val="16"/>
          <w:color w:val="auto"/>
        </w:rPr>
        <w:t>”). The Annual Option Grant will vest in four approximately equal quarterly tranches, with the final tranche vesting on the earlier of (x) first anniversary of the date of grant, and (y) the day prior to the next Annual Meeting, subject to the Eligible Director’s Continuous Service on each applicable vesting date.</w:t>
      </w:r>
    </w:p>
    <w:p>
      <w:pPr>
        <w:spacing w:after="0" w:line="164" w:lineRule="exact"/>
        <w:rPr>
          <w:rFonts w:ascii="Arial" w:cs="Arial" w:eastAsia="Arial" w:hAnsi="Arial"/>
          <w:sz w:val="16"/>
          <w:szCs w:val="16"/>
          <w:color w:val="auto"/>
        </w:rPr>
      </w:pPr>
    </w:p>
    <w:p>
      <w:pPr>
        <w:jc w:val="both"/>
        <w:ind w:left="9" w:right="40" w:hanging="9"/>
        <w:spacing w:after="0" w:line="273" w:lineRule="auto"/>
        <w:tabs>
          <w:tab w:leader="none" w:pos="314" w:val="left"/>
        </w:tabs>
        <w:numPr>
          <w:ilvl w:val="0"/>
          <w:numId w:val="280"/>
        </w:numPr>
        <w:rPr>
          <w:rFonts w:ascii="Arial" w:cs="Arial" w:eastAsia="Arial" w:hAnsi="Arial"/>
          <w:sz w:val="17"/>
          <w:szCs w:val="17"/>
          <w:color w:val="auto"/>
        </w:rPr>
      </w:pPr>
      <w:r>
        <w:rPr>
          <w:rFonts w:ascii="Arial" w:cs="Arial" w:eastAsia="Arial" w:hAnsi="Arial"/>
          <w:sz w:val="17"/>
          <w:szCs w:val="17"/>
          <w:u w:val="single" w:color="auto"/>
          <w:color w:val="auto"/>
        </w:rPr>
        <w:t>Calculation of Grant Date Value</w:t>
      </w:r>
      <w:r>
        <w:rPr>
          <w:rFonts w:ascii="Arial" w:cs="Arial" w:eastAsia="Arial" w:hAnsi="Arial"/>
          <w:sz w:val="17"/>
          <w:szCs w:val="17"/>
          <w:color w:val="auto"/>
        </w:rPr>
        <w:t>. The “</w:t>
      </w:r>
      <w:r>
        <w:rPr>
          <w:rFonts w:ascii="Arial" w:cs="Arial" w:eastAsia="Arial" w:hAnsi="Arial"/>
          <w:sz w:val="17"/>
          <w:szCs w:val="17"/>
          <w:b w:val="1"/>
          <w:bCs w:val="1"/>
          <w:i w:val="1"/>
          <w:iCs w:val="1"/>
          <w:color w:val="auto"/>
        </w:rPr>
        <w:t>Grant Date Value</w:t>
      </w:r>
      <w:r>
        <w:rPr>
          <w:rFonts w:ascii="Arial" w:cs="Arial" w:eastAsia="Arial" w:hAnsi="Arial"/>
          <w:sz w:val="17"/>
          <w:szCs w:val="17"/>
          <w:color w:val="auto"/>
        </w:rPr>
        <w:t>” of an equity award granted under this Director Compensation Policy will be determined using the same method the Company uses to calculate the grant date fair value of stock based compensation for its financial statements (e.g., applying a Black-Scholes option pricing model in the case of stock options).</w:t>
      </w:r>
    </w:p>
    <w:p>
      <w:pPr>
        <w:spacing w:after="0" w:line="171" w:lineRule="exact"/>
        <w:rPr>
          <w:rFonts w:ascii="Arial" w:cs="Arial" w:eastAsia="Arial" w:hAnsi="Arial"/>
          <w:sz w:val="17"/>
          <w:szCs w:val="17"/>
          <w:color w:val="auto"/>
        </w:rPr>
      </w:pPr>
    </w:p>
    <w:p>
      <w:pPr>
        <w:ind w:left="9" w:right="60" w:hanging="9"/>
        <w:spacing w:after="0" w:line="267" w:lineRule="auto"/>
        <w:tabs>
          <w:tab w:leader="none" w:pos="314" w:val="left"/>
        </w:tabs>
        <w:numPr>
          <w:ilvl w:val="0"/>
          <w:numId w:val="280"/>
        </w:numPr>
        <w:rPr>
          <w:rFonts w:ascii="Arial" w:cs="Arial" w:eastAsia="Arial" w:hAnsi="Arial"/>
          <w:sz w:val="17"/>
          <w:szCs w:val="17"/>
          <w:color w:val="auto"/>
        </w:rPr>
      </w:pPr>
      <w:r>
        <w:rPr>
          <w:rFonts w:ascii="Arial" w:cs="Arial" w:eastAsia="Arial" w:hAnsi="Arial"/>
          <w:sz w:val="17"/>
          <w:szCs w:val="17"/>
          <w:u w:val="single" w:color="auto"/>
          <w:color w:val="auto"/>
        </w:rPr>
        <w:t>Treatment on a Change in Control</w:t>
      </w:r>
      <w:r>
        <w:rPr>
          <w:rFonts w:ascii="Arial" w:cs="Arial" w:eastAsia="Arial" w:hAnsi="Arial"/>
          <w:sz w:val="17"/>
          <w:szCs w:val="17"/>
          <w:color w:val="auto"/>
        </w:rPr>
        <w:t>. In the event of a Change in Control, any then-unvested equity award will fully vest (and become exercisable, in the case of an option) as of immediately prior to the effective time of such transaction, subject to the Eligible Director’s Continuous Service on the effective date of such transaction. For clarity, such accelerated vesting will not accelerate the settlement of any equity award subject to a deferral election in accordance with Section 409A of the Internal Revenue Code.</w:t>
      </w:r>
    </w:p>
    <w:p>
      <w:pPr>
        <w:spacing w:after="0" w:line="177" w:lineRule="exact"/>
        <w:rPr>
          <w:rFonts w:ascii="Arial" w:cs="Arial" w:eastAsia="Arial" w:hAnsi="Arial"/>
          <w:sz w:val="17"/>
          <w:szCs w:val="17"/>
          <w:color w:val="auto"/>
        </w:rPr>
      </w:pPr>
    </w:p>
    <w:p>
      <w:pPr>
        <w:ind w:left="9" w:right="300" w:hanging="9"/>
        <w:spacing w:after="0" w:line="322" w:lineRule="auto"/>
        <w:tabs>
          <w:tab w:leader="none" w:pos="314"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Capitalization Adjustments</w:t>
      </w:r>
      <w:r>
        <w:rPr>
          <w:rFonts w:ascii="Arial" w:cs="Arial" w:eastAsia="Arial" w:hAnsi="Arial"/>
          <w:sz w:val="16"/>
          <w:szCs w:val="16"/>
          <w:color w:val="auto"/>
        </w:rPr>
        <w:t>. In the event of a Capitalization Adjustment, the Board shall appropriately and proportionately adjust the number of shares provided above to be subject to any Initial Option Grant and Annual Option Grant made after the date of such Capitalization Adjustment.</w:t>
      </w:r>
    </w:p>
    <w:p>
      <w:pPr>
        <w:spacing w:after="0" w:line="234"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Election to Receive Annual Cash Compensation in the Form of Stock Options</w:t>
      </w:r>
    </w:p>
    <w:p>
      <w:pPr>
        <w:spacing w:after="0" w:line="125" w:lineRule="exact"/>
        <w:rPr>
          <w:sz w:val="20"/>
          <w:szCs w:val="20"/>
          <w:color w:val="auto"/>
        </w:rPr>
      </w:pPr>
    </w:p>
    <w:p>
      <w:pPr>
        <w:ind w:left="9" w:firstLine="427"/>
        <w:spacing w:after="0" w:line="273" w:lineRule="auto"/>
        <w:rPr>
          <w:sz w:val="20"/>
          <w:szCs w:val="20"/>
          <w:color w:val="auto"/>
        </w:rPr>
      </w:pPr>
      <w:r>
        <w:rPr>
          <w:rFonts w:ascii="Arial" w:cs="Arial" w:eastAsia="Arial" w:hAnsi="Arial"/>
          <w:sz w:val="17"/>
          <w:szCs w:val="17"/>
          <w:color w:val="auto"/>
        </w:rPr>
        <w:t>Following the IPO, each Eligible Director may elect in writing (an “</w:t>
      </w:r>
      <w:r>
        <w:rPr>
          <w:rFonts w:ascii="Arial" w:cs="Arial" w:eastAsia="Arial" w:hAnsi="Arial"/>
          <w:sz w:val="17"/>
          <w:szCs w:val="17"/>
          <w:b w:val="1"/>
          <w:bCs w:val="1"/>
          <w:i w:val="1"/>
          <w:iCs w:val="1"/>
          <w:color w:val="auto"/>
        </w:rPr>
        <w:t>Annual Election</w:t>
      </w:r>
      <w:r>
        <w:rPr>
          <w:rFonts w:ascii="Arial" w:cs="Arial" w:eastAsia="Arial" w:hAnsi="Arial"/>
          <w:sz w:val="17"/>
          <w:szCs w:val="17"/>
          <w:color w:val="auto"/>
        </w:rPr>
        <w:t>”) to receive his or her annual cash compensation in the form of a stock option (an “</w:t>
      </w:r>
      <w:r>
        <w:rPr>
          <w:rFonts w:ascii="Arial" w:cs="Arial" w:eastAsia="Arial" w:hAnsi="Arial"/>
          <w:sz w:val="17"/>
          <w:szCs w:val="17"/>
          <w:b w:val="1"/>
          <w:bCs w:val="1"/>
          <w:i w:val="1"/>
          <w:iCs w:val="1"/>
          <w:color w:val="auto"/>
        </w:rPr>
        <w:t>Annual Election Option</w:t>
      </w:r>
      <w:r>
        <w:rPr>
          <w:rFonts w:ascii="Arial" w:cs="Arial" w:eastAsia="Arial" w:hAnsi="Arial"/>
          <w:sz w:val="17"/>
          <w:szCs w:val="17"/>
          <w:color w:val="auto"/>
        </w:rPr>
        <w:t>”). Such Annual Election would apply to all annual cash compensation payable during the subsequent year of service, measured from the date of the Annual Meeting.</w:t>
      </w:r>
    </w:p>
    <w:p>
      <w:pPr>
        <w:spacing w:after="0" w:line="171" w:lineRule="exact"/>
        <w:rPr>
          <w:sz w:val="20"/>
          <w:szCs w:val="20"/>
          <w:color w:val="auto"/>
        </w:rPr>
      </w:pPr>
    </w:p>
    <w:p>
      <w:pPr>
        <w:ind w:left="9" w:right="20" w:firstLine="427"/>
        <w:spacing w:after="0" w:line="265" w:lineRule="auto"/>
        <w:rPr>
          <w:sz w:val="20"/>
          <w:szCs w:val="20"/>
          <w:color w:val="auto"/>
        </w:rPr>
      </w:pPr>
      <w:r>
        <w:rPr>
          <w:rFonts w:ascii="Arial" w:cs="Arial" w:eastAsia="Arial" w:hAnsi="Arial"/>
          <w:sz w:val="17"/>
          <w:szCs w:val="17"/>
          <w:color w:val="auto"/>
        </w:rPr>
        <w:t>Except as provided below, any Annual Election must be submitted in January of each calendar year, or in the case of an individual who first becomes an Eligible Director in any calendar year, within 30 days following the date on which he or she first becomes an Eligible Director (and no later than 30 days prior to the date of the Annual Meeting). An Annual Election will be irrevocable once submitted. All Annual Elections must also be submitted during an “open window period” in accordance with the Company’s then-effective Insider Trading and Trading Window Policy (or any other policy on trading in</w:t>
      </w:r>
    </w:p>
    <w:p>
      <w:pPr>
        <w:spacing w:after="0" w:line="112" w:lineRule="exact"/>
        <w:rPr>
          <w:sz w:val="20"/>
          <w:szCs w:val="20"/>
          <w:color w:val="auto"/>
        </w:rPr>
      </w:pPr>
    </w:p>
    <w:p>
      <w:pPr>
        <w:jc w:val="center"/>
        <w:ind w:right="-48"/>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29"/>
          </w:cols>
          <w:pgMar w:left="611" w:top="271" w:right="659" w:bottom="1440" w:gutter="0" w:footer="0" w:header="0"/>
        </w:sectPr>
      </w:pPr>
    </w:p>
    <w:bookmarkStart w:id="372" w:name="page373"/>
    <w:bookmarkEnd w:id="372"/>
    <w:p>
      <w:pPr>
        <w:ind w:right="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Company securities), and when the Eligible Director submitting the Annual Election is not otherwise aware of any material, nonpublic information with respect to the Company or any of its securities (collectively, an “</w:t>
      </w:r>
      <w:r>
        <w:rPr>
          <w:rFonts w:ascii="Arial" w:cs="Arial" w:eastAsia="Arial" w:hAnsi="Arial"/>
          <w:sz w:val="17"/>
          <w:szCs w:val="17"/>
          <w:b w:val="1"/>
          <w:bCs w:val="1"/>
          <w:i w:val="1"/>
          <w:iCs w:val="1"/>
          <w:color w:val="auto"/>
        </w:rPr>
        <w:t>Open Window</w:t>
      </w:r>
      <w:r>
        <w:rPr>
          <w:rFonts w:ascii="Arial" w:cs="Arial" w:eastAsia="Arial" w:hAnsi="Arial"/>
          <w:sz w:val="17"/>
          <w:szCs w:val="17"/>
          <w:color w:val="auto"/>
        </w:rPr>
        <w:t>”). If there were no Open Windows within the applicable timeframe above during which an Annual Election could be submitted, then the Annual Election for that calendar year will be due no later than the tenth business day following the commencement of the next Open Window.</w:t>
      </w:r>
    </w:p>
    <w:p>
      <w:pPr>
        <w:spacing w:after="0" w:line="178" w:lineRule="exact"/>
        <w:rPr>
          <w:sz w:val="20"/>
          <w:szCs w:val="20"/>
          <w:color w:val="auto"/>
        </w:rPr>
      </w:pPr>
    </w:p>
    <w:p>
      <w:pPr>
        <w:ind w:right="40" w:firstLine="427"/>
        <w:spacing w:after="0" w:line="267" w:lineRule="auto"/>
        <w:rPr>
          <w:sz w:val="20"/>
          <w:szCs w:val="20"/>
          <w:color w:val="auto"/>
        </w:rPr>
      </w:pPr>
      <w:r>
        <w:rPr>
          <w:rFonts w:ascii="Arial" w:cs="Arial" w:eastAsia="Arial" w:hAnsi="Arial"/>
          <w:sz w:val="17"/>
          <w:szCs w:val="17"/>
          <w:color w:val="auto"/>
        </w:rPr>
        <w:t>An Annual Election Grant will be granted on the date of the next Annual Meeting, with a Grant Date Value to the aggregate amount of cash retainers that such Eligible Director would otherwise have been eligible to receive over the four fiscal quarters following such Annual Meeting, and will vest in quarterly tranches, with the final tranche vesting on the earlier of (x) the first anniversary of the date of grant, and (y) the day prior to the next Annual Meeting.</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Expenses</w:t>
      </w:r>
    </w:p>
    <w:p>
      <w:pPr>
        <w:spacing w:after="0" w:line="125" w:lineRule="exact"/>
        <w:rPr>
          <w:sz w:val="20"/>
          <w:szCs w:val="20"/>
          <w:color w:val="auto"/>
        </w:rPr>
      </w:pPr>
    </w:p>
    <w:p>
      <w:pPr>
        <w:ind w:right="560" w:firstLine="427"/>
        <w:spacing w:after="0" w:line="325" w:lineRule="auto"/>
        <w:rPr>
          <w:sz w:val="20"/>
          <w:szCs w:val="20"/>
          <w:color w:val="auto"/>
        </w:rPr>
      </w:pPr>
      <w:r>
        <w:rPr>
          <w:rFonts w:ascii="Arial" w:cs="Arial" w:eastAsia="Arial" w:hAnsi="Arial"/>
          <w:sz w:val="15"/>
          <w:szCs w:val="15"/>
          <w:color w:val="auto"/>
        </w:rPr>
        <w:t xml:space="preserve">The Company will reimburse Eligible Directors for ordinary, necessary and reasonable out-of-pocket travel expenses to cover in-person attendance at and participation in Board and/or Committee meetings; </w:t>
      </w:r>
      <w:r>
        <w:rPr>
          <w:rFonts w:ascii="Arial" w:cs="Arial" w:eastAsia="Arial" w:hAnsi="Arial"/>
          <w:sz w:val="15"/>
          <w:szCs w:val="15"/>
          <w:i w:val="1"/>
          <w:iCs w:val="1"/>
          <w:color w:val="auto"/>
        </w:rPr>
        <w:t>provided</w:t>
      </w:r>
      <w:r>
        <w:rPr>
          <w:rFonts w:ascii="Arial" w:cs="Arial" w:eastAsia="Arial" w:hAnsi="Arial"/>
          <w:sz w:val="15"/>
          <w:szCs w:val="15"/>
          <w:color w:val="auto"/>
        </w:rPr>
        <w:t>, that Eligible Directors timely submit to the Company appropriate documentation substantiating such expenses in accordance with the Company’s travel and expense policy, as in effect from time to time.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Philosophy</w:t>
      </w:r>
    </w:p>
    <w:p>
      <w:pPr>
        <w:spacing w:after="0" w:line="125" w:lineRule="exact"/>
        <w:rPr>
          <w:sz w:val="20"/>
          <w:szCs w:val="20"/>
          <w:color w:val="auto"/>
        </w:rPr>
      </w:pPr>
    </w:p>
    <w:p>
      <w:pPr>
        <w:ind w:right="40" w:firstLine="427"/>
        <w:spacing w:after="0" w:line="263" w:lineRule="auto"/>
        <w:rPr>
          <w:sz w:val="20"/>
          <w:szCs w:val="20"/>
          <w:color w:val="auto"/>
        </w:rPr>
      </w:pPr>
      <w:r>
        <w:rPr>
          <w:rFonts w:ascii="Arial" w:cs="Arial" w:eastAsia="Arial" w:hAnsi="Arial"/>
          <w:sz w:val="17"/>
          <w:szCs w:val="17"/>
          <w:color w:val="auto"/>
        </w:rPr>
        <w:t>The Director Compensation Policy is designed to attract and retain experienced, talented individuals to serve on the Board. The Board anticipates that the Board, or a duly authorized committee thereof, will generally review Eligible Director compensation on an annual basis following the IPO. The Director Compensation Policy, as amended from time to time, may take into account the time commitment expected of Eligible Directors, best practices and market rates in director compensation, the economic position of NGM, broader economic conditions, historical compensation structure, the advice of the compensation consultant that the Compensation Committee or the Board may retain from time to time, and the potential dilutive effect of equity awards on our stockholders.</w:t>
      </w:r>
    </w:p>
    <w:p>
      <w:pPr>
        <w:spacing w:after="0" w:line="181" w:lineRule="exact"/>
        <w:rPr>
          <w:sz w:val="20"/>
          <w:szCs w:val="20"/>
          <w:color w:val="auto"/>
        </w:rPr>
      </w:pPr>
    </w:p>
    <w:p>
      <w:pPr>
        <w:ind w:firstLine="427"/>
        <w:spacing w:after="0" w:line="302" w:lineRule="auto"/>
        <w:rPr>
          <w:sz w:val="20"/>
          <w:szCs w:val="20"/>
          <w:color w:val="auto"/>
        </w:rPr>
      </w:pPr>
      <w:r>
        <w:rPr>
          <w:rFonts w:ascii="Arial" w:cs="Arial" w:eastAsia="Arial" w:hAnsi="Arial"/>
          <w:sz w:val="15"/>
          <w:szCs w:val="15"/>
          <w:color w:val="auto"/>
        </w:rPr>
        <w:t>Under the Director Compensation Policy, Eligible Directors receive cash compensation in the form of retainers to recognize their level of responsibility as well as the necessary time commitment involved in serving in a leadership role and/or on Committees. Eligible Directors also receive equity compensation because we believe that stock ownership provides an incentive to act in ways that maximize long-term stockholder value. Further, we believe that stock-based awards are essential to attracting and retaining talented Board members. When stock options are granted, these stock options will have an exercise price at least equal to the Fair Market Value of Common Stock on the date of grant, so that stock options provide a return only if the Fair Market Value appreciates over the period in which the stock option vests and remains exercisable. We believe that the vesting acceleration provided in the case of a Change in Control is consistent with market practices and is critical to attracting and retaining high quality directors.</w:t>
      </w:r>
    </w:p>
    <w:p>
      <w:pPr>
        <w:spacing w:after="0" w:line="157" w:lineRule="exact"/>
        <w:rPr>
          <w:sz w:val="20"/>
          <w:szCs w:val="20"/>
          <w:color w:val="auto"/>
        </w:rPr>
      </w:pPr>
    </w:p>
    <w:p>
      <w:pPr>
        <w:ind w:firstLine="427"/>
        <w:spacing w:after="0" w:line="273" w:lineRule="auto"/>
        <w:rPr>
          <w:sz w:val="20"/>
          <w:szCs w:val="20"/>
          <w:color w:val="auto"/>
        </w:rPr>
      </w:pPr>
      <w:r>
        <w:rPr>
          <w:rFonts w:ascii="Arial" w:cs="Arial" w:eastAsia="Arial" w:hAnsi="Arial"/>
          <w:sz w:val="17"/>
          <w:szCs w:val="17"/>
          <w:color w:val="auto"/>
        </w:rPr>
        <w:t>To the extent this Director Compensation Policy would otherwise provide for compensation to any Eligible Director that would exceed any separate stockholder approved limit set forth in the Plan, the benefits provided under this Director Compensation Policy will automatically be reduced to fall within such limits (or if previously paid, are subject to recoupment).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60"/>
          </w:cols>
          <w:pgMar w:left="620" w:top="272" w:right="619" w:bottom="1440" w:gutter="0" w:footer="0" w:header="0"/>
        </w:sectPr>
      </w:pPr>
    </w:p>
    <w:bookmarkStart w:id="373" w:name="page374"/>
    <w:bookmarkEnd w:id="373"/>
    <w:p>
      <w:pPr>
        <w:jc w:val="right"/>
        <w:spacing w:after="0"/>
        <w:rPr>
          <w:sz w:val="20"/>
          <w:szCs w:val="20"/>
          <w:color w:val="auto"/>
        </w:rPr>
      </w:pPr>
      <w:r>
        <w:rPr>
          <w:rFonts w:ascii="Arial" w:cs="Arial" w:eastAsia="Arial" w:hAnsi="Arial"/>
          <w:sz w:val="17"/>
          <w:szCs w:val="17"/>
          <w:b w:val="1"/>
          <w:bCs w:val="1"/>
          <w:color w:val="auto"/>
        </w:rPr>
        <w:t>Exhibit 10.12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EMPLOYMENT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Aetna Wun Trombley</w:t>
      </w:r>
    </w:p>
    <w:p>
      <w:pPr>
        <w:spacing w:after="0" w:line="212" w:lineRule="exact"/>
        <w:rPr>
          <w:sz w:val="20"/>
          <w:szCs w:val="20"/>
          <w:color w:val="auto"/>
        </w:rPr>
      </w:pPr>
    </w:p>
    <w:p>
      <w:pPr>
        <w:ind w:right="120" w:firstLine="427"/>
        <w:spacing w:after="0" w:line="289" w:lineRule="auto"/>
        <w:rPr>
          <w:sz w:val="20"/>
          <w:szCs w:val="20"/>
          <w:color w:val="auto"/>
        </w:rPr>
      </w:pPr>
      <w:r>
        <w:rPr>
          <w:rFonts w:ascii="Arial" w:cs="Arial" w:eastAsia="Arial" w:hAnsi="Arial"/>
          <w:sz w:val="17"/>
          <w:szCs w:val="17"/>
          <w:color w:val="auto"/>
        </w:rPr>
        <w:t>This Executive Employment Agreement (“Agreement”) is effective as of July 25, 2018, by and between Aetna Wun Trombley (“Executive”) and NGM Biopharmaceuticals, Inc. (the “Company”).</w:t>
      </w:r>
    </w:p>
    <w:p>
      <w:pPr>
        <w:spacing w:after="0" w:line="152" w:lineRule="exact"/>
        <w:rPr>
          <w:sz w:val="20"/>
          <w:szCs w:val="20"/>
          <w:color w:val="auto"/>
        </w:rPr>
      </w:pPr>
    </w:p>
    <w:p>
      <w:pPr>
        <w:ind w:right="80" w:firstLine="427"/>
        <w:spacing w:after="0" w:line="296"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4"/>
          <w:szCs w:val="14"/>
          <w:b w:val="1"/>
          <w:bCs w:val="1"/>
          <w:color w:val="auto"/>
        </w:rPr>
        <w:t>HEREAS</w:t>
      </w:r>
      <w:r>
        <w:rPr>
          <w:rFonts w:ascii="Arial" w:cs="Arial" w:eastAsia="Arial" w:hAnsi="Arial"/>
          <w:sz w:val="17"/>
          <w:szCs w:val="17"/>
          <w:color w:val="auto"/>
        </w:rPr>
        <w:t>, the Company desires to employ Executive to provide personal services to the Company, and wishes to provide Executive with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and benefits in return for Executive’s services; and</w:t>
      </w:r>
    </w:p>
    <w:p>
      <w:pPr>
        <w:spacing w:after="0" w:line="146" w:lineRule="exact"/>
        <w:rPr>
          <w:sz w:val="20"/>
          <w:szCs w:val="20"/>
          <w:color w:val="auto"/>
        </w:rPr>
      </w:pPr>
    </w:p>
    <w:p>
      <w:pPr>
        <w:ind w:right="1020" w:firstLine="427"/>
        <w:spacing w:after="0" w:line="296"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4"/>
          <w:szCs w:val="14"/>
          <w:b w:val="1"/>
          <w:bCs w:val="1"/>
          <w:color w:val="auto"/>
        </w:rPr>
        <w:t>HEREAS</w:t>
      </w:r>
      <w:r>
        <w:rPr>
          <w:rFonts w:ascii="Arial" w:cs="Arial" w:eastAsia="Arial" w:hAnsi="Arial"/>
          <w:sz w:val="17"/>
          <w:szCs w:val="17"/>
          <w:color w:val="auto"/>
        </w:rPr>
        <w:t>, Executive wishes to be employed by the Company and to provide personal services to the Company in return for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and benefits.</w:t>
      </w:r>
    </w:p>
    <w:p>
      <w:pPr>
        <w:spacing w:after="0" w:line="146" w:lineRule="exact"/>
        <w:rPr>
          <w:sz w:val="20"/>
          <w:szCs w:val="20"/>
          <w:color w:val="auto"/>
        </w:rPr>
      </w:pPr>
    </w:p>
    <w:p>
      <w:pPr>
        <w:ind w:firstLine="427"/>
        <w:spacing w:after="0" w:line="296" w:lineRule="auto"/>
        <w:rPr>
          <w:sz w:val="20"/>
          <w:szCs w:val="20"/>
          <w:color w:val="auto"/>
        </w:rPr>
      </w:pPr>
      <w:r>
        <w:rPr>
          <w:rFonts w:ascii="Arial" w:cs="Arial" w:eastAsia="Arial" w:hAnsi="Arial"/>
          <w:sz w:val="17"/>
          <w:szCs w:val="17"/>
          <w:b w:val="1"/>
          <w:bCs w:val="1"/>
          <w:color w:val="auto"/>
        </w:rPr>
        <w:t>N</w:t>
      </w:r>
      <w:r>
        <w:rPr>
          <w:rFonts w:ascii="Arial" w:cs="Arial" w:eastAsia="Arial" w:hAnsi="Arial"/>
          <w:sz w:val="14"/>
          <w:szCs w:val="14"/>
          <w:b w:val="1"/>
          <w:bCs w:val="1"/>
          <w:color w:val="auto"/>
        </w:rPr>
        <w:t>OW</w:t>
      </w:r>
      <w:r>
        <w:rPr>
          <w:rFonts w:ascii="Arial" w:cs="Arial" w:eastAsia="Arial" w:hAnsi="Arial"/>
          <w:sz w:val="17"/>
          <w:szCs w:val="17"/>
          <w:b w:val="1"/>
          <w:bCs w:val="1"/>
          <w:color w:val="auto"/>
        </w:rPr>
        <w:t>, T</w:t>
      </w:r>
      <w:r>
        <w:rPr>
          <w:rFonts w:ascii="Arial" w:cs="Arial" w:eastAsia="Arial" w:hAnsi="Arial"/>
          <w:sz w:val="14"/>
          <w:szCs w:val="14"/>
          <w:b w:val="1"/>
          <w:bCs w:val="1"/>
          <w:color w:val="auto"/>
        </w:rPr>
        <w:t>HEREFORE</w:t>
      </w:r>
      <w:r>
        <w:rPr>
          <w:rFonts w:ascii="Arial" w:cs="Arial" w:eastAsia="Arial" w:hAnsi="Arial"/>
          <w:sz w:val="17"/>
          <w:szCs w:val="17"/>
          <w:color w:val="auto"/>
        </w:rPr>
        <w:t>, in consideration of the mutual promises and covenants contained herein, it is hereby agreed by and between the parties hereto</w:t>
      </w:r>
      <w:r>
        <w:rPr>
          <w:rFonts w:ascii="Arial" w:cs="Arial" w:eastAsia="Arial" w:hAnsi="Arial"/>
          <w:sz w:val="17"/>
          <w:szCs w:val="17"/>
          <w:b w:val="1"/>
          <w:bCs w:val="1"/>
          <w:color w:val="auto"/>
        </w:rPr>
        <w:t xml:space="preserve"> </w:t>
      </w:r>
      <w:r>
        <w:rPr>
          <w:rFonts w:ascii="Arial" w:cs="Arial" w:eastAsia="Arial" w:hAnsi="Arial"/>
          <w:sz w:val="17"/>
          <w:szCs w:val="17"/>
          <w:color w:val="auto"/>
        </w:rPr>
        <w:t>as follows:</w:t>
      </w:r>
    </w:p>
    <w:p>
      <w:pPr>
        <w:spacing w:after="0" w:line="55" w:lineRule="exact"/>
        <w:rPr>
          <w:sz w:val="20"/>
          <w:szCs w:val="20"/>
          <w:color w:val="auto"/>
        </w:rPr>
      </w:pPr>
    </w:p>
    <w:p>
      <w:pPr>
        <w:ind w:left="820" w:hanging="410"/>
        <w:spacing w:after="0"/>
        <w:tabs>
          <w:tab w:leader="none" w:pos="820" w:val="left"/>
        </w:tabs>
        <w:numPr>
          <w:ilvl w:val="0"/>
          <w:numId w:val="281"/>
        </w:numPr>
        <w:rPr>
          <w:rFonts w:ascii="Arial" w:cs="Arial" w:eastAsia="Arial" w:hAnsi="Arial"/>
          <w:sz w:val="17"/>
          <w:szCs w:val="17"/>
          <w:b w:val="1"/>
          <w:bCs w:val="1"/>
          <w:color w:val="auto"/>
        </w:rPr>
      </w:pPr>
      <w:r>
        <w:rPr>
          <w:rFonts w:ascii="Arial" w:cs="Arial" w:eastAsia="Arial" w:hAnsi="Arial"/>
          <w:sz w:val="17"/>
          <w:szCs w:val="17"/>
          <w:b w:val="1"/>
          <w:bCs w:val="1"/>
          <w:color w:val="auto"/>
        </w:rPr>
        <w:t>Employment by the Company.</w:t>
      </w:r>
    </w:p>
    <w:p>
      <w:pPr>
        <w:spacing w:after="0" w:line="119" w:lineRule="exact"/>
        <w:rPr>
          <w:sz w:val="20"/>
          <w:szCs w:val="20"/>
          <w:color w:val="auto"/>
        </w:rPr>
      </w:pPr>
    </w:p>
    <w:p>
      <w:pPr>
        <w:ind w:right="160" w:firstLine="855"/>
        <w:spacing w:after="0" w:line="287" w:lineRule="auto"/>
        <w:rPr>
          <w:sz w:val="20"/>
          <w:szCs w:val="20"/>
          <w:color w:val="auto"/>
        </w:rPr>
      </w:pPr>
      <w:r>
        <w:rPr>
          <w:rFonts w:ascii="Arial" w:cs="Arial" w:eastAsia="Arial" w:hAnsi="Arial"/>
          <w:sz w:val="16"/>
          <w:szCs w:val="16"/>
          <w:b w:val="1"/>
          <w:bCs w:val="1"/>
          <w:color w:val="auto"/>
        </w:rPr>
        <w:t>1.1 Position</w:t>
      </w:r>
      <w:r>
        <w:rPr>
          <w:rFonts w:ascii="Arial" w:cs="Arial" w:eastAsia="Arial" w:hAnsi="Arial"/>
          <w:sz w:val="16"/>
          <w:szCs w:val="16"/>
          <w:color w:val="auto"/>
        </w:rPr>
        <w:t>. Subject to terms and conditions set forth herein, the Company agrees to employ Executive in the position of President and</w:t>
      </w:r>
      <w:r>
        <w:rPr>
          <w:rFonts w:ascii="Arial" w:cs="Arial" w:eastAsia="Arial" w:hAnsi="Arial"/>
          <w:sz w:val="16"/>
          <w:szCs w:val="16"/>
          <w:b w:val="1"/>
          <w:bCs w:val="1"/>
          <w:color w:val="auto"/>
        </w:rPr>
        <w:t xml:space="preserve"> </w:t>
      </w:r>
      <w:r>
        <w:rPr>
          <w:rFonts w:ascii="Arial" w:cs="Arial" w:eastAsia="Arial" w:hAnsi="Arial"/>
          <w:sz w:val="16"/>
          <w:szCs w:val="16"/>
          <w:color w:val="auto"/>
        </w:rPr>
        <w:t>Chief Operating Officer, reporting to the Company’s Chief Executive Officer, and Executive hereby accepts such employment. Executive will assume such duties and responsibilities upon the earlier to occur of: (a) the departure from the Company of its current President; or (b) the date the Company’s 2018 registration statement filed with the Securities and Exchange Commission under the Securities Act of 1933, as amended, or similar regulatory body in a foreign jurisdiction, is first available on EDGAR (such earlier date, the “Assumption Date”).</w:t>
      </w:r>
    </w:p>
    <w:p>
      <w:pPr>
        <w:spacing w:after="0" w:line="163" w:lineRule="exact"/>
        <w:rPr>
          <w:sz w:val="20"/>
          <w:szCs w:val="20"/>
          <w:color w:val="auto"/>
        </w:rPr>
      </w:pPr>
    </w:p>
    <w:p>
      <w:pPr>
        <w:ind w:right="120" w:firstLine="855"/>
        <w:spacing w:after="0" w:line="273" w:lineRule="auto"/>
        <w:rPr>
          <w:sz w:val="20"/>
          <w:szCs w:val="20"/>
          <w:color w:val="auto"/>
        </w:rPr>
      </w:pPr>
      <w:r>
        <w:rPr>
          <w:rFonts w:ascii="Arial" w:cs="Arial" w:eastAsia="Arial" w:hAnsi="Arial"/>
          <w:sz w:val="17"/>
          <w:szCs w:val="17"/>
          <w:color w:val="auto"/>
        </w:rPr>
        <w:t>During the term of Executive’s employment with the Company, Executive will devote Executive’s best efforts and substantially all of Executive’s business time and attention to the business of the Company, except for approved vacation periods and reasonable periods of illness or other incapacities permitted by the Company’s general employment policies.</w:t>
      </w:r>
    </w:p>
    <w:p>
      <w:pPr>
        <w:spacing w:after="0" w:line="165" w:lineRule="exact"/>
        <w:rPr>
          <w:sz w:val="20"/>
          <w:szCs w:val="20"/>
          <w:color w:val="auto"/>
        </w:rPr>
      </w:pPr>
    </w:p>
    <w:p>
      <w:pPr>
        <w:ind w:right="140" w:firstLine="855"/>
        <w:spacing w:after="0" w:line="262" w:lineRule="auto"/>
        <w:rPr>
          <w:sz w:val="20"/>
          <w:szCs w:val="20"/>
          <w:color w:val="auto"/>
        </w:rPr>
      </w:pPr>
      <w:r>
        <w:rPr>
          <w:rFonts w:ascii="Arial" w:cs="Arial" w:eastAsia="Arial" w:hAnsi="Arial"/>
          <w:sz w:val="17"/>
          <w:szCs w:val="17"/>
          <w:b w:val="1"/>
          <w:bCs w:val="1"/>
          <w:color w:val="auto"/>
        </w:rPr>
        <w:t>1.2 Duties and Location</w:t>
      </w:r>
      <w:r>
        <w:rPr>
          <w:rFonts w:ascii="Arial" w:cs="Arial" w:eastAsia="Arial" w:hAnsi="Arial"/>
          <w:sz w:val="17"/>
          <w:szCs w:val="17"/>
          <w:color w:val="auto"/>
        </w:rPr>
        <w:t>. Executive shall perform such duties as are consistent with the position of President and Chief Operating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the Assumption Date. With the Chief Executive Officer, Executive shall be responsible for the general supervision, direction and control of the business and officers of NGM. These duties will initially include responsibility for all aspects of the following operations of the Company: alliance management, business and corporate development, business strategy, human resources, information technology, legal (including contracts and intellectual property), investor/public relations, the office administrative team, project management, product strategy and quality assurance. The Board may modify Executive’s duties, in a manner consistent with Executive’s training and experience, as it deems necessary and appropriate in light of the Company’s needs and interests from time to time. Executive’s primary office location shall be the Company’s headquarters. The Company reserves the right to reasonably require Executive to perform Executive’s duties at places other than Executive’s primary office location from time to time, and to require reasonable business travel.</w:t>
      </w:r>
    </w:p>
    <w:p>
      <w:pPr>
        <w:spacing w:after="0" w:line="175" w:lineRule="exact"/>
        <w:rPr>
          <w:sz w:val="20"/>
          <w:szCs w:val="20"/>
          <w:color w:val="auto"/>
        </w:rPr>
      </w:pPr>
    </w:p>
    <w:p>
      <w:pPr>
        <w:ind w:right="160" w:firstLine="855"/>
        <w:spacing w:after="0" w:line="276" w:lineRule="auto"/>
        <w:rPr>
          <w:sz w:val="20"/>
          <w:szCs w:val="20"/>
          <w:color w:val="auto"/>
        </w:rPr>
      </w:pPr>
      <w:r>
        <w:rPr>
          <w:rFonts w:ascii="Arial" w:cs="Arial" w:eastAsia="Arial" w:hAnsi="Arial"/>
          <w:sz w:val="17"/>
          <w:szCs w:val="17"/>
          <w:b w:val="1"/>
          <w:bCs w:val="1"/>
          <w:color w:val="auto"/>
        </w:rPr>
        <w:t>1.3 Policies and Procedures</w:t>
      </w:r>
      <w:r>
        <w:rPr>
          <w:rFonts w:ascii="Arial" w:cs="Arial" w:eastAsia="Arial" w:hAnsi="Arial"/>
          <w:sz w:val="17"/>
          <w:szCs w:val="17"/>
          <w:color w:val="auto"/>
        </w:rPr>
        <w:t>. The employment relationship between the parties shall be governed by the general employment policies and</w:t>
      </w:r>
      <w:r>
        <w:rPr>
          <w:rFonts w:ascii="Arial" w:cs="Arial" w:eastAsia="Arial" w:hAnsi="Arial"/>
          <w:sz w:val="17"/>
          <w:szCs w:val="17"/>
          <w:b w:val="1"/>
          <w:bCs w:val="1"/>
          <w:color w:val="auto"/>
        </w:rPr>
        <w:t xml:space="preserve"> </w:t>
      </w:r>
      <w:r>
        <w:rPr>
          <w:rFonts w:ascii="Arial" w:cs="Arial" w:eastAsia="Arial" w:hAnsi="Arial"/>
          <w:sz w:val="17"/>
          <w:szCs w:val="17"/>
          <w:color w:val="auto"/>
        </w:rPr>
        <w:t>practices of the Company, except that, when the terms of this Agreement differ from, or are in conflict with, the Company’s general employment policies or practices, this Agreement shall control.</w:t>
      </w:r>
    </w:p>
    <w:p>
      <w:pPr>
        <w:sectPr>
          <w:pgSz w:w="11900" w:h="16838" w:orient="portrait"/>
          <w:cols w:equalWidth="0" w:num="1">
            <w:col w:w="10680"/>
          </w:cols>
          <w:pgMar w:left="620" w:top="121" w:right="599" w:bottom="1440" w:gutter="0" w:footer="0" w:header="0"/>
        </w:sectPr>
      </w:pPr>
    </w:p>
    <w:bookmarkStart w:id="374" w:name="page375"/>
    <w:bookmarkEnd w:id="374"/>
    <w:p>
      <w:pPr>
        <w:ind w:left="820" w:hanging="410"/>
        <w:spacing w:after="0"/>
        <w:tabs>
          <w:tab w:leader="none" w:pos="820" w:val="left"/>
        </w:tabs>
        <w:numPr>
          <w:ilvl w:val="0"/>
          <w:numId w:val="282"/>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Compensation.</w:t>
      </w:r>
    </w:p>
    <w:p>
      <w:pPr>
        <w:spacing w:after="0" w:line="119" w:lineRule="exact"/>
        <w:rPr>
          <w:sz w:val="20"/>
          <w:szCs w:val="20"/>
          <w:color w:val="auto"/>
        </w:rPr>
      </w:pPr>
    </w:p>
    <w:p>
      <w:pPr>
        <w:ind w:right="40" w:firstLine="855"/>
        <w:spacing w:after="0" w:line="276" w:lineRule="auto"/>
        <w:rPr>
          <w:sz w:val="20"/>
          <w:szCs w:val="20"/>
          <w:color w:val="auto"/>
        </w:rPr>
      </w:pPr>
      <w:r>
        <w:rPr>
          <w:rFonts w:ascii="Arial" w:cs="Arial" w:eastAsia="Arial" w:hAnsi="Arial"/>
          <w:sz w:val="17"/>
          <w:szCs w:val="17"/>
          <w:b w:val="1"/>
          <w:bCs w:val="1"/>
          <w:color w:val="auto"/>
        </w:rPr>
        <w:t>2.1 Salary</w:t>
      </w:r>
      <w:r>
        <w:rPr>
          <w:rFonts w:ascii="Arial" w:cs="Arial" w:eastAsia="Arial" w:hAnsi="Arial"/>
          <w:sz w:val="17"/>
          <w:szCs w:val="17"/>
          <w:color w:val="auto"/>
        </w:rPr>
        <w:t>. For services to be rendered hereunder, Executive shall receive a base salary at the rate of Four Hundred Twenty-Five Thousand</w:t>
      </w:r>
      <w:r>
        <w:rPr>
          <w:rFonts w:ascii="Arial" w:cs="Arial" w:eastAsia="Arial" w:hAnsi="Arial"/>
          <w:sz w:val="17"/>
          <w:szCs w:val="17"/>
          <w:b w:val="1"/>
          <w:bCs w:val="1"/>
          <w:color w:val="auto"/>
        </w:rPr>
        <w:t xml:space="preserve"> </w:t>
      </w:r>
      <w:r>
        <w:rPr>
          <w:rFonts w:ascii="Arial" w:cs="Arial" w:eastAsia="Arial" w:hAnsi="Arial"/>
          <w:sz w:val="17"/>
          <w:szCs w:val="17"/>
          <w:color w:val="auto"/>
        </w:rPr>
        <w:t>Dollars ($425,000.00) per year (the “Base Salary”), subject to standard payroll deductions and withholdings and payable in accordance with the Company’s regular payroll schedule.</w:t>
      </w:r>
    </w:p>
    <w:p>
      <w:pPr>
        <w:spacing w:after="0" w:line="164" w:lineRule="exact"/>
        <w:rPr>
          <w:sz w:val="20"/>
          <w:szCs w:val="20"/>
          <w:color w:val="auto"/>
        </w:rPr>
      </w:pPr>
    </w:p>
    <w:p>
      <w:pPr>
        <w:ind w:right="180" w:firstLine="855"/>
        <w:spacing w:after="0" w:line="296" w:lineRule="auto"/>
        <w:rPr>
          <w:sz w:val="20"/>
          <w:szCs w:val="20"/>
          <w:color w:val="auto"/>
        </w:rPr>
      </w:pPr>
      <w:r>
        <w:rPr>
          <w:rFonts w:ascii="Arial" w:cs="Arial" w:eastAsia="Arial" w:hAnsi="Arial"/>
          <w:sz w:val="17"/>
          <w:szCs w:val="17"/>
          <w:b w:val="1"/>
          <w:bCs w:val="1"/>
          <w:color w:val="auto"/>
        </w:rPr>
        <w:t>2.2 Bonus</w:t>
      </w:r>
      <w:r>
        <w:rPr>
          <w:rFonts w:ascii="Arial" w:cs="Arial" w:eastAsia="Arial" w:hAnsi="Arial"/>
          <w:sz w:val="17"/>
          <w:szCs w:val="17"/>
          <w:color w:val="auto"/>
        </w:rPr>
        <w:t>. Executive will be entitled to participate in any bonus plan adopted by the Company for its employees or executive officers on</w:t>
      </w:r>
      <w:r>
        <w:rPr>
          <w:rFonts w:ascii="Arial" w:cs="Arial" w:eastAsia="Arial" w:hAnsi="Arial"/>
          <w:sz w:val="17"/>
          <w:szCs w:val="17"/>
          <w:b w:val="1"/>
          <w:bCs w:val="1"/>
          <w:color w:val="auto"/>
        </w:rPr>
        <w:t xml:space="preserve"> </w:t>
      </w:r>
      <w:r>
        <w:rPr>
          <w:rFonts w:ascii="Arial" w:cs="Arial" w:eastAsia="Arial" w:hAnsi="Arial"/>
          <w:sz w:val="17"/>
          <w:szCs w:val="17"/>
          <w:color w:val="auto"/>
        </w:rPr>
        <w:t>such terms as the Board may determine in its discretion.</w:t>
      </w:r>
    </w:p>
    <w:p>
      <w:pPr>
        <w:spacing w:after="0" w:line="146" w:lineRule="exact"/>
        <w:rPr>
          <w:sz w:val="20"/>
          <w:szCs w:val="20"/>
          <w:color w:val="auto"/>
        </w:rPr>
      </w:pPr>
    </w:p>
    <w:p>
      <w:pPr>
        <w:ind w:right="220" w:firstLine="855"/>
        <w:spacing w:after="0" w:line="296" w:lineRule="auto"/>
        <w:rPr>
          <w:sz w:val="20"/>
          <w:szCs w:val="20"/>
          <w:color w:val="auto"/>
        </w:rPr>
      </w:pPr>
      <w:r>
        <w:rPr>
          <w:rFonts w:ascii="Arial" w:cs="Arial" w:eastAsia="Arial" w:hAnsi="Arial"/>
          <w:sz w:val="17"/>
          <w:szCs w:val="17"/>
          <w:b w:val="1"/>
          <w:bCs w:val="1"/>
          <w:color w:val="auto"/>
        </w:rPr>
        <w:t>2.3 Standard Company Benefits</w:t>
      </w:r>
      <w:r>
        <w:rPr>
          <w:rFonts w:ascii="Arial" w:cs="Arial" w:eastAsia="Arial" w:hAnsi="Arial"/>
          <w:sz w:val="17"/>
          <w:szCs w:val="17"/>
          <w:color w:val="auto"/>
        </w:rPr>
        <w:t>. Executive shall be entitled to all employee benefit programs for which Executive is eligible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terms and conditions of the benefit plans that may be in effect from time to time and provided by the Company to its officers.</w:t>
      </w:r>
    </w:p>
    <w:p>
      <w:pPr>
        <w:spacing w:after="0" w:line="146" w:lineRule="exact"/>
        <w:rPr>
          <w:sz w:val="20"/>
          <w:szCs w:val="20"/>
          <w:color w:val="auto"/>
        </w:rPr>
      </w:pPr>
    </w:p>
    <w:p>
      <w:pPr>
        <w:ind w:right="100" w:firstLine="855"/>
        <w:spacing w:after="0" w:line="276" w:lineRule="auto"/>
        <w:rPr>
          <w:sz w:val="20"/>
          <w:szCs w:val="20"/>
          <w:color w:val="auto"/>
        </w:rPr>
      </w:pPr>
      <w:r>
        <w:rPr>
          <w:rFonts w:ascii="Arial" w:cs="Arial" w:eastAsia="Arial" w:hAnsi="Arial"/>
          <w:sz w:val="17"/>
          <w:szCs w:val="17"/>
          <w:b w:val="1"/>
          <w:bCs w:val="1"/>
          <w:color w:val="auto"/>
        </w:rPr>
        <w:t>2.4 Vacation</w:t>
      </w:r>
      <w:r>
        <w:rPr>
          <w:rFonts w:ascii="Arial" w:cs="Arial" w:eastAsia="Arial" w:hAnsi="Arial"/>
          <w:sz w:val="17"/>
          <w:szCs w:val="17"/>
          <w:color w:val="auto"/>
        </w:rPr>
        <w:t>. Executive will be entitled to four (4) weeks of paid vacation each year, such vacation to be taken in accordance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vacation policy (including, without limitation, its policy relating to maximum accrual). The timing and duration of specific vacations to be mutually and reasonably agreed to by the parties hereto.</w:t>
      </w:r>
    </w:p>
    <w:p>
      <w:pPr>
        <w:spacing w:after="0" w:line="164" w:lineRule="exact"/>
        <w:rPr>
          <w:sz w:val="20"/>
          <w:szCs w:val="20"/>
          <w:color w:val="auto"/>
        </w:rPr>
      </w:pPr>
    </w:p>
    <w:p>
      <w:pPr>
        <w:ind w:firstLine="855"/>
        <w:spacing w:after="0" w:line="276" w:lineRule="auto"/>
        <w:rPr>
          <w:sz w:val="20"/>
          <w:szCs w:val="20"/>
          <w:color w:val="auto"/>
        </w:rPr>
      </w:pPr>
      <w:r>
        <w:rPr>
          <w:rFonts w:ascii="Arial" w:cs="Arial" w:eastAsia="Arial" w:hAnsi="Arial"/>
          <w:sz w:val="17"/>
          <w:szCs w:val="17"/>
          <w:b w:val="1"/>
          <w:bCs w:val="1"/>
          <w:color w:val="auto"/>
        </w:rPr>
        <w:t>2.5 Expenses</w:t>
      </w:r>
      <w:r>
        <w:rPr>
          <w:rFonts w:ascii="Arial" w:cs="Arial" w:eastAsia="Arial" w:hAnsi="Arial"/>
          <w:sz w:val="17"/>
          <w:szCs w:val="17"/>
          <w:color w:val="auto"/>
        </w:rPr>
        <w:t>. The Company will reimburse Executive for reasonable travel, entertainment or other expenses incurred by Executive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furtherance of or in connection with the performance of Executive’s duties hereunder, in accordance with the Company’s expense reimbursement policy as in effect from time to time.</w:t>
      </w:r>
    </w:p>
    <w:p>
      <w:pPr>
        <w:spacing w:after="0" w:line="164" w:lineRule="exact"/>
        <w:rPr>
          <w:sz w:val="20"/>
          <w:szCs w:val="20"/>
          <w:color w:val="auto"/>
        </w:rPr>
      </w:pPr>
    </w:p>
    <w:p>
      <w:pPr>
        <w:ind w:right="100" w:firstLine="855"/>
        <w:spacing w:after="0" w:line="304" w:lineRule="auto"/>
        <w:rPr>
          <w:sz w:val="20"/>
          <w:szCs w:val="20"/>
          <w:color w:val="auto"/>
        </w:rPr>
      </w:pPr>
      <w:r>
        <w:rPr>
          <w:rFonts w:ascii="Arial" w:cs="Arial" w:eastAsia="Arial" w:hAnsi="Arial"/>
          <w:sz w:val="15"/>
          <w:szCs w:val="15"/>
          <w:b w:val="1"/>
          <w:bCs w:val="1"/>
          <w:color w:val="auto"/>
        </w:rPr>
        <w:t>2.6 Option Grant</w:t>
      </w:r>
      <w:r>
        <w:rPr>
          <w:rFonts w:ascii="Arial" w:cs="Arial" w:eastAsia="Arial" w:hAnsi="Arial"/>
          <w:sz w:val="15"/>
          <w:szCs w:val="15"/>
          <w:color w:val="auto"/>
        </w:rPr>
        <w:t>. Subject to the approval by the Board, Executive will be awarded a stock option to purchase seven hundred thousand</w:t>
      </w:r>
      <w:r>
        <w:rPr>
          <w:rFonts w:ascii="Arial" w:cs="Arial" w:eastAsia="Arial" w:hAnsi="Arial"/>
          <w:sz w:val="15"/>
          <w:szCs w:val="15"/>
          <w:b w:val="1"/>
          <w:bCs w:val="1"/>
          <w:color w:val="auto"/>
        </w:rPr>
        <w:t xml:space="preserve"> </w:t>
      </w:r>
      <w:r>
        <w:rPr>
          <w:rFonts w:ascii="Arial" w:cs="Arial" w:eastAsia="Arial" w:hAnsi="Arial"/>
          <w:sz w:val="15"/>
          <w:szCs w:val="15"/>
          <w:color w:val="auto"/>
        </w:rPr>
        <w:t>(700,000) shares of the Company’s Common Stock (the “Option Grant”). The Option Grant shall be awarded immediately following the receipt of last required approval from the Board and stockholders of the Company necessary to authorize the amendment to the 2018 Equity Incentive Plan, as amended (the “Plan”) to enable an increase in the number of shares reserved for issuance sufficient to cover the Option Grant. The purchase price per share for the Option Grant will be the fair market value as determined by the Board when the Option Grant is awarded. The Option Grant shall be subject to the terms and conditions of the Plan. 1/48</w:t>
      </w:r>
      <w:r>
        <w:rPr>
          <w:rFonts w:ascii="Arial" w:cs="Arial" w:eastAsia="Arial" w:hAnsi="Arial"/>
          <w:sz w:val="12"/>
          <w:szCs w:val="12"/>
          <w:color w:val="auto"/>
        </w:rPr>
        <w:t>th</w:t>
      </w:r>
      <w:r>
        <w:rPr>
          <w:rFonts w:ascii="Arial" w:cs="Arial" w:eastAsia="Arial" w:hAnsi="Arial"/>
          <w:sz w:val="15"/>
          <w:szCs w:val="15"/>
          <w:color w:val="auto"/>
        </w:rPr>
        <w:t xml:space="preserve"> of the shares initially subject to the Option Grant shall vest on each month as measured from the respective Option Grant date, provided in each case that the Executive is then providing Continuous Service (as defined in the Plan) to the Company.</w:t>
      </w:r>
    </w:p>
    <w:p>
      <w:pPr>
        <w:spacing w:after="0" w:line="291" w:lineRule="exact"/>
        <w:rPr>
          <w:sz w:val="20"/>
          <w:szCs w:val="20"/>
          <w:color w:val="auto"/>
        </w:rPr>
      </w:pPr>
    </w:p>
    <w:p>
      <w:pPr>
        <w:ind w:left="820" w:hanging="410"/>
        <w:spacing w:after="0"/>
        <w:tabs>
          <w:tab w:leader="none" w:pos="820" w:val="left"/>
        </w:tabs>
        <w:numPr>
          <w:ilvl w:val="0"/>
          <w:numId w:val="283"/>
        </w:numPr>
        <w:rPr>
          <w:rFonts w:ascii="Arial" w:cs="Arial" w:eastAsia="Arial" w:hAnsi="Arial"/>
          <w:sz w:val="17"/>
          <w:szCs w:val="17"/>
          <w:b w:val="1"/>
          <w:bCs w:val="1"/>
          <w:color w:val="auto"/>
        </w:rPr>
      </w:pPr>
      <w:r>
        <w:rPr>
          <w:rFonts w:ascii="Arial" w:cs="Arial" w:eastAsia="Arial" w:hAnsi="Arial"/>
          <w:sz w:val="17"/>
          <w:szCs w:val="17"/>
          <w:b w:val="1"/>
          <w:bCs w:val="1"/>
          <w:color w:val="auto"/>
        </w:rPr>
        <w:t>Proprietary Information Obligations.</w:t>
      </w:r>
    </w:p>
    <w:p>
      <w:pPr>
        <w:spacing w:after="0" w:line="119" w:lineRule="exact"/>
        <w:rPr>
          <w:sz w:val="20"/>
          <w:szCs w:val="20"/>
          <w:color w:val="auto"/>
        </w:rPr>
      </w:pPr>
    </w:p>
    <w:p>
      <w:pPr>
        <w:jc w:val="both"/>
        <w:ind w:firstLine="855"/>
        <w:spacing w:after="0" w:line="276" w:lineRule="auto"/>
        <w:rPr>
          <w:sz w:val="20"/>
          <w:szCs w:val="20"/>
          <w:color w:val="auto"/>
        </w:rPr>
      </w:pPr>
      <w:r>
        <w:rPr>
          <w:rFonts w:ascii="Arial" w:cs="Arial" w:eastAsia="Arial" w:hAnsi="Arial"/>
          <w:sz w:val="17"/>
          <w:szCs w:val="17"/>
          <w:b w:val="1"/>
          <w:bCs w:val="1"/>
          <w:color w:val="auto"/>
        </w:rPr>
        <w:t xml:space="preserve">3.1 Proprietary Information Agreement. </w:t>
      </w:r>
      <w:r>
        <w:rPr>
          <w:rFonts w:ascii="Arial" w:cs="Arial" w:eastAsia="Arial" w:hAnsi="Arial"/>
          <w:sz w:val="17"/>
          <w:szCs w:val="17"/>
          <w:color w:val="auto"/>
        </w:rPr>
        <w:t>As a condition of employment, Executive agrees that the Employee Proprietary Information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Inventions Agreement previously executed by Executive and attached hereto as Exhibit A remains in full force and effect and is accurate in all material respects.</w:t>
      </w:r>
    </w:p>
    <w:p>
      <w:pPr>
        <w:spacing w:after="0" w:line="164" w:lineRule="exact"/>
        <w:rPr>
          <w:sz w:val="20"/>
          <w:szCs w:val="20"/>
          <w:color w:val="auto"/>
        </w:rPr>
      </w:pPr>
    </w:p>
    <w:p>
      <w:pPr>
        <w:jc w:val="both"/>
        <w:ind w:firstLine="855"/>
        <w:spacing w:after="0" w:line="301" w:lineRule="auto"/>
        <w:rPr>
          <w:sz w:val="20"/>
          <w:szCs w:val="20"/>
          <w:color w:val="auto"/>
        </w:rPr>
      </w:pPr>
      <w:r>
        <w:rPr>
          <w:rFonts w:ascii="Arial" w:cs="Arial" w:eastAsia="Arial" w:hAnsi="Arial"/>
          <w:sz w:val="16"/>
          <w:szCs w:val="16"/>
          <w:b w:val="1"/>
          <w:bCs w:val="1"/>
          <w:color w:val="auto"/>
        </w:rPr>
        <w:t xml:space="preserve">3.2 Third-Party Agreements and Information. </w:t>
      </w:r>
      <w:r>
        <w:rPr>
          <w:rFonts w:ascii="Arial" w:cs="Arial" w:eastAsia="Arial" w:hAnsi="Arial"/>
          <w:sz w:val="16"/>
          <w:szCs w:val="16"/>
          <w:color w:val="auto"/>
        </w:rPr>
        <w:t>Executive represents and warrants that Executive’s employment by the Company will not</w:t>
      </w:r>
      <w:r>
        <w:rPr>
          <w:rFonts w:ascii="Arial" w:cs="Arial" w:eastAsia="Arial" w:hAnsi="Arial"/>
          <w:sz w:val="16"/>
          <w:szCs w:val="16"/>
          <w:b w:val="1"/>
          <w:bCs w:val="1"/>
          <w:color w:val="auto"/>
        </w:rPr>
        <w:t xml:space="preserve"> </w:t>
      </w:r>
      <w:r>
        <w:rPr>
          <w:rFonts w:ascii="Arial" w:cs="Arial" w:eastAsia="Arial" w:hAnsi="Arial"/>
          <w:sz w:val="16"/>
          <w:szCs w:val="16"/>
          <w:color w:val="auto"/>
        </w:rPr>
        <w:t>conflict with any prior employment or consulting agreement or other agreement with any third party, and that Executive will perform Executive’s duties to the Company without violating any such agreement. Executive represents and warrants that Executive does not possess</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00"/>
          </w:cols>
          <w:pgMar w:left="620" w:top="266" w:right="679" w:bottom="1440" w:gutter="0" w:footer="0" w:header="0"/>
        </w:sectPr>
      </w:pPr>
    </w:p>
    <w:bookmarkStart w:id="375" w:name="page376"/>
    <w:bookmarkEnd w:id="375"/>
    <w:p>
      <w:pPr>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confidential information arising out of prior employment, consulting or other third party relationships, which would be used in connection with Executive’s employment by the Company, except as expressly authorized by that third party. During Executive’s employment by the Company, Executive will use in the performance of Executive’s duties only information that is generally known and used by persons with training and experience comparable to Executive’s own, common knowledge in the industry, otherwise legally in the public domain or obtained or developed by the Company or by Executive in the course of Executive’s work for the Company.</w:t>
      </w:r>
    </w:p>
    <w:p>
      <w:pPr>
        <w:spacing w:after="0" w:line="316" w:lineRule="exact"/>
        <w:rPr>
          <w:sz w:val="20"/>
          <w:szCs w:val="20"/>
          <w:color w:val="auto"/>
        </w:rPr>
      </w:pPr>
    </w:p>
    <w:p>
      <w:pPr>
        <w:ind w:left="820" w:hanging="410"/>
        <w:spacing w:after="0"/>
        <w:tabs>
          <w:tab w:leader="none" w:pos="820" w:val="left"/>
        </w:tabs>
        <w:numPr>
          <w:ilvl w:val="0"/>
          <w:numId w:val="284"/>
        </w:numPr>
        <w:rPr>
          <w:rFonts w:ascii="Arial" w:cs="Arial" w:eastAsia="Arial" w:hAnsi="Arial"/>
          <w:sz w:val="17"/>
          <w:szCs w:val="17"/>
          <w:b w:val="1"/>
          <w:bCs w:val="1"/>
          <w:color w:val="auto"/>
        </w:rPr>
      </w:pPr>
      <w:r>
        <w:rPr>
          <w:rFonts w:ascii="Arial" w:cs="Arial" w:eastAsia="Arial" w:hAnsi="Arial"/>
          <w:sz w:val="17"/>
          <w:szCs w:val="17"/>
          <w:b w:val="1"/>
          <w:bCs w:val="1"/>
          <w:color w:val="auto"/>
        </w:rPr>
        <w:t>Outside Activities During Employment.</w:t>
      </w:r>
    </w:p>
    <w:p>
      <w:pPr>
        <w:spacing w:after="0" w:line="119" w:lineRule="exact"/>
        <w:rPr>
          <w:sz w:val="20"/>
          <w:szCs w:val="20"/>
          <w:color w:val="auto"/>
        </w:rPr>
      </w:pPr>
    </w:p>
    <w:p>
      <w:pPr>
        <w:ind w:right="220" w:firstLine="855"/>
        <w:spacing w:after="0" w:line="270" w:lineRule="auto"/>
        <w:rPr>
          <w:sz w:val="20"/>
          <w:szCs w:val="20"/>
          <w:color w:val="auto"/>
        </w:rPr>
      </w:pPr>
      <w:r>
        <w:rPr>
          <w:rFonts w:ascii="Arial" w:cs="Arial" w:eastAsia="Arial" w:hAnsi="Arial"/>
          <w:sz w:val="17"/>
          <w:szCs w:val="17"/>
          <w:b w:val="1"/>
          <w:bCs w:val="1"/>
          <w:color w:val="auto"/>
        </w:rPr>
        <w:t xml:space="preserve">4.1 Non-Company Business. </w:t>
      </w:r>
      <w:r>
        <w:rPr>
          <w:rFonts w:ascii="Arial" w:cs="Arial" w:eastAsia="Arial" w:hAnsi="Arial"/>
          <w:sz w:val="17"/>
          <w:szCs w:val="17"/>
          <w:color w:val="auto"/>
        </w:rPr>
        <w:t>Executive will not, during the term of Executive’s employment with the Company, undertake or engage in</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employment, occupation or business enterprise, other than: (a) ones in which Executive is a passive investor; and (b) Executive’s service on the Board of Directors of Carmot Therapeutics, Inc. Executive may engage in civic and not-for-profit activities so long as such activities do not materially interfere with the performance of Executive’s duties hereunder.</w:t>
      </w:r>
    </w:p>
    <w:p>
      <w:pPr>
        <w:spacing w:after="0" w:line="168" w:lineRule="exact"/>
        <w:rPr>
          <w:sz w:val="20"/>
          <w:szCs w:val="20"/>
          <w:color w:val="auto"/>
        </w:rPr>
      </w:pPr>
    </w:p>
    <w:p>
      <w:pPr>
        <w:ind w:right="480" w:firstLine="855"/>
        <w:spacing w:after="0" w:line="296" w:lineRule="auto"/>
        <w:rPr>
          <w:sz w:val="20"/>
          <w:szCs w:val="20"/>
          <w:color w:val="auto"/>
        </w:rPr>
      </w:pPr>
      <w:r>
        <w:rPr>
          <w:rFonts w:ascii="Arial" w:cs="Arial" w:eastAsia="Arial" w:hAnsi="Arial"/>
          <w:sz w:val="17"/>
          <w:szCs w:val="17"/>
          <w:b w:val="1"/>
          <w:bCs w:val="1"/>
          <w:color w:val="auto"/>
        </w:rPr>
        <w:t xml:space="preserve">4.2 No Adverse Interests. </w:t>
      </w:r>
      <w:r>
        <w:rPr>
          <w:rFonts w:ascii="Arial" w:cs="Arial" w:eastAsia="Arial" w:hAnsi="Arial"/>
          <w:sz w:val="17"/>
          <w:szCs w:val="17"/>
          <w:color w:val="auto"/>
        </w:rPr>
        <w:t>Executive agrees not to acquire, assume or participate in, directly or indirectly, any position, investment or</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known to be adverse or antagonistic to the Company, its business or prospects, financial or otherwise.</w:t>
      </w:r>
    </w:p>
    <w:p>
      <w:pPr>
        <w:spacing w:after="0" w:line="290" w:lineRule="exact"/>
        <w:rPr>
          <w:sz w:val="20"/>
          <w:szCs w:val="20"/>
          <w:color w:val="auto"/>
        </w:rPr>
      </w:pPr>
    </w:p>
    <w:p>
      <w:pPr>
        <w:ind w:left="820" w:hanging="410"/>
        <w:spacing w:after="0"/>
        <w:tabs>
          <w:tab w:leader="none" w:pos="820" w:val="left"/>
        </w:tabs>
        <w:numPr>
          <w:ilvl w:val="0"/>
          <w:numId w:val="285"/>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of Employment</w:t>
      </w:r>
    </w:p>
    <w:p>
      <w:pPr>
        <w:spacing w:after="0" w:line="119" w:lineRule="exact"/>
        <w:rPr>
          <w:sz w:val="20"/>
          <w:szCs w:val="20"/>
          <w:color w:val="auto"/>
        </w:rPr>
      </w:pPr>
    </w:p>
    <w:p>
      <w:pPr>
        <w:ind w:right="20" w:firstLine="855"/>
        <w:spacing w:after="0" w:line="296" w:lineRule="auto"/>
        <w:rPr>
          <w:sz w:val="20"/>
          <w:szCs w:val="20"/>
          <w:color w:val="auto"/>
        </w:rPr>
      </w:pPr>
      <w:r>
        <w:rPr>
          <w:rFonts w:ascii="Arial" w:cs="Arial" w:eastAsia="Arial" w:hAnsi="Arial"/>
          <w:sz w:val="17"/>
          <w:szCs w:val="17"/>
          <w:b w:val="1"/>
          <w:bCs w:val="1"/>
          <w:color w:val="auto"/>
        </w:rPr>
        <w:t>5.1 At-Will Employment</w:t>
      </w:r>
      <w:r>
        <w:rPr>
          <w:rFonts w:ascii="Arial" w:cs="Arial" w:eastAsia="Arial" w:hAnsi="Arial"/>
          <w:sz w:val="17"/>
          <w:szCs w:val="17"/>
          <w:color w:val="auto"/>
        </w:rPr>
        <w:t>. Executive’s employment relationship is at-will. Either Executive or the Company may terminate the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relationship at any time, with or without Cause (as defined herein) or advance notice.</w:t>
      </w:r>
    </w:p>
    <w:p>
      <w:pPr>
        <w:spacing w:after="0" w:line="146" w:lineRule="exact"/>
        <w:rPr>
          <w:sz w:val="20"/>
          <w:szCs w:val="20"/>
          <w:color w:val="auto"/>
        </w:rPr>
      </w:pPr>
    </w:p>
    <w:p>
      <w:pPr>
        <w:ind w:right="40" w:firstLine="855"/>
        <w:spacing w:after="0" w:line="304" w:lineRule="auto"/>
        <w:rPr>
          <w:sz w:val="20"/>
          <w:szCs w:val="20"/>
          <w:color w:val="auto"/>
        </w:rPr>
      </w:pPr>
      <w:r>
        <w:rPr>
          <w:rFonts w:ascii="Arial" w:cs="Arial" w:eastAsia="Arial" w:hAnsi="Arial"/>
          <w:sz w:val="15"/>
          <w:szCs w:val="15"/>
          <w:b w:val="1"/>
          <w:bCs w:val="1"/>
          <w:color w:val="auto"/>
        </w:rPr>
        <w:t>5.2 Termination Without Cause or Resignation for Good Reason Following a Change in Control</w:t>
      </w:r>
      <w:r>
        <w:rPr>
          <w:rFonts w:ascii="Arial" w:cs="Arial" w:eastAsia="Arial" w:hAnsi="Arial"/>
          <w:sz w:val="15"/>
          <w:szCs w:val="15"/>
          <w:color w:val="auto"/>
        </w:rPr>
        <w:t>. If, on or within eighteen (18) months</w:t>
      </w:r>
      <w:r>
        <w:rPr>
          <w:rFonts w:ascii="Arial" w:cs="Arial" w:eastAsia="Arial" w:hAnsi="Arial"/>
          <w:sz w:val="15"/>
          <w:szCs w:val="15"/>
          <w:b w:val="1"/>
          <w:bCs w:val="1"/>
          <w:color w:val="auto"/>
        </w:rPr>
        <w:t xml:space="preserve"> </w:t>
      </w:r>
      <w:r>
        <w:rPr>
          <w:rFonts w:ascii="Arial" w:cs="Arial" w:eastAsia="Arial" w:hAnsi="Arial"/>
          <w:sz w:val="15"/>
          <w:szCs w:val="15"/>
          <w:color w:val="auto"/>
        </w:rPr>
        <w:t>after the effective date of a Change in Control (as defined herein), the Company terminates Executive’s employment without Cause (as defined herein) and other than as a result of her death or disability, or Executive resigns for Good Reason (as defined herein), and provided such termination or resignation constitutes a “separation from service” (within the meaning of Treasury Regulation Section 1.409A-l(h)), and Executive signs the Company’s standard form of release within the time period specified by the Company and allows it to become effective in accordance with its terms but in no event later than 60 days following Executive’s termination, and provided Executive complies with Executive’s obligations under Executive’s Employee Proprietary Information and Inventions Agreement, then the Company shall provide Executive with the following severance benefits:</w:t>
      </w:r>
    </w:p>
    <w:p>
      <w:pPr>
        <w:spacing w:after="0" w:line="42" w:lineRule="exact"/>
        <w:rPr>
          <w:sz w:val="20"/>
          <w:szCs w:val="20"/>
          <w:color w:val="auto"/>
        </w:rPr>
      </w:pPr>
    </w:p>
    <w:p>
      <w:pPr>
        <w:ind w:right="20" w:firstLine="1380"/>
        <w:spacing w:after="0" w:line="280" w:lineRule="auto"/>
        <w:tabs>
          <w:tab w:leader="none" w:pos="1597" w:val="left"/>
        </w:tabs>
        <w:numPr>
          <w:ilvl w:val="0"/>
          <w:numId w:val="286"/>
        </w:numPr>
        <w:rPr>
          <w:rFonts w:ascii="Arial" w:cs="Arial" w:eastAsia="Arial" w:hAnsi="Arial"/>
          <w:sz w:val="16"/>
          <w:szCs w:val="16"/>
          <w:b w:val="1"/>
          <w:bCs w:val="1"/>
          <w:color w:val="auto"/>
        </w:rPr>
      </w:pPr>
      <w:r>
        <w:rPr>
          <w:rFonts w:ascii="Arial" w:cs="Arial" w:eastAsia="Arial" w:hAnsi="Arial"/>
          <w:sz w:val="16"/>
          <w:szCs w:val="16"/>
          <w:b w:val="1"/>
          <w:bCs w:val="1"/>
          <w:color w:val="auto"/>
        </w:rPr>
        <w:t>Salary and Benefit Continuation</w:t>
      </w:r>
      <w:r>
        <w:rPr>
          <w:rFonts w:ascii="Arial" w:cs="Arial" w:eastAsia="Arial" w:hAnsi="Arial"/>
          <w:sz w:val="16"/>
          <w:szCs w:val="16"/>
          <w:color w:val="auto"/>
        </w:rPr>
        <w:t>. The Company will pay Executive severance in the form of continuation of Executive’s Base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Salary (at the rate then in effect) for a nine (9) month period following Executive’s last day of employment, in addition to any accrued salary, the accrued but unpaid portion of Executive’s bonus, if any, and accrued and unused vacation, through Executive’s last day of employment. These salary continuation payments will be paid on the Company’s regular payroll schedule and subject to standard deductions and withholdings over the applicable period following termination;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payments will be made prior to the 60</w:t>
      </w:r>
      <w:r>
        <w:rPr>
          <w:rFonts w:ascii="Arial" w:cs="Arial" w:eastAsia="Arial" w:hAnsi="Arial"/>
          <w:sz w:val="13"/>
          <w:szCs w:val="13"/>
          <w:color w:val="auto"/>
        </w:rPr>
        <w:t>th</w:t>
      </w:r>
      <w:r>
        <w:rPr>
          <w:rFonts w:ascii="Arial" w:cs="Arial" w:eastAsia="Arial" w:hAnsi="Arial"/>
          <w:sz w:val="16"/>
          <w:szCs w:val="16"/>
          <w:color w:val="auto"/>
        </w:rPr>
        <w:t xml:space="preserve"> day following Executive’s termination. On the 60</w:t>
      </w:r>
      <w:r>
        <w:rPr>
          <w:rFonts w:ascii="Arial" w:cs="Arial" w:eastAsia="Arial" w:hAnsi="Arial"/>
          <w:sz w:val="13"/>
          <w:szCs w:val="13"/>
          <w:color w:val="auto"/>
        </w:rPr>
        <w:t>th</w:t>
      </w:r>
      <w:r>
        <w:rPr>
          <w:rFonts w:ascii="Arial" w:cs="Arial" w:eastAsia="Arial" w:hAnsi="Arial"/>
          <w:sz w:val="16"/>
          <w:szCs w:val="16"/>
          <w:color w:val="auto"/>
        </w:rPr>
        <w:t xml:space="preserve"> day following Executive’s termination date, the Company will pay Executive in a lump sum the salary continuation payments that Executive would have received on or prior to such date under the original schedule but for the delay while waiting for the release deadline, with the balance of the cash severance being paid as originally scheduled. Each such installment will be deemed a separate “payment” for purposes of Section 409A of the Code. In addition, Executive shall have the right to continue her health insurance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80"/>
          </w:cols>
          <w:pgMar w:left="620" w:top="271" w:right="599" w:bottom="1440" w:gutter="0" w:footer="0" w:header="0"/>
        </w:sectPr>
      </w:pPr>
    </w:p>
    <w:bookmarkStart w:id="376" w:name="page377"/>
    <w:bookmarkEnd w:id="376"/>
    <w:p>
      <w:pPr>
        <w:ind w:right="8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benefits pursuant to the Consolidated Omnibus Budget Reconciliation Act of 1985 (“COBRA”) or successor statute and any analogous provisions of applicable state law. Provided that Executive makes a timely and accurate election for continued health insurance coverage (including medical, dental, vision and prescription) under COBRA (or any state law of similar effect), the Company will pay the premiums for such continued coverage for Executive and her eligible dependents for the first nine (9) months of such coverage, or such earlier date as Executive (or her dependents, as applicable) ceases to be eligible for such continuation coverage.</w:t>
      </w:r>
    </w:p>
    <w:p>
      <w:pPr>
        <w:spacing w:after="0" w:line="172" w:lineRule="exact"/>
        <w:rPr>
          <w:sz w:val="20"/>
          <w:szCs w:val="20"/>
          <w:color w:val="auto"/>
        </w:rPr>
      </w:pPr>
    </w:p>
    <w:p>
      <w:pPr>
        <w:ind w:right="80" w:firstLine="1380"/>
        <w:spacing w:after="0" w:line="330" w:lineRule="auto"/>
        <w:tabs>
          <w:tab w:leader="none" w:pos="1646" w:val="left"/>
        </w:tabs>
        <w:numPr>
          <w:ilvl w:val="0"/>
          <w:numId w:val="287"/>
        </w:numPr>
        <w:rPr>
          <w:rFonts w:ascii="Arial" w:cs="Arial" w:eastAsia="Arial" w:hAnsi="Arial"/>
          <w:sz w:val="16"/>
          <w:szCs w:val="16"/>
          <w:b w:val="1"/>
          <w:bCs w:val="1"/>
          <w:color w:val="auto"/>
        </w:rPr>
      </w:pPr>
      <w:r>
        <w:rPr>
          <w:rFonts w:ascii="Arial" w:cs="Arial" w:eastAsia="Arial" w:hAnsi="Arial"/>
          <w:sz w:val="16"/>
          <w:szCs w:val="16"/>
          <w:b w:val="1"/>
          <w:bCs w:val="1"/>
          <w:color w:val="auto"/>
        </w:rPr>
        <w:t>Accelerated Vesting</w:t>
      </w:r>
      <w:r>
        <w:rPr>
          <w:rFonts w:ascii="Arial" w:cs="Arial" w:eastAsia="Arial" w:hAnsi="Arial"/>
          <w:sz w:val="16"/>
          <w:szCs w:val="16"/>
          <w:color w:val="auto"/>
        </w:rPr>
        <w:t>. The Company will accelerate the vesting of the Stock Rights, to the extent then-outstanding and unvested,</w:t>
      </w:r>
      <w:r>
        <w:rPr>
          <w:rFonts w:ascii="Arial" w:cs="Arial" w:eastAsia="Arial" w:hAnsi="Arial"/>
          <w:sz w:val="16"/>
          <w:szCs w:val="16"/>
          <w:b w:val="1"/>
          <w:bCs w:val="1"/>
          <w:color w:val="auto"/>
        </w:rPr>
        <w:t xml:space="preserve"> </w:t>
      </w:r>
      <w:r>
        <w:rPr>
          <w:rFonts w:ascii="Arial" w:cs="Arial" w:eastAsia="Arial" w:hAnsi="Arial"/>
          <w:sz w:val="16"/>
          <w:szCs w:val="16"/>
          <w:color w:val="auto"/>
        </w:rPr>
        <w:t>such that all shares subject to the Stock Rights shall be deemed immediately vested and exerciseable as of Executive’s termination date.</w:t>
      </w:r>
    </w:p>
    <w:p>
      <w:pPr>
        <w:spacing w:after="0" w:line="123" w:lineRule="exact"/>
        <w:rPr>
          <w:sz w:val="20"/>
          <w:szCs w:val="20"/>
          <w:color w:val="auto"/>
        </w:rPr>
      </w:pPr>
    </w:p>
    <w:p>
      <w:pPr>
        <w:ind w:right="180" w:firstLine="855"/>
        <w:spacing w:after="0" w:line="267" w:lineRule="auto"/>
        <w:rPr>
          <w:sz w:val="20"/>
          <w:szCs w:val="20"/>
          <w:color w:val="auto"/>
        </w:rPr>
      </w:pPr>
      <w:r>
        <w:rPr>
          <w:rFonts w:ascii="Arial" w:cs="Arial" w:eastAsia="Arial" w:hAnsi="Arial"/>
          <w:sz w:val="17"/>
          <w:szCs w:val="17"/>
          <w:b w:val="1"/>
          <w:bCs w:val="1"/>
          <w:color w:val="auto"/>
        </w:rPr>
        <w:t xml:space="preserve">5.3 Termination Without Cause or Resignation for Good Reason Not Following a Change in Control. </w:t>
      </w:r>
      <w:r>
        <w:rPr>
          <w:rFonts w:ascii="Arial" w:cs="Arial" w:eastAsia="Arial" w:hAnsi="Arial"/>
          <w:sz w:val="17"/>
          <w:szCs w:val="17"/>
          <w:color w:val="auto"/>
        </w:rPr>
        <w:t>If at any time other than on or</w:t>
      </w:r>
      <w:r>
        <w:rPr>
          <w:rFonts w:ascii="Arial" w:cs="Arial" w:eastAsia="Arial" w:hAnsi="Arial"/>
          <w:sz w:val="17"/>
          <w:szCs w:val="17"/>
          <w:b w:val="1"/>
          <w:bCs w:val="1"/>
          <w:color w:val="auto"/>
        </w:rPr>
        <w:t xml:space="preserve"> </w:t>
      </w:r>
      <w:r>
        <w:rPr>
          <w:rFonts w:ascii="Arial" w:cs="Arial" w:eastAsia="Arial" w:hAnsi="Arial"/>
          <w:sz w:val="17"/>
          <w:szCs w:val="17"/>
          <w:color w:val="auto"/>
        </w:rPr>
        <w:t>within eighteen (18) months following the effective date of a Change in Control, the Company terminates Executive’s employment without Cause or Executive resigns for Good Reason, then Executive will not be entitled to any further compensation from the Company (other than accrued salary, and accrued and unused vacation, through Executive’s last day of employment), including severance pay, pay in lieu of notice or any other such compensation.</w:t>
      </w:r>
    </w:p>
    <w:p>
      <w:pPr>
        <w:spacing w:after="0" w:line="170" w:lineRule="exact"/>
        <w:rPr>
          <w:sz w:val="20"/>
          <w:szCs w:val="20"/>
          <w:color w:val="auto"/>
        </w:rPr>
      </w:pPr>
    </w:p>
    <w:p>
      <w:pPr>
        <w:ind w:right="40" w:firstLine="855"/>
        <w:spacing w:after="0" w:line="292" w:lineRule="auto"/>
        <w:rPr>
          <w:sz w:val="20"/>
          <w:szCs w:val="20"/>
          <w:color w:val="auto"/>
        </w:rPr>
      </w:pPr>
      <w:r>
        <w:rPr>
          <w:rFonts w:ascii="Arial" w:cs="Arial" w:eastAsia="Arial" w:hAnsi="Arial"/>
          <w:sz w:val="16"/>
          <w:szCs w:val="16"/>
          <w:b w:val="1"/>
          <w:bCs w:val="1"/>
          <w:color w:val="auto"/>
        </w:rPr>
        <w:t xml:space="preserve">5.4 Termination for Cause; Resignation Without Good Reason. </w:t>
      </w:r>
      <w:r>
        <w:rPr>
          <w:rFonts w:ascii="Arial" w:cs="Arial" w:eastAsia="Arial" w:hAnsi="Arial"/>
          <w:sz w:val="16"/>
          <w:szCs w:val="16"/>
          <w:color w:val="auto"/>
        </w:rPr>
        <w:t>If at any time, the Company terminates Executive’s employment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for Cause, or Executive resigns without Good Reason, then Executive will not be entitled to any further compensation from the Company (other than accrued salary, the accrued but unpaid portion of Executive’s bonus, if any, and accrued and unused vacation, through Executive’s last day of employment), including severance pay, pay in lieu of notice or any other such compensation.</w:t>
      </w:r>
    </w:p>
    <w:p>
      <w:pPr>
        <w:spacing w:after="0" w:line="152" w:lineRule="exact"/>
        <w:rPr>
          <w:sz w:val="20"/>
          <w:szCs w:val="20"/>
          <w:color w:val="auto"/>
        </w:rPr>
      </w:pPr>
    </w:p>
    <w:p>
      <w:pPr>
        <w:ind w:right="40" w:firstLine="855"/>
        <w:spacing w:after="0" w:line="296" w:lineRule="auto"/>
        <w:rPr>
          <w:sz w:val="20"/>
          <w:szCs w:val="20"/>
          <w:color w:val="auto"/>
        </w:rPr>
      </w:pPr>
      <w:r>
        <w:rPr>
          <w:rFonts w:ascii="Arial" w:cs="Arial" w:eastAsia="Arial" w:hAnsi="Arial"/>
          <w:sz w:val="15"/>
          <w:szCs w:val="15"/>
          <w:b w:val="1"/>
          <w:bCs w:val="1"/>
          <w:color w:val="auto"/>
        </w:rPr>
        <w:t xml:space="preserve">5.5 Section 409A Compliance. </w:t>
      </w:r>
      <w:r>
        <w:rPr>
          <w:rFonts w:ascii="Arial" w:cs="Arial" w:eastAsia="Arial" w:hAnsi="Arial"/>
          <w:sz w:val="15"/>
          <w:szCs w:val="15"/>
          <w:color w:val="auto"/>
        </w:rPr>
        <w:t>It is intended that each installment of the severance payments and benefits provided for in this Agreement is</w:t>
      </w:r>
      <w:r>
        <w:rPr>
          <w:rFonts w:ascii="Arial" w:cs="Arial" w:eastAsia="Arial" w:hAnsi="Arial"/>
          <w:sz w:val="15"/>
          <w:szCs w:val="15"/>
          <w:b w:val="1"/>
          <w:bCs w:val="1"/>
          <w:color w:val="auto"/>
        </w:rPr>
        <w:t xml:space="preserve"> </w:t>
      </w:r>
      <w:r>
        <w:rPr>
          <w:rFonts w:ascii="Arial" w:cs="Arial" w:eastAsia="Arial" w:hAnsi="Arial"/>
          <w:sz w:val="15"/>
          <w:szCs w:val="15"/>
          <w:color w:val="auto"/>
        </w:rPr>
        <w:t>a separate “payment” for purposes of Section 409A. For the avoidance of doubt, it is intended that the severance satisfies, to the greatest extent possible, the exemptions from the application of Section 409A provided under Treasury Regulation 1.409A-l(b)(4) and 1.409A-l(b)(9). Notwithstanding the foregoing, if the Company (or, if applicable, the successor entity thereto) determines that the severance payment provided above upon a separation from service constitute “deferred compensation” under Section 409A of the Internal Revenue Code (together, with any state law of similar effect,</w:t>
      </w:r>
    </w:p>
    <w:p>
      <w:pPr>
        <w:spacing w:after="0" w:line="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“Section 409A”) and if Executive is a “specified employee” of the Company or any successor entity thereto as of the separation from service, as such term is defined in Section 409A(a)(2)(B)(i) (a “Specified Employee”), then, solely to the extent necessary to avoid the incurrence of the adverse personal tax consequences under Section 409A, the timing of the severance (or any portion thereof) shall be delayed as follows: on the earlier to occur of (i) the date that is six months and one day after the date of separation of service or (ii) the date of Executive’s death (such earlier date, the “Delayed Initial Payment Date”), the Company (or the successor entity thereto, as applicable) shall (A) pay to Executive a lump sum amount equal to the sum of the severance payments that Executive would otherwise have received through the Delayed Initial Payment Date if the commencement of the payment of the severance had not been delayed pursuant to this paragraph and (B) commence paying the balance of the severance in accordance with the payment schedule set forth above.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680"/>
          </w:cols>
          <w:pgMar w:left="620" w:top="271" w:right="599" w:bottom="1440" w:gutter="0" w:footer="0" w:header="0"/>
        </w:sectPr>
      </w:pPr>
    </w:p>
    <w:bookmarkStart w:id="377" w:name="page378"/>
    <w:bookmarkEnd w:id="377"/>
    <w:p>
      <w:pPr>
        <w:ind w:left="84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5.6 Definitions.</w:t>
      </w:r>
    </w:p>
    <w:p>
      <w:pPr>
        <w:spacing w:after="0" w:line="224" w:lineRule="exact"/>
        <w:rPr>
          <w:sz w:val="20"/>
          <w:szCs w:val="20"/>
          <w:color w:val="auto"/>
        </w:rPr>
      </w:pPr>
    </w:p>
    <w:p>
      <w:pPr>
        <w:ind w:left="9" w:right="20" w:firstLine="1380"/>
        <w:spacing w:after="0" w:line="267" w:lineRule="auto"/>
        <w:tabs>
          <w:tab w:leader="none" w:pos="1606" w:val="left"/>
        </w:tabs>
        <w:numPr>
          <w:ilvl w:val="2"/>
          <w:numId w:val="28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Cause. </w:t>
      </w:r>
      <w:r>
        <w:rPr>
          <w:rFonts w:ascii="Arial" w:cs="Arial" w:eastAsia="Arial" w:hAnsi="Arial"/>
          <w:sz w:val="17"/>
          <w:szCs w:val="17"/>
          <w:color w:val="auto"/>
        </w:rPr>
        <w:t>For purposes of this Agreement, “Cause” shall mean the good faith determination by the Board that any one or more of</w:t>
      </w:r>
      <w:r>
        <w:rPr>
          <w:rFonts w:ascii="Arial" w:cs="Arial" w:eastAsia="Arial" w:hAnsi="Arial"/>
          <w:sz w:val="17"/>
          <w:szCs w:val="17"/>
          <w:b w:val="1"/>
          <w:bCs w:val="1"/>
          <w:color w:val="auto"/>
        </w:rPr>
        <w:t xml:space="preserve"> </w:t>
      </w:r>
      <w:r>
        <w:rPr>
          <w:rFonts w:ascii="Arial" w:cs="Arial" w:eastAsia="Arial" w:hAnsi="Arial"/>
          <w:sz w:val="17"/>
          <w:szCs w:val="17"/>
          <w:color w:val="auto"/>
        </w:rPr>
        <w:t>the following events has occurred: (a) conviction of any felony or any crime involving moral turpitude or dishonesty; (b) participation in a fraud or act of dishonesty against the Company; (c) willful and material breach of Executive’s duties that has not been cured within 30 days after written notice from the Board of such breach; (d) intentional and material damage to the Company’s property; (e) material breach of the Proprietary Information and Inventions Agreement; or (f) death, severe physical or mental disability.</w:t>
      </w:r>
    </w:p>
    <w:p>
      <w:pPr>
        <w:spacing w:after="0" w:line="169" w:lineRule="exact"/>
        <w:rPr>
          <w:rFonts w:ascii="Arial" w:cs="Arial" w:eastAsia="Arial" w:hAnsi="Arial"/>
          <w:sz w:val="17"/>
          <w:szCs w:val="17"/>
          <w:b w:val="1"/>
          <w:bCs w:val="1"/>
          <w:color w:val="auto"/>
        </w:rPr>
      </w:pPr>
    </w:p>
    <w:p>
      <w:pPr>
        <w:ind w:left="9" w:firstLine="1380"/>
        <w:spacing w:after="0" w:line="262" w:lineRule="auto"/>
        <w:tabs>
          <w:tab w:leader="none" w:pos="1654" w:val="left"/>
        </w:tabs>
        <w:numPr>
          <w:ilvl w:val="2"/>
          <w:numId w:val="28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Change in Control. </w:t>
      </w:r>
      <w:r>
        <w:rPr>
          <w:rFonts w:ascii="Arial" w:cs="Arial" w:eastAsia="Arial" w:hAnsi="Arial"/>
          <w:sz w:val="17"/>
          <w:szCs w:val="17"/>
          <w:color w:val="auto"/>
        </w:rPr>
        <w:t>For purposes of this Agreement, a “Change in Control” shall mean: (a) a sale of substantially all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assets of the Company; (b) a merger or consolidation in which the Company is not the surviving corporation (other than a merger or consolidation in which stockholders immediately before the merger or consolidation have, immediately after the merger or consolidation, a majority of the voting power of the surviving corporation); (c) a reverse merger in which the Company is the surviving corporation but the shares of the Company’s Common Stock outstanding immediately preceding the merger are converted by virtue of the merger into other property, whether in the form of securities, cash or otherwise (other than a reverse merger in which stockholders immediately before the merger have, immediately after the merger, a majority of the voting power of the surviving corporation); or (d) any transaction or series of related transactions in which 50% or more of the Company’s voting power is transferred, other than the sale by the Company of stock in transactions the primary purpose of which is to raise capital for the Company’s operations and activities.</w:t>
      </w:r>
    </w:p>
    <w:p>
      <w:pPr>
        <w:spacing w:after="0" w:line="174" w:lineRule="exact"/>
        <w:rPr>
          <w:rFonts w:ascii="Arial" w:cs="Arial" w:eastAsia="Arial" w:hAnsi="Arial"/>
          <w:sz w:val="17"/>
          <w:szCs w:val="17"/>
          <w:b w:val="1"/>
          <w:bCs w:val="1"/>
          <w:color w:val="auto"/>
        </w:rPr>
      </w:pPr>
    </w:p>
    <w:p>
      <w:pPr>
        <w:ind w:left="1689" w:hanging="300"/>
        <w:spacing w:after="0"/>
        <w:tabs>
          <w:tab w:leader="none" w:pos="1689" w:val="left"/>
        </w:tabs>
        <w:numPr>
          <w:ilvl w:val="2"/>
          <w:numId w:val="28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Code. </w:t>
      </w:r>
      <w:r>
        <w:rPr>
          <w:rFonts w:ascii="Arial" w:cs="Arial" w:eastAsia="Arial" w:hAnsi="Arial"/>
          <w:sz w:val="17"/>
          <w:szCs w:val="17"/>
          <w:color w:val="auto"/>
        </w:rPr>
        <w:t>For purposes of this Agreement, “Code” shall mean the Internal Revenue Code of 1986, as amended</w:t>
      </w:r>
    </w:p>
    <w:p>
      <w:pPr>
        <w:spacing w:after="0" w:line="223" w:lineRule="exact"/>
        <w:rPr>
          <w:rFonts w:ascii="Arial" w:cs="Arial" w:eastAsia="Arial" w:hAnsi="Arial"/>
          <w:sz w:val="17"/>
          <w:szCs w:val="17"/>
          <w:b w:val="1"/>
          <w:bCs w:val="1"/>
          <w:color w:val="auto"/>
        </w:rPr>
      </w:pPr>
    </w:p>
    <w:p>
      <w:pPr>
        <w:ind w:left="9" w:right="40" w:firstLine="1380"/>
        <w:spacing w:after="0" w:line="297" w:lineRule="auto"/>
        <w:tabs>
          <w:tab w:leader="none" w:pos="1693" w:val="left"/>
        </w:tabs>
        <w:numPr>
          <w:ilvl w:val="2"/>
          <w:numId w:val="28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Good Reason. </w:t>
      </w:r>
      <w:r>
        <w:rPr>
          <w:rFonts w:ascii="Arial" w:cs="Arial" w:eastAsia="Arial" w:hAnsi="Arial"/>
          <w:sz w:val="15"/>
          <w:szCs w:val="15"/>
          <w:color w:val="auto"/>
        </w:rPr>
        <w:t>For purposes of this Agreement, Executive shall have “Good Reason” for Executive’s resignation from all</w:t>
      </w:r>
      <w:r>
        <w:rPr>
          <w:rFonts w:ascii="Arial" w:cs="Arial" w:eastAsia="Arial" w:hAnsi="Arial"/>
          <w:sz w:val="15"/>
          <w:szCs w:val="15"/>
          <w:b w:val="1"/>
          <w:bCs w:val="1"/>
          <w:color w:val="auto"/>
        </w:rPr>
        <w:t xml:space="preserve"> </w:t>
      </w:r>
      <w:r>
        <w:rPr>
          <w:rFonts w:ascii="Arial" w:cs="Arial" w:eastAsia="Arial" w:hAnsi="Arial"/>
          <w:sz w:val="15"/>
          <w:szCs w:val="15"/>
          <w:color w:val="auto"/>
        </w:rPr>
        <w:t>positions held with the Company if any of the following actions are taken by the Company or a successor corporation or entity without Executive’s consent, and Executive notifies the Company in writing, within ten (10) days after the occurrence of one of the following actions, that Executive intends to terminate her employment no earlier than thirty (30) days after providing such notice, and the Company fails to cure such actions within thirty</w:t>
      </w:r>
    </w:p>
    <w:p>
      <w:pPr>
        <w:spacing w:after="0" w:line="2" w:lineRule="exact"/>
        <w:rPr>
          <w:rFonts w:ascii="Arial" w:cs="Arial" w:eastAsia="Arial" w:hAnsi="Arial"/>
          <w:sz w:val="15"/>
          <w:szCs w:val="15"/>
          <w:b w:val="1"/>
          <w:bCs w:val="1"/>
          <w:color w:val="auto"/>
        </w:rPr>
      </w:pPr>
    </w:p>
    <w:p>
      <w:pPr>
        <w:ind w:left="9" w:right="60" w:hanging="9"/>
        <w:spacing w:after="0" w:line="261" w:lineRule="auto"/>
        <w:tabs>
          <w:tab w:leader="none" w:pos="343" w:val="left"/>
        </w:tabs>
        <w:numPr>
          <w:ilvl w:val="0"/>
          <w:numId w:val="289"/>
        </w:numPr>
        <w:rPr>
          <w:rFonts w:ascii="Arial" w:cs="Arial" w:eastAsia="Arial" w:hAnsi="Arial"/>
          <w:sz w:val="17"/>
          <w:szCs w:val="17"/>
          <w:color w:val="auto"/>
        </w:rPr>
      </w:pPr>
      <w:r>
        <w:rPr>
          <w:rFonts w:ascii="Arial" w:cs="Arial" w:eastAsia="Arial" w:hAnsi="Arial"/>
          <w:sz w:val="17"/>
          <w:szCs w:val="17"/>
          <w:color w:val="auto"/>
        </w:rPr>
        <w:t>days after receipt of such notice, and such resignation is effective not later than (30) days after the Company fails to cure the issue: (a) a substantial reduction of Executive’s rate of compensation; (b) a material reduction in Executive’s duties or responsibilities; (c) a material failure or refusal of a successor to the Company to assume the Company’s obligations under this Agreement in the event of a Change in Control; or (d) a relocation of Executive’s principal place of employment to a place greater than 50 miles from Executive’s then current principal place of employment, which relocation results in a material increase in Executive’s commute.</w:t>
      </w:r>
    </w:p>
    <w:p>
      <w:pPr>
        <w:spacing w:after="0" w:line="176" w:lineRule="exact"/>
        <w:rPr>
          <w:rFonts w:ascii="Arial" w:cs="Arial" w:eastAsia="Arial" w:hAnsi="Arial"/>
          <w:sz w:val="17"/>
          <w:szCs w:val="17"/>
          <w:color w:val="auto"/>
        </w:rPr>
      </w:pPr>
    </w:p>
    <w:p>
      <w:pPr>
        <w:ind w:left="9" w:right="140" w:firstLine="1380"/>
        <w:spacing w:after="0" w:line="329" w:lineRule="auto"/>
        <w:tabs>
          <w:tab w:leader="none" w:pos="1645" w:val="left"/>
        </w:tabs>
        <w:numPr>
          <w:ilvl w:val="2"/>
          <w:numId w:val="289"/>
        </w:numPr>
        <w:rPr>
          <w:rFonts w:ascii="Arial" w:cs="Arial" w:eastAsia="Arial" w:hAnsi="Arial"/>
          <w:sz w:val="15"/>
          <w:szCs w:val="15"/>
          <w:b w:val="1"/>
          <w:bCs w:val="1"/>
          <w:color w:val="auto"/>
        </w:rPr>
      </w:pPr>
      <w:r>
        <w:rPr>
          <w:rFonts w:ascii="Arial" w:cs="Arial" w:eastAsia="Arial" w:hAnsi="Arial"/>
          <w:sz w:val="15"/>
          <w:szCs w:val="15"/>
          <w:b w:val="1"/>
          <w:bCs w:val="1"/>
          <w:color w:val="auto"/>
        </w:rPr>
        <w:t>Stock Rights</w:t>
      </w:r>
      <w:r>
        <w:rPr>
          <w:rFonts w:ascii="Arial" w:cs="Arial" w:eastAsia="Arial" w:hAnsi="Arial"/>
          <w:sz w:val="15"/>
          <w:szCs w:val="15"/>
          <w:color w:val="auto"/>
        </w:rPr>
        <w:t>. For purposes of this Agreement, “Stock Rights” shall mean all of Executive’s options, restricted stock, restricted</w:t>
      </w:r>
      <w:r>
        <w:rPr>
          <w:rFonts w:ascii="Arial" w:cs="Arial" w:eastAsia="Arial" w:hAnsi="Arial"/>
          <w:sz w:val="15"/>
          <w:szCs w:val="15"/>
          <w:b w:val="1"/>
          <w:bCs w:val="1"/>
          <w:color w:val="auto"/>
        </w:rPr>
        <w:t xml:space="preserve"> </w:t>
      </w:r>
      <w:r>
        <w:rPr>
          <w:rFonts w:ascii="Arial" w:cs="Arial" w:eastAsia="Arial" w:hAnsi="Arial"/>
          <w:sz w:val="15"/>
          <w:szCs w:val="15"/>
          <w:color w:val="auto"/>
        </w:rPr>
        <w:t>stock units or rights to acquire vested ownership of shares of Common Stock of the Company under plans, agreements or arrangements that are compensatory in nature, including, without limitation, the Option Grant, the Plan and other agreements between the Company and Executive.</w:t>
      </w:r>
    </w:p>
    <w:p>
      <w:pPr>
        <w:spacing w:after="0" w:line="272" w:lineRule="exact"/>
        <w:rPr>
          <w:rFonts w:ascii="Arial" w:cs="Arial" w:eastAsia="Arial" w:hAnsi="Arial"/>
          <w:sz w:val="15"/>
          <w:szCs w:val="15"/>
          <w:b w:val="1"/>
          <w:bCs w:val="1"/>
          <w:color w:val="auto"/>
        </w:rPr>
      </w:pPr>
    </w:p>
    <w:p>
      <w:pPr>
        <w:ind w:left="829" w:hanging="410"/>
        <w:spacing w:after="0"/>
        <w:tabs>
          <w:tab w:leader="none" w:pos="829" w:val="left"/>
        </w:tabs>
        <w:numPr>
          <w:ilvl w:val="1"/>
          <w:numId w:val="289"/>
        </w:numPr>
        <w:rPr>
          <w:rFonts w:ascii="Arial" w:cs="Arial" w:eastAsia="Arial" w:hAnsi="Arial"/>
          <w:sz w:val="17"/>
          <w:szCs w:val="17"/>
          <w:b w:val="1"/>
          <w:bCs w:val="1"/>
          <w:color w:val="auto"/>
        </w:rPr>
      </w:pPr>
      <w:r>
        <w:rPr>
          <w:rFonts w:ascii="Arial" w:cs="Arial" w:eastAsia="Arial" w:hAnsi="Arial"/>
          <w:sz w:val="17"/>
          <w:szCs w:val="17"/>
          <w:b w:val="1"/>
          <w:bCs w:val="1"/>
          <w:color w:val="auto"/>
        </w:rPr>
        <w:t>General Provisions.</w:t>
      </w:r>
    </w:p>
    <w:p>
      <w:pPr>
        <w:spacing w:after="0" w:line="119" w:lineRule="exact"/>
        <w:rPr>
          <w:sz w:val="20"/>
          <w:szCs w:val="20"/>
          <w:color w:val="auto"/>
        </w:rPr>
      </w:pPr>
    </w:p>
    <w:p>
      <w:pPr>
        <w:jc w:val="both"/>
        <w:ind w:left="9" w:right="40" w:firstLine="855"/>
        <w:spacing w:after="0" w:line="276" w:lineRule="auto"/>
        <w:rPr>
          <w:sz w:val="20"/>
          <w:szCs w:val="20"/>
          <w:color w:val="auto"/>
        </w:rPr>
      </w:pPr>
      <w:r>
        <w:rPr>
          <w:rFonts w:ascii="Arial" w:cs="Arial" w:eastAsia="Arial" w:hAnsi="Arial"/>
          <w:sz w:val="17"/>
          <w:szCs w:val="17"/>
          <w:b w:val="1"/>
          <w:bCs w:val="1"/>
          <w:color w:val="auto"/>
        </w:rPr>
        <w:t>6.1 Notices</w:t>
      </w:r>
      <w:r>
        <w:rPr>
          <w:rFonts w:ascii="Arial" w:cs="Arial" w:eastAsia="Arial" w:hAnsi="Arial"/>
          <w:sz w:val="17"/>
          <w:szCs w:val="17"/>
          <w:color w:val="auto"/>
        </w:rPr>
        <w:t>. Any notices provided must be in writing and will be deemed effective upon the earlier of personal delivery (including personal</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by fax) or the next day after sending by overnight carrier, to the Company at its primary office location and to Executive at the address as listed on the Company payroll.</w:t>
      </w:r>
    </w:p>
    <w:p>
      <w:pPr>
        <w:spacing w:after="0" w:line="104"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669"/>
          </w:cols>
          <w:pgMar w:left="611" w:top="265" w:right="619" w:bottom="1440" w:gutter="0" w:footer="0" w:header="0"/>
        </w:sectPr>
      </w:pPr>
    </w:p>
    <w:bookmarkStart w:id="378" w:name="page379"/>
    <w:bookmarkEnd w:id="378"/>
    <w:p>
      <w:pPr>
        <w:ind w:right="20" w:firstLine="855"/>
        <w:spacing w:after="0" w:line="29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6.2 Severability</w:t>
      </w:r>
      <w:r>
        <w:rPr>
          <w:rFonts w:ascii="Arial" w:cs="Arial" w:eastAsia="Arial" w:hAnsi="Arial"/>
          <w:sz w:val="16"/>
          <w:szCs w:val="16"/>
          <w:color w:val="auto"/>
        </w:rPr>
        <w:t>. Whenever possible, each provision of this Agreement will be interpreted in such manner as to be effective and valid under</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w:t>
      </w:r>
    </w:p>
    <w:p>
      <w:pPr>
        <w:spacing w:after="0" w:line="152" w:lineRule="exact"/>
        <w:rPr>
          <w:sz w:val="20"/>
          <w:szCs w:val="20"/>
          <w:color w:val="auto"/>
        </w:rPr>
      </w:pPr>
    </w:p>
    <w:p>
      <w:pPr>
        <w:ind w:right="280" w:firstLine="855"/>
        <w:spacing w:after="0" w:line="296" w:lineRule="auto"/>
        <w:rPr>
          <w:sz w:val="20"/>
          <w:szCs w:val="20"/>
          <w:color w:val="auto"/>
        </w:rPr>
      </w:pPr>
      <w:r>
        <w:rPr>
          <w:rFonts w:ascii="Arial" w:cs="Arial" w:eastAsia="Arial" w:hAnsi="Arial"/>
          <w:sz w:val="17"/>
          <w:szCs w:val="17"/>
          <w:b w:val="1"/>
          <w:bCs w:val="1"/>
          <w:color w:val="auto"/>
        </w:rPr>
        <w:t>6.3 Waiver</w:t>
      </w:r>
      <w:r>
        <w:rPr>
          <w:rFonts w:ascii="Arial" w:cs="Arial" w:eastAsia="Arial" w:hAnsi="Arial"/>
          <w:sz w:val="17"/>
          <w:szCs w:val="17"/>
          <w:color w:val="auto"/>
        </w:rPr>
        <w:t>. Any waiver of any breach of any provisions of this Agreement must be in writing to be effective, and it shall not thereby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have waived any preceding or succeeding breach of the same or any other provision of this Agreement.</w:t>
      </w:r>
    </w:p>
    <w:p>
      <w:pPr>
        <w:spacing w:after="0" w:line="146" w:lineRule="exact"/>
        <w:rPr>
          <w:sz w:val="20"/>
          <w:szCs w:val="20"/>
          <w:color w:val="auto"/>
        </w:rPr>
      </w:pPr>
    </w:p>
    <w:p>
      <w:pPr>
        <w:ind w:right="20" w:firstLine="855"/>
        <w:spacing w:after="0" w:line="270" w:lineRule="auto"/>
        <w:rPr>
          <w:sz w:val="20"/>
          <w:szCs w:val="20"/>
          <w:color w:val="auto"/>
        </w:rPr>
      </w:pPr>
      <w:r>
        <w:rPr>
          <w:rFonts w:ascii="Arial" w:cs="Arial" w:eastAsia="Arial" w:hAnsi="Arial"/>
          <w:sz w:val="17"/>
          <w:szCs w:val="17"/>
          <w:b w:val="1"/>
          <w:bCs w:val="1"/>
          <w:color w:val="auto"/>
        </w:rPr>
        <w:t>6.4 Complete Agreement</w:t>
      </w:r>
      <w:r>
        <w:rPr>
          <w:rFonts w:ascii="Arial" w:cs="Arial" w:eastAsia="Arial" w:hAnsi="Arial"/>
          <w:sz w:val="17"/>
          <w:szCs w:val="17"/>
          <w:color w:val="auto"/>
        </w:rPr>
        <w:t>. This Agreement, including Exhibit A, between Executive and the Company constitutes the 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Executive and the Company and it is the complete, final and exclusive embodiment of their agreement with regard to this subject matter. It is entered into without reliance on any promise or representation other than those expressly contained herein, and it cannot be modified or amended except in a writing signed by a duly authorized officer of the Company.</w:t>
      </w:r>
    </w:p>
    <w:p>
      <w:pPr>
        <w:spacing w:after="0" w:line="168" w:lineRule="exact"/>
        <w:rPr>
          <w:sz w:val="20"/>
          <w:szCs w:val="20"/>
          <w:color w:val="auto"/>
        </w:rPr>
      </w:pPr>
    </w:p>
    <w:p>
      <w:pPr>
        <w:ind w:right="260" w:firstLine="855"/>
        <w:spacing w:after="0" w:line="296" w:lineRule="auto"/>
        <w:rPr>
          <w:sz w:val="20"/>
          <w:szCs w:val="20"/>
          <w:color w:val="auto"/>
        </w:rPr>
      </w:pPr>
      <w:r>
        <w:rPr>
          <w:rFonts w:ascii="Arial" w:cs="Arial" w:eastAsia="Arial" w:hAnsi="Arial"/>
          <w:sz w:val="17"/>
          <w:szCs w:val="17"/>
          <w:b w:val="1"/>
          <w:bCs w:val="1"/>
          <w:color w:val="auto"/>
        </w:rPr>
        <w:t>6.5 Counterparts</w:t>
      </w:r>
      <w:r>
        <w:rPr>
          <w:rFonts w:ascii="Arial" w:cs="Arial" w:eastAsia="Arial" w:hAnsi="Arial"/>
          <w:sz w:val="17"/>
          <w:szCs w:val="17"/>
          <w:color w:val="auto"/>
        </w:rPr>
        <w:t>. This Agreement may be executed in separate counterparts, anyone of which need not contain signatures of more than</w:t>
      </w:r>
      <w:r>
        <w:rPr>
          <w:rFonts w:ascii="Arial" w:cs="Arial" w:eastAsia="Arial" w:hAnsi="Arial"/>
          <w:sz w:val="17"/>
          <w:szCs w:val="17"/>
          <w:b w:val="1"/>
          <w:bCs w:val="1"/>
          <w:color w:val="auto"/>
        </w:rPr>
        <w:t xml:space="preserve"> </w:t>
      </w:r>
      <w:r>
        <w:rPr>
          <w:rFonts w:ascii="Arial" w:cs="Arial" w:eastAsia="Arial" w:hAnsi="Arial"/>
          <w:sz w:val="17"/>
          <w:szCs w:val="17"/>
          <w:color w:val="auto"/>
        </w:rPr>
        <w:t>one party, but all of which taken together will constitute one and the same Agreement.</w:t>
      </w:r>
    </w:p>
    <w:p>
      <w:pPr>
        <w:spacing w:after="0" w:line="146" w:lineRule="exact"/>
        <w:rPr>
          <w:sz w:val="20"/>
          <w:szCs w:val="20"/>
          <w:color w:val="auto"/>
        </w:rPr>
      </w:pPr>
    </w:p>
    <w:p>
      <w:pPr>
        <w:ind w:right="60" w:firstLine="855"/>
        <w:spacing w:after="0" w:line="296" w:lineRule="auto"/>
        <w:rPr>
          <w:sz w:val="20"/>
          <w:szCs w:val="20"/>
          <w:color w:val="auto"/>
        </w:rPr>
      </w:pPr>
      <w:r>
        <w:rPr>
          <w:rFonts w:ascii="Arial" w:cs="Arial" w:eastAsia="Arial" w:hAnsi="Arial"/>
          <w:sz w:val="17"/>
          <w:szCs w:val="17"/>
          <w:b w:val="1"/>
          <w:bCs w:val="1"/>
          <w:color w:val="auto"/>
        </w:rPr>
        <w:t>6.6 Headings</w:t>
      </w:r>
      <w:r>
        <w:rPr>
          <w:rFonts w:ascii="Arial" w:cs="Arial" w:eastAsia="Arial" w:hAnsi="Arial"/>
          <w:sz w:val="17"/>
          <w:szCs w:val="17"/>
          <w:color w:val="auto"/>
        </w:rPr>
        <w:t>. The headings of the sections hereof are inserted for convenience only and shall not be deemed to constitute a part hereof nor</w:t>
      </w:r>
      <w:r>
        <w:rPr>
          <w:rFonts w:ascii="Arial" w:cs="Arial" w:eastAsia="Arial" w:hAnsi="Arial"/>
          <w:sz w:val="17"/>
          <w:szCs w:val="17"/>
          <w:b w:val="1"/>
          <w:bCs w:val="1"/>
          <w:color w:val="auto"/>
        </w:rPr>
        <w:t xml:space="preserve"> </w:t>
      </w:r>
      <w:r>
        <w:rPr>
          <w:rFonts w:ascii="Arial" w:cs="Arial" w:eastAsia="Arial" w:hAnsi="Arial"/>
          <w:sz w:val="17"/>
          <w:szCs w:val="17"/>
          <w:color w:val="auto"/>
        </w:rPr>
        <w:t>to affect the meaning thereof</w:t>
      </w:r>
    </w:p>
    <w:p>
      <w:pPr>
        <w:spacing w:after="0" w:line="146" w:lineRule="exact"/>
        <w:rPr>
          <w:sz w:val="20"/>
          <w:szCs w:val="20"/>
          <w:color w:val="auto"/>
        </w:rPr>
      </w:pPr>
    </w:p>
    <w:p>
      <w:pPr>
        <w:ind w:firstLine="855"/>
        <w:spacing w:after="0" w:line="301" w:lineRule="auto"/>
        <w:rPr>
          <w:sz w:val="20"/>
          <w:szCs w:val="20"/>
          <w:color w:val="auto"/>
        </w:rPr>
      </w:pPr>
      <w:r>
        <w:rPr>
          <w:rFonts w:ascii="Arial" w:cs="Arial" w:eastAsia="Arial" w:hAnsi="Arial"/>
          <w:sz w:val="16"/>
          <w:szCs w:val="16"/>
          <w:b w:val="1"/>
          <w:bCs w:val="1"/>
          <w:color w:val="auto"/>
        </w:rPr>
        <w:t>6.7 Successors and Assigns</w:t>
      </w:r>
      <w:r>
        <w:rPr>
          <w:rFonts w:ascii="Arial" w:cs="Arial" w:eastAsia="Arial" w:hAnsi="Arial"/>
          <w:sz w:val="16"/>
          <w:szCs w:val="16"/>
          <w:color w:val="auto"/>
        </w:rPr>
        <w:t>. This Agreement is intended to bind and inure to the benefit of and be enforceable by Executive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their respective successors, assigns, heirs, executors and administrators, except that Executive may not assign any of her duties hereunder and he may not assign any of her rights hereunder without the written consent of the Company, which shall not be withheld unreasonably.</w:t>
      </w:r>
    </w:p>
    <w:p>
      <w:pPr>
        <w:spacing w:after="0" w:line="146" w:lineRule="exact"/>
        <w:rPr>
          <w:sz w:val="20"/>
          <w:szCs w:val="20"/>
          <w:color w:val="auto"/>
        </w:rPr>
      </w:pPr>
    </w:p>
    <w:p>
      <w:pPr>
        <w:ind w:right="80" w:firstLine="855"/>
        <w:spacing w:after="0" w:line="296" w:lineRule="auto"/>
        <w:rPr>
          <w:sz w:val="20"/>
          <w:szCs w:val="20"/>
          <w:color w:val="auto"/>
        </w:rPr>
      </w:pPr>
      <w:r>
        <w:rPr>
          <w:rFonts w:ascii="Arial" w:cs="Arial" w:eastAsia="Arial" w:hAnsi="Arial"/>
          <w:sz w:val="17"/>
          <w:szCs w:val="17"/>
          <w:b w:val="1"/>
          <w:bCs w:val="1"/>
          <w:color w:val="auto"/>
        </w:rPr>
        <w:t>6.8 Choice of Law</w:t>
      </w:r>
      <w:r>
        <w:rPr>
          <w:rFonts w:ascii="Arial" w:cs="Arial" w:eastAsia="Arial" w:hAnsi="Arial"/>
          <w:sz w:val="17"/>
          <w:szCs w:val="17"/>
          <w:color w:val="auto"/>
        </w:rPr>
        <w:t>. All questions concerning the construction, validity and interpretation of this Agreement will be governed by the law of</w:t>
      </w:r>
      <w:r>
        <w:rPr>
          <w:rFonts w:ascii="Arial" w:cs="Arial" w:eastAsia="Arial" w:hAnsi="Arial"/>
          <w:sz w:val="17"/>
          <w:szCs w:val="17"/>
          <w:b w:val="1"/>
          <w:bCs w:val="1"/>
          <w:color w:val="auto"/>
        </w:rPr>
        <w:t xml:space="preserve"> </w:t>
      </w:r>
      <w:r>
        <w:rPr>
          <w:rFonts w:ascii="Arial" w:cs="Arial" w:eastAsia="Arial" w:hAnsi="Arial"/>
          <w:sz w:val="17"/>
          <w:szCs w:val="17"/>
          <w:color w:val="auto"/>
        </w:rPr>
        <w:t>the State of California.</w:t>
      </w:r>
    </w:p>
    <w:p>
      <w:pPr>
        <w:spacing w:after="0" w:line="146" w:lineRule="exact"/>
        <w:rPr>
          <w:sz w:val="20"/>
          <w:szCs w:val="20"/>
          <w:color w:val="auto"/>
        </w:rPr>
      </w:pPr>
    </w:p>
    <w:p>
      <w:pPr>
        <w:ind w:right="140" w:firstLine="855"/>
        <w:spacing w:after="0" w:line="296" w:lineRule="auto"/>
        <w:rPr>
          <w:sz w:val="20"/>
          <w:szCs w:val="20"/>
          <w:color w:val="auto"/>
        </w:rPr>
      </w:pPr>
      <w:r>
        <w:rPr>
          <w:rFonts w:ascii="Arial" w:cs="Arial" w:eastAsia="Arial" w:hAnsi="Arial"/>
          <w:sz w:val="17"/>
          <w:szCs w:val="17"/>
          <w:b w:val="1"/>
          <w:bCs w:val="1"/>
          <w:color w:val="auto"/>
        </w:rPr>
        <w:t>6.9 Authorization</w:t>
      </w:r>
      <w:r>
        <w:rPr>
          <w:rFonts w:ascii="Arial" w:cs="Arial" w:eastAsia="Arial" w:hAnsi="Arial"/>
          <w:sz w:val="17"/>
          <w:szCs w:val="17"/>
          <w:color w:val="auto"/>
        </w:rPr>
        <w:t>. Executive’s employment with the Company shall be contingent upon Executive’s providing legal proof of Executive’s</w:t>
      </w:r>
      <w:r>
        <w:rPr>
          <w:rFonts w:ascii="Arial" w:cs="Arial" w:eastAsia="Arial" w:hAnsi="Arial"/>
          <w:sz w:val="17"/>
          <w:szCs w:val="17"/>
          <w:b w:val="1"/>
          <w:bCs w:val="1"/>
          <w:color w:val="auto"/>
        </w:rPr>
        <w:t xml:space="preserve"> </w:t>
      </w:r>
      <w:r>
        <w:rPr>
          <w:rFonts w:ascii="Arial" w:cs="Arial" w:eastAsia="Arial" w:hAnsi="Arial"/>
          <w:sz w:val="17"/>
          <w:szCs w:val="17"/>
          <w:color w:val="auto"/>
        </w:rPr>
        <w:t>identity and authorization to work in the United States.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640"/>
          </w:cols>
          <w:pgMar w:left="620" w:top="265" w:right="639" w:bottom="1440" w:gutter="0" w:footer="0" w:header="0"/>
        </w:sectPr>
      </w:pPr>
    </w:p>
    <w:bookmarkStart w:id="379" w:name="page380"/>
    <w:bookmarkEnd w:id="379"/>
    <w:p>
      <w:pPr>
        <w:ind w:lef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7"/>
          <w:szCs w:val="17"/>
          <w:color w:val="auto"/>
        </w:rPr>
        <w:t>, the parties have executed this Agreement on the day and year first written above.</w:t>
      </w:r>
    </w:p>
    <w:p>
      <w:pPr>
        <w:spacing w:after="0" w:line="250"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NGM BIOPHARMACEUTICALS, INC.</w:t>
      </w:r>
    </w:p>
    <w:p>
      <w:pPr>
        <w:spacing w:after="0" w:line="23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/s/ William J. Rieflin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16510</wp:posOffset>
            </wp:positionV>
            <wp:extent cx="271081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4">
                      <a:extLst>
                        <a:ext uri="{28A0092B-C50C-407E-A947-70E740481C1C}"/>
                      </a:extLst>
                    </a:blip>
                    <a:srcRect/>
                    <a:stretch>
                      <a:fillRect/>
                    </a:stretch>
                  </pic:blipFill>
                  <pic:spPr bwMode="auto">
                    <a:xfrm>
                      <a:off x="0" y="0"/>
                      <a:ext cx="2710815" cy="8255"/>
                    </a:xfrm>
                    <a:prstGeom prst="rect">
                      <a:avLst/>
                    </a:prstGeom>
                    <a:noFill/>
                  </pic:spPr>
                </pic:pic>
              </a:graphicData>
            </a:graphic>
          </wp:anchor>
        </w:drawing>
      </w:r>
    </w:p>
    <w:p>
      <w:pPr>
        <w:spacing w:after="0" w:line="2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William J. Rieflin</w:t>
      </w:r>
    </w:p>
    <w:p>
      <w:pPr>
        <w:spacing w:after="0" w:line="2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Chief Executive Officer</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EXECUTIVE</w:t>
      </w:r>
    </w:p>
    <w:p>
      <w:pPr>
        <w:spacing w:after="0" w:line="23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/s/ Aetna Wun Trombley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16510</wp:posOffset>
            </wp:positionV>
            <wp:extent cx="271081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5">
                      <a:extLst>
                        <a:ext uri="{28A0092B-C50C-407E-A947-70E740481C1C}"/>
                      </a:extLst>
                    </a:blip>
                    <a:srcRect/>
                    <a:stretch>
                      <a:fillRect/>
                    </a:stretch>
                  </pic:blipFill>
                  <pic:spPr bwMode="auto">
                    <a:xfrm>
                      <a:off x="0" y="0"/>
                      <a:ext cx="2710815" cy="8255"/>
                    </a:xfrm>
                    <a:prstGeom prst="rect">
                      <a:avLst/>
                    </a:prstGeom>
                    <a:noFill/>
                  </pic:spPr>
                </pic:pic>
              </a:graphicData>
            </a:graphic>
          </wp:anchor>
        </w:drawing>
      </w:r>
    </w:p>
    <w:p>
      <w:pPr>
        <w:spacing w:after="0" w:line="2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Aetna Wun Trombley</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019"/>
          </w:cols>
          <w:pgMar w:left="1440" w:top="265" w:right="1440" w:bottom="1440" w:gutter="0" w:footer="0" w:header="0"/>
        </w:sectPr>
      </w:pPr>
    </w:p>
    <w:bookmarkStart w:id="380" w:name="page381"/>
    <w:bookmarkEnd w:id="380"/>
    <w:p>
      <w:pPr>
        <w:jc w:val="right"/>
        <w:spacing w:after="0"/>
        <w:rPr>
          <w:sz w:val="20"/>
          <w:szCs w:val="20"/>
          <w:color w:val="auto"/>
        </w:rPr>
      </w:pPr>
      <w:r>
        <w:rPr>
          <w:rFonts w:ascii="Arial" w:cs="Arial" w:eastAsia="Arial" w:hAnsi="Arial"/>
          <w:sz w:val="17"/>
          <w:szCs w:val="17"/>
          <w:b w:val="1"/>
          <w:bCs w:val="1"/>
          <w:color w:val="auto"/>
        </w:rPr>
        <w:t>Exhibit 10.13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EMPLOYMENT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David J. Woodhouse, Ph.D.</w:t>
      </w:r>
    </w:p>
    <w:p>
      <w:pPr>
        <w:spacing w:after="0" w:line="212" w:lineRule="exact"/>
        <w:rPr>
          <w:sz w:val="20"/>
          <w:szCs w:val="20"/>
          <w:color w:val="auto"/>
        </w:rPr>
      </w:pPr>
    </w:p>
    <w:p>
      <w:pPr>
        <w:ind w:right="20" w:firstLine="427"/>
        <w:spacing w:after="0" w:line="289" w:lineRule="auto"/>
        <w:rPr>
          <w:sz w:val="20"/>
          <w:szCs w:val="20"/>
          <w:color w:val="auto"/>
        </w:rPr>
      </w:pPr>
      <w:r>
        <w:rPr>
          <w:rFonts w:ascii="Arial" w:cs="Arial" w:eastAsia="Arial" w:hAnsi="Arial"/>
          <w:sz w:val="17"/>
          <w:szCs w:val="17"/>
          <w:color w:val="auto"/>
        </w:rPr>
        <w:t>This Executive Employment Agreement (“Agreement”) is effective as of July 25, 2018, by and between David J. Woodhouse, Ph.D. (“Executive”) and NGM Biopharmaceuticals, Inc. (the “Company”).</w:t>
      </w:r>
    </w:p>
    <w:p>
      <w:pPr>
        <w:spacing w:after="0" w:line="152" w:lineRule="exact"/>
        <w:rPr>
          <w:sz w:val="20"/>
          <w:szCs w:val="20"/>
          <w:color w:val="auto"/>
        </w:rPr>
      </w:pPr>
    </w:p>
    <w:p>
      <w:pPr>
        <w:ind w:right="80" w:firstLine="427"/>
        <w:spacing w:after="0" w:line="296"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4"/>
          <w:szCs w:val="14"/>
          <w:b w:val="1"/>
          <w:bCs w:val="1"/>
          <w:color w:val="auto"/>
        </w:rPr>
        <w:t>HEREAS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desires to employ Executive to provide personal services to the Company, and wishes to provide Executive with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and benefits in return for Executive’s services; and</w:t>
      </w:r>
    </w:p>
    <w:p>
      <w:pPr>
        <w:spacing w:after="0" w:line="146" w:lineRule="exact"/>
        <w:rPr>
          <w:sz w:val="20"/>
          <w:szCs w:val="20"/>
          <w:color w:val="auto"/>
        </w:rPr>
      </w:pPr>
    </w:p>
    <w:p>
      <w:pPr>
        <w:ind w:right="1020" w:firstLine="427"/>
        <w:spacing w:after="0" w:line="296"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4"/>
          <w:szCs w:val="14"/>
          <w:b w:val="1"/>
          <w:bCs w:val="1"/>
          <w:color w:val="auto"/>
        </w:rPr>
        <w:t>HEREAS</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wishes to be employed by the Company and to provide personal services to the Company in return for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and benefits.</w:t>
      </w:r>
    </w:p>
    <w:p>
      <w:pPr>
        <w:spacing w:after="0" w:line="146" w:lineRule="exact"/>
        <w:rPr>
          <w:sz w:val="20"/>
          <w:szCs w:val="20"/>
          <w:color w:val="auto"/>
        </w:rPr>
      </w:pPr>
    </w:p>
    <w:p>
      <w:pPr>
        <w:ind w:right="80" w:firstLine="427"/>
        <w:spacing w:after="0" w:line="296" w:lineRule="auto"/>
        <w:rPr>
          <w:sz w:val="20"/>
          <w:szCs w:val="20"/>
          <w:color w:val="auto"/>
        </w:rPr>
      </w:pPr>
      <w:r>
        <w:rPr>
          <w:rFonts w:ascii="Arial" w:cs="Arial" w:eastAsia="Arial" w:hAnsi="Arial"/>
          <w:sz w:val="17"/>
          <w:szCs w:val="17"/>
          <w:b w:val="1"/>
          <w:bCs w:val="1"/>
          <w:color w:val="auto"/>
        </w:rPr>
        <w:t xml:space="preserve">Now, </w:t>
      </w:r>
      <w:r>
        <w:rPr>
          <w:rFonts w:ascii="Arial" w:cs="Arial" w:eastAsia="Arial" w:hAnsi="Arial"/>
          <w:sz w:val="14"/>
          <w:szCs w:val="14"/>
          <w:b w:val="1"/>
          <w:bCs w:val="1"/>
          <w:color w:val="auto"/>
        </w:rPr>
        <w:t>THEREFORE</w:t>
      </w:r>
      <w:r>
        <w:rPr>
          <w:rFonts w:ascii="Arial" w:cs="Arial" w:eastAsia="Arial" w:hAnsi="Arial"/>
          <w:sz w:val="17"/>
          <w:szCs w:val="17"/>
          <w:b w:val="1"/>
          <w:bCs w:val="1"/>
          <w:color w:val="auto"/>
        </w:rPr>
        <w:t xml:space="preserve">, </w:t>
      </w:r>
      <w:r>
        <w:rPr>
          <w:rFonts w:ascii="Arial" w:cs="Arial" w:eastAsia="Arial" w:hAnsi="Arial"/>
          <w:sz w:val="17"/>
          <w:szCs w:val="17"/>
          <w:color w:val="auto"/>
        </w:rPr>
        <w:t>in consideration of the mutual promises and covenants contained herein, it is hereby agreed by and between the parties hereto</w:t>
      </w:r>
      <w:r>
        <w:rPr>
          <w:rFonts w:ascii="Arial" w:cs="Arial" w:eastAsia="Arial" w:hAnsi="Arial"/>
          <w:sz w:val="17"/>
          <w:szCs w:val="17"/>
          <w:b w:val="1"/>
          <w:bCs w:val="1"/>
          <w:color w:val="auto"/>
        </w:rPr>
        <w:t xml:space="preserve"> </w:t>
      </w:r>
      <w:r>
        <w:rPr>
          <w:rFonts w:ascii="Arial" w:cs="Arial" w:eastAsia="Arial" w:hAnsi="Arial"/>
          <w:sz w:val="17"/>
          <w:szCs w:val="17"/>
          <w:color w:val="auto"/>
        </w:rPr>
        <w:t>as follows:</w:t>
      </w:r>
    </w:p>
    <w:p>
      <w:pPr>
        <w:spacing w:after="0" w:line="55" w:lineRule="exact"/>
        <w:rPr>
          <w:sz w:val="20"/>
          <w:szCs w:val="20"/>
          <w:color w:val="auto"/>
        </w:rPr>
      </w:pPr>
    </w:p>
    <w:p>
      <w:pPr>
        <w:ind w:left="820" w:hanging="410"/>
        <w:spacing w:after="0"/>
        <w:tabs>
          <w:tab w:leader="none" w:pos="820" w:val="left"/>
        </w:tabs>
        <w:numPr>
          <w:ilvl w:val="0"/>
          <w:numId w:val="290"/>
        </w:numPr>
        <w:rPr>
          <w:rFonts w:ascii="Arial" w:cs="Arial" w:eastAsia="Arial" w:hAnsi="Arial"/>
          <w:sz w:val="17"/>
          <w:szCs w:val="17"/>
          <w:b w:val="1"/>
          <w:bCs w:val="1"/>
          <w:color w:val="auto"/>
        </w:rPr>
      </w:pPr>
      <w:r>
        <w:rPr>
          <w:rFonts w:ascii="Arial" w:cs="Arial" w:eastAsia="Arial" w:hAnsi="Arial"/>
          <w:sz w:val="17"/>
          <w:szCs w:val="17"/>
          <w:b w:val="1"/>
          <w:bCs w:val="1"/>
          <w:color w:val="auto"/>
        </w:rPr>
        <w:t>Employment by the Company.</w:t>
      </w:r>
    </w:p>
    <w:p>
      <w:pPr>
        <w:spacing w:after="0" w:line="119" w:lineRule="exact"/>
        <w:rPr>
          <w:sz w:val="20"/>
          <w:szCs w:val="20"/>
          <w:color w:val="auto"/>
        </w:rPr>
      </w:pPr>
    </w:p>
    <w:p>
      <w:pPr>
        <w:ind w:right="180" w:firstLine="855"/>
        <w:spacing w:after="0" w:line="265" w:lineRule="auto"/>
        <w:rPr>
          <w:sz w:val="20"/>
          <w:szCs w:val="20"/>
          <w:color w:val="auto"/>
        </w:rPr>
      </w:pPr>
      <w:r>
        <w:rPr>
          <w:rFonts w:ascii="Arial" w:cs="Arial" w:eastAsia="Arial" w:hAnsi="Arial"/>
          <w:sz w:val="17"/>
          <w:szCs w:val="17"/>
          <w:b w:val="1"/>
          <w:bCs w:val="1"/>
          <w:color w:val="auto"/>
        </w:rPr>
        <w:t xml:space="preserve">1.1 Position. </w:t>
      </w:r>
      <w:r>
        <w:rPr>
          <w:rFonts w:ascii="Arial" w:cs="Arial" w:eastAsia="Arial" w:hAnsi="Arial"/>
          <w:sz w:val="17"/>
          <w:szCs w:val="17"/>
          <w:color w:val="auto"/>
        </w:rPr>
        <w:t>Subject to terms and conditions set forth herein, the Company agrees to employ Executive in the position of Chief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reporting to the Company’s Executive Chairman and ultimately to the Company’s Board of Directors (the “Board”), and Executive hereby accepts such employment. Executive will assume such duties and responsibilities upon the earlier to occur of: (a) the date the current Chief Executive Officer assumes the responsibilities of Executive Chairman; or (b) the date the Company’s 2018 registration statement filed with the Securities and Exchange Commission under the Securities Act of 1933, as amended, or similar regulatory body in a foreign jurisdiction, is first available on EDGAR (such earlier date, the “Assumption Date”).</w:t>
      </w:r>
    </w:p>
    <w:p>
      <w:pPr>
        <w:spacing w:after="0" w:line="178" w:lineRule="exact"/>
        <w:rPr>
          <w:sz w:val="20"/>
          <w:szCs w:val="20"/>
          <w:color w:val="auto"/>
        </w:rPr>
      </w:pPr>
    </w:p>
    <w:p>
      <w:pPr>
        <w:ind w:right="120" w:firstLine="855"/>
        <w:spacing w:after="0" w:line="273" w:lineRule="auto"/>
        <w:rPr>
          <w:sz w:val="20"/>
          <w:szCs w:val="20"/>
          <w:color w:val="auto"/>
        </w:rPr>
      </w:pPr>
      <w:r>
        <w:rPr>
          <w:rFonts w:ascii="Arial" w:cs="Arial" w:eastAsia="Arial" w:hAnsi="Arial"/>
          <w:sz w:val="17"/>
          <w:szCs w:val="17"/>
          <w:color w:val="auto"/>
        </w:rPr>
        <w:t>During the term of Executive’s employment with the Company, Executive will devote Executive’s best efforts and substantially all of Executive’s business time and attention to the business of the Company, except for approved vacation periods and reasonable periods of illness or other incapacities permitted by the Company’s general employment policies.</w:t>
      </w:r>
    </w:p>
    <w:p>
      <w:pPr>
        <w:spacing w:after="0" w:line="60" w:lineRule="exact"/>
        <w:rPr>
          <w:sz w:val="20"/>
          <w:szCs w:val="20"/>
          <w:color w:val="auto"/>
        </w:rPr>
      </w:pPr>
    </w:p>
    <w:p>
      <w:pPr>
        <w:ind w:right="200" w:firstLine="855"/>
        <w:spacing w:after="0" w:line="270" w:lineRule="auto"/>
        <w:rPr>
          <w:sz w:val="20"/>
          <w:szCs w:val="20"/>
          <w:color w:val="auto"/>
        </w:rPr>
      </w:pPr>
      <w:r>
        <w:rPr>
          <w:rFonts w:ascii="Arial" w:cs="Arial" w:eastAsia="Arial" w:hAnsi="Arial"/>
          <w:sz w:val="17"/>
          <w:szCs w:val="17"/>
          <w:b w:val="1"/>
          <w:bCs w:val="1"/>
          <w:color w:val="auto"/>
        </w:rPr>
        <w:t xml:space="preserve">1.2 Duties and Location. </w:t>
      </w:r>
      <w:r>
        <w:rPr>
          <w:rFonts w:ascii="Arial" w:cs="Arial" w:eastAsia="Arial" w:hAnsi="Arial"/>
          <w:sz w:val="17"/>
          <w:szCs w:val="17"/>
          <w:color w:val="auto"/>
        </w:rPr>
        <w:t>Executive shall perform such duties as are consistent with the position of Chief Executive Officer following the</w:t>
      </w:r>
      <w:r>
        <w:rPr>
          <w:rFonts w:ascii="Arial" w:cs="Arial" w:eastAsia="Arial" w:hAnsi="Arial"/>
          <w:sz w:val="17"/>
          <w:szCs w:val="17"/>
          <w:b w:val="1"/>
          <w:bCs w:val="1"/>
          <w:color w:val="auto"/>
        </w:rPr>
        <w:t xml:space="preserve"> </w:t>
      </w:r>
      <w:r>
        <w:rPr>
          <w:rFonts w:ascii="Arial" w:cs="Arial" w:eastAsia="Arial" w:hAnsi="Arial"/>
          <w:sz w:val="17"/>
          <w:szCs w:val="17"/>
          <w:color w:val="auto"/>
        </w:rPr>
        <w:t>Assumption Date. Executive’s primary office location shall be the Company’s headquarters. The Company reserves the right to reasonably require Executive to perform Executive’s duties at places other than Executive’s primary office location from time to time, and to require reasonable business travel.</w:t>
      </w:r>
    </w:p>
    <w:p>
      <w:pPr>
        <w:spacing w:after="0" w:line="63" w:lineRule="exact"/>
        <w:rPr>
          <w:sz w:val="20"/>
          <w:szCs w:val="20"/>
          <w:color w:val="auto"/>
        </w:rPr>
      </w:pPr>
    </w:p>
    <w:p>
      <w:pPr>
        <w:ind w:right="40" w:firstLine="855"/>
        <w:spacing w:after="0" w:line="276" w:lineRule="auto"/>
        <w:rPr>
          <w:sz w:val="20"/>
          <w:szCs w:val="20"/>
          <w:color w:val="auto"/>
        </w:rPr>
      </w:pPr>
      <w:r>
        <w:rPr>
          <w:rFonts w:ascii="Arial" w:cs="Arial" w:eastAsia="Arial" w:hAnsi="Arial"/>
          <w:sz w:val="17"/>
          <w:szCs w:val="17"/>
          <w:b w:val="1"/>
          <w:bCs w:val="1"/>
          <w:color w:val="auto"/>
        </w:rPr>
        <w:t xml:space="preserve">1.3 Policies and Procedures. </w:t>
      </w:r>
      <w:r>
        <w:rPr>
          <w:rFonts w:ascii="Arial" w:cs="Arial" w:eastAsia="Arial" w:hAnsi="Arial"/>
          <w:sz w:val="17"/>
          <w:szCs w:val="17"/>
          <w:color w:val="auto"/>
        </w:rPr>
        <w:t>The employment relationship between the parties shall be governed by the general employment policies and</w:t>
      </w:r>
      <w:r>
        <w:rPr>
          <w:rFonts w:ascii="Arial" w:cs="Arial" w:eastAsia="Arial" w:hAnsi="Arial"/>
          <w:sz w:val="17"/>
          <w:szCs w:val="17"/>
          <w:b w:val="1"/>
          <w:bCs w:val="1"/>
          <w:color w:val="auto"/>
        </w:rPr>
        <w:t xml:space="preserve"> </w:t>
      </w:r>
      <w:r>
        <w:rPr>
          <w:rFonts w:ascii="Arial" w:cs="Arial" w:eastAsia="Arial" w:hAnsi="Arial"/>
          <w:sz w:val="17"/>
          <w:szCs w:val="17"/>
          <w:color w:val="auto"/>
        </w:rPr>
        <w:t>practices of the Company, except that when the terms of this Agreement differ from, or are in conflict with, the Company’s general employment policies or practices, this Agreement shall control.</w:t>
      </w:r>
    </w:p>
    <w:p>
      <w:pPr>
        <w:spacing w:after="0" w:line="308" w:lineRule="exact"/>
        <w:rPr>
          <w:sz w:val="20"/>
          <w:szCs w:val="20"/>
          <w:color w:val="auto"/>
        </w:rPr>
      </w:pPr>
    </w:p>
    <w:p>
      <w:pPr>
        <w:ind w:left="820" w:hanging="410"/>
        <w:spacing w:after="0"/>
        <w:tabs>
          <w:tab w:leader="none" w:pos="820" w:val="left"/>
        </w:tabs>
        <w:numPr>
          <w:ilvl w:val="0"/>
          <w:numId w:val="291"/>
        </w:numPr>
        <w:rPr>
          <w:rFonts w:ascii="Arial" w:cs="Arial" w:eastAsia="Arial" w:hAnsi="Arial"/>
          <w:sz w:val="17"/>
          <w:szCs w:val="17"/>
          <w:b w:val="1"/>
          <w:bCs w:val="1"/>
          <w:color w:val="auto"/>
        </w:rPr>
      </w:pPr>
      <w:r>
        <w:rPr>
          <w:rFonts w:ascii="Arial" w:cs="Arial" w:eastAsia="Arial" w:hAnsi="Arial"/>
          <w:sz w:val="17"/>
          <w:szCs w:val="17"/>
          <w:b w:val="1"/>
          <w:bCs w:val="1"/>
          <w:color w:val="auto"/>
        </w:rPr>
        <w:t>Compensation.</w:t>
      </w:r>
    </w:p>
    <w:p>
      <w:pPr>
        <w:spacing w:after="0" w:line="119" w:lineRule="exact"/>
        <w:rPr>
          <w:sz w:val="20"/>
          <w:szCs w:val="20"/>
          <w:color w:val="auto"/>
        </w:rPr>
      </w:pPr>
    </w:p>
    <w:p>
      <w:pPr>
        <w:ind w:right="100" w:firstLine="855"/>
        <w:spacing w:after="0" w:line="276" w:lineRule="auto"/>
        <w:rPr>
          <w:sz w:val="20"/>
          <w:szCs w:val="20"/>
          <w:color w:val="auto"/>
        </w:rPr>
      </w:pPr>
      <w:r>
        <w:rPr>
          <w:rFonts w:ascii="Arial" w:cs="Arial" w:eastAsia="Arial" w:hAnsi="Arial"/>
          <w:sz w:val="17"/>
          <w:szCs w:val="17"/>
          <w:b w:val="1"/>
          <w:bCs w:val="1"/>
          <w:color w:val="auto"/>
        </w:rPr>
        <w:t xml:space="preserve">2.1 Salary. </w:t>
      </w:r>
      <w:r>
        <w:rPr>
          <w:rFonts w:ascii="Arial" w:cs="Arial" w:eastAsia="Arial" w:hAnsi="Arial"/>
          <w:sz w:val="17"/>
          <w:szCs w:val="17"/>
          <w:color w:val="auto"/>
        </w:rPr>
        <w:t>For services to be rendered hereunder, Executive shall receive a base salary at the rate of Four Hundred Seventy-Five Thousand</w:t>
      </w:r>
      <w:r>
        <w:rPr>
          <w:rFonts w:ascii="Arial" w:cs="Arial" w:eastAsia="Arial" w:hAnsi="Arial"/>
          <w:sz w:val="17"/>
          <w:szCs w:val="17"/>
          <w:b w:val="1"/>
          <w:bCs w:val="1"/>
          <w:color w:val="auto"/>
        </w:rPr>
        <w:t xml:space="preserve"> </w:t>
      </w:r>
      <w:r>
        <w:rPr>
          <w:rFonts w:ascii="Arial" w:cs="Arial" w:eastAsia="Arial" w:hAnsi="Arial"/>
          <w:sz w:val="17"/>
          <w:szCs w:val="17"/>
          <w:color w:val="auto"/>
        </w:rPr>
        <w:t>Dollars ($475,000.00) per year (the “Base Salary”), subject to standard payroll deductions and withholdings and payable in accordance with the Company’s regular payroll schedule.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680"/>
          </w:cols>
          <w:pgMar w:left="620" w:top="121" w:right="599" w:bottom="1440" w:gutter="0" w:footer="0" w:header="0"/>
        </w:sectPr>
      </w:pPr>
    </w:p>
    <w:bookmarkStart w:id="381" w:name="page382"/>
    <w:bookmarkEnd w:id="381"/>
    <w:p>
      <w:pPr>
        <w:ind w:right="260" w:firstLine="855"/>
        <w:spacing w:after="0" w:line="296"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2.2 Bonus. </w:t>
      </w:r>
      <w:r>
        <w:rPr>
          <w:rFonts w:ascii="Arial" w:cs="Arial" w:eastAsia="Arial" w:hAnsi="Arial"/>
          <w:sz w:val="17"/>
          <w:szCs w:val="17"/>
          <w:color w:val="auto"/>
        </w:rPr>
        <w:t>Executive will be entitled to participate in any bonus plan adopted by the Company for its employees or executive officers on</w:t>
      </w:r>
      <w:r>
        <w:rPr>
          <w:rFonts w:ascii="Arial" w:cs="Arial" w:eastAsia="Arial" w:hAnsi="Arial"/>
          <w:sz w:val="17"/>
          <w:szCs w:val="17"/>
          <w:b w:val="1"/>
          <w:bCs w:val="1"/>
          <w:color w:val="auto"/>
        </w:rPr>
        <w:t xml:space="preserve"> </w:t>
      </w:r>
      <w:r>
        <w:rPr>
          <w:rFonts w:ascii="Arial" w:cs="Arial" w:eastAsia="Arial" w:hAnsi="Arial"/>
          <w:sz w:val="17"/>
          <w:szCs w:val="17"/>
          <w:color w:val="auto"/>
        </w:rPr>
        <w:t>such terms as the Board may determine in its discretion.</w:t>
      </w:r>
    </w:p>
    <w:p>
      <w:pPr>
        <w:spacing w:after="0" w:line="42" w:lineRule="exact"/>
        <w:rPr>
          <w:sz w:val="20"/>
          <w:szCs w:val="20"/>
          <w:color w:val="auto"/>
        </w:rPr>
      </w:pPr>
    </w:p>
    <w:p>
      <w:pPr>
        <w:ind w:right="300" w:firstLine="855"/>
        <w:spacing w:after="0" w:line="296" w:lineRule="auto"/>
        <w:rPr>
          <w:sz w:val="20"/>
          <w:szCs w:val="20"/>
          <w:color w:val="auto"/>
        </w:rPr>
      </w:pPr>
      <w:r>
        <w:rPr>
          <w:rFonts w:ascii="Arial" w:cs="Arial" w:eastAsia="Arial" w:hAnsi="Arial"/>
          <w:sz w:val="17"/>
          <w:szCs w:val="17"/>
          <w:b w:val="1"/>
          <w:bCs w:val="1"/>
          <w:color w:val="auto"/>
        </w:rPr>
        <w:t xml:space="preserve">2.3 Standard Company Benefits. </w:t>
      </w:r>
      <w:r>
        <w:rPr>
          <w:rFonts w:ascii="Arial" w:cs="Arial" w:eastAsia="Arial" w:hAnsi="Arial"/>
          <w:sz w:val="17"/>
          <w:szCs w:val="17"/>
          <w:color w:val="auto"/>
        </w:rPr>
        <w:t>Executive shall be entitled to all employee benefit programs for which Executive is eligible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terms and conditions of the benefit plans that may be in effect from time to time and provided by the Company to its officers.</w:t>
      </w:r>
    </w:p>
    <w:p>
      <w:pPr>
        <w:spacing w:after="0" w:line="42" w:lineRule="exact"/>
        <w:rPr>
          <w:sz w:val="20"/>
          <w:szCs w:val="20"/>
          <w:color w:val="auto"/>
        </w:rPr>
      </w:pPr>
    </w:p>
    <w:p>
      <w:pPr>
        <w:ind w:right="180" w:firstLine="855"/>
        <w:spacing w:after="0" w:line="276" w:lineRule="auto"/>
        <w:rPr>
          <w:sz w:val="20"/>
          <w:szCs w:val="20"/>
          <w:color w:val="auto"/>
        </w:rPr>
      </w:pPr>
      <w:r>
        <w:rPr>
          <w:rFonts w:ascii="Arial" w:cs="Arial" w:eastAsia="Arial" w:hAnsi="Arial"/>
          <w:sz w:val="17"/>
          <w:szCs w:val="17"/>
          <w:b w:val="1"/>
          <w:bCs w:val="1"/>
          <w:color w:val="auto"/>
        </w:rPr>
        <w:t xml:space="preserve">2.4 Vacation. </w:t>
      </w:r>
      <w:r>
        <w:rPr>
          <w:rFonts w:ascii="Arial" w:cs="Arial" w:eastAsia="Arial" w:hAnsi="Arial"/>
          <w:sz w:val="17"/>
          <w:szCs w:val="17"/>
          <w:color w:val="auto"/>
        </w:rPr>
        <w:t>Executive will be entitled to four (4) weeks of paid vacation each year, such vacation to be taken in accordance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vacation policy (including, without limitation, its policy relating to maximum accrual). The timing and duration of specific vacations to be mutually and reasonably agreed to by the parties hereto.</w:t>
      </w:r>
    </w:p>
    <w:p>
      <w:pPr>
        <w:spacing w:after="0" w:line="59" w:lineRule="exact"/>
        <w:rPr>
          <w:sz w:val="20"/>
          <w:szCs w:val="20"/>
          <w:color w:val="auto"/>
        </w:rPr>
      </w:pPr>
    </w:p>
    <w:p>
      <w:pPr>
        <w:ind w:right="80" w:firstLine="855"/>
        <w:spacing w:after="0" w:line="276" w:lineRule="auto"/>
        <w:rPr>
          <w:sz w:val="20"/>
          <w:szCs w:val="20"/>
          <w:color w:val="auto"/>
        </w:rPr>
      </w:pPr>
      <w:r>
        <w:rPr>
          <w:rFonts w:ascii="Arial" w:cs="Arial" w:eastAsia="Arial" w:hAnsi="Arial"/>
          <w:sz w:val="17"/>
          <w:szCs w:val="17"/>
          <w:b w:val="1"/>
          <w:bCs w:val="1"/>
          <w:color w:val="auto"/>
        </w:rPr>
        <w:t xml:space="preserve">2.5 Expenses. </w:t>
      </w:r>
      <w:r>
        <w:rPr>
          <w:rFonts w:ascii="Arial" w:cs="Arial" w:eastAsia="Arial" w:hAnsi="Arial"/>
          <w:sz w:val="17"/>
          <w:szCs w:val="17"/>
          <w:color w:val="auto"/>
        </w:rPr>
        <w:t>The Company will reimburse Executive for reasonable travel, entertainment or other expenses incurred by Executive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furtherance of or in connection with the performance of Executive’s duties hereunder, in accordance with the Company’s expense reimbursement policy as in effect from time to time.</w:t>
      </w:r>
    </w:p>
    <w:p>
      <w:pPr>
        <w:spacing w:after="0" w:line="59" w:lineRule="exact"/>
        <w:rPr>
          <w:sz w:val="20"/>
          <w:szCs w:val="20"/>
          <w:color w:val="auto"/>
        </w:rPr>
      </w:pPr>
    </w:p>
    <w:p>
      <w:pPr>
        <w:ind w:right="20" w:firstLine="855"/>
        <w:spacing w:after="0" w:line="282" w:lineRule="auto"/>
        <w:rPr>
          <w:sz w:val="20"/>
          <w:szCs w:val="20"/>
          <w:color w:val="auto"/>
        </w:rPr>
      </w:pPr>
      <w:r>
        <w:rPr>
          <w:rFonts w:ascii="Arial" w:cs="Arial" w:eastAsia="Arial" w:hAnsi="Arial"/>
          <w:sz w:val="16"/>
          <w:szCs w:val="16"/>
          <w:b w:val="1"/>
          <w:bCs w:val="1"/>
          <w:color w:val="auto"/>
        </w:rPr>
        <w:t xml:space="preserve">2.6 Option Grant. </w:t>
      </w:r>
      <w:r>
        <w:rPr>
          <w:rFonts w:ascii="Arial" w:cs="Arial" w:eastAsia="Arial" w:hAnsi="Arial"/>
          <w:sz w:val="16"/>
          <w:szCs w:val="16"/>
          <w:color w:val="auto"/>
        </w:rPr>
        <w:t>Subject to the approval by the Board, Executive will be awarded a stock option to purchase one million (1,000,000)</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the Company’s Common Stock (the “Option Grant”). The Option Grant shall be awarded immediately following the receipt of last required approval from the Board and stockholders of the Company necessary to authorize the amendment to the 2018 Equity Incentive Plan, as amended (the “Plan”) to enable an increase in the number of shares reserved for issuance sufficient to cover the Option Grant. The purchase price per share for the Option Grant will be the fair market value as determined by the Board when the Option Grant is awarded. The Option Grant shall be subject to the terms and conditions of the Plan. 1/48</w:t>
      </w:r>
      <w:r>
        <w:rPr>
          <w:rFonts w:ascii="Arial" w:cs="Arial" w:eastAsia="Arial" w:hAnsi="Arial"/>
          <w:sz w:val="13"/>
          <w:szCs w:val="13"/>
          <w:color w:val="auto"/>
        </w:rPr>
        <w:t>th</w:t>
      </w:r>
      <w:r>
        <w:rPr>
          <w:rFonts w:ascii="Arial" w:cs="Arial" w:eastAsia="Arial" w:hAnsi="Arial"/>
          <w:sz w:val="16"/>
          <w:szCs w:val="16"/>
          <w:color w:val="auto"/>
        </w:rPr>
        <w:t xml:space="preserve"> of the shares initially subject to the Option Grant shall vest on each month as measured from the respective Option Grant date, provided in each case that the Executive is then providing Continuous Service (as defined in the Plan) to the Company.</w:t>
      </w:r>
    </w:p>
    <w:p>
      <w:pPr>
        <w:spacing w:after="0" w:line="307" w:lineRule="exact"/>
        <w:rPr>
          <w:sz w:val="20"/>
          <w:szCs w:val="20"/>
          <w:color w:val="auto"/>
        </w:rPr>
      </w:pPr>
    </w:p>
    <w:p>
      <w:pPr>
        <w:ind w:left="820" w:hanging="410"/>
        <w:spacing w:after="0"/>
        <w:tabs>
          <w:tab w:leader="none" w:pos="820" w:val="left"/>
        </w:tabs>
        <w:numPr>
          <w:ilvl w:val="0"/>
          <w:numId w:val="292"/>
        </w:numPr>
        <w:rPr>
          <w:rFonts w:ascii="Arial" w:cs="Arial" w:eastAsia="Arial" w:hAnsi="Arial"/>
          <w:sz w:val="17"/>
          <w:szCs w:val="17"/>
          <w:b w:val="1"/>
          <w:bCs w:val="1"/>
          <w:color w:val="auto"/>
        </w:rPr>
      </w:pPr>
      <w:r>
        <w:rPr>
          <w:rFonts w:ascii="Arial" w:cs="Arial" w:eastAsia="Arial" w:hAnsi="Arial"/>
          <w:sz w:val="17"/>
          <w:szCs w:val="17"/>
          <w:b w:val="1"/>
          <w:bCs w:val="1"/>
          <w:color w:val="auto"/>
        </w:rPr>
        <w:t>Proprietary Information Obligations.</w:t>
      </w:r>
    </w:p>
    <w:p>
      <w:pPr>
        <w:spacing w:after="0" w:line="119" w:lineRule="exact"/>
        <w:rPr>
          <w:sz w:val="20"/>
          <w:szCs w:val="20"/>
          <w:color w:val="auto"/>
        </w:rPr>
      </w:pPr>
    </w:p>
    <w:p>
      <w:pPr>
        <w:ind w:right="700" w:firstLine="855"/>
        <w:spacing w:after="0" w:line="296" w:lineRule="auto"/>
        <w:rPr>
          <w:sz w:val="20"/>
          <w:szCs w:val="20"/>
          <w:color w:val="auto"/>
        </w:rPr>
      </w:pPr>
      <w:r>
        <w:rPr>
          <w:rFonts w:ascii="Arial" w:cs="Arial" w:eastAsia="Arial" w:hAnsi="Arial"/>
          <w:sz w:val="17"/>
          <w:szCs w:val="17"/>
          <w:b w:val="1"/>
          <w:bCs w:val="1"/>
          <w:color w:val="auto"/>
        </w:rPr>
        <w:t xml:space="preserve">3.1 Proprietary Information Agreement. </w:t>
      </w:r>
      <w:r>
        <w:rPr>
          <w:rFonts w:ascii="Arial" w:cs="Arial" w:eastAsia="Arial" w:hAnsi="Arial"/>
          <w:sz w:val="17"/>
          <w:szCs w:val="17"/>
          <w:color w:val="auto"/>
        </w:rPr>
        <w:t>As a condition of employment, Executive agrees to execute and abide by the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Proprietary Information and Inventions Agreement attached hereto as Exhibit A.</w:t>
      </w:r>
    </w:p>
    <w:p>
      <w:pPr>
        <w:spacing w:after="0" w:line="42" w:lineRule="exact"/>
        <w:rPr>
          <w:sz w:val="20"/>
          <w:szCs w:val="20"/>
          <w:color w:val="auto"/>
        </w:rPr>
      </w:pPr>
    </w:p>
    <w:p>
      <w:pPr>
        <w:ind w:firstLine="855"/>
        <w:spacing w:after="0" w:line="262" w:lineRule="auto"/>
        <w:rPr>
          <w:sz w:val="20"/>
          <w:szCs w:val="20"/>
          <w:color w:val="auto"/>
        </w:rPr>
      </w:pPr>
      <w:r>
        <w:rPr>
          <w:rFonts w:ascii="Arial" w:cs="Arial" w:eastAsia="Arial" w:hAnsi="Arial"/>
          <w:sz w:val="17"/>
          <w:szCs w:val="17"/>
          <w:b w:val="1"/>
          <w:bCs w:val="1"/>
          <w:color w:val="auto"/>
        </w:rPr>
        <w:t xml:space="preserve">3.2 Third-Party Agreements and Information. </w:t>
      </w:r>
      <w:r>
        <w:rPr>
          <w:rFonts w:ascii="Arial" w:cs="Arial" w:eastAsia="Arial" w:hAnsi="Arial"/>
          <w:sz w:val="17"/>
          <w:szCs w:val="17"/>
          <w:color w:val="auto"/>
        </w:rPr>
        <w:t>Executive represents and warrants that Executive’s employment by the Company will not</w:t>
      </w:r>
      <w:r>
        <w:rPr>
          <w:rFonts w:ascii="Arial" w:cs="Arial" w:eastAsia="Arial" w:hAnsi="Arial"/>
          <w:sz w:val="17"/>
          <w:szCs w:val="17"/>
          <w:b w:val="1"/>
          <w:bCs w:val="1"/>
          <w:color w:val="auto"/>
        </w:rPr>
        <w:t xml:space="preserve"> </w:t>
      </w:r>
      <w:r>
        <w:rPr>
          <w:rFonts w:ascii="Arial" w:cs="Arial" w:eastAsia="Arial" w:hAnsi="Arial"/>
          <w:sz w:val="17"/>
          <w:szCs w:val="17"/>
          <w:color w:val="auto"/>
        </w:rPr>
        <w:t>conflict with any prior employment or consulting agreement or other agreement with any third party, and that Executive will perform Executive’s duties to the Company without violating any such agreement. Executive represents and warrants that Executive does not possess confidential information arising out of prior employment, consulting or other third party relationships, which would be used in connection with Executive’s employment by the Company, except as expressly authorized by that third party. During Executive’s employment by the Company, Executive will use in the performance of Executive’s duties only information that is generally known and used by persons with training and experience comparable to Executive’s own, common knowledge in the industry, otherwise legally in the public domain or obtained or developed by the Company or by Executive in the course of Executive’s work for the Company.</w:t>
      </w:r>
    </w:p>
    <w:p>
      <w:pPr>
        <w:spacing w:after="0" w:line="323" w:lineRule="exact"/>
        <w:rPr>
          <w:sz w:val="20"/>
          <w:szCs w:val="20"/>
          <w:color w:val="auto"/>
        </w:rPr>
      </w:pPr>
    </w:p>
    <w:p>
      <w:pPr>
        <w:ind w:left="820" w:hanging="410"/>
        <w:spacing w:after="0"/>
        <w:tabs>
          <w:tab w:leader="none" w:pos="820" w:val="left"/>
        </w:tabs>
        <w:numPr>
          <w:ilvl w:val="0"/>
          <w:numId w:val="293"/>
        </w:numPr>
        <w:rPr>
          <w:rFonts w:ascii="Arial" w:cs="Arial" w:eastAsia="Arial" w:hAnsi="Arial"/>
          <w:sz w:val="17"/>
          <w:szCs w:val="17"/>
          <w:b w:val="1"/>
          <w:bCs w:val="1"/>
          <w:color w:val="auto"/>
        </w:rPr>
      </w:pPr>
      <w:r>
        <w:rPr>
          <w:rFonts w:ascii="Arial" w:cs="Arial" w:eastAsia="Arial" w:hAnsi="Arial"/>
          <w:sz w:val="17"/>
          <w:szCs w:val="17"/>
          <w:b w:val="1"/>
          <w:bCs w:val="1"/>
          <w:color w:val="auto"/>
        </w:rPr>
        <w:t>Outside Activities During Employment.</w:t>
      </w:r>
    </w:p>
    <w:p>
      <w:pPr>
        <w:spacing w:after="0" w:line="119" w:lineRule="exact"/>
        <w:rPr>
          <w:sz w:val="20"/>
          <w:szCs w:val="20"/>
          <w:color w:val="auto"/>
        </w:rPr>
      </w:pPr>
    </w:p>
    <w:p>
      <w:pPr>
        <w:ind w:right="20" w:firstLine="855"/>
        <w:spacing w:after="0" w:line="270" w:lineRule="auto"/>
        <w:rPr>
          <w:sz w:val="20"/>
          <w:szCs w:val="20"/>
          <w:color w:val="auto"/>
        </w:rPr>
      </w:pPr>
      <w:r>
        <w:rPr>
          <w:rFonts w:ascii="Arial" w:cs="Arial" w:eastAsia="Arial" w:hAnsi="Arial"/>
          <w:sz w:val="17"/>
          <w:szCs w:val="17"/>
          <w:b w:val="1"/>
          <w:bCs w:val="1"/>
          <w:color w:val="auto"/>
        </w:rPr>
        <w:t xml:space="preserve">4.1 Non-Company Business. </w:t>
      </w:r>
      <w:r>
        <w:rPr>
          <w:rFonts w:ascii="Arial" w:cs="Arial" w:eastAsia="Arial" w:hAnsi="Arial"/>
          <w:sz w:val="17"/>
          <w:szCs w:val="17"/>
          <w:color w:val="auto"/>
        </w:rPr>
        <w:t>Except as otherwise agreed to in writing between Executive and the Executive Chairman, Executive will not,</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term of Executive’s employment with the Company, undertake or engage in any other employment, occupation or business enterprise, other than ones in which Executive is a passive investor. Executive may engage in civic and not-for-profit activities so long as such activities do not materially interfere with the performance of Executive’s duties hereunder.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80"/>
          </w:cols>
          <w:pgMar w:left="620" w:top="265" w:right="599" w:bottom="1440" w:gutter="0" w:footer="0" w:header="0"/>
        </w:sectPr>
      </w:pPr>
    </w:p>
    <w:bookmarkStart w:id="382" w:name="page383"/>
    <w:bookmarkEnd w:id="382"/>
    <w:p>
      <w:pPr>
        <w:ind w:left="9" w:right="460" w:firstLine="855"/>
        <w:spacing w:after="0" w:line="296"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4.2 No Adverse Interests. </w:t>
      </w:r>
      <w:r>
        <w:rPr>
          <w:rFonts w:ascii="Arial" w:cs="Arial" w:eastAsia="Arial" w:hAnsi="Arial"/>
          <w:sz w:val="17"/>
          <w:szCs w:val="17"/>
          <w:color w:val="auto"/>
        </w:rPr>
        <w:t>Executive agrees not to acquire, assume or participate in, directly or indirectly, any position, investment or</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known to be adverse or antagonistic to the Company, its business or prospects, financial or otherwise.</w:t>
      </w:r>
    </w:p>
    <w:p>
      <w:pPr>
        <w:spacing w:after="0" w:line="290" w:lineRule="exact"/>
        <w:rPr>
          <w:sz w:val="20"/>
          <w:szCs w:val="20"/>
          <w:color w:val="auto"/>
        </w:rPr>
      </w:pPr>
    </w:p>
    <w:p>
      <w:pPr>
        <w:ind w:left="829" w:hanging="410"/>
        <w:spacing w:after="0"/>
        <w:tabs>
          <w:tab w:leader="none" w:pos="829" w:val="left"/>
        </w:tabs>
        <w:numPr>
          <w:ilvl w:val="0"/>
          <w:numId w:val="294"/>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of Employment.</w:t>
      </w:r>
    </w:p>
    <w:p>
      <w:pPr>
        <w:spacing w:after="0" w:line="119" w:lineRule="exact"/>
        <w:rPr>
          <w:sz w:val="20"/>
          <w:szCs w:val="20"/>
          <w:color w:val="auto"/>
        </w:rPr>
      </w:pPr>
    </w:p>
    <w:p>
      <w:pPr>
        <w:ind w:left="9" w:firstLine="855"/>
        <w:spacing w:after="0" w:line="296" w:lineRule="auto"/>
        <w:rPr>
          <w:sz w:val="20"/>
          <w:szCs w:val="20"/>
          <w:color w:val="auto"/>
        </w:rPr>
      </w:pPr>
      <w:r>
        <w:rPr>
          <w:rFonts w:ascii="Arial" w:cs="Arial" w:eastAsia="Arial" w:hAnsi="Arial"/>
          <w:sz w:val="17"/>
          <w:szCs w:val="17"/>
          <w:b w:val="1"/>
          <w:bCs w:val="1"/>
          <w:color w:val="auto"/>
        </w:rPr>
        <w:t xml:space="preserve">5.1 At-Will Employment. </w:t>
      </w:r>
      <w:r>
        <w:rPr>
          <w:rFonts w:ascii="Arial" w:cs="Arial" w:eastAsia="Arial" w:hAnsi="Arial"/>
          <w:sz w:val="17"/>
          <w:szCs w:val="17"/>
          <w:color w:val="auto"/>
        </w:rPr>
        <w:t>Executive’s employment relationship is at-will. Either Executive or the Company may terminate the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relationship at any time, with or without Cause (as defined herein) or advance notice.</w:t>
      </w:r>
    </w:p>
    <w:p>
      <w:pPr>
        <w:spacing w:after="0" w:line="42" w:lineRule="exact"/>
        <w:rPr>
          <w:sz w:val="20"/>
          <w:szCs w:val="20"/>
          <w:color w:val="auto"/>
        </w:rPr>
      </w:pPr>
    </w:p>
    <w:p>
      <w:pPr>
        <w:ind w:left="9" w:right="20" w:firstLine="855"/>
        <w:spacing w:after="0" w:line="304" w:lineRule="auto"/>
        <w:rPr>
          <w:sz w:val="20"/>
          <w:szCs w:val="20"/>
          <w:color w:val="auto"/>
        </w:rPr>
      </w:pPr>
      <w:r>
        <w:rPr>
          <w:rFonts w:ascii="Arial" w:cs="Arial" w:eastAsia="Arial" w:hAnsi="Arial"/>
          <w:sz w:val="15"/>
          <w:szCs w:val="15"/>
          <w:b w:val="1"/>
          <w:bCs w:val="1"/>
          <w:color w:val="auto"/>
        </w:rPr>
        <w:t xml:space="preserve">5.2 Termination Without Cause or Resignation for Good Reason Following a Change in Control. </w:t>
      </w:r>
      <w:r>
        <w:rPr>
          <w:rFonts w:ascii="Arial" w:cs="Arial" w:eastAsia="Arial" w:hAnsi="Arial"/>
          <w:sz w:val="15"/>
          <w:szCs w:val="15"/>
          <w:color w:val="auto"/>
        </w:rPr>
        <w:t>If, on or within eighteen (18) months</w:t>
      </w:r>
      <w:r>
        <w:rPr>
          <w:rFonts w:ascii="Arial" w:cs="Arial" w:eastAsia="Arial" w:hAnsi="Arial"/>
          <w:sz w:val="15"/>
          <w:szCs w:val="15"/>
          <w:b w:val="1"/>
          <w:bCs w:val="1"/>
          <w:color w:val="auto"/>
        </w:rPr>
        <w:t xml:space="preserve"> </w:t>
      </w:r>
      <w:r>
        <w:rPr>
          <w:rFonts w:ascii="Arial" w:cs="Arial" w:eastAsia="Arial" w:hAnsi="Arial"/>
          <w:sz w:val="15"/>
          <w:szCs w:val="15"/>
          <w:color w:val="auto"/>
        </w:rPr>
        <w:t>after the effective date of a Change in Control (as defined herein), the Company terminates Executive’s employment without Cause (as defined herein) and other than as a result of his death or disability, or Executive resigns for Good Reason (as defined herein), and provided such termination or resignation constitutes a “separation from service” (within the meaning of Treasury Regulation Section 1.409A-l(h)), and Executive signs the Company’s standard form of release within the time period specified by the Company and allows it to become effective in accordance with its terms but in no event later than 60 days following Executive’s termination, and provided Executive complies with Executive’s obligations under Executive’s Employee Proprietary Information and Inventions Agreement, then the Company shall provide Executive with the following severance benefits:</w:t>
      </w:r>
    </w:p>
    <w:p>
      <w:pPr>
        <w:spacing w:after="0" w:line="42" w:lineRule="exact"/>
        <w:rPr>
          <w:sz w:val="20"/>
          <w:szCs w:val="20"/>
          <w:color w:val="auto"/>
        </w:rPr>
      </w:pPr>
    </w:p>
    <w:p>
      <w:pPr>
        <w:ind w:left="1589" w:hanging="200"/>
        <w:spacing w:after="0"/>
        <w:tabs>
          <w:tab w:leader="none" w:pos="1589" w:val="left"/>
        </w:tabs>
        <w:numPr>
          <w:ilvl w:val="1"/>
          <w:numId w:val="29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Salary and Benefit Continuation. </w:t>
      </w:r>
      <w:r>
        <w:rPr>
          <w:rFonts w:ascii="Arial" w:cs="Arial" w:eastAsia="Arial" w:hAnsi="Arial"/>
          <w:sz w:val="16"/>
          <w:szCs w:val="16"/>
          <w:color w:val="auto"/>
        </w:rPr>
        <w:t>The Company will pay Executive severance in the form of Base Salary continuation for a one</w:t>
      </w:r>
    </w:p>
    <w:p>
      <w:pPr>
        <w:spacing w:after="0" w:line="43" w:lineRule="exact"/>
        <w:rPr>
          <w:rFonts w:ascii="Arial" w:cs="Arial" w:eastAsia="Arial" w:hAnsi="Arial"/>
          <w:sz w:val="16"/>
          <w:szCs w:val="16"/>
          <w:b w:val="1"/>
          <w:bCs w:val="1"/>
          <w:color w:val="auto"/>
        </w:rPr>
      </w:pPr>
    </w:p>
    <w:p>
      <w:pPr>
        <w:ind w:left="9" w:hanging="9"/>
        <w:spacing w:after="0" w:line="276" w:lineRule="auto"/>
        <w:tabs>
          <w:tab w:leader="none" w:pos="256" w:val="left"/>
        </w:tabs>
        <w:numPr>
          <w:ilvl w:val="0"/>
          <w:numId w:val="296"/>
        </w:numPr>
        <w:rPr>
          <w:rFonts w:ascii="Arial" w:cs="Arial" w:eastAsia="Arial" w:hAnsi="Arial"/>
          <w:sz w:val="16"/>
          <w:szCs w:val="16"/>
          <w:color w:val="auto"/>
        </w:rPr>
      </w:pPr>
      <w:r>
        <w:rPr>
          <w:rFonts w:ascii="Arial" w:cs="Arial" w:eastAsia="Arial" w:hAnsi="Arial"/>
          <w:sz w:val="16"/>
          <w:szCs w:val="16"/>
          <w:color w:val="auto"/>
        </w:rPr>
        <w:t xml:space="preserve">year period following Executive’s last day of employment. These salary continuation payments will be paid on the Company’s regular payroll schedule and subject to standard deductions and withholdings over the applicable period following termination;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payments will be made prior to the 60th day following Executive’s termination. On the 60th day following Executive’s termination date, the Company will pay Executive in a lump sum the salary continuation payments that Executive would have received on or prior to such date under the original schedule but for the delay while waiting for the release deadline, with the balance of the cash severance being paid as originally scheduled. Each such installment will be deemed a separate “payment” for purposes of Section 409A of the Code. In addition, Executive shall have the right to continue his health insurance benefits pursuant to the Consolidated Omnibus Budget Reconciliation Act of 1985 (“COBRA”) or successor statute and any analogous provisions of applicable state law. Provided that Executive makes a timely and accurate election for continued health insurance coverage (including medical, dental, vision and prescription) under COBRA (or any state law of similar effect), the Company will pay the premiums for such continued coverage for Executive and his eligible dependents for the first twelve (12) months of such coverage, or such earlier date as Executive (or his dependents, as applicable) ceases to be eligible for such continuation coverage.</w:t>
      </w:r>
    </w:p>
    <w:p>
      <w:pPr>
        <w:spacing w:after="0" w:line="63" w:lineRule="exact"/>
        <w:rPr>
          <w:rFonts w:ascii="Arial" w:cs="Arial" w:eastAsia="Arial" w:hAnsi="Arial"/>
          <w:sz w:val="16"/>
          <w:szCs w:val="16"/>
          <w:color w:val="auto"/>
        </w:rPr>
      </w:pPr>
    </w:p>
    <w:p>
      <w:pPr>
        <w:ind w:left="9" w:right="60" w:firstLine="1380"/>
        <w:spacing w:after="0" w:line="330" w:lineRule="auto"/>
        <w:tabs>
          <w:tab w:leader="none" w:pos="1654" w:val="left"/>
        </w:tabs>
        <w:numPr>
          <w:ilvl w:val="1"/>
          <w:numId w:val="29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Accelerated Vesting. </w:t>
      </w:r>
      <w:r>
        <w:rPr>
          <w:rFonts w:ascii="Arial" w:cs="Arial" w:eastAsia="Arial" w:hAnsi="Arial"/>
          <w:sz w:val="16"/>
          <w:szCs w:val="16"/>
          <w:color w:val="auto"/>
        </w:rPr>
        <w:t>The Company will accelerate the vesting of the Stock Rights, to the extent then-outstanding and unvested,</w:t>
      </w:r>
      <w:r>
        <w:rPr>
          <w:rFonts w:ascii="Arial" w:cs="Arial" w:eastAsia="Arial" w:hAnsi="Arial"/>
          <w:sz w:val="16"/>
          <w:szCs w:val="16"/>
          <w:b w:val="1"/>
          <w:bCs w:val="1"/>
          <w:color w:val="auto"/>
        </w:rPr>
        <w:t xml:space="preserve"> </w:t>
      </w:r>
      <w:r>
        <w:rPr>
          <w:rFonts w:ascii="Arial" w:cs="Arial" w:eastAsia="Arial" w:hAnsi="Arial"/>
          <w:sz w:val="16"/>
          <w:szCs w:val="16"/>
          <w:color w:val="auto"/>
        </w:rPr>
        <w:t>such that all shares subject to the Stock Rights shall be deemed immediately vested and exerciseable as of Executive’s termination date.</w:t>
      </w:r>
    </w:p>
    <w:p>
      <w:pPr>
        <w:spacing w:after="0" w:line="18" w:lineRule="exact"/>
        <w:rPr>
          <w:sz w:val="20"/>
          <w:szCs w:val="20"/>
          <w:color w:val="auto"/>
        </w:rPr>
      </w:pPr>
    </w:p>
    <w:p>
      <w:pPr>
        <w:ind w:left="9" w:right="160" w:firstLine="855"/>
        <w:spacing w:after="0" w:line="267" w:lineRule="auto"/>
        <w:rPr>
          <w:sz w:val="20"/>
          <w:szCs w:val="20"/>
          <w:color w:val="auto"/>
        </w:rPr>
      </w:pPr>
      <w:r>
        <w:rPr>
          <w:rFonts w:ascii="Arial" w:cs="Arial" w:eastAsia="Arial" w:hAnsi="Arial"/>
          <w:sz w:val="17"/>
          <w:szCs w:val="17"/>
          <w:b w:val="1"/>
          <w:bCs w:val="1"/>
          <w:color w:val="auto"/>
        </w:rPr>
        <w:t xml:space="preserve">5.3 Termination Without Cause or Resignation for Good Reason Not Following a Change in Control. </w:t>
      </w:r>
      <w:r>
        <w:rPr>
          <w:rFonts w:ascii="Arial" w:cs="Arial" w:eastAsia="Arial" w:hAnsi="Arial"/>
          <w:sz w:val="17"/>
          <w:szCs w:val="17"/>
          <w:color w:val="auto"/>
        </w:rPr>
        <w:t>If at any time other than on or</w:t>
      </w:r>
      <w:r>
        <w:rPr>
          <w:rFonts w:ascii="Arial" w:cs="Arial" w:eastAsia="Arial" w:hAnsi="Arial"/>
          <w:sz w:val="17"/>
          <w:szCs w:val="17"/>
          <w:b w:val="1"/>
          <w:bCs w:val="1"/>
          <w:color w:val="auto"/>
        </w:rPr>
        <w:t xml:space="preserve"> </w:t>
      </w:r>
      <w:r>
        <w:rPr>
          <w:rFonts w:ascii="Arial" w:cs="Arial" w:eastAsia="Arial" w:hAnsi="Arial"/>
          <w:sz w:val="17"/>
          <w:szCs w:val="17"/>
          <w:color w:val="auto"/>
        </w:rPr>
        <w:t>within eighteen (18) months following the effective date of a Change in Control, the Company terminates Executive’s employment without Cause or Executive resigns for Good Reason, then Executive will not be entitled to any further compensation from the Company (other than accrued salary, and accrued and unused vacation, through Executive’s last day of employment), including severance pay, pay in lieu of notice or any other such compensation.</w:t>
      </w:r>
    </w:p>
    <w:p>
      <w:pPr>
        <w:spacing w:after="0" w:line="110"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69"/>
          </w:cols>
          <w:pgMar w:left="611" w:top="265" w:right="619" w:bottom="1440" w:gutter="0" w:footer="0" w:header="0"/>
        </w:sectPr>
      </w:pPr>
    </w:p>
    <w:bookmarkStart w:id="383" w:name="page384"/>
    <w:bookmarkEnd w:id="383"/>
    <w:p>
      <w:pPr>
        <w:ind w:left="9" w:right="20" w:firstLine="855"/>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5.4 Termination for Cause; Resignation Without Good Reason. </w:t>
      </w:r>
      <w:r>
        <w:rPr>
          <w:rFonts w:ascii="Arial" w:cs="Arial" w:eastAsia="Arial" w:hAnsi="Arial"/>
          <w:sz w:val="17"/>
          <w:szCs w:val="17"/>
          <w:color w:val="auto"/>
        </w:rPr>
        <w:t>If at any time, the Company terminates Executive’s employment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for Cause, or Executive resigns without Good Reason, then Executive will not be entitled to any further compensation from the Company (other than accrued salary, and accrued and unused vacation, through Executive’s last day of employment), including severance pay, pay in lieu of notice or any other such compensation.</w:t>
      </w:r>
    </w:p>
    <w:p>
      <w:pPr>
        <w:spacing w:after="0" w:line="63" w:lineRule="exact"/>
        <w:rPr>
          <w:sz w:val="20"/>
          <w:szCs w:val="20"/>
          <w:color w:val="auto"/>
        </w:rPr>
      </w:pPr>
    </w:p>
    <w:p>
      <w:pPr>
        <w:ind w:left="9" w:right="40" w:firstLine="855"/>
        <w:spacing w:after="0" w:line="296" w:lineRule="auto"/>
        <w:rPr>
          <w:sz w:val="20"/>
          <w:szCs w:val="20"/>
          <w:color w:val="auto"/>
        </w:rPr>
      </w:pPr>
      <w:r>
        <w:rPr>
          <w:rFonts w:ascii="Arial" w:cs="Arial" w:eastAsia="Arial" w:hAnsi="Arial"/>
          <w:sz w:val="15"/>
          <w:szCs w:val="15"/>
          <w:b w:val="1"/>
          <w:bCs w:val="1"/>
          <w:color w:val="auto"/>
        </w:rPr>
        <w:t xml:space="preserve">5.5 Section 409A Compliance. </w:t>
      </w:r>
      <w:r>
        <w:rPr>
          <w:rFonts w:ascii="Arial" w:cs="Arial" w:eastAsia="Arial" w:hAnsi="Arial"/>
          <w:sz w:val="15"/>
          <w:szCs w:val="15"/>
          <w:color w:val="auto"/>
        </w:rPr>
        <w:t>It is intended that each installment of the severance payments and benefits provided for in this Agreement is</w:t>
      </w:r>
      <w:r>
        <w:rPr>
          <w:rFonts w:ascii="Arial" w:cs="Arial" w:eastAsia="Arial" w:hAnsi="Arial"/>
          <w:sz w:val="15"/>
          <w:szCs w:val="15"/>
          <w:b w:val="1"/>
          <w:bCs w:val="1"/>
          <w:color w:val="auto"/>
        </w:rPr>
        <w:t xml:space="preserve"> </w:t>
      </w:r>
      <w:r>
        <w:rPr>
          <w:rFonts w:ascii="Arial" w:cs="Arial" w:eastAsia="Arial" w:hAnsi="Arial"/>
          <w:sz w:val="15"/>
          <w:szCs w:val="15"/>
          <w:color w:val="auto"/>
        </w:rPr>
        <w:t>a separate “payment” for purposes of Section 409A. For the avoidance of doubt, it is intended that the severance satisfies, to the greatest extent possible, the exemptions from the application of Section 409A provided under Treasury Regulation 1.409A-l(b)(4) and 1.409A-l(b)(9). Notwithstanding the foregoing, if the Company (or, if applicable, the successor entity thereto) determines that the severance payment provided above upon a separation from service constitute “deferred compensation” under Section 409A of the Internal Revenue Code (together, with any state law of similar effect,</w:t>
      </w:r>
    </w:p>
    <w:p>
      <w:pPr>
        <w:spacing w:after="0" w:line="2" w:lineRule="exact"/>
        <w:rPr>
          <w:sz w:val="20"/>
          <w:szCs w:val="20"/>
          <w:color w:val="auto"/>
        </w:rPr>
      </w:pPr>
    </w:p>
    <w:p>
      <w:pPr>
        <w:ind w:left="9"/>
        <w:spacing w:after="0" w:line="259" w:lineRule="auto"/>
        <w:rPr>
          <w:sz w:val="20"/>
          <w:szCs w:val="20"/>
          <w:color w:val="auto"/>
        </w:rPr>
      </w:pPr>
      <w:r>
        <w:rPr>
          <w:rFonts w:ascii="Arial" w:cs="Arial" w:eastAsia="Arial" w:hAnsi="Arial"/>
          <w:sz w:val="17"/>
          <w:szCs w:val="17"/>
          <w:color w:val="auto"/>
        </w:rPr>
        <w:t>“Section 409A”) and if Executive is a “specified employee” of the Company or any successor entity thereto as of the separation from service, as such term is defined in Section 409A(a)(2)(B)(i) (a “Specified Employee”), then, solely to the extent necessary to avoid the incurrence of the adverse personal tax consequences under Section 409A, the timing of the severance (or any portion thereof) shall be delayed as follows: on the earlier to occur of (i) the date that is six months and one day after the date of separation of service or (ii) the date of Executive’s death (such earlier date, the “Delayed Initial Payment Date”), the Company (or the successor entity thereto, as applicable) shall (A) pay to Executive a lump sum amount equal to the sum of the severance payments that Executive would otherwise have received through the Delayed Initial Payment Date if the commencement of the payment of the severance had not been delayed pursuant to this paragraph and (B) commence paying the balance of the severance in accordance with the payment schedule set forth above.</w:t>
      </w:r>
    </w:p>
    <w:p>
      <w:pPr>
        <w:spacing w:after="0" w:line="285" w:lineRule="exact"/>
        <w:rPr>
          <w:sz w:val="20"/>
          <w:szCs w:val="20"/>
          <w:color w:val="auto"/>
        </w:rPr>
      </w:pPr>
    </w:p>
    <w:p>
      <w:pPr>
        <w:ind w:left="849"/>
        <w:spacing w:after="0"/>
        <w:rPr>
          <w:sz w:val="20"/>
          <w:szCs w:val="20"/>
          <w:color w:val="auto"/>
        </w:rPr>
      </w:pPr>
      <w:r>
        <w:rPr>
          <w:rFonts w:ascii="Arial" w:cs="Arial" w:eastAsia="Arial" w:hAnsi="Arial"/>
          <w:sz w:val="17"/>
          <w:szCs w:val="17"/>
          <w:b w:val="1"/>
          <w:bCs w:val="1"/>
          <w:color w:val="auto"/>
        </w:rPr>
        <w:t>5.6 Definitions.</w:t>
      </w:r>
    </w:p>
    <w:p>
      <w:pPr>
        <w:spacing w:after="0" w:line="119" w:lineRule="exact"/>
        <w:rPr>
          <w:sz w:val="20"/>
          <w:szCs w:val="20"/>
          <w:color w:val="auto"/>
        </w:rPr>
      </w:pPr>
    </w:p>
    <w:p>
      <w:pPr>
        <w:ind w:left="9" w:right="80" w:firstLine="1380"/>
        <w:spacing w:after="0" w:line="281" w:lineRule="auto"/>
        <w:tabs>
          <w:tab w:leader="none" w:pos="1606" w:val="left"/>
        </w:tabs>
        <w:numPr>
          <w:ilvl w:val="1"/>
          <w:numId w:val="2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Cause. </w:t>
      </w:r>
      <w:r>
        <w:rPr>
          <w:rFonts w:ascii="Arial" w:cs="Arial" w:eastAsia="Arial" w:hAnsi="Arial"/>
          <w:sz w:val="16"/>
          <w:szCs w:val="16"/>
          <w:color w:val="auto"/>
        </w:rPr>
        <w:t>For purposes of this Agreement, “Cause” shall mean: (a) conviction of any felony or any crime involving moral turpitude</w:t>
      </w:r>
      <w:r>
        <w:rPr>
          <w:rFonts w:ascii="Arial" w:cs="Arial" w:eastAsia="Arial" w:hAnsi="Arial"/>
          <w:sz w:val="16"/>
          <w:szCs w:val="16"/>
          <w:b w:val="1"/>
          <w:bCs w:val="1"/>
          <w:color w:val="auto"/>
        </w:rPr>
        <w:t xml:space="preserve"> </w:t>
      </w:r>
      <w:r>
        <w:rPr>
          <w:rFonts w:ascii="Arial" w:cs="Arial" w:eastAsia="Arial" w:hAnsi="Arial"/>
          <w:sz w:val="16"/>
          <w:szCs w:val="16"/>
          <w:color w:val="auto"/>
        </w:rPr>
        <w:t>or dishonesty; (b) participation in a fraud or act of dishonesty against the Company; (c) willful and material breach of Executive’s duties that has not been cured within 30 days after written notice from the Board of such breach; (d) intentional and material damage to the Company’s property;</w:t>
      </w:r>
    </w:p>
    <w:p>
      <w:pPr>
        <w:ind w:left="229" w:hanging="229"/>
        <w:spacing w:after="0"/>
        <w:tabs>
          <w:tab w:leader="none" w:pos="229" w:val="left"/>
        </w:tabs>
        <w:numPr>
          <w:ilvl w:val="0"/>
          <w:numId w:val="298"/>
        </w:numPr>
        <w:rPr>
          <w:rFonts w:ascii="Arial" w:cs="Arial" w:eastAsia="Arial" w:hAnsi="Arial"/>
          <w:sz w:val="17"/>
          <w:szCs w:val="17"/>
          <w:color w:val="auto"/>
        </w:rPr>
      </w:pPr>
      <w:r>
        <w:rPr>
          <w:rFonts w:ascii="Arial" w:cs="Arial" w:eastAsia="Arial" w:hAnsi="Arial"/>
          <w:sz w:val="17"/>
          <w:szCs w:val="17"/>
          <w:color w:val="auto"/>
        </w:rPr>
        <w:t>material breach of the Proprietary Information and Inventions Agreement; or (f) death, severe physical or mental disability.</w:t>
      </w:r>
    </w:p>
    <w:p>
      <w:pPr>
        <w:spacing w:after="0" w:line="100" w:lineRule="exact"/>
        <w:rPr>
          <w:rFonts w:ascii="Arial" w:cs="Arial" w:eastAsia="Arial" w:hAnsi="Arial"/>
          <w:sz w:val="17"/>
          <w:szCs w:val="17"/>
          <w:color w:val="auto"/>
        </w:rPr>
      </w:pPr>
    </w:p>
    <w:p>
      <w:pPr>
        <w:ind w:left="9" w:right="20" w:firstLine="1380"/>
        <w:spacing w:after="0" w:line="262" w:lineRule="auto"/>
        <w:tabs>
          <w:tab w:leader="none" w:pos="1654" w:val="left"/>
        </w:tabs>
        <w:numPr>
          <w:ilvl w:val="1"/>
          <w:numId w:val="29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Change in Control. </w:t>
      </w:r>
      <w:r>
        <w:rPr>
          <w:rFonts w:ascii="Arial" w:cs="Arial" w:eastAsia="Arial" w:hAnsi="Arial"/>
          <w:sz w:val="17"/>
          <w:szCs w:val="17"/>
          <w:color w:val="auto"/>
        </w:rPr>
        <w:t>For purposes of this Agreement, a “Change in Control” shall mean: (a) a sale of substantially all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assets of the Company; (b) a merger or consolidation in which the Company is not the surviving corporation (other than a merger or consolidation in which stockholders immediately before the merger or consolidation have, immediately after the merger or consolidation, a majority of the voting power of the surviving corporation); (c) a reverse merger in which the Company is the surviving corporation but the shares of the Company’s Common Stock outstanding immediately preceding the merger are converted by virtue of the merger into other property, whether in the form of securities, cash or otherwise (other than a reverse merger in which stockholders immediately before the merger have, immediately after the merger, a majority of the voting power of the surviving corporation); or (d) any transaction or series of related transactions in which 50% or more of the Company’s voting power is transferred, other than the sale by the Company of stock in transactions the primary purpose of which is to raise capital for the Company’s operations and activities.</w:t>
      </w:r>
    </w:p>
    <w:p>
      <w:pPr>
        <w:spacing w:after="0" w:line="70" w:lineRule="exact"/>
        <w:rPr>
          <w:sz w:val="20"/>
          <w:szCs w:val="20"/>
          <w:color w:val="auto"/>
        </w:rPr>
      </w:pPr>
    </w:p>
    <w:p>
      <w:pPr>
        <w:ind w:left="1689" w:hanging="300"/>
        <w:spacing w:after="0"/>
        <w:tabs>
          <w:tab w:leader="none" w:pos="1689" w:val="left"/>
        </w:tabs>
        <w:numPr>
          <w:ilvl w:val="0"/>
          <w:numId w:val="29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Code. </w:t>
      </w:r>
      <w:r>
        <w:rPr>
          <w:rFonts w:ascii="Arial" w:cs="Arial" w:eastAsia="Arial" w:hAnsi="Arial"/>
          <w:sz w:val="17"/>
          <w:szCs w:val="17"/>
          <w:color w:val="auto"/>
        </w:rPr>
        <w:t>For purposes of this Agreement, “Code” shall mean the Internal Revenue Code of 1986, as amended</w:t>
      </w:r>
    </w:p>
    <w:p>
      <w:pPr>
        <w:spacing w:after="0" w:line="118" w:lineRule="exact"/>
        <w:rPr>
          <w:rFonts w:ascii="Arial" w:cs="Arial" w:eastAsia="Arial" w:hAnsi="Arial"/>
          <w:sz w:val="17"/>
          <w:szCs w:val="17"/>
          <w:b w:val="1"/>
          <w:bCs w:val="1"/>
          <w:color w:val="auto"/>
        </w:rPr>
      </w:pPr>
    </w:p>
    <w:p>
      <w:pPr>
        <w:ind w:left="9" w:right="60" w:firstLine="1380"/>
        <w:spacing w:after="0" w:line="292" w:lineRule="auto"/>
        <w:tabs>
          <w:tab w:leader="none" w:pos="1693" w:val="left"/>
        </w:tabs>
        <w:numPr>
          <w:ilvl w:val="0"/>
          <w:numId w:val="29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 Reason. </w:t>
      </w:r>
      <w:r>
        <w:rPr>
          <w:rFonts w:ascii="Arial" w:cs="Arial" w:eastAsia="Arial" w:hAnsi="Arial"/>
          <w:sz w:val="16"/>
          <w:szCs w:val="16"/>
          <w:color w:val="auto"/>
        </w:rPr>
        <w:t>For purposes of this Agreement, Executive shall have “Good Reason” for Executive’s resignation from all</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positions held with the Company if any of the following actions are taken by the Company or a successor corporation or entity without Executive’s consent, and Executive notifies the Company in writing, within ten (10) days after the occurrence of one of the following actions, that Executive intends to terminate his employment no earlier than thirty (30) days after providing such notice, and the Company fails to cure such actions</w:t>
      </w:r>
    </w:p>
    <w:p>
      <w:pPr>
        <w:spacing w:after="0" w:line="93"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689"/>
          </w:cols>
          <w:pgMar w:left="611" w:top="265" w:right="599" w:bottom="1440" w:gutter="0" w:footer="0" w:header="0"/>
        </w:sectPr>
      </w:pPr>
    </w:p>
    <w:bookmarkStart w:id="384" w:name="page385"/>
    <w:bookmarkEnd w:id="384"/>
    <w:p>
      <w:pPr>
        <w:ind w:left="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within thirty (30) days after receipt of such notice, and such resignation is effective not later than (30) days after the Company fails to cure the issue:</w:t>
      </w:r>
    </w:p>
    <w:p>
      <w:pPr>
        <w:spacing w:after="0" w:line="38" w:lineRule="exact"/>
        <w:rPr>
          <w:sz w:val="20"/>
          <w:szCs w:val="20"/>
          <w:color w:val="auto"/>
        </w:rPr>
      </w:pPr>
    </w:p>
    <w:p>
      <w:pPr>
        <w:ind w:left="9" w:right="500" w:hanging="9"/>
        <w:spacing w:after="0" w:line="262" w:lineRule="auto"/>
        <w:tabs>
          <w:tab w:leader="none" w:pos="246" w:val="left"/>
        </w:tabs>
        <w:numPr>
          <w:ilvl w:val="0"/>
          <w:numId w:val="300"/>
        </w:numPr>
        <w:rPr>
          <w:rFonts w:ascii="Arial" w:cs="Arial" w:eastAsia="Arial" w:hAnsi="Arial"/>
          <w:sz w:val="17"/>
          <w:szCs w:val="17"/>
          <w:color w:val="auto"/>
        </w:rPr>
      </w:pPr>
      <w:r>
        <w:rPr>
          <w:rFonts w:ascii="Arial" w:cs="Arial" w:eastAsia="Arial" w:hAnsi="Arial"/>
          <w:sz w:val="17"/>
          <w:szCs w:val="17"/>
          <w:color w:val="auto"/>
        </w:rPr>
        <w:t>a substantial reduction of Executive’s rate of compensation; (b) a material reduction in Executive’s duties; (c) a material failure or refusal of a successor to the Company to assume the Company’s obligations under this Agreement in the event of a Change in Control; or (d) a relocation of Executive’s principal place of employment to a place greater than 50 miles from Executive’s then current principal place of employment, which relocation results in a material increase in Executive’s commute.</w:t>
      </w:r>
    </w:p>
    <w:p>
      <w:pPr>
        <w:spacing w:after="0" w:line="71" w:lineRule="exact"/>
        <w:rPr>
          <w:rFonts w:ascii="Arial" w:cs="Arial" w:eastAsia="Arial" w:hAnsi="Arial"/>
          <w:sz w:val="17"/>
          <w:szCs w:val="17"/>
          <w:color w:val="auto"/>
        </w:rPr>
      </w:pPr>
    </w:p>
    <w:p>
      <w:pPr>
        <w:ind w:left="9" w:right="100" w:firstLine="1380"/>
        <w:spacing w:after="0" w:line="329" w:lineRule="auto"/>
        <w:tabs>
          <w:tab w:leader="none" w:pos="1645" w:val="left"/>
        </w:tabs>
        <w:numPr>
          <w:ilvl w:val="2"/>
          <w:numId w:val="30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 Rights. </w:t>
      </w:r>
      <w:r>
        <w:rPr>
          <w:rFonts w:ascii="Arial" w:cs="Arial" w:eastAsia="Arial" w:hAnsi="Arial"/>
          <w:sz w:val="15"/>
          <w:szCs w:val="15"/>
          <w:color w:val="auto"/>
        </w:rPr>
        <w:t>For purposes of this Agreement, “Stock Rights” shall mean all of Executive’s options, restricted stock, restricted</w:t>
      </w:r>
      <w:r>
        <w:rPr>
          <w:rFonts w:ascii="Arial" w:cs="Arial" w:eastAsia="Arial" w:hAnsi="Arial"/>
          <w:sz w:val="15"/>
          <w:szCs w:val="15"/>
          <w:b w:val="1"/>
          <w:bCs w:val="1"/>
          <w:color w:val="auto"/>
        </w:rPr>
        <w:t xml:space="preserve"> </w:t>
      </w:r>
      <w:r>
        <w:rPr>
          <w:rFonts w:ascii="Arial" w:cs="Arial" w:eastAsia="Arial" w:hAnsi="Arial"/>
          <w:sz w:val="15"/>
          <w:szCs w:val="15"/>
          <w:color w:val="auto"/>
        </w:rPr>
        <w:t>stock units or rights to acquire vested ownership of shares of Common Stock of the Company under plans, agreements or arrangements that are compensatory in nature, including, without limitation, the Option Grant, the Plan and other agreements between the Company and Executive.</w:t>
      </w:r>
    </w:p>
    <w:p>
      <w:pPr>
        <w:spacing w:after="0" w:line="272" w:lineRule="exact"/>
        <w:rPr>
          <w:rFonts w:ascii="Arial" w:cs="Arial" w:eastAsia="Arial" w:hAnsi="Arial"/>
          <w:sz w:val="15"/>
          <w:szCs w:val="15"/>
          <w:b w:val="1"/>
          <w:bCs w:val="1"/>
          <w:color w:val="auto"/>
        </w:rPr>
      </w:pPr>
    </w:p>
    <w:p>
      <w:pPr>
        <w:ind w:left="829" w:hanging="410"/>
        <w:spacing w:after="0"/>
        <w:tabs>
          <w:tab w:leader="none" w:pos="829" w:val="left"/>
        </w:tabs>
        <w:numPr>
          <w:ilvl w:val="1"/>
          <w:numId w:val="300"/>
        </w:numPr>
        <w:rPr>
          <w:rFonts w:ascii="Arial" w:cs="Arial" w:eastAsia="Arial" w:hAnsi="Arial"/>
          <w:sz w:val="17"/>
          <w:szCs w:val="17"/>
          <w:b w:val="1"/>
          <w:bCs w:val="1"/>
          <w:color w:val="auto"/>
        </w:rPr>
      </w:pPr>
      <w:r>
        <w:rPr>
          <w:rFonts w:ascii="Arial" w:cs="Arial" w:eastAsia="Arial" w:hAnsi="Arial"/>
          <w:sz w:val="17"/>
          <w:szCs w:val="17"/>
          <w:b w:val="1"/>
          <w:bCs w:val="1"/>
          <w:color w:val="auto"/>
        </w:rPr>
        <w:t>General Provisions.</w:t>
      </w:r>
    </w:p>
    <w:p>
      <w:pPr>
        <w:spacing w:after="0" w:line="119" w:lineRule="exact"/>
        <w:rPr>
          <w:sz w:val="20"/>
          <w:szCs w:val="20"/>
          <w:color w:val="auto"/>
        </w:rPr>
      </w:pPr>
    </w:p>
    <w:p>
      <w:pPr>
        <w:jc w:val="both"/>
        <w:ind w:left="9" w:firstLine="855"/>
        <w:spacing w:after="0" w:line="276" w:lineRule="auto"/>
        <w:rPr>
          <w:sz w:val="20"/>
          <w:szCs w:val="20"/>
          <w:color w:val="auto"/>
        </w:rPr>
      </w:pPr>
      <w:r>
        <w:rPr>
          <w:rFonts w:ascii="Arial" w:cs="Arial" w:eastAsia="Arial" w:hAnsi="Arial"/>
          <w:sz w:val="17"/>
          <w:szCs w:val="17"/>
          <w:b w:val="1"/>
          <w:bCs w:val="1"/>
          <w:color w:val="auto"/>
        </w:rPr>
        <w:t xml:space="preserve">6.1 Notices. </w:t>
      </w:r>
      <w:r>
        <w:rPr>
          <w:rFonts w:ascii="Arial" w:cs="Arial" w:eastAsia="Arial" w:hAnsi="Arial"/>
          <w:sz w:val="17"/>
          <w:szCs w:val="17"/>
          <w:color w:val="auto"/>
        </w:rPr>
        <w:t>Any notices provided must be in writing and will be deemed effective upon the earlier of personal delivery (including personal</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by fax) or the next day after sending by overnight carrier, to the Company at its primary office location and to Executive at the address as listed on the Company payroll.</w:t>
      </w:r>
    </w:p>
    <w:p>
      <w:pPr>
        <w:spacing w:after="0" w:line="59" w:lineRule="exact"/>
        <w:rPr>
          <w:sz w:val="20"/>
          <w:szCs w:val="20"/>
          <w:color w:val="auto"/>
        </w:rPr>
      </w:pPr>
    </w:p>
    <w:p>
      <w:pPr>
        <w:ind w:left="9" w:firstLine="855"/>
        <w:spacing w:after="0" w:line="292" w:lineRule="auto"/>
        <w:rPr>
          <w:sz w:val="20"/>
          <w:szCs w:val="20"/>
          <w:color w:val="auto"/>
        </w:rPr>
      </w:pPr>
      <w:r>
        <w:rPr>
          <w:rFonts w:ascii="Arial" w:cs="Arial" w:eastAsia="Arial" w:hAnsi="Arial"/>
          <w:sz w:val="16"/>
          <w:szCs w:val="16"/>
          <w:b w:val="1"/>
          <w:bCs w:val="1"/>
          <w:color w:val="auto"/>
        </w:rPr>
        <w:t xml:space="preserve">6.2 Severability. </w:t>
      </w:r>
      <w:r>
        <w:rPr>
          <w:rFonts w:ascii="Arial" w:cs="Arial" w:eastAsia="Arial" w:hAnsi="Arial"/>
          <w:sz w:val="16"/>
          <w:szCs w:val="16"/>
          <w:color w:val="auto"/>
        </w:rPr>
        <w:t>Whenever possible, each provision of this Agreement will be interpreted in such manner as to be effective and valid under</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w:t>
      </w:r>
    </w:p>
    <w:p>
      <w:pPr>
        <w:spacing w:after="0" w:line="47" w:lineRule="exact"/>
        <w:rPr>
          <w:sz w:val="20"/>
          <w:szCs w:val="20"/>
          <w:color w:val="auto"/>
        </w:rPr>
      </w:pPr>
    </w:p>
    <w:p>
      <w:pPr>
        <w:ind w:left="9" w:right="280" w:firstLine="855"/>
        <w:spacing w:after="0" w:line="296" w:lineRule="auto"/>
        <w:rPr>
          <w:sz w:val="20"/>
          <w:szCs w:val="20"/>
          <w:color w:val="auto"/>
        </w:rPr>
      </w:pPr>
      <w:r>
        <w:rPr>
          <w:rFonts w:ascii="Arial" w:cs="Arial" w:eastAsia="Arial" w:hAnsi="Arial"/>
          <w:sz w:val="17"/>
          <w:szCs w:val="17"/>
          <w:b w:val="1"/>
          <w:bCs w:val="1"/>
          <w:color w:val="auto"/>
        </w:rPr>
        <w:t xml:space="preserve">6.3 Waiver. </w:t>
      </w:r>
      <w:r>
        <w:rPr>
          <w:rFonts w:ascii="Arial" w:cs="Arial" w:eastAsia="Arial" w:hAnsi="Arial"/>
          <w:sz w:val="17"/>
          <w:szCs w:val="17"/>
          <w:color w:val="auto"/>
        </w:rPr>
        <w:t>Any waiver of any breach of any provisions of this Agreement must be in writing to be effective, and it shall not thereby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have waived any preceding or succeeding breach of the same or any other provision of this Agreement.</w:t>
      </w:r>
    </w:p>
    <w:p>
      <w:pPr>
        <w:spacing w:after="0" w:line="42" w:lineRule="exact"/>
        <w:rPr>
          <w:sz w:val="20"/>
          <w:szCs w:val="20"/>
          <w:color w:val="auto"/>
        </w:rPr>
      </w:pPr>
    </w:p>
    <w:p>
      <w:pPr>
        <w:ind w:left="9" w:firstLine="855"/>
        <w:spacing w:after="0" w:line="270" w:lineRule="auto"/>
        <w:rPr>
          <w:sz w:val="20"/>
          <w:szCs w:val="20"/>
          <w:color w:val="auto"/>
        </w:rPr>
      </w:pPr>
      <w:r>
        <w:rPr>
          <w:rFonts w:ascii="Arial" w:cs="Arial" w:eastAsia="Arial" w:hAnsi="Arial"/>
          <w:sz w:val="17"/>
          <w:szCs w:val="17"/>
          <w:b w:val="1"/>
          <w:bCs w:val="1"/>
          <w:color w:val="auto"/>
        </w:rPr>
        <w:t xml:space="preserve">6.4 Complete Agreement. </w:t>
      </w:r>
      <w:r>
        <w:rPr>
          <w:rFonts w:ascii="Arial" w:cs="Arial" w:eastAsia="Arial" w:hAnsi="Arial"/>
          <w:sz w:val="17"/>
          <w:szCs w:val="17"/>
          <w:color w:val="auto"/>
        </w:rPr>
        <w:t>This Agreement, including Exhibit A, between Executive and the Company constitutes the 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Executive and the Company and it is the complete, final and exclusive embodiment of their agreement with regard to this subject matter. It is entered into without reliance on any promise or representation other than those expressly contained herein, and it cannot be modified or amended except in a writing signed by a duly authorized officer of the Company.</w:t>
      </w:r>
    </w:p>
    <w:p>
      <w:pPr>
        <w:spacing w:after="0" w:line="63" w:lineRule="exact"/>
        <w:rPr>
          <w:sz w:val="20"/>
          <w:szCs w:val="20"/>
          <w:color w:val="auto"/>
        </w:rPr>
      </w:pPr>
    </w:p>
    <w:p>
      <w:pPr>
        <w:ind w:left="9" w:right="240" w:firstLine="855"/>
        <w:spacing w:after="0" w:line="296" w:lineRule="auto"/>
        <w:rPr>
          <w:sz w:val="20"/>
          <w:szCs w:val="20"/>
          <w:color w:val="auto"/>
        </w:rPr>
      </w:pPr>
      <w:r>
        <w:rPr>
          <w:rFonts w:ascii="Arial" w:cs="Arial" w:eastAsia="Arial" w:hAnsi="Arial"/>
          <w:sz w:val="17"/>
          <w:szCs w:val="17"/>
          <w:b w:val="1"/>
          <w:bCs w:val="1"/>
          <w:color w:val="auto"/>
        </w:rPr>
        <w:t xml:space="preserve">6.5 Counterparts. </w:t>
      </w:r>
      <w:r>
        <w:rPr>
          <w:rFonts w:ascii="Arial" w:cs="Arial" w:eastAsia="Arial" w:hAnsi="Arial"/>
          <w:sz w:val="17"/>
          <w:szCs w:val="17"/>
          <w:color w:val="auto"/>
        </w:rPr>
        <w:t>This Agreement may be executed in separate counterparts, anyone of which need not contain signatures of more than</w:t>
      </w:r>
      <w:r>
        <w:rPr>
          <w:rFonts w:ascii="Arial" w:cs="Arial" w:eastAsia="Arial" w:hAnsi="Arial"/>
          <w:sz w:val="17"/>
          <w:szCs w:val="17"/>
          <w:b w:val="1"/>
          <w:bCs w:val="1"/>
          <w:color w:val="auto"/>
        </w:rPr>
        <w:t xml:space="preserve"> </w:t>
      </w:r>
      <w:r>
        <w:rPr>
          <w:rFonts w:ascii="Arial" w:cs="Arial" w:eastAsia="Arial" w:hAnsi="Arial"/>
          <w:sz w:val="17"/>
          <w:szCs w:val="17"/>
          <w:color w:val="auto"/>
        </w:rPr>
        <w:t>one party, but all of which taken together will constitute one and the same Agreement.</w:t>
      </w:r>
    </w:p>
    <w:p>
      <w:pPr>
        <w:spacing w:after="0" w:line="42" w:lineRule="exact"/>
        <w:rPr>
          <w:sz w:val="20"/>
          <w:szCs w:val="20"/>
          <w:color w:val="auto"/>
        </w:rPr>
      </w:pPr>
    </w:p>
    <w:p>
      <w:pPr>
        <w:ind w:left="9" w:right="40" w:firstLine="855"/>
        <w:spacing w:after="0" w:line="296" w:lineRule="auto"/>
        <w:rPr>
          <w:sz w:val="20"/>
          <w:szCs w:val="20"/>
          <w:color w:val="auto"/>
        </w:rPr>
      </w:pPr>
      <w:r>
        <w:rPr>
          <w:rFonts w:ascii="Arial" w:cs="Arial" w:eastAsia="Arial" w:hAnsi="Arial"/>
          <w:sz w:val="17"/>
          <w:szCs w:val="17"/>
          <w:b w:val="1"/>
          <w:bCs w:val="1"/>
          <w:color w:val="auto"/>
        </w:rPr>
        <w:t xml:space="preserve">6.6 Headings. </w:t>
      </w:r>
      <w:r>
        <w:rPr>
          <w:rFonts w:ascii="Arial" w:cs="Arial" w:eastAsia="Arial" w:hAnsi="Arial"/>
          <w:sz w:val="17"/>
          <w:szCs w:val="17"/>
          <w:color w:val="auto"/>
        </w:rPr>
        <w:t>The headings of the sections hereof are inserted for convenience only and shall not be deemed to constitute a part hereof nor</w:t>
      </w:r>
      <w:r>
        <w:rPr>
          <w:rFonts w:ascii="Arial" w:cs="Arial" w:eastAsia="Arial" w:hAnsi="Arial"/>
          <w:sz w:val="17"/>
          <w:szCs w:val="17"/>
          <w:b w:val="1"/>
          <w:bCs w:val="1"/>
          <w:color w:val="auto"/>
        </w:rPr>
        <w:t xml:space="preserve"> </w:t>
      </w:r>
      <w:r>
        <w:rPr>
          <w:rFonts w:ascii="Arial" w:cs="Arial" w:eastAsia="Arial" w:hAnsi="Arial"/>
          <w:sz w:val="17"/>
          <w:szCs w:val="17"/>
          <w:color w:val="auto"/>
        </w:rPr>
        <w:t>to affect the meaning thereof</w:t>
      </w:r>
    </w:p>
    <w:p>
      <w:pPr>
        <w:spacing w:after="0" w:line="42" w:lineRule="exact"/>
        <w:rPr>
          <w:sz w:val="20"/>
          <w:szCs w:val="20"/>
          <w:color w:val="auto"/>
        </w:rPr>
      </w:pPr>
    </w:p>
    <w:p>
      <w:pPr>
        <w:ind w:left="9" w:firstLine="855"/>
        <w:spacing w:after="0" w:line="301" w:lineRule="auto"/>
        <w:rPr>
          <w:sz w:val="20"/>
          <w:szCs w:val="20"/>
          <w:color w:val="auto"/>
        </w:rPr>
      </w:pPr>
      <w:r>
        <w:rPr>
          <w:rFonts w:ascii="Arial" w:cs="Arial" w:eastAsia="Arial" w:hAnsi="Arial"/>
          <w:sz w:val="16"/>
          <w:szCs w:val="16"/>
          <w:b w:val="1"/>
          <w:bCs w:val="1"/>
          <w:color w:val="auto"/>
        </w:rPr>
        <w:t xml:space="preserve">6.7 Successors and Assigns. </w:t>
      </w:r>
      <w:r>
        <w:rPr>
          <w:rFonts w:ascii="Arial" w:cs="Arial" w:eastAsia="Arial" w:hAnsi="Arial"/>
          <w:sz w:val="16"/>
          <w:szCs w:val="16"/>
          <w:color w:val="auto"/>
        </w:rPr>
        <w:t>This Agreement is intended to bind and inure to the benefit of and be enforceable by Executive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their respective successors, assigns, heirs, executors and administrators, except that Executive may not assign any of his duties hereunder and he may not assign any of his rights hereunder without the written consent of the Company, which shall not be withheld unreasonably.</w:t>
      </w:r>
    </w:p>
    <w:p>
      <w:pPr>
        <w:spacing w:after="0" w:line="41" w:lineRule="exact"/>
        <w:rPr>
          <w:sz w:val="20"/>
          <w:szCs w:val="20"/>
          <w:color w:val="auto"/>
        </w:rPr>
      </w:pPr>
    </w:p>
    <w:p>
      <w:pPr>
        <w:ind w:left="9" w:right="80" w:firstLine="855"/>
        <w:spacing w:after="0" w:line="296" w:lineRule="auto"/>
        <w:rPr>
          <w:sz w:val="20"/>
          <w:szCs w:val="20"/>
          <w:color w:val="auto"/>
        </w:rPr>
      </w:pPr>
      <w:r>
        <w:rPr>
          <w:rFonts w:ascii="Arial" w:cs="Arial" w:eastAsia="Arial" w:hAnsi="Arial"/>
          <w:sz w:val="17"/>
          <w:szCs w:val="17"/>
          <w:b w:val="1"/>
          <w:bCs w:val="1"/>
          <w:color w:val="auto"/>
        </w:rPr>
        <w:t xml:space="preserve">6.8 Choice of Law. </w:t>
      </w:r>
      <w:r>
        <w:rPr>
          <w:rFonts w:ascii="Arial" w:cs="Arial" w:eastAsia="Arial" w:hAnsi="Arial"/>
          <w:sz w:val="17"/>
          <w:szCs w:val="17"/>
          <w:color w:val="auto"/>
        </w:rPr>
        <w:t>All questions concerning the construction, validity and interpretation of this Agreement will be governed by the law of</w:t>
      </w:r>
      <w:r>
        <w:rPr>
          <w:rFonts w:ascii="Arial" w:cs="Arial" w:eastAsia="Arial" w:hAnsi="Arial"/>
          <w:sz w:val="17"/>
          <w:szCs w:val="17"/>
          <w:b w:val="1"/>
          <w:bCs w:val="1"/>
          <w:color w:val="auto"/>
        </w:rPr>
        <w:t xml:space="preserve"> </w:t>
      </w:r>
      <w:r>
        <w:rPr>
          <w:rFonts w:ascii="Arial" w:cs="Arial" w:eastAsia="Arial" w:hAnsi="Arial"/>
          <w:sz w:val="17"/>
          <w:szCs w:val="17"/>
          <w:color w:val="auto"/>
        </w:rPr>
        <w:t>the State of California.</w:t>
      </w:r>
    </w:p>
    <w:p>
      <w:pPr>
        <w:spacing w:after="0" w:line="42" w:lineRule="exact"/>
        <w:rPr>
          <w:sz w:val="20"/>
          <w:szCs w:val="20"/>
          <w:color w:val="auto"/>
        </w:rPr>
      </w:pPr>
    </w:p>
    <w:p>
      <w:pPr>
        <w:ind w:left="9" w:right="120" w:firstLine="855"/>
        <w:spacing w:after="0" w:line="296" w:lineRule="auto"/>
        <w:rPr>
          <w:sz w:val="20"/>
          <w:szCs w:val="20"/>
          <w:color w:val="auto"/>
        </w:rPr>
      </w:pPr>
      <w:r>
        <w:rPr>
          <w:rFonts w:ascii="Arial" w:cs="Arial" w:eastAsia="Arial" w:hAnsi="Arial"/>
          <w:sz w:val="17"/>
          <w:szCs w:val="17"/>
          <w:b w:val="1"/>
          <w:bCs w:val="1"/>
          <w:color w:val="auto"/>
        </w:rPr>
        <w:t xml:space="preserve">6.9 Authorization. </w:t>
      </w:r>
      <w:r>
        <w:rPr>
          <w:rFonts w:ascii="Arial" w:cs="Arial" w:eastAsia="Arial" w:hAnsi="Arial"/>
          <w:sz w:val="17"/>
          <w:szCs w:val="17"/>
          <w:color w:val="auto"/>
        </w:rPr>
        <w:t>Executive’s employment with the Company shall be contingent upon Executive’s providing legal proof of Executive’s</w:t>
      </w:r>
      <w:r>
        <w:rPr>
          <w:rFonts w:ascii="Arial" w:cs="Arial" w:eastAsia="Arial" w:hAnsi="Arial"/>
          <w:sz w:val="17"/>
          <w:szCs w:val="17"/>
          <w:b w:val="1"/>
          <w:bCs w:val="1"/>
          <w:color w:val="auto"/>
        </w:rPr>
        <w:t xml:space="preserve"> </w:t>
      </w:r>
      <w:r>
        <w:rPr>
          <w:rFonts w:ascii="Arial" w:cs="Arial" w:eastAsia="Arial" w:hAnsi="Arial"/>
          <w:sz w:val="17"/>
          <w:szCs w:val="17"/>
          <w:color w:val="auto"/>
        </w:rPr>
        <w:t>identity and authorization to work in the United States.</w:t>
      </w:r>
    </w:p>
    <w:p>
      <w:pPr>
        <w:spacing w:after="0" w:line="87" w:lineRule="exact"/>
        <w:rPr>
          <w:sz w:val="20"/>
          <w:szCs w:val="20"/>
          <w:color w:val="auto"/>
        </w:rPr>
      </w:pPr>
    </w:p>
    <w:p>
      <w:pPr>
        <w:jc w:val="center"/>
        <w:ind w:right="-48"/>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629"/>
          </w:cols>
          <w:pgMar w:left="611" w:top="271" w:right="659" w:bottom="1440" w:gutter="0" w:footer="0" w:header="0"/>
        </w:sectPr>
      </w:pPr>
    </w:p>
    <w:bookmarkStart w:id="385" w:name="page386"/>
    <w:bookmarkEnd w:id="385"/>
    <w:p>
      <w:pPr>
        <w:ind w:lef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7"/>
          <w:szCs w:val="17"/>
          <w:color w:val="auto"/>
        </w:rPr>
        <w:t>, the parties have executed this Agreement on the day and year first written above.</w:t>
      </w:r>
    </w:p>
    <w:p>
      <w:pPr>
        <w:spacing w:after="0" w:line="250"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NGM BIOPHARMACEUTICALS, INC.</w:t>
      </w:r>
    </w:p>
    <w:p>
      <w:pPr>
        <w:spacing w:after="0" w:line="23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/s/ William J. Rieflin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16510</wp:posOffset>
            </wp:positionV>
            <wp:extent cx="271081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1">
                      <a:extLst>
                        <a:ext uri="{28A0092B-C50C-407E-A947-70E740481C1C}"/>
                      </a:extLst>
                    </a:blip>
                    <a:srcRect/>
                    <a:stretch>
                      <a:fillRect/>
                    </a:stretch>
                  </pic:blipFill>
                  <pic:spPr bwMode="auto">
                    <a:xfrm>
                      <a:off x="0" y="0"/>
                      <a:ext cx="2710815" cy="8255"/>
                    </a:xfrm>
                    <a:prstGeom prst="rect">
                      <a:avLst/>
                    </a:prstGeom>
                    <a:noFill/>
                  </pic:spPr>
                </pic:pic>
              </a:graphicData>
            </a:graphic>
          </wp:anchor>
        </w:drawing>
      </w:r>
    </w:p>
    <w:p>
      <w:pPr>
        <w:spacing w:after="0" w:line="2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William J. Rieflin</w:t>
      </w:r>
    </w:p>
    <w:p>
      <w:pPr>
        <w:spacing w:after="0" w:line="2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Chief Executive Officer</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EXECUTIVE</w:t>
      </w:r>
    </w:p>
    <w:p>
      <w:pPr>
        <w:spacing w:after="0" w:line="23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16510</wp:posOffset>
            </wp:positionV>
            <wp:extent cx="271081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2">
                      <a:extLst>
                        <a:ext uri="{28A0092B-C50C-407E-A947-70E740481C1C}"/>
                      </a:extLst>
                    </a:blip>
                    <a:srcRect/>
                    <a:stretch>
                      <a:fillRect/>
                    </a:stretch>
                  </pic:blipFill>
                  <pic:spPr bwMode="auto">
                    <a:xfrm>
                      <a:off x="0" y="0"/>
                      <a:ext cx="2710815" cy="8255"/>
                    </a:xfrm>
                    <a:prstGeom prst="rect">
                      <a:avLst/>
                    </a:prstGeom>
                    <a:noFill/>
                  </pic:spPr>
                </pic:pic>
              </a:graphicData>
            </a:graphic>
          </wp:anchor>
        </w:drawing>
      </w:r>
    </w:p>
    <w:p>
      <w:pPr>
        <w:spacing w:after="0" w:line="2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David J. Woodhouse, Ph.D.</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265" w:right="1440" w:bottom="1440" w:gutter="0" w:footer="0" w:header="0"/>
        </w:sectPr>
      </w:pPr>
    </w:p>
    <w:bookmarkStart w:id="386" w:name="page387"/>
    <w:bookmarkEnd w:id="386"/>
    <w:p>
      <w:pPr>
        <w:jc w:val="center"/>
        <w:ind w:right="11"/>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EMPLOYEE CONFIDENTIAL INFORMATION AND INVENTIONS ASSIGNMENT AGREEMENT</w:t>
      </w:r>
    </w:p>
    <w:p>
      <w:pPr>
        <w:spacing w:after="0" w:line="224" w:lineRule="exact"/>
        <w:rPr>
          <w:sz w:val="20"/>
          <w:szCs w:val="20"/>
          <w:color w:val="auto"/>
        </w:rPr>
      </w:pPr>
    </w:p>
    <w:p>
      <w:pPr>
        <w:ind w:left="9" w:right="40" w:firstLine="427"/>
        <w:spacing w:after="0" w:line="296" w:lineRule="auto"/>
        <w:rPr>
          <w:sz w:val="20"/>
          <w:szCs w:val="20"/>
          <w:color w:val="auto"/>
        </w:rPr>
      </w:pPr>
      <w:r>
        <w:rPr>
          <w:rFonts w:ascii="Arial" w:cs="Arial" w:eastAsia="Arial" w:hAnsi="Arial"/>
          <w:sz w:val="17"/>
          <w:szCs w:val="17"/>
          <w:color w:val="auto"/>
        </w:rPr>
        <w:t>In consideration of my employment or continued employment by NGM Biopharmaceuticals, Inc. (“</w:t>
      </w:r>
      <w:r>
        <w:rPr>
          <w:rFonts w:ascii="Arial" w:cs="Arial" w:eastAsia="Arial" w:hAnsi="Arial"/>
          <w:sz w:val="17"/>
          <w:szCs w:val="17"/>
          <w:b w:val="1"/>
          <w:bCs w:val="1"/>
          <w:color w:val="auto"/>
        </w:rPr>
        <w:t>Company</w:t>
      </w:r>
      <w:r>
        <w:rPr>
          <w:rFonts w:ascii="Arial" w:cs="Arial" w:eastAsia="Arial" w:hAnsi="Arial"/>
          <w:sz w:val="17"/>
          <w:szCs w:val="17"/>
          <w:color w:val="auto"/>
        </w:rPr>
        <w:t>”), and the compensation paid to me now and during my employment with the Company, I agree to the terms of this Agreement as follows:</w:t>
      </w:r>
    </w:p>
    <w:p>
      <w:pPr>
        <w:sectPr>
          <w:pgSz w:w="11900" w:h="16838" w:orient="portrait"/>
          <w:cols w:equalWidth="0" w:num="1">
            <w:col w:w="10689"/>
          </w:cols>
          <w:pgMar w:left="611" w:top="265" w:right="599" w:bottom="1440" w:gutter="0" w:footer="0" w:header="0"/>
        </w:sectPr>
      </w:pPr>
    </w:p>
    <w:p>
      <w:pPr>
        <w:spacing w:after="0" w:line="107" w:lineRule="exact"/>
        <w:rPr>
          <w:sz w:val="20"/>
          <w:szCs w:val="20"/>
          <w:color w:val="auto"/>
        </w:rPr>
      </w:pPr>
    </w:p>
    <w:p>
      <w:pPr>
        <w:ind w:left="169" w:hanging="169"/>
        <w:spacing w:after="0"/>
        <w:tabs>
          <w:tab w:leader="none" w:pos="169" w:val="left"/>
        </w:tabs>
        <w:numPr>
          <w:ilvl w:val="0"/>
          <w:numId w:val="301"/>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4"/>
          <w:szCs w:val="14"/>
          <w:b w:val="1"/>
          <w:bCs w:val="1"/>
          <w:color w:val="auto"/>
        </w:rPr>
        <w:t>ONFIDENTIAL</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ROTECTIONS</w:t>
      </w:r>
      <w:r>
        <w:rPr>
          <w:rFonts w:ascii="Arial" w:cs="Arial" w:eastAsia="Arial" w:hAnsi="Arial"/>
          <w:sz w:val="17"/>
          <w:szCs w:val="17"/>
          <w:b w:val="1"/>
          <w:bCs w:val="1"/>
          <w:color w:val="auto"/>
        </w:rPr>
        <w:t>.</w:t>
      </w:r>
    </w:p>
    <w:p>
      <w:pPr>
        <w:spacing w:after="0" w:line="119" w:lineRule="exact"/>
        <w:rPr>
          <w:sz w:val="20"/>
          <w:szCs w:val="20"/>
          <w:color w:val="auto"/>
        </w:rPr>
      </w:pPr>
    </w:p>
    <w:p>
      <w:pPr>
        <w:ind w:left="9" w:firstLine="349"/>
        <w:spacing w:after="0" w:line="278" w:lineRule="auto"/>
        <w:rPr>
          <w:sz w:val="20"/>
          <w:szCs w:val="20"/>
          <w:color w:val="auto"/>
        </w:rPr>
      </w:pPr>
      <w:r>
        <w:rPr>
          <w:rFonts w:ascii="Arial" w:cs="Arial" w:eastAsia="Arial" w:hAnsi="Arial"/>
          <w:sz w:val="16"/>
          <w:szCs w:val="16"/>
          <w:b w:val="1"/>
          <w:bCs w:val="1"/>
          <w:color w:val="auto"/>
        </w:rPr>
        <w:t xml:space="preserve">1.1 Nondisclosure; Recognition of Company’s Rights. </w:t>
      </w:r>
      <w:r>
        <w:rPr>
          <w:rFonts w:ascii="Arial" w:cs="Arial" w:eastAsia="Arial" w:hAnsi="Arial"/>
          <w:sz w:val="16"/>
          <w:szCs w:val="16"/>
          <w:color w:val="auto"/>
        </w:rPr>
        <w:t>At all</w:t>
      </w:r>
      <w:r>
        <w:rPr>
          <w:rFonts w:ascii="Arial" w:cs="Arial" w:eastAsia="Arial" w:hAnsi="Arial"/>
          <w:sz w:val="16"/>
          <w:szCs w:val="16"/>
          <w:b w:val="1"/>
          <w:bCs w:val="1"/>
          <w:color w:val="auto"/>
        </w:rPr>
        <w:t xml:space="preserve"> </w:t>
      </w:r>
      <w:r>
        <w:rPr>
          <w:rFonts w:ascii="Arial" w:cs="Arial" w:eastAsia="Arial" w:hAnsi="Arial"/>
          <w:sz w:val="16"/>
          <w:szCs w:val="16"/>
          <w:color w:val="auto"/>
        </w:rPr>
        <w:t>times during and after my employment, I will hold in confidence and will not disclose, use, lecture upon, or publish any of Company’s Confidential Information (defined below), except as may be required in connection with my work for Company, or as expressly authorized by the Chief Executive Officer (the “</w:t>
      </w:r>
      <w:r>
        <w:rPr>
          <w:rFonts w:ascii="Arial" w:cs="Arial" w:eastAsia="Arial" w:hAnsi="Arial"/>
          <w:sz w:val="16"/>
          <w:szCs w:val="16"/>
          <w:b w:val="1"/>
          <w:bCs w:val="1"/>
          <w:color w:val="auto"/>
        </w:rPr>
        <w:t>CEO</w:t>
      </w:r>
      <w:r>
        <w:rPr>
          <w:rFonts w:ascii="Arial" w:cs="Arial" w:eastAsia="Arial" w:hAnsi="Arial"/>
          <w:sz w:val="16"/>
          <w:szCs w:val="16"/>
          <w:color w:val="auto"/>
        </w:rPr>
        <w:t>”) of Company. I will obtain the CEO’s written approval before publishing or submitting for publication any material (written, oral, or otherwise) that relates to my work at Company and/or incorporates any Confidential Information. I hereby assign to Company any rights I may have or acquire in any and all Confidential Information and recognize that all Confidential Information shall be the sole and exclusive property of Company and its assigns.</w:t>
      </w:r>
    </w:p>
    <w:p>
      <w:pPr>
        <w:spacing w:after="0" w:line="62" w:lineRule="exact"/>
        <w:rPr>
          <w:sz w:val="20"/>
          <w:szCs w:val="20"/>
          <w:color w:val="auto"/>
        </w:rPr>
      </w:pPr>
    </w:p>
    <w:p>
      <w:pPr>
        <w:ind w:left="9" w:right="100" w:firstLine="349"/>
        <w:spacing w:after="0" w:line="297" w:lineRule="auto"/>
        <w:rPr>
          <w:sz w:val="20"/>
          <w:szCs w:val="20"/>
          <w:color w:val="auto"/>
        </w:rPr>
      </w:pPr>
      <w:r>
        <w:rPr>
          <w:rFonts w:ascii="Arial" w:cs="Arial" w:eastAsia="Arial" w:hAnsi="Arial"/>
          <w:sz w:val="15"/>
          <w:szCs w:val="15"/>
          <w:b w:val="1"/>
          <w:bCs w:val="1"/>
          <w:color w:val="auto"/>
        </w:rPr>
        <w:t xml:space="preserve">1.2 Confidential Information. </w:t>
      </w:r>
      <w:r>
        <w:rPr>
          <w:rFonts w:ascii="Arial" w:cs="Arial" w:eastAsia="Arial" w:hAnsi="Arial"/>
          <w:sz w:val="15"/>
          <w:szCs w:val="15"/>
          <w:color w:val="auto"/>
        </w:rPr>
        <w:t>The term “</w:t>
      </w:r>
      <w:r>
        <w:rPr>
          <w:rFonts w:ascii="Arial" w:cs="Arial" w:eastAsia="Arial" w:hAnsi="Arial"/>
          <w:sz w:val="15"/>
          <w:szCs w:val="15"/>
          <w:b w:val="1"/>
          <w:bCs w:val="1"/>
          <w:color w:val="auto"/>
        </w:rPr>
        <w:t>Confidential Information</w:t>
      </w:r>
      <w:r>
        <w:rPr>
          <w:rFonts w:ascii="Arial" w:cs="Arial" w:eastAsia="Arial" w:hAnsi="Arial"/>
          <w:sz w:val="15"/>
          <w:szCs w:val="15"/>
          <w:color w:val="auto"/>
        </w:rPr>
        <w:t>” shall mean any and all confidential knowledge, data or</w:t>
      </w:r>
      <w:r>
        <w:rPr>
          <w:rFonts w:ascii="Arial" w:cs="Arial" w:eastAsia="Arial" w:hAnsi="Arial"/>
          <w:sz w:val="15"/>
          <w:szCs w:val="15"/>
          <w:b w:val="1"/>
          <w:bCs w:val="1"/>
          <w:color w:val="auto"/>
        </w:rPr>
        <w:t xml:space="preserve"> </w:t>
      </w:r>
      <w:r>
        <w:rPr>
          <w:rFonts w:ascii="Arial" w:cs="Arial" w:eastAsia="Arial" w:hAnsi="Arial"/>
          <w:sz w:val="15"/>
          <w:szCs w:val="15"/>
          <w:color w:val="auto"/>
        </w:rPr>
        <w:t>information related to Company’s business or its actual or demonstrably anticipated research or development, including without limitation</w:t>
      </w:r>
    </w:p>
    <w:p>
      <w:pPr>
        <w:spacing w:after="0" w:line="2" w:lineRule="exact"/>
        <w:rPr>
          <w:sz w:val="20"/>
          <w:szCs w:val="20"/>
          <w:color w:val="auto"/>
        </w:rPr>
      </w:pPr>
    </w:p>
    <w:p>
      <w:pPr>
        <w:ind w:left="9" w:right="420" w:hanging="9"/>
        <w:spacing w:after="0" w:line="291" w:lineRule="auto"/>
        <w:tabs>
          <w:tab w:leader="none" w:pos="246" w:val="left"/>
        </w:tabs>
        <w:numPr>
          <w:ilvl w:val="0"/>
          <w:numId w:val="302"/>
        </w:numPr>
        <w:rPr>
          <w:rFonts w:ascii="Arial" w:cs="Arial" w:eastAsia="Arial" w:hAnsi="Arial"/>
          <w:sz w:val="15"/>
          <w:szCs w:val="15"/>
          <w:color w:val="auto"/>
        </w:rPr>
      </w:pPr>
      <w:r>
        <w:rPr>
          <w:rFonts w:ascii="Arial" w:cs="Arial" w:eastAsia="Arial" w:hAnsi="Arial"/>
          <w:sz w:val="15"/>
          <w:szCs w:val="15"/>
          <w:color w:val="auto"/>
        </w:rPr>
        <w:t>trade secrets, inventions, ideas, processes, computer source and object code, data, formulae, programs, other works of authorship, know-how, improvements, discoveries, developments, designs, and techniques; (b) information regarding products, services, plans for research and development, marketing and business plans, budgets, financial statements, contracts, prices, suppliers, and customers;</w:t>
      </w:r>
    </w:p>
    <w:p>
      <w:pPr>
        <w:spacing w:after="0" w:line="2" w:lineRule="exact"/>
        <w:rPr>
          <w:rFonts w:ascii="Arial" w:cs="Arial" w:eastAsia="Arial" w:hAnsi="Arial"/>
          <w:sz w:val="15"/>
          <w:szCs w:val="15"/>
          <w:color w:val="auto"/>
        </w:rPr>
      </w:pPr>
    </w:p>
    <w:p>
      <w:pPr>
        <w:ind w:left="9" w:right="280" w:hanging="9"/>
        <w:spacing w:after="0" w:line="284" w:lineRule="auto"/>
        <w:tabs>
          <w:tab w:leader="none" w:pos="246" w:val="left"/>
        </w:tabs>
        <w:numPr>
          <w:ilvl w:val="0"/>
          <w:numId w:val="303"/>
        </w:numPr>
        <w:rPr>
          <w:rFonts w:ascii="Arial" w:cs="Arial" w:eastAsia="Arial" w:hAnsi="Arial"/>
          <w:sz w:val="16"/>
          <w:szCs w:val="16"/>
          <w:color w:val="auto"/>
        </w:rPr>
      </w:pPr>
      <w:r>
        <w:rPr>
          <w:rFonts w:ascii="Arial" w:cs="Arial" w:eastAsia="Arial" w:hAnsi="Arial"/>
          <w:sz w:val="16"/>
          <w:szCs w:val="16"/>
          <w:color w:val="auto"/>
        </w:rPr>
        <w:t>information regarding the skills and compensation of Company’s employees, contractors, and any other service providers of Company; and (d) the existence of any business discussions, negotiations, or agreements between Company and any third party.</w:t>
      </w:r>
    </w:p>
    <w:p>
      <w:pPr>
        <w:spacing w:after="0" w:line="54" w:lineRule="exact"/>
        <w:rPr>
          <w:sz w:val="20"/>
          <w:szCs w:val="20"/>
          <w:color w:val="auto"/>
        </w:rPr>
      </w:pPr>
    </w:p>
    <w:p>
      <w:pPr>
        <w:ind w:left="9" w:firstLine="349"/>
        <w:spacing w:after="0" w:line="261" w:lineRule="auto"/>
        <w:rPr>
          <w:sz w:val="20"/>
          <w:szCs w:val="20"/>
          <w:color w:val="auto"/>
        </w:rPr>
      </w:pPr>
      <w:r>
        <w:rPr>
          <w:rFonts w:ascii="Arial" w:cs="Arial" w:eastAsia="Arial" w:hAnsi="Arial"/>
          <w:sz w:val="17"/>
          <w:szCs w:val="17"/>
          <w:b w:val="1"/>
          <w:bCs w:val="1"/>
          <w:color w:val="auto"/>
        </w:rPr>
        <w:t xml:space="preserve">1.3 Third Party Information. </w:t>
      </w:r>
      <w:r>
        <w:rPr>
          <w:rFonts w:ascii="Arial" w:cs="Arial" w:eastAsia="Arial" w:hAnsi="Arial"/>
          <w:sz w:val="17"/>
          <w:szCs w:val="17"/>
          <w:color w:val="auto"/>
        </w:rPr>
        <w:t>I understand that Company has</w:t>
      </w:r>
      <w:r>
        <w:rPr>
          <w:rFonts w:ascii="Arial" w:cs="Arial" w:eastAsia="Arial" w:hAnsi="Arial"/>
          <w:sz w:val="17"/>
          <w:szCs w:val="17"/>
          <w:b w:val="1"/>
          <w:bCs w:val="1"/>
          <w:color w:val="auto"/>
        </w:rPr>
        <w:t xml:space="preserve"> </w:t>
      </w:r>
      <w:r>
        <w:rPr>
          <w:rFonts w:ascii="Arial" w:cs="Arial" w:eastAsia="Arial" w:hAnsi="Arial"/>
          <w:sz w:val="17"/>
          <w:szCs w:val="17"/>
          <w:color w:val="auto"/>
        </w:rPr>
        <w:t>received and in the future will receive from third parties confidential or proprietary information (“</w:t>
      </w:r>
      <w:r>
        <w:rPr>
          <w:rFonts w:ascii="Arial" w:cs="Arial" w:eastAsia="Arial" w:hAnsi="Arial"/>
          <w:sz w:val="17"/>
          <w:szCs w:val="17"/>
          <w:b w:val="1"/>
          <w:bCs w:val="1"/>
          <w:color w:val="auto"/>
        </w:rPr>
        <w:t>Third Party Information</w:t>
      </w:r>
      <w:r>
        <w:rPr>
          <w:rFonts w:ascii="Arial" w:cs="Arial" w:eastAsia="Arial" w:hAnsi="Arial"/>
          <w:sz w:val="17"/>
          <w:szCs w:val="17"/>
          <w:color w:val="auto"/>
        </w:rPr>
        <w:t>”) subject to a duty on Company’s part to maintain the confidentiality of such information and to use it only for certain limited purposes. During and after the term of my employment, I will hold Third Party Information in strict confidence and will not disclose to anyone (other than Company personnel who need to know such information in connection with their work for Company) or use, Third Party Information, except in connection with my work for Company or unless expressly authorized by an officer of Company in writing.</w:t>
      </w:r>
    </w:p>
    <w:p>
      <w:pPr>
        <w:spacing w:after="0" w:line="71" w:lineRule="exact"/>
        <w:rPr>
          <w:sz w:val="20"/>
          <w:szCs w:val="20"/>
          <w:color w:val="auto"/>
        </w:rPr>
      </w:pPr>
    </w:p>
    <w:p>
      <w:pPr>
        <w:ind w:left="9" w:right="20" w:firstLine="349"/>
        <w:spacing w:after="0" w:line="284" w:lineRule="auto"/>
        <w:rPr>
          <w:sz w:val="20"/>
          <w:szCs w:val="20"/>
          <w:color w:val="auto"/>
        </w:rPr>
      </w:pPr>
      <w:r>
        <w:rPr>
          <w:rFonts w:ascii="Arial" w:cs="Arial" w:eastAsia="Arial" w:hAnsi="Arial"/>
          <w:sz w:val="16"/>
          <w:szCs w:val="16"/>
          <w:b w:val="1"/>
          <w:bCs w:val="1"/>
          <w:color w:val="auto"/>
        </w:rPr>
        <w:t xml:space="preserve">1.4 No Improper Use of Information of Prior Employers and Others. </w:t>
      </w:r>
      <w:r>
        <w:rPr>
          <w:rFonts w:ascii="Arial" w:cs="Arial" w:eastAsia="Arial" w:hAnsi="Arial"/>
          <w:sz w:val="16"/>
          <w:szCs w:val="16"/>
          <w:color w:val="auto"/>
        </w:rPr>
        <w:t>I represent that my employment by Company does not and will</w:t>
      </w:r>
      <w:r>
        <w:rPr>
          <w:rFonts w:ascii="Arial" w:cs="Arial" w:eastAsia="Arial" w:hAnsi="Arial"/>
          <w:sz w:val="16"/>
          <w:szCs w:val="16"/>
          <w:b w:val="1"/>
          <w:bCs w:val="1"/>
          <w:color w:val="auto"/>
        </w:rPr>
        <w:t xml:space="preserve"> </w:t>
      </w:r>
      <w:r>
        <w:rPr>
          <w:rFonts w:ascii="Arial" w:cs="Arial" w:eastAsia="Arial" w:hAnsi="Arial"/>
          <w:sz w:val="16"/>
          <w:szCs w:val="16"/>
          <w:color w:val="auto"/>
        </w:rPr>
        <w:t>not breach any agreement with any former employer, including any noncompete agreement or any agreement to keep in confidence or refrain from using information acquired by me prior to my employment by Company. I further represent that I have not entered into, and</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will not enter into, any agreement, either written or oral, in conflict with my obligations under this Agreement. During my employment by Company, I will not improperly make use of, or disclose, any information or trade secrets of any former employer or other third party, nor will I bring onto the premises of Company or use any unpublished documents or any property belonging to any former employer or other third party, in violation of any lawful agreements with that former employer or third party. I will use in the performance of my duties only information that is generally known and used by persons with training and experience comparable to my own, is common knowledge in the industry or otherwise legally in the public domain, or is otherwise provided or developed by Company.</w:t>
      </w:r>
    </w:p>
    <w:p>
      <w:pPr>
        <w:spacing w:after="0" w:line="281" w:lineRule="exact"/>
        <w:rPr>
          <w:sz w:val="20"/>
          <w:szCs w:val="20"/>
          <w:color w:val="auto"/>
        </w:rPr>
      </w:pPr>
    </w:p>
    <w:p>
      <w:pPr>
        <w:ind w:left="180" w:hanging="179"/>
        <w:spacing w:after="0"/>
        <w:tabs>
          <w:tab w:leader="none" w:pos="180" w:val="left"/>
        </w:tabs>
        <w:numPr>
          <w:ilvl w:val="0"/>
          <w:numId w:val="304"/>
        </w:numPr>
        <w:rPr>
          <w:rFonts w:ascii="Arial" w:cs="Arial" w:eastAsia="Arial" w:hAnsi="Arial"/>
          <w:sz w:val="17"/>
          <w:szCs w:val="17"/>
          <w:b w:val="1"/>
          <w:bCs w:val="1"/>
          <w:color w:val="auto"/>
        </w:rPr>
      </w:pPr>
      <w:r>
        <w:rPr>
          <w:rFonts w:ascii="Arial" w:cs="Arial" w:eastAsia="Arial" w:hAnsi="Arial"/>
          <w:sz w:val="17"/>
          <w:szCs w:val="17"/>
          <w:b w:val="1"/>
          <w:bCs w:val="1"/>
          <w:color w:val="auto"/>
        </w:rPr>
        <w:t>I</w:t>
      </w:r>
      <w:r>
        <w:rPr>
          <w:rFonts w:ascii="Arial" w:cs="Arial" w:eastAsia="Arial" w:hAnsi="Arial"/>
          <w:sz w:val="14"/>
          <w:szCs w:val="14"/>
          <w:b w:val="1"/>
          <w:bCs w:val="1"/>
          <w:color w:val="auto"/>
        </w:rPr>
        <w:t>NVENTIONS</w:t>
      </w:r>
      <w:r>
        <w:rPr>
          <w:rFonts w:ascii="Arial" w:cs="Arial" w:eastAsia="Arial" w:hAnsi="Arial"/>
          <w:sz w:val="17"/>
          <w:szCs w:val="17"/>
          <w:b w:val="1"/>
          <w:bCs w:val="1"/>
          <w:color w:val="auto"/>
        </w:rPr>
        <w:t>.</w:t>
      </w:r>
    </w:p>
    <w:p>
      <w:pPr>
        <w:spacing w:after="0" w:line="119" w:lineRule="exact"/>
        <w:rPr>
          <w:sz w:val="20"/>
          <w:szCs w:val="20"/>
          <w:color w:val="auto"/>
        </w:rPr>
      </w:pPr>
    </w:p>
    <w:p>
      <w:pPr>
        <w:ind w:right="20" w:firstLine="349"/>
        <w:spacing w:after="0" w:line="262" w:lineRule="auto"/>
        <w:rPr>
          <w:sz w:val="20"/>
          <w:szCs w:val="20"/>
          <w:color w:val="auto"/>
        </w:rPr>
      </w:pPr>
      <w:r>
        <w:rPr>
          <w:rFonts w:ascii="Arial" w:cs="Arial" w:eastAsia="Arial" w:hAnsi="Arial"/>
          <w:sz w:val="17"/>
          <w:szCs w:val="17"/>
          <w:b w:val="1"/>
          <w:bCs w:val="1"/>
          <w:color w:val="auto"/>
        </w:rPr>
        <w:t xml:space="preserve">2.1 Inventions and Intellectual Property Rights. </w:t>
      </w:r>
      <w:r>
        <w:rPr>
          <w:rFonts w:ascii="Arial" w:cs="Arial" w:eastAsia="Arial" w:hAnsi="Arial"/>
          <w:sz w:val="17"/>
          <w:szCs w:val="17"/>
          <w:color w:val="auto"/>
        </w:rPr>
        <w:t>As used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the term “</w:t>
      </w:r>
      <w:r>
        <w:rPr>
          <w:rFonts w:ascii="Arial" w:cs="Arial" w:eastAsia="Arial" w:hAnsi="Arial"/>
          <w:sz w:val="17"/>
          <w:szCs w:val="17"/>
          <w:b w:val="1"/>
          <w:bCs w:val="1"/>
          <w:color w:val="auto"/>
        </w:rPr>
        <w:t>Invention</w:t>
      </w:r>
      <w:r>
        <w:rPr>
          <w:rFonts w:ascii="Arial" w:cs="Arial" w:eastAsia="Arial" w:hAnsi="Arial"/>
          <w:sz w:val="17"/>
          <w:szCs w:val="17"/>
          <w:color w:val="auto"/>
        </w:rPr>
        <w:t>” means any ideas, concepts, information, materials, processes, data, programs, know-how, improvements, discoveries, developments, designs, artwork, formulae, other copyrightable works, and techniques and all Intellectual Property Rights in any of the items listed above. The term “</w:t>
      </w:r>
      <w:r>
        <w:rPr>
          <w:rFonts w:ascii="Arial" w:cs="Arial" w:eastAsia="Arial" w:hAnsi="Arial"/>
          <w:sz w:val="17"/>
          <w:szCs w:val="17"/>
          <w:b w:val="1"/>
          <w:bCs w:val="1"/>
          <w:color w:val="auto"/>
        </w:rPr>
        <w:t>Intellectual Property Rights</w:t>
      </w:r>
      <w:r>
        <w:rPr>
          <w:rFonts w:ascii="Arial" w:cs="Arial" w:eastAsia="Arial" w:hAnsi="Arial"/>
          <w:sz w:val="17"/>
          <w:szCs w:val="17"/>
          <w:color w:val="auto"/>
        </w:rPr>
        <w:t>” means all trade secrets, copyrights, trademarks, mask work rights, patents and other intellectual property rights recognized by the laws of any jurisdiction or country.</w:t>
      </w:r>
    </w:p>
    <w:p>
      <w:pPr>
        <w:spacing w:after="0" w:line="70" w:lineRule="exact"/>
        <w:rPr>
          <w:sz w:val="20"/>
          <w:szCs w:val="20"/>
          <w:color w:val="auto"/>
        </w:rPr>
      </w:pPr>
    </w:p>
    <w:p>
      <w:pPr>
        <w:ind w:right="100" w:firstLine="349"/>
        <w:spacing w:after="0" w:line="276" w:lineRule="auto"/>
        <w:rPr>
          <w:sz w:val="20"/>
          <w:szCs w:val="20"/>
          <w:color w:val="auto"/>
        </w:rPr>
      </w:pPr>
      <w:r>
        <w:rPr>
          <w:rFonts w:ascii="Arial" w:cs="Arial" w:eastAsia="Arial" w:hAnsi="Arial"/>
          <w:sz w:val="16"/>
          <w:szCs w:val="16"/>
          <w:b w:val="1"/>
          <w:bCs w:val="1"/>
          <w:color w:val="auto"/>
        </w:rPr>
        <w:t xml:space="preserve">2.2 Prior Inventions. </w:t>
      </w:r>
      <w:r>
        <w:rPr>
          <w:rFonts w:ascii="Arial" w:cs="Arial" w:eastAsia="Arial" w:hAnsi="Arial"/>
          <w:sz w:val="16"/>
          <w:szCs w:val="16"/>
          <w:color w:val="auto"/>
        </w:rPr>
        <w:t>I have disclosed on</w:t>
      </w:r>
      <w:r>
        <w:rPr>
          <w:rFonts w:ascii="Arial" w:cs="Arial" w:eastAsia="Arial" w:hAnsi="Arial"/>
          <w:sz w:val="16"/>
          <w:szCs w:val="16"/>
          <w:b w:val="1"/>
          <w:bCs w:val="1"/>
          <w:color w:val="auto"/>
        </w:rPr>
        <w:t xml:space="preserve"> Exhibit A </w:t>
      </w:r>
      <w:r>
        <w:rPr>
          <w:rFonts w:ascii="Arial" w:cs="Arial" w:eastAsia="Arial" w:hAnsi="Arial"/>
          <w:sz w:val="16"/>
          <w:szCs w:val="16"/>
          <w:color w:val="auto"/>
        </w:rPr>
        <w:t>a complete list</w:t>
      </w:r>
      <w:r>
        <w:rPr>
          <w:rFonts w:ascii="Arial" w:cs="Arial" w:eastAsia="Arial" w:hAnsi="Arial"/>
          <w:sz w:val="16"/>
          <w:szCs w:val="16"/>
          <w:b w:val="1"/>
          <w:bCs w:val="1"/>
          <w:color w:val="auto"/>
        </w:rPr>
        <w:t xml:space="preserve"> </w:t>
      </w:r>
      <w:r>
        <w:rPr>
          <w:rFonts w:ascii="Arial" w:cs="Arial" w:eastAsia="Arial" w:hAnsi="Arial"/>
          <w:sz w:val="16"/>
          <w:szCs w:val="16"/>
          <w:color w:val="auto"/>
        </w:rPr>
        <w:t>of all Inventions that (a) I have, or I have caused to be, alone or jointly with others, conceived, developed, or reduced to practice prior to the commencement of my employment by Company; (b) in which I have an ownership interest or which I have a license to use; (c) and that I wish to have excluded from the scope of this Agreement (collectively referred to as “</w:t>
      </w:r>
      <w:r>
        <w:rPr>
          <w:rFonts w:ascii="Arial" w:cs="Arial" w:eastAsia="Arial" w:hAnsi="Arial"/>
          <w:sz w:val="16"/>
          <w:szCs w:val="16"/>
          <w:b w:val="1"/>
          <w:bCs w:val="1"/>
          <w:color w:val="auto"/>
        </w:rPr>
        <w:t>Prior Inventions</w:t>
      </w:r>
      <w:r>
        <w:rPr>
          <w:rFonts w:ascii="Arial" w:cs="Arial" w:eastAsia="Arial" w:hAnsi="Arial"/>
          <w:sz w:val="16"/>
          <w:szCs w:val="16"/>
          <w:color w:val="auto"/>
        </w:rPr>
        <w:t xml:space="preserve">”). If no Prior Inventions are listed in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I warrant that there are no Prior Inventions. I agree that I will not incorporate, or permit to be incorporated, Prior Inventions in any Company Inventions (defined below) without Company’s prior written consent. If, in the course of my employment with Company, I incorporate a Prior Invention into a Company process, machine or other work, I hereby grant Company a non-exclusive, perpetual, fully-paid and royalty-free, irrevocable and worldwide license, with rights to sublicense through multiple levels of sublicensees, to reproduce, make derivative works of, distribute, publicly perform, and publicly display in any form or medium, whether now known or later developed, make, have made, use, sell, import, offer for sale, and exercise any and all present or future rights in, such Prior Invention.</w:t>
      </w:r>
    </w:p>
    <w:p>
      <w:pPr>
        <w:spacing w:after="0" w:line="733" w:lineRule="exact"/>
        <w:rPr>
          <w:sz w:val="20"/>
          <w:szCs w:val="20"/>
          <w:color w:val="auto"/>
        </w:rPr>
      </w:pPr>
    </w:p>
    <w:p>
      <w:pPr>
        <w:sectPr>
          <w:pgSz w:w="11900" w:h="16838" w:orient="portrait"/>
          <w:cols w:equalWidth="0" w:num="2">
            <w:col w:w="5129" w:space="320"/>
            <w:col w:w="5240"/>
          </w:cols>
          <w:pgMar w:left="611" w:top="265" w:right="599" w:bottom="1440" w:gutter="0" w:footer="0" w:header="0"/>
          <w:type w:val="continuous"/>
        </w:sectPr>
      </w:pPr>
    </w:p>
    <w:p>
      <w:pPr>
        <w:spacing w:after="0" w:line="45" w:lineRule="exact"/>
        <w:rPr>
          <w:sz w:val="20"/>
          <w:szCs w:val="20"/>
          <w:color w:val="auto"/>
        </w:rPr>
      </w:pPr>
    </w:p>
    <w:p>
      <w:pPr>
        <w:jc w:val="center"/>
        <w:ind w:right="-8"/>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689"/>
          </w:cols>
          <w:pgMar w:left="611" w:top="265" w:right="599" w:bottom="1440" w:gutter="0" w:footer="0" w:header="0"/>
          <w:type w:val="continuous"/>
        </w:sectPr>
      </w:pPr>
    </w:p>
    <w:bookmarkStart w:id="387" w:name="page388"/>
    <w:bookmarkEnd w:id="387"/>
    <w:p>
      <w:pPr>
        <w:ind w:left="9" w:right="20" w:firstLine="349"/>
        <w:spacing w:after="0" w:line="278" w:lineRule="auto"/>
        <w:rPr>
          <w:sz w:val="20"/>
          <w:szCs w:val="20"/>
          <w:color w:val="auto"/>
        </w:rPr>
      </w:pPr>
      <w:r>
        <w:rPr>
          <w:rFonts w:ascii="Arial" w:cs="Arial" w:eastAsia="Arial" w:hAnsi="Arial"/>
          <w:sz w:val="16"/>
          <w:szCs w:val="16"/>
          <w:b w:val="1"/>
          <w:bCs w:val="1"/>
          <w:color w:val="auto"/>
        </w:rPr>
        <w:t xml:space="preserve">2.3 Assignment of Company Inventions. </w:t>
      </w:r>
      <w:r>
        <w:rPr>
          <w:rFonts w:ascii="Arial" w:cs="Arial" w:eastAsia="Arial" w:hAnsi="Arial"/>
          <w:sz w:val="16"/>
          <w:szCs w:val="16"/>
          <w:color w:val="auto"/>
        </w:rPr>
        <w:t>Inventions assigned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or to a third party as directed by the Company pursuant to the section titled “Government or Third Party” are referred to in this Agreement as “</w:t>
      </w:r>
      <w:r>
        <w:rPr>
          <w:rFonts w:ascii="Arial" w:cs="Arial" w:eastAsia="Arial" w:hAnsi="Arial"/>
          <w:sz w:val="16"/>
          <w:szCs w:val="16"/>
          <w:b w:val="1"/>
          <w:bCs w:val="1"/>
          <w:color w:val="auto"/>
        </w:rPr>
        <w:t>Company Inventions</w:t>
      </w:r>
      <w:r>
        <w:rPr>
          <w:rFonts w:ascii="Arial" w:cs="Arial" w:eastAsia="Arial" w:hAnsi="Arial"/>
          <w:sz w:val="16"/>
          <w:szCs w:val="16"/>
          <w:color w:val="auto"/>
        </w:rPr>
        <w:t xml:space="preserve">.” Subject to the section titled “Government or Third Party” and except for Inventions that I can prove qualify fully under the provisions of California Labor Code section 2870 and I have set forth in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I hereby assign and agree to assign in the future (when any such Inventions or Intellectual Property Rights are first reduced to practice or first fixed in a tangible medium, as applicable) to Company all my right, title, and interest in and to any and all Inventions (and all Intellectual Property Rights with respect thereto) made, conceived, reduced to practice, or learned by me, either alone or with others, during the period of my employment by Company.</w:t>
      </w:r>
    </w:p>
    <w:p>
      <w:pPr>
        <w:spacing w:after="0" w:line="58" w:lineRule="exact"/>
        <w:rPr>
          <w:sz w:val="20"/>
          <w:szCs w:val="20"/>
          <w:color w:val="auto"/>
        </w:rPr>
      </w:pPr>
    </w:p>
    <w:p>
      <w:pPr>
        <w:ind w:left="9" w:right="20" w:firstLine="349"/>
        <w:spacing w:after="0" w:line="282" w:lineRule="auto"/>
        <w:rPr>
          <w:sz w:val="20"/>
          <w:szCs w:val="20"/>
          <w:color w:val="auto"/>
        </w:rPr>
      </w:pPr>
      <w:r>
        <w:rPr>
          <w:rFonts w:ascii="Arial" w:cs="Arial" w:eastAsia="Arial" w:hAnsi="Arial"/>
          <w:sz w:val="16"/>
          <w:szCs w:val="16"/>
          <w:b w:val="1"/>
          <w:bCs w:val="1"/>
          <w:color w:val="auto"/>
        </w:rPr>
        <w:t xml:space="preserve">2.4 Obligation to Keep Company Informed. </w:t>
      </w:r>
      <w:r>
        <w:rPr>
          <w:rFonts w:ascii="Arial" w:cs="Arial" w:eastAsia="Arial" w:hAnsi="Arial"/>
          <w:sz w:val="16"/>
          <w:szCs w:val="16"/>
          <w:color w:val="auto"/>
        </w:rPr>
        <w:t>During the period of</w:t>
      </w:r>
      <w:r>
        <w:rPr>
          <w:rFonts w:ascii="Arial" w:cs="Arial" w:eastAsia="Arial" w:hAnsi="Arial"/>
          <w:sz w:val="16"/>
          <w:szCs w:val="16"/>
          <w:b w:val="1"/>
          <w:bCs w:val="1"/>
          <w:color w:val="auto"/>
        </w:rPr>
        <w:t xml:space="preserve"> </w:t>
      </w:r>
      <w:r>
        <w:rPr>
          <w:rFonts w:ascii="Arial" w:cs="Arial" w:eastAsia="Arial" w:hAnsi="Arial"/>
          <w:sz w:val="16"/>
          <w:szCs w:val="16"/>
          <w:color w:val="auto"/>
        </w:rPr>
        <w:t>my employment and for one (1) year after my employment ends, I will promptly and fully disclose to Company in writing (a) all Inventions authored, conceived, or reduced to practice by me, either alone or with others, including any that might be covered under California Labor Code section 2870, and (b) all patent applications filed by me or in which I am named as an inventor or co-inventor.</w:t>
      </w:r>
    </w:p>
    <w:p>
      <w:pPr>
        <w:spacing w:after="0" w:line="58" w:lineRule="exact"/>
        <w:rPr>
          <w:sz w:val="20"/>
          <w:szCs w:val="20"/>
          <w:color w:val="auto"/>
        </w:rPr>
      </w:pPr>
    </w:p>
    <w:p>
      <w:pPr>
        <w:ind w:left="9" w:right="140" w:firstLine="349"/>
        <w:spacing w:after="0" w:line="270" w:lineRule="auto"/>
        <w:rPr>
          <w:sz w:val="20"/>
          <w:szCs w:val="20"/>
          <w:color w:val="auto"/>
        </w:rPr>
      </w:pPr>
      <w:r>
        <w:rPr>
          <w:rFonts w:ascii="Arial" w:cs="Arial" w:eastAsia="Arial" w:hAnsi="Arial"/>
          <w:sz w:val="17"/>
          <w:szCs w:val="17"/>
          <w:b w:val="1"/>
          <w:bCs w:val="1"/>
          <w:color w:val="auto"/>
        </w:rPr>
        <w:t xml:space="preserve">2.5 Government or Third Party. </w:t>
      </w:r>
      <w:r>
        <w:rPr>
          <w:rFonts w:ascii="Arial" w:cs="Arial" w:eastAsia="Arial" w:hAnsi="Arial"/>
          <w:sz w:val="17"/>
          <w:szCs w:val="17"/>
          <w:color w:val="auto"/>
        </w:rPr>
        <w:t>I agree that, as directed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 will assign to a third party, including without limitation the United States, all my right, title, and interest in and to any particular Company Invention.</w:t>
      </w:r>
    </w:p>
    <w:p>
      <w:pPr>
        <w:spacing w:after="0" w:line="63" w:lineRule="exact"/>
        <w:rPr>
          <w:sz w:val="20"/>
          <w:szCs w:val="20"/>
          <w:color w:val="auto"/>
        </w:rPr>
      </w:pPr>
    </w:p>
    <w:p>
      <w:pPr>
        <w:ind w:left="9" w:right="20" w:firstLine="349"/>
        <w:spacing w:after="0" w:line="299" w:lineRule="auto"/>
        <w:rPr>
          <w:sz w:val="20"/>
          <w:szCs w:val="20"/>
          <w:color w:val="auto"/>
        </w:rPr>
      </w:pPr>
      <w:r>
        <w:rPr>
          <w:rFonts w:ascii="Arial" w:cs="Arial" w:eastAsia="Arial" w:hAnsi="Arial"/>
          <w:sz w:val="15"/>
          <w:szCs w:val="15"/>
          <w:b w:val="1"/>
          <w:bCs w:val="1"/>
          <w:color w:val="auto"/>
        </w:rPr>
        <w:t xml:space="preserve">2.6 Enforcement of Intellectual Property Rights and Assistance. </w:t>
      </w:r>
      <w:r>
        <w:rPr>
          <w:rFonts w:ascii="Arial" w:cs="Arial" w:eastAsia="Arial" w:hAnsi="Arial"/>
          <w:sz w:val="15"/>
          <w:szCs w:val="15"/>
          <w:color w:val="auto"/>
        </w:rPr>
        <w:t>During and after the period of my employment, I will assist Company in every proper way to obtain and enforce United States and foreign Intellectual Property Rights relating to Company Inventions in all countries. If the Company is unable to secure my signature on any document needed in connection with such purposes, I hereby irrevocably designate and appoint Company and its duly authorized officers and agents as my agent and attorney in fact, which appointment is coupled with an interest, to act on my behalf to execute and file any such documents and to do all other lawfully permitted acts to further such purposes with the same legal force and effect as if executed by me.</w:t>
      </w:r>
    </w:p>
    <w:p>
      <w:pPr>
        <w:spacing w:after="0" w:line="46" w:lineRule="exact"/>
        <w:rPr>
          <w:sz w:val="20"/>
          <w:szCs w:val="20"/>
          <w:color w:val="auto"/>
        </w:rPr>
      </w:pPr>
    </w:p>
    <w:p>
      <w:pPr>
        <w:ind w:left="9" w:firstLine="349"/>
        <w:spacing w:after="0" w:line="263" w:lineRule="auto"/>
        <w:rPr>
          <w:sz w:val="20"/>
          <w:szCs w:val="20"/>
          <w:color w:val="auto"/>
        </w:rPr>
      </w:pPr>
      <w:r>
        <w:rPr>
          <w:rFonts w:ascii="Arial" w:cs="Arial" w:eastAsia="Arial" w:hAnsi="Arial"/>
          <w:sz w:val="17"/>
          <w:szCs w:val="17"/>
          <w:b w:val="1"/>
          <w:bCs w:val="1"/>
          <w:color w:val="auto"/>
        </w:rPr>
        <w:t xml:space="preserve">2.7 Incorporation of Software Code. </w:t>
      </w:r>
      <w:r>
        <w:rPr>
          <w:rFonts w:ascii="Arial" w:cs="Arial" w:eastAsia="Arial" w:hAnsi="Arial"/>
          <w:sz w:val="17"/>
          <w:szCs w:val="17"/>
          <w:color w:val="auto"/>
        </w:rPr>
        <w:t>I agree that I will not</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incorporate into any Company software or otherwise deliver to Company any software code licensed under the GNU General Public License or Lesser General Public License or any other license that, by its terms, requires or conditions the use or distribution of such code on the disclosure, licensing, or distribution of any source code owned or licensed by Company.</w:t>
      </w:r>
    </w:p>
    <w:p>
      <w:pPr>
        <w:spacing w:after="0" w:line="72" w:lineRule="exact"/>
        <w:rPr>
          <w:sz w:val="20"/>
          <w:szCs w:val="20"/>
          <w:color w:val="auto"/>
        </w:rPr>
      </w:pPr>
    </w:p>
    <w:p>
      <w:pPr>
        <w:ind w:left="9" w:right="80" w:hanging="9"/>
        <w:spacing w:after="0" w:line="287" w:lineRule="auto"/>
        <w:tabs>
          <w:tab w:leader="none" w:pos="183" w:val="left"/>
        </w:tabs>
        <w:numPr>
          <w:ilvl w:val="0"/>
          <w:numId w:val="305"/>
        </w:numPr>
        <w:rPr>
          <w:rFonts w:ascii="Arial" w:cs="Arial" w:eastAsia="Arial" w:hAnsi="Arial"/>
          <w:sz w:val="16"/>
          <w:szCs w:val="16"/>
          <w:b w:val="1"/>
          <w:bCs w:val="1"/>
          <w:color w:val="auto"/>
        </w:rPr>
      </w:pPr>
      <w:r>
        <w:rPr>
          <w:rFonts w:ascii="Arial" w:cs="Arial" w:eastAsia="Arial" w:hAnsi="Arial"/>
          <w:sz w:val="16"/>
          <w:szCs w:val="16"/>
          <w:b w:val="1"/>
          <w:bCs w:val="1"/>
          <w:color w:val="auto"/>
        </w:rPr>
        <w:t>R</w:t>
      </w:r>
      <w:r>
        <w:rPr>
          <w:rFonts w:ascii="Arial" w:cs="Arial" w:eastAsia="Arial" w:hAnsi="Arial"/>
          <w:sz w:val="13"/>
          <w:szCs w:val="13"/>
          <w:b w:val="1"/>
          <w:bCs w:val="1"/>
          <w:color w:val="auto"/>
        </w:rPr>
        <w:t>ECORDS</w:t>
      </w:r>
      <w:r>
        <w:rPr>
          <w:rFonts w:ascii="Arial" w:cs="Arial" w:eastAsia="Arial" w:hAnsi="Arial"/>
          <w:sz w:val="16"/>
          <w:szCs w:val="16"/>
          <w:b w:val="1"/>
          <w:bCs w:val="1"/>
          <w:color w:val="auto"/>
        </w:rPr>
        <w:t xml:space="preserve">. </w:t>
      </w:r>
      <w:r>
        <w:rPr>
          <w:rFonts w:ascii="Arial" w:cs="Arial" w:eastAsia="Arial" w:hAnsi="Arial"/>
          <w:sz w:val="16"/>
          <w:szCs w:val="16"/>
          <w:color w:val="auto"/>
        </w:rPr>
        <w:t>I agree to keep and maintain adequate and current records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form of notes, sketches, drawings and in any other form that is required by the Company) of all Inventions made by me during the period of my employment by the Company, which records shall be available to, and remain the sole property of, the Company at all times.</w:t>
      </w:r>
    </w:p>
    <w:p>
      <w:pPr>
        <w:spacing w:after="0" w:line="52" w:lineRule="exact"/>
        <w:rPr>
          <w:rFonts w:ascii="Arial" w:cs="Arial" w:eastAsia="Arial" w:hAnsi="Arial"/>
          <w:sz w:val="16"/>
          <w:szCs w:val="16"/>
          <w:b w:val="1"/>
          <w:bCs w:val="1"/>
          <w:color w:val="auto"/>
        </w:rPr>
      </w:pPr>
    </w:p>
    <w:p>
      <w:pPr>
        <w:ind w:left="9" w:right="360" w:hanging="9"/>
        <w:spacing w:after="0" w:line="296" w:lineRule="auto"/>
        <w:tabs>
          <w:tab w:leader="none" w:pos="183" w:val="left"/>
        </w:tabs>
        <w:numPr>
          <w:ilvl w:val="0"/>
          <w:numId w:val="305"/>
        </w:numPr>
        <w:rPr>
          <w:rFonts w:ascii="Arial" w:cs="Arial" w:eastAsia="Arial" w:hAnsi="Arial"/>
          <w:sz w:val="17"/>
          <w:szCs w:val="17"/>
          <w:b w:val="1"/>
          <w:bCs w:val="1"/>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DDITIONAL</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CTIVITIES</w:t>
      </w:r>
      <w:r>
        <w:rPr>
          <w:rFonts w:ascii="Arial" w:cs="Arial" w:eastAsia="Arial" w:hAnsi="Arial"/>
          <w:sz w:val="17"/>
          <w:szCs w:val="17"/>
          <w:b w:val="1"/>
          <w:bCs w:val="1"/>
          <w:color w:val="auto"/>
        </w:rPr>
        <w:t xml:space="preserve">. </w:t>
      </w:r>
      <w:r>
        <w:rPr>
          <w:rFonts w:ascii="Arial" w:cs="Arial" w:eastAsia="Arial" w:hAnsi="Arial"/>
          <w:sz w:val="17"/>
          <w:szCs w:val="17"/>
          <w:color w:val="auto"/>
        </w:rPr>
        <w:t>I agree that (a) during the term of my</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by Company, I will not, without</w:t>
      </w:r>
    </w:p>
    <w:p>
      <w:pPr>
        <w:spacing w:after="0" w:line="20" w:lineRule="exact"/>
        <w:rPr>
          <w:sz w:val="20"/>
          <w:szCs w:val="20"/>
          <w:color w:val="auto"/>
        </w:rPr>
      </w:pPr>
      <w:r>
        <w:rPr>
          <w:sz w:val="20"/>
          <w:szCs w:val="20"/>
          <w:color w:val="auto"/>
        </w:rPr>
        <w:br w:type="column"/>
      </w:r>
    </w:p>
    <w:p>
      <w:pPr>
        <w:ind w:left="140" w:right="20"/>
        <w:spacing w:after="0" w:line="280" w:lineRule="auto"/>
        <w:rPr>
          <w:sz w:val="20"/>
          <w:szCs w:val="20"/>
          <w:color w:val="auto"/>
        </w:rPr>
      </w:pPr>
      <w:r>
        <w:rPr>
          <w:rFonts w:ascii="Arial" w:cs="Arial" w:eastAsia="Arial" w:hAnsi="Arial"/>
          <w:sz w:val="16"/>
          <w:szCs w:val="16"/>
          <w:color w:val="auto"/>
        </w:rPr>
        <w:t>Company’s express written consent, engage in any employment or business activity that is competitive with, or would otherwise conflict with my employment by, Company, and (b) for the period of my employment by Company and for one (1) year thereafter, I will not, either directly or indirectly, solicit or attempt to solicit any employee, independent contractor, or consultant of Company to terminate his, her or its relationship with Company in order to become an employee, consultant, or independent contractor to or for any other person 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-1206500</wp:posOffset>
            </wp:positionV>
            <wp:extent cx="7292975" cy="3746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spacing w:after="0" w:line="38" w:lineRule="exact"/>
        <w:rPr>
          <w:sz w:val="20"/>
          <w:szCs w:val="20"/>
          <w:color w:val="auto"/>
        </w:rPr>
      </w:pPr>
    </w:p>
    <w:p>
      <w:pPr>
        <w:ind w:left="320" w:hanging="179"/>
        <w:spacing w:after="0"/>
        <w:tabs>
          <w:tab w:leader="none" w:pos="320" w:val="left"/>
        </w:tabs>
        <w:numPr>
          <w:ilvl w:val="0"/>
          <w:numId w:val="306"/>
        </w:numPr>
        <w:rPr>
          <w:rFonts w:ascii="Arial" w:cs="Arial" w:eastAsia="Arial" w:hAnsi="Arial"/>
          <w:sz w:val="17"/>
          <w:szCs w:val="17"/>
          <w:b w:val="1"/>
          <w:bCs w:val="1"/>
          <w:color w:val="auto"/>
        </w:rPr>
      </w:pPr>
      <w:r>
        <w:rPr>
          <w:rFonts w:ascii="Arial" w:cs="Arial" w:eastAsia="Arial" w:hAnsi="Arial"/>
          <w:sz w:val="17"/>
          <w:szCs w:val="17"/>
          <w:b w:val="1"/>
          <w:bCs w:val="1"/>
          <w:color w:val="auto"/>
        </w:rPr>
        <w:t>R</w:t>
      </w:r>
      <w:r>
        <w:rPr>
          <w:rFonts w:ascii="Arial" w:cs="Arial" w:eastAsia="Arial" w:hAnsi="Arial"/>
          <w:sz w:val="14"/>
          <w:szCs w:val="14"/>
          <w:b w:val="1"/>
          <w:bCs w:val="1"/>
          <w:color w:val="auto"/>
        </w:rPr>
        <w:t>ETURN</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ROPERTY</w:t>
      </w:r>
      <w:r>
        <w:rPr>
          <w:rFonts w:ascii="Arial" w:cs="Arial" w:eastAsia="Arial" w:hAnsi="Arial"/>
          <w:sz w:val="17"/>
          <w:szCs w:val="17"/>
          <w:b w:val="1"/>
          <w:bCs w:val="1"/>
          <w:color w:val="auto"/>
        </w:rPr>
        <w:t xml:space="preserve">. </w:t>
      </w:r>
      <w:r>
        <w:rPr>
          <w:rFonts w:ascii="Arial" w:cs="Arial" w:eastAsia="Arial" w:hAnsi="Arial"/>
          <w:sz w:val="17"/>
          <w:szCs w:val="17"/>
          <w:color w:val="auto"/>
        </w:rPr>
        <w:t>Upon termination of my</w:t>
      </w:r>
    </w:p>
    <w:p>
      <w:pPr>
        <w:spacing w:after="0" w:line="32" w:lineRule="exact"/>
        <w:rPr>
          <w:sz w:val="20"/>
          <w:szCs w:val="20"/>
          <w:color w:val="auto"/>
        </w:rPr>
      </w:pPr>
    </w:p>
    <w:p>
      <w:pPr>
        <w:ind w:left="140"/>
        <w:spacing w:after="0" w:line="274" w:lineRule="auto"/>
        <w:rPr>
          <w:sz w:val="20"/>
          <w:szCs w:val="20"/>
          <w:color w:val="auto"/>
        </w:rPr>
      </w:pPr>
      <w:r>
        <w:rPr>
          <w:rFonts w:ascii="Arial" w:cs="Arial" w:eastAsia="Arial" w:hAnsi="Arial"/>
          <w:sz w:val="16"/>
          <w:szCs w:val="16"/>
          <w:color w:val="auto"/>
        </w:rPr>
        <w:t>employment or upon Company’s request at any other time, I will deliver to Company all of Company’s property, equipment, and documents, together with all copies thereof, and any other material containing or disclosing any Inventions, Third Party Information or Confidential Information and certify in writing that I have fully complied with the foregoing obligation. I agree that I will not copy, delete, or alter any information contained upon my Company computer or Company equipment before I return it to Company. In addition, if I have used any personal computer, server, or e-mail system to receive, store, review, prepare or transmit any Company information, including but not limited to, Confidential Information, I agree to provide the Company with a computer-useable copy of all such Confidential Information and then permanently delete and expunge such Confidential Information from those systems; and I agree to provide the Company access to my system as reasonably requested to verify that the necessary copying and/or deletion is completed. I further agree that any property situated on Company’s premises and owned by Company is subject to inspection by Company’s personnel at any time with or without notice. Prior to the termination of my employment or promptly after termination of my employment, I will cooperate with Company in attending an exit interview and certify in writing that I have complied with the requirements of this section.</w:t>
      </w:r>
    </w:p>
    <w:p>
      <w:pPr>
        <w:spacing w:after="0" w:line="75" w:lineRule="exact"/>
        <w:rPr>
          <w:sz w:val="20"/>
          <w:szCs w:val="20"/>
          <w:color w:val="auto"/>
        </w:rPr>
      </w:pPr>
    </w:p>
    <w:p>
      <w:pPr>
        <w:ind w:left="320" w:hanging="179"/>
        <w:spacing w:after="0"/>
        <w:tabs>
          <w:tab w:leader="none" w:pos="320" w:val="left"/>
        </w:tabs>
        <w:numPr>
          <w:ilvl w:val="0"/>
          <w:numId w:val="307"/>
        </w:numPr>
        <w:rPr>
          <w:rFonts w:ascii="Arial" w:cs="Arial" w:eastAsia="Arial" w:hAnsi="Arial"/>
          <w:sz w:val="17"/>
          <w:szCs w:val="17"/>
          <w:b w:val="1"/>
          <w:bCs w:val="1"/>
          <w:color w:val="auto"/>
        </w:rPr>
      </w:pPr>
      <w:r>
        <w:rPr>
          <w:rFonts w:ascii="Arial" w:cs="Arial" w:eastAsia="Arial" w:hAnsi="Arial"/>
          <w:sz w:val="17"/>
          <w:szCs w:val="17"/>
          <w:b w:val="1"/>
          <w:bCs w:val="1"/>
          <w:color w:val="auto"/>
        </w:rPr>
        <w:t>N</w:t>
      </w:r>
      <w:r>
        <w:rPr>
          <w:rFonts w:ascii="Arial" w:cs="Arial" w:eastAsia="Arial" w:hAnsi="Arial"/>
          <w:sz w:val="14"/>
          <w:szCs w:val="14"/>
          <w:b w:val="1"/>
          <w:bCs w:val="1"/>
          <w:color w:val="auto"/>
        </w:rPr>
        <w:t>OTIFICATION</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7"/>
          <w:szCs w:val="17"/>
          <w:b w:val="1"/>
          <w:bCs w:val="1"/>
          <w:color w:val="auto"/>
        </w:rPr>
        <w:t xml:space="preserve"> N</w:t>
      </w:r>
      <w:r>
        <w:rPr>
          <w:rFonts w:ascii="Arial" w:cs="Arial" w:eastAsia="Arial" w:hAnsi="Arial"/>
          <w:sz w:val="14"/>
          <w:szCs w:val="14"/>
          <w:b w:val="1"/>
          <w:bCs w:val="1"/>
          <w:color w:val="auto"/>
        </w:rPr>
        <w:t>EW</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MPLOYER</w:t>
      </w:r>
      <w:r>
        <w:rPr>
          <w:rFonts w:ascii="Arial" w:cs="Arial" w:eastAsia="Arial" w:hAnsi="Arial"/>
          <w:sz w:val="17"/>
          <w:szCs w:val="17"/>
          <w:b w:val="1"/>
          <w:bCs w:val="1"/>
          <w:color w:val="auto"/>
        </w:rPr>
        <w:t xml:space="preserve">. </w:t>
      </w:r>
      <w:r>
        <w:rPr>
          <w:rFonts w:ascii="Arial" w:cs="Arial" w:eastAsia="Arial" w:hAnsi="Arial"/>
          <w:sz w:val="17"/>
          <w:szCs w:val="17"/>
          <w:color w:val="auto"/>
        </w:rPr>
        <w:t>If I leave the employ of</w:t>
      </w:r>
    </w:p>
    <w:p>
      <w:pPr>
        <w:spacing w:after="0" w:line="32" w:lineRule="exact"/>
        <w:rPr>
          <w:sz w:val="20"/>
          <w:szCs w:val="20"/>
          <w:color w:val="auto"/>
        </w:rPr>
      </w:pPr>
    </w:p>
    <w:p>
      <w:pPr>
        <w:jc w:val="both"/>
        <w:ind w:left="140" w:right="180"/>
        <w:spacing w:after="0" w:line="265" w:lineRule="auto"/>
        <w:rPr>
          <w:sz w:val="20"/>
          <w:szCs w:val="20"/>
          <w:color w:val="auto"/>
        </w:rPr>
      </w:pPr>
      <w:r>
        <w:rPr>
          <w:rFonts w:ascii="Arial" w:cs="Arial" w:eastAsia="Arial" w:hAnsi="Arial"/>
          <w:sz w:val="17"/>
          <w:szCs w:val="17"/>
          <w:color w:val="auto"/>
        </w:rPr>
        <w:t>Company, I consent to the notification of my new employer of my rights and obligations under this Agreement, by Company providing a copy of this Agreement or otherwise.</w:t>
      </w:r>
    </w:p>
    <w:p>
      <w:pPr>
        <w:spacing w:after="0" w:line="277" w:lineRule="exact"/>
        <w:rPr>
          <w:sz w:val="20"/>
          <w:szCs w:val="20"/>
          <w:color w:val="auto"/>
        </w:rPr>
      </w:pPr>
    </w:p>
    <w:p>
      <w:pPr>
        <w:ind w:left="320" w:hanging="179"/>
        <w:spacing w:after="0"/>
        <w:tabs>
          <w:tab w:leader="none" w:pos="320" w:val="left"/>
        </w:tabs>
        <w:numPr>
          <w:ilvl w:val="0"/>
          <w:numId w:val="308"/>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4"/>
          <w:szCs w:val="14"/>
          <w:b w:val="1"/>
          <w:bCs w:val="1"/>
          <w:color w:val="auto"/>
        </w:rPr>
        <w:t>ENERAL</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ROVISIONS</w:t>
      </w:r>
      <w:r>
        <w:rPr>
          <w:rFonts w:ascii="Arial" w:cs="Arial" w:eastAsia="Arial" w:hAnsi="Arial"/>
          <w:sz w:val="17"/>
          <w:szCs w:val="17"/>
          <w:b w:val="1"/>
          <w:bCs w:val="1"/>
          <w:color w:val="auto"/>
        </w:rPr>
        <w:t>.</w:t>
      </w:r>
    </w:p>
    <w:p>
      <w:pPr>
        <w:spacing w:after="0" w:line="119" w:lineRule="exact"/>
        <w:rPr>
          <w:sz w:val="20"/>
          <w:szCs w:val="20"/>
          <w:color w:val="auto"/>
        </w:rPr>
      </w:pPr>
    </w:p>
    <w:p>
      <w:pPr>
        <w:ind w:left="140" w:right="160" w:firstLine="349"/>
        <w:spacing w:after="0" w:line="281" w:lineRule="auto"/>
        <w:rPr>
          <w:sz w:val="20"/>
          <w:szCs w:val="20"/>
          <w:color w:val="auto"/>
        </w:rPr>
      </w:pPr>
      <w:r>
        <w:rPr>
          <w:rFonts w:ascii="Arial" w:cs="Arial" w:eastAsia="Arial" w:hAnsi="Arial"/>
          <w:sz w:val="16"/>
          <w:szCs w:val="16"/>
          <w:b w:val="1"/>
          <w:bCs w:val="1"/>
          <w:color w:val="auto"/>
        </w:rPr>
        <w:t xml:space="preserve">7.1 Governing Law and Venue. </w:t>
      </w:r>
      <w:r>
        <w:rPr>
          <w:rFonts w:ascii="Arial" w:cs="Arial" w:eastAsia="Arial" w:hAnsi="Arial"/>
          <w:sz w:val="16"/>
          <w:szCs w:val="16"/>
          <w:color w:val="auto"/>
        </w:rPr>
        <w:t>This Agreement and any action</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thereto will be governed and interpreted by and under the laws of the State of California, without giving effect to any conflicts of laws principles that require the application of the law of a different state. I expressly consent to personal jurisdiction and venue in the state and federal courts for the county in which Company’s principal place of business is located for any lawsuit filed there against me by Company arising from or related to this Agreement.</w:t>
      </w:r>
    </w:p>
    <w:p>
      <w:pPr>
        <w:spacing w:after="0" w:line="58" w:lineRule="exact"/>
        <w:rPr>
          <w:sz w:val="20"/>
          <w:szCs w:val="20"/>
          <w:color w:val="auto"/>
        </w:rPr>
      </w:pPr>
    </w:p>
    <w:p>
      <w:pPr>
        <w:ind w:left="140" w:firstLine="349"/>
        <w:spacing w:after="0" w:line="267" w:lineRule="auto"/>
        <w:rPr>
          <w:sz w:val="20"/>
          <w:szCs w:val="20"/>
          <w:color w:val="auto"/>
        </w:rPr>
      </w:pPr>
      <w:r>
        <w:rPr>
          <w:rFonts w:ascii="Arial" w:cs="Arial" w:eastAsia="Arial" w:hAnsi="Arial"/>
          <w:sz w:val="17"/>
          <w:szCs w:val="17"/>
          <w:b w:val="1"/>
          <w:bCs w:val="1"/>
          <w:color w:val="auto"/>
        </w:rPr>
        <w:t xml:space="preserve">7.2 Severability. </w:t>
      </w:r>
      <w:r>
        <w:rPr>
          <w:rFonts w:ascii="Arial" w:cs="Arial" w:eastAsia="Arial" w:hAnsi="Arial"/>
          <w:sz w:val="17"/>
          <w:szCs w:val="17"/>
          <w:color w:val="auto"/>
        </w:rPr>
        <w:t>If any provision of this Agreement is,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reason, held to be invalid or unenforceable, the other provisions of this Agreement will remain enforceable and the invalid or unenforceable provision will be deemed modified so that it is valid and enforceable to the maximum extent permitted by law.</w:t>
      </w: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color w:val="auto"/>
        </w:rPr>
        <w:t>8</w:t>
      </w:r>
    </w:p>
    <w:p>
      <w:pPr>
        <w:sectPr>
          <w:pgSz w:w="11900" w:h="16838" w:orient="portrait"/>
          <w:cols w:equalWidth="0" w:num="2">
            <w:col w:w="5109" w:space="200"/>
            <w:col w:w="5380"/>
          </w:cols>
          <w:pgMar w:left="611" w:top="317" w:right="599" w:bottom="1440" w:gutter="0" w:footer="0" w:header="0"/>
        </w:sectPr>
      </w:pPr>
    </w:p>
    <w:bookmarkStart w:id="388" w:name="page389"/>
    <w:bookmarkEnd w:id="388"/>
    <w:p>
      <w:pPr>
        <w:ind w:right="140" w:firstLine="349"/>
        <w:spacing w:after="0" w:line="270" w:lineRule="auto"/>
        <w:rPr>
          <w:sz w:val="20"/>
          <w:szCs w:val="20"/>
          <w:color w:val="auto"/>
        </w:rPr>
      </w:pPr>
      <w:r>
        <w:rPr>
          <w:rFonts w:ascii="Arial" w:cs="Arial" w:eastAsia="Arial" w:hAnsi="Arial"/>
          <w:sz w:val="17"/>
          <w:szCs w:val="17"/>
          <w:b w:val="1"/>
          <w:bCs w:val="1"/>
          <w:color w:val="auto"/>
        </w:rPr>
        <w:t xml:space="preserve">7.3 Survival. </w:t>
      </w:r>
      <w:r>
        <w:rPr>
          <w:rFonts w:ascii="Arial" w:cs="Arial" w:eastAsia="Arial" w:hAnsi="Arial"/>
          <w:sz w:val="17"/>
          <w:szCs w:val="17"/>
          <w:color w:val="auto"/>
        </w:rPr>
        <w:t>This Agreement shall survive the termination of my</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and the assignment of this Agreement by Company to any successor or other assignee and be binding upon my heirs and legal representatives.</w:t>
      </w:r>
    </w:p>
    <w:p>
      <w:pPr>
        <w:spacing w:after="0" w:line="63" w:lineRule="exact"/>
        <w:rPr>
          <w:sz w:val="20"/>
          <w:szCs w:val="20"/>
          <w:color w:val="auto"/>
        </w:rPr>
      </w:pPr>
    </w:p>
    <w:p>
      <w:pPr>
        <w:ind w:right="460" w:firstLine="349"/>
        <w:spacing w:after="0" w:line="287" w:lineRule="auto"/>
        <w:rPr>
          <w:sz w:val="20"/>
          <w:szCs w:val="20"/>
          <w:color w:val="auto"/>
        </w:rPr>
      </w:pPr>
      <w:r>
        <w:rPr>
          <w:rFonts w:ascii="Arial" w:cs="Arial" w:eastAsia="Arial" w:hAnsi="Arial"/>
          <w:sz w:val="16"/>
          <w:szCs w:val="16"/>
          <w:b w:val="1"/>
          <w:bCs w:val="1"/>
          <w:color w:val="auto"/>
        </w:rPr>
        <w:t xml:space="preserve">7.4 Employment. </w:t>
      </w:r>
      <w:r>
        <w:rPr>
          <w:rFonts w:ascii="Arial" w:cs="Arial" w:eastAsia="Arial" w:hAnsi="Arial"/>
          <w:sz w:val="16"/>
          <w:szCs w:val="16"/>
          <w:color w:val="auto"/>
        </w:rPr>
        <w:t>I agree and understand that nothing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shall give me any right to continued employment by Company, and it will not interfere in any way with my right or Company’s right to terminate my employment at any time, with or without cause and with or without advance notice.</w:t>
      </w:r>
    </w:p>
    <w:p>
      <w:pPr>
        <w:spacing w:after="0" w:line="52" w:lineRule="exact"/>
        <w:rPr>
          <w:sz w:val="20"/>
          <w:szCs w:val="20"/>
          <w:color w:val="auto"/>
        </w:rPr>
      </w:pPr>
    </w:p>
    <w:p>
      <w:pPr>
        <w:ind w:right="60" w:firstLine="349"/>
        <w:spacing w:after="0" w:line="298" w:lineRule="auto"/>
        <w:rPr>
          <w:sz w:val="20"/>
          <w:szCs w:val="20"/>
          <w:color w:val="auto"/>
        </w:rPr>
      </w:pPr>
      <w:r>
        <w:rPr>
          <w:rFonts w:ascii="Arial" w:cs="Arial" w:eastAsia="Arial" w:hAnsi="Arial"/>
          <w:sz w:val="15"/>
          <w:szCs w:val="15"/>
          <w:b w:val="1"/>
          <w:bCs w:val="1"/>
          <w:color w:val="auto"/>
        </w:rPr>
        <w:t xml:space="preserve">7.5 Notices. </w:t>
      </w:r>
      <w:r>
        <w:rPr>
          <w:rFonts w:ascii="Arial" w:cs="Arial" w:eastAsia="Arial" w:hAnsi="Arial"/>
          <w:sz w:val="15"/>
          <w:szCs w:val="15"/>
          <w:color w:val="auto"/>
        </w:rPr>
        <w:t>Each party must deliver all notices or other</w:t>
      </w:r>
      <w:r>
        <w:rPr>
          <w:rFonts w:ascii="Arial" w:cs="Arial" w:eastAsia="Arial" w:hAnsi="Arial"/>
          <w:sz w:val="15"/>
          <w:szCs w:val="15"/>
          <w:b w:val="1"/>
          <w:bCs w:val="1"/>
          <w:color w:val="auto"/>
        </w:rPr>
        <w:t xml:space="preserve"> </w:t>
      </w:r>
      <w:r>
        <w:rPr>
          <w:rFonts w:ascii="Arial" w:cs="Arial" w:eastAsia="Arial" w:hAnsi="Arial"/>
          <w:sz w:val="15"/>
          <w:szCs w:val="15"/>
          <w:color w:val="auto"/>
        </w:rPr>
        <w:t>communications required or permitted under this Agreement in writing to the other party at the address listed on the signature page, by courier, by certified or registered mail (postage prepaid and return receipt requested), or by a nationally-recognized express mail service. Notice will be effective upon receipt or refusal of delivery. If delivered by certified or registered mail, notice will be considered to have been given five (5) business days after it was mailed, as evidenced by the postmark. If delivered by courier or express mail service, notice will be considered to have been given on the delivery date reflected by the courier or express mail service receipt. Each party may change its address for receipt of notice by giving notice of the change to the other party.</w:t>
      </w:r>
    </w:p>
    <w:p>
      <w:pPr>
        <w:spacing w:after="0" w:line="49" w:lineRule="exact"/>
        <w:rPr>
          <w:sz w:val="20"/>
          <w:szCs w:val="20"/>
          <w:color w:val="auto"/>
        </w:rPr>
      </w:pPr>
    </w:p>
    <w:p>
      <w:pPr>
        <w:ind w:firstLine="349"/>
        <w:spacing w:after="0" w:line="267" w:lineRule="auto"/>
        <w:rPr>
          <w:sz w:val="20"/>
          <w:szCs w:val="20"/>
          <w:color w:val="auto"/>
        </w:rPr>
      </w:pPr>
      <w:r>
        <w:rPr>
          <w:rFonts w:ascii="Arial" w:cs="Arial" w:eastAsia="Arial" w:hAnsi="Arial"/>
          <w:sz w:val="17"/>
          <w:szCs w:val="17"/>
          <w:b w:val="1"/>
          <w:bCs w:val="1"/>
          <w:color w:val="auto"/>
        </w:rPr>
        <w:t xml:space="preserve">7.6 Injunctive Relief. </w:t>
      </w:r>
      <w:r>
        <w:rPr>
          <w:rFonts w:ascii="Arial" w:cs="Arial" w:eastAsia="Arial" w:hAnsi="Arial"/>
          <w:sz w:val="17"/>
          <w:szCs w:val="17"/>
          <w:color w:val="auto"/>
        </w:rPr>
        <w:t>I acknowledge that, because my services are</w:t>
      </w:r>
      <w:r>
        <w:rPr>
          <w:rFonts w:ascii="Arial" w:cs="Arial" w:eastAsia="Arial" w:hAnsi="Arial"/>
          <w:sz w:val="17"/>
          <w:szCs w:val="17"/>
          <w:b w:val="1"/>
          <w:bCs w:val="1"/>
          <w:color w:val="auto"/>
        </w:rPr>
        <w:t xml:space="preserve"> </w:t>
      </w:r>
      <w:r>
        <w:rPr>
          <w:rFonts w:ascii="Arial" w:cs="Arial" w:eastAsia="Arial" w:hAnsi="Arial"/>
          <w:sz w:val="17"/>
          <w:szCs w:val="17"/>
          <w:color w:val="auto"/>
        </w:rPr>
        <w:t>personal and unique and because I will have access to the Confidential Information of Company, any breach of this Agreement by me would cause irreparable injury to Company for which monetary damages would not be an</w:t>
      </w:r>
    </w:p>
    <w:p>
      <w:pPr>
        <w:spacing w:after="0" w:line="20" w:lineRule="exact"/>
        <w:rPr>
          <w:sz w:val="20"/>
          <w:szCs w:val="20"/>
          <w:color w:val="auto"/>
        </w:rPr>
      </w:pPr>
      <w:r>
        <w:rPr>
          <w:sz w:val="20"/>
          <w:szCs w:val="20"/>
          <w:color w:val="auto"/>
        </w:rPr>
        <w:br w:type="column"/>
      </w:r>
    </w:p>
    <w:p>
      <w:pPr>
        <w:ind w:right="140"/>
        <w:spacing w:after="0" w:line="289" w:lineRule="auto"/>
        <w:rPr>
          <w:sz w:val="20"/>
          <w:szCs w:val="20"/>
          <w:color w:val="auto"/>
        </w:rPr>
      </w:pPr>
      <w:r>
        <w:rPr>
          <w:rFonts w:ascii="Arial" w:cs="Arial" w:eastAsia="Arial" w:hAnsi="Arial"/>
          <w:sz w:val="16"/>
          <w:szCs w:val="16"/>
          <w:color w:val="auto"/>
        </w:rPr>
        <w:t>adequate remedy and, therefore, will entitle Company to injunctive relief (including specific performance). The rights and remedies provided to each party in this Agreement are cumulative and in addition to any other rights and remedies available to such party at law or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-3704590</wp:posOffset>
            </wp:positionH>
            <wp:positionV relativeFrom="paragraph">
              <wp:posOffset>-678815</wp:posOffset>
            </wp:positionV>
            <wp:extent cx="7292975" cy="3746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spacing w:after="0" w:line="31" w:lineRule="exact"/>
        <w:rPr>
          <w:sz w:val="20"/>
          <w:szCs w:val="20"/>
          <w:color w:val="auto"/>
        </w:rPr>
      </w:pPr>
    </w:p>
    <w:p>
      <w:pPr>
        <w:ind w:right="80" w:firstLine="349"/>
        <w:spacing w:after="0" w:line="276" w:lineRule="auto"/>
        <w:rPr>
          <w:sz w:val="20"/>
          <w:szCs w:val="20"/>
          <w:color w:val="auto"/>
        </w:rPr>
      </w:pPr>
      <w:r>
        <w:rPr>
          <w:rFonts w:ascii="Arial" w:cs="Arial" w:eastAsia="Arial" w:hAnsi="Arial"/>
          <w:sz w:val="17"/>
          <w:szCs w:val="17"/>
          <w:b w:val="1"/>
          <w:bCs w:val="1"/>
          <w:color w:val="auto"/>
        </w:rPr>
        <w:t xml:space="preserve">7.7 Waiver. </w:t>
      </w:r>
      <w:r>
        <w:rPr>
          <w:rFonts w:ascii="Arial" w:cs="Arial" w:eastAsia="Arial" w:hAnsi="Arial"/>
          <w:sz w:val="17"/>
          <w:szCs w:val="17"/>
          <w:color w:val="auto"/>
        </w:rPr>
        <w:t>Any waiver or failure to enforce any provision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on one occasion will not be deemed a waiver of that provision or any other provision on any other occasion.</w:t>
      </w:r>
    </w:p>
    <w:p>
      <w:pPr>
        <w:spacing w:after="0" w:line="59" w:lineRule="exact"/>
        <w:rPr>
          <w:sz w:val="20"/>
          <w:szCs w:val="20"/>
          <w:color w:val="auto"/>
        </w:rPr>
      </w:pPr>
    </w:p>
    <w:p>
      <w:pPr>
        <w:ind w:right="20" w:firstLine="349"/>
        <w:spacing w:after="0" w:line="270" w:lineRule="auto"/>
        <w:rPr>
          <w:sz w:val="20"/>
          <w:szCs w:val="20"/>
          <w:color w:val="auto"/>
        </w:rPr>
      </w:pPr>
      <w:r>
        <w:rPr>
          <w:rFonts w:ascii="Arial" w:cs="Arial" w:eastAsia="Arial" w:hAnsi="Arial"/>
          <w:sz w:val="17"/>
          <w:szCs w:val="17"/>
          <w:b w:val="1"/>
          <w:bCs w:val="1"/>
          <w:color w:val="auto"/>
        </w:rPr>
        <w:t xml:space="preserve">7.8 Export. </w:t>
      </w:r>
      <w:r>
        <w:rPr>
          <w:rFonts w:ascii="Arial" w:cs="Arial" w:eastAsia="Arial" w:hAnsi="Arial"/>
          <w:sz w:val="17"/>
          <w:szCs w:val="17"/>
          <w:color w:val="auto"/>
        </w:rPr>
        <w:t>I agree not to export, directly or indirectly, any U.S.</w:t>
      </w:r>
      <w:r>
        <w:rPr>
          <w:rFonts w:ascii="Arial" w:cs="Arial" w:eastAsia="Arial" w:hAnsi="Arial"/>
          <w:sz w:val="17"/>
          <w:szCs w:val="17"/>
          <w:b w:val="1"/>
          <w:bCs w:val="1"/>
          <w:color w:val="auto"/>
        </w:rPr>
        <w:t xml:space="preserve"> </w:t>
      </w:r>
      <w:r>
        <w:rPr>
          <w:rFonts w:ascii="Arial" w:cs="Arial" w:eastAsia="Arial" w:hAnsi="Arial"/>
          <w:sz w:val="17"/>
          <w:szCs w:val="17"/>
          <w:color w:val="auto"/>
        </w:rPr>
        <w:t>technical data acquired from Company or any products utilizing such data, to countries outside the United States, because such export could be in violation of the United States export laws or regulations.</w:t>
      </w:r>
    </w:p>
    <w:p>
      <w:pPr>
        <w:spacing w:after="0" w:line="63" w:lineRule="exact"/>
        <w:rPr>
          <w:sz w:val="20"/>
          <w:szCs w:val="20"/>
          <w:color w:val="auto"/>
        </w:rPr>
      </w:pPr>
    </w:p>
    <w:p>
      <w:pPr>
        <w:ind w:right="60" w:firstLine="349"/>
        <w:spacing w:after="0" w:line="278" w:lineRule="auto"/>
        <w:rPr>
          <w:sz w:val="20"/>
          <w:szCs w:val="20"/>
          <w:color w:val="auto"/>
        </w:rPr>
      </w:pPr>
      <w:r>
        <w:rPr>
          <w:rFonts w:ascii="Arial" w:cs="Arial" w:eastAsia="Arial" w:hAnsi="Arial"/>
          <w:sz w:val="16"/>
          <w:szCs w:val="16"/>
          <w:b w:val="1"/>
          <w:bCs w:val="1"/>
          <w:color w:val="auto"/>
        </w:rPr>
        <w:t xml:space="preserve">7.9 Entire Agreement. </w:t>
      </w:r>
      <w:r>
        <w:rPr>
          <w:rFonts w:ascii="Arial" w:cs="Arial" w:eastAsia="Arial" w:hAnsi="Arial"/>
          <w:sz w:val="16"/>
          <w:szCs w:val="16"/>
          <w:color w:val="auto"/>
        </w:rPr>
        <w:t>If no other agreement governs nondisclosure</w:t>
      </w:r>
      <w:r>
        <w:rPr>
          <w:rFonts w:ascii="Arial" w:cs="Arial" w:eastAsia="Arial" w:hAnsi="Arial"/>
          <w:sz w:val="16"/>
          <w:szCs w:val="16"/>
          <w:b w:val="1"/>
          <w:bCs w:val="1"/>
          <w:color w:val="auto"/>
        </w:rPr>
        <w:t xml:space="preserve"> </w:t>
      </w:r>
      <w:r>
        <w:rPr>
          <w:rFonts w:ascii="Arial" w:cs="Arial" w:eastAsia="Arial" w:hAnsi="Arial"/>
          <w:sz w:val="16"/>
          <w:szCs w:val="16"/>
          <w:color w:val="auto"/>
        </w:rPr>
        <w:t>and assignment of inventions during any period in which I was previously employed or am in the future employed by Company as an independent contractor, the obligations pursuant to sections of this Agreement titled “Confidential Information Protections” and “Inventions” shall apply. This Agreement is the final, complete and exclusive agreement of the parties with respect to the subject matter hereof and supersedes and merges all prior communications between us with respect to such matters. No modification of or amendment to this Agreement, or any waiver of any rights under this Agreement, will be effective unless in writing and signed by me and the CEO of Company. Any subsequent change or changes in my duties, salary or compensation will not affect the validity or scope of this Agreement.</w:t>
      </w:r>
    </w:p>
    <w:p>
      <w:pPr>
        <w:spacing w:after="0" w:line="611" w:lineRule="exact"/>
        <w:rPr>
          <w:sz w:val="20"/>
          <w:szCs w:val="20"/>
          <w:color w:val="auto"/>
        </w:rPr>
      </w:pPr>
    </w:p>
    <w:p>
      <w:pPr>
        <w:sectPr>
          <w:pgSz w:w="11900" w:h="16838" w:orient="portrait"/>
          <w:cols w:equalWidth="0" w:num="2">
            <w:col w:w="5100" w:space="340"/>
            <w:col w:w="5240"/>
          </w:cols>
          <w:pgMar w:left="620" w:top="318" w:right="599" w:bottom="1440" w:gutter="0" w:footer="0" w:header="0"/>
        </w:sectPr>
      </w:pPr>
    </w:p>
    <w:p>
      <w:pPr>
        <w:spacing w:after="0" w:line="14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This Agreement shall be effective as of the first day of my employment with Company.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tcPr>
          <w:p>
            <w:pPr>
              <w:spacing w:after="0"/>
              <w:rPr>
                <w:sz w:val="20"/>
                <w:szCs w:val="20"/>
                <w:color w:val="auto"/>
              </w:rPr>
            </w:pPr>
            <w:r>
              <w:rPr>
                <w:rFonts w:ascii="Arial" w:cs="Arial" w:eastAsia="Arial" w:hAnsi="Arial"/>
                <w:sz w:val="17"/>
                <w:szCs w:val="17"/>
                <w:b w:val="1"/>
                <w:bCs w:val="1"/>
                <w:color w:val="auto"/>
              </w:rPr>
              <w:t>EMPLOYEE:</w:t>
            </w:r>
          </w:p>
        </w:tc>
        <w:tc>
          <w:tcPr>
            <w:tcW w:w="38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7"/>
                <w:szCs w:val="17"/>
                <w:b w:val="1"/>
                <w:bCs w:val="1"/>
                <w:color w:val="auto"/>
              </w:rPr>
              <w:t>COMPANY:</w:t>
            </w:r>
          </w:p>
        </w:tc>
        <w:tc>
          <w:tcPr>
            <w:tcW w:w="0" w:type="dxa"/>
            <w:vAlign w:val="bottom"/>
          </w:tcPr>
          <w:p>
            <w:pPr>
              <w:spacing w:after="0"/>
              <w:rPr>
                <w:sz w:val="1"/>
                <w:szCs w:val="1"/>
                <w:color w:val="auto"/>
              </w:rPr>
            </w:pPr>
          </w:p>
        </w:tc>
      </w:tr>
      <w:tr>
        <w:trPr>
          <w:trHeight w:val="419"/>
        </w:trPr>
        <w:tc>
          <w:tcPr>
            <w:tcW w:w="5380" w:type="dxa"/>
            <w:vAlign w:val="bottom"/>
          </w:tcPr>
          <w:p>
            <w:pPr>
              <w:spacing w:after="0"/>
              <w:rPr>
                <w:sz w:val="20"/>
                <w:szCs w:val="20"/>
                <w:color w:val="auto"/>
              </w:rPr>
            </w:pPr>
            <w:r>
              <w:rPr>
                <w:rFonts w:ascii="Arial" w:cs="Arial" w:eastAsia="Arial" w:hAnsi="Arial"/>
                <w:sz w:val="17"/>
                <w:szCs w:val="17"/>
                <w:b w:val="1"/>
                <w:bCs w:val="1"/>
                <w:color w:val="auto"/>
              </w:rPr>
              <w:t xml:space="preserve">I </w:t>
            </w:r>
            <w:r>
              <w:rPr>
                <w:rFonts w:ascii="Arial" w:cs="Arial" w:eastAsia="Arial" w:hAnsi="Arial"/>
                <w:sz w:val="14"/>
                <w:szCs w:val="14"/>
                <w:b w:val="1"/>
                <w:bCs w:val="1"/>
                <w:color w:val="auto"/>
              </w:rPr>
              <w:t>HAVE READ</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UNDERSTAND</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AND ACCEPT THIS AGREEMENT AND HAVE</w:t>
            </w:r>
          </w:p>
        </w:tc>
        <w:tc>
          <w:tcPr>
            <w:tcW w:w="38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CCEPTED AND AGREED</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20"/>
                <w:szCs w:val="20"/>
                <w:color w:val="auto"/>
              </w:rPr>
            </w:pPr>
            <w:r>
              <w:rPr>
                <w:rFonts w:ascii="Arial" w:cs="Arial" w:eastAsia="Arial" w:hAnsi="Arial"/>
                <w:sz w:val="15"/>
                <w:szCs w:val="15"/>
                <w:b w:val="1"/>
                <w:bCs w:val="1"/>
                <w:color w:val="auto"/>
              </w:rPr>
              <w:t>BEEN GIVEN THE OPPORTUNITY TO REVIEW IT WITH INDEPENDENT</w:t>
            </w: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380" w:type="dxa"/>
            <w:vAlign w:val="bottom"/>
          </w:tcPr>
          <w:p>
            <w:pPr>
              <w:spacing w:after="0"/>
              <w:rPr>
                <w:sz w:val="20"/>
                <w:szCs w:val="20"/>
                <w:color w:val="auto"/>
              </w:rPr>
            </w:pPr>
            <w:r>
              <w:rPr>
                <w:rFonts w:ascii="Arial" w:cs="Arial" w:eastAsia="Arial" w:hAnsi="Arial"/>
                <w:sz w:val="15"/>
                <w:szCs w:val="15"/>
                <w:b w:val="1"/>
                <w:bCs w:val="1"/>
                <w:color w:val="auto"/>
              </w:rPr>
              <w:t>LEGAL COUNSEL</w:t>
            </w: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380" w:type="dxa"/>
            <w:vAlign w:val="bottom"/>
            <w:tcBorders>
              <w:bottom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44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380" w:type="dxa"/>
            <w:vAlign w:val="bottom"/>
          </w:tcPr>
          <w:p>
            <w:pPr>
              <w:ind w:left="2280"/>
              <w:spacing w:after="0"/>
              <w:rPr>
                <w:sz w:val="20"/>
                <w:szCs w:val="20"/>
                <w:color w:val="auto"/>
              </w:rPr>
            </w:pPr>
            <w:r>
              <w:rPr>
                <w:rFonts w:ascii="Arial" w:cs="Arial" w:eastAsia="Arial" w:hAnsi="Arial"/>
                <w:sz w:val="17"/>
                <w:szCs w:val="17"/>
                <w:i w:val="1"/>
                <w:iCs w:val="1"/>
                <w:color w:val="auto"/>
              </w:rPr>
              <w:t>(Signature)</w:t>
            </w: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0" w:type="dxa"/>
            <w:vAlign w:val="bottom"/>
          </w:tcPr>
          <w:p>
            <w:pPr>
              <w:ind w:left="1540"/>
              <w:spacing w:after="0"/>
              <w:rPr>
                <w:sz w:val="20"/>
                <w:szCs w:val="20"/>
                <w:color w:val="auto"/>
              </w:rPr>
            </w:pPr>
            <w:r>
              <w:rPr>
                <w:rFonts w:ascii="Arial" w:cs="Arial" w:eastAsia="Arial" w:hAnsi="Arial"/>
                <w:sz w:val="17"/>
                <w:szCs w:val="17"/>
                <w:i w:val="1"/>
                <w:iCs w:val="1"/>
                <w:color w:val="auto"/>
              </w:rPr>
              <w:t>(Signature)</w:t>
            </w:r>
          </w:p>
        </w:tc>
        <w:tc>
          <w:tcPr>
            <w:tcW w:w="0" w:type="dxa"/>
            <w:vAlign w:val="bottom"/>
          </w:tcPr>
          <w:p>
            <w:pPr>
              <w:spacing w:after="0"/>
              <w:rPr>
                <w:sz w:val="1"/>
                <w:szCs w:val="1"/>
                <w:color w:val="auto"/>
              </w:rPr>
            </w:pPr>
          </w:p>
        </w:tc>
      </w:tr>
      <w:tr>
        <w:trPr>
          <w:trHeight w:val="445"/>
        </w:trPr>
        <w:tc>
          <w:tcPr>
            <w:tcW w:w="5380" w:type="dxa"/>
            <w:vAlign w:val="bottom"/>
          </w:tcPr>
          <w:p>
            <w:pPr>
              <w:spacing w:after="0"/>
              <w:rPr>
                <w:sz w:val="20"/>
                <w:szCs w:val="20"/>
                <w:color w:val="auto"/>
              </w:rPr>
            </w:pPr>
            <w:r>
              <w:rPr>
                <w:rFonts w:ascii="Arial" w:cs="Arial" w:eastAsia="Arial" w:hAnsi="Arial"/>
                <w:sz w:val="17"/>
                <w:szCs w:val="17"/>
                <w:color w:val="auto"/>
              </w:rPr>
              <w:t>By:</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0" w:type="dxa"/>
            <w:vAlign w:val="bottom"/>
            <w:vMerge w:val="restart"/>
          </w:tcPr>
          <w:p>
            <w:pPr>
              <w:ind w:left="20"/>
              <w:spacing w:after="0"/>
              <w:rPr>
                <w:sz w:val="20"/>
                <w:szCs w:val="20"/>
                <w:color w:val="auto"/>
              </w:rPr>
            </w:pPr>
            <w:r>
              <w:rPr>
                <w:rFonts w:ascii="Arial" w:cs="Arial" w:eastAsia="Arial" w:hAnsi="Arial"/>
                <w:sz w:val="17"/>
                <w:szCs w:val="17"/>
                <w:color w:val="auto"/>
              </w:rPr>
              <w:t>William J. Rieflin</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7"/>
                <w:szCs w:val="17"/>
                <w:color w:val="auto"/>
              </w:rPr>
              <w:t>By:</w:t>
            </w:r>
          </w:p>
        </w:tc>
        <w:tc>
          <w:tcPr>
            <w:tcW w:w="4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20"/>
                <w:szCs w:val="20"/>
                <w:color w:val="auto"/>
              </w:rPr>
            </w:pPr>
            <w:r>
              <w:rPr>
                <w:rFonts w:ascii="Arial" w:cs="Arial" w:eastAsia="Arial" w:hAnsi="Arial"/>
                <w:sz w:val="17"/>
                <w:szCs w:val="17"/>
                <w:color w:val="auto"/>
              </w:rPr>
              <w:t>Title:</w:t>
            </w:r>
          </w:p>
        </w:tc>
        <w:tc>
          <w:tcPr>
            <w:tcW w:w="4400" w:type="dxa"/>
            <w:vAlign w:val="bottom"/>
          </w:tcPr>
          <w:p>
            <w:pPr>
              <w:ind w:left="20"/>
              <w:spacing w:after="0"/>
              <w:rPr>
                <w:sz w:val="20"/>
                <w:szCs w:val="20"/>
                <w:color w:val="auto"/>
              </w:rPr>
            </w:pPr>
            <w:r>
              <w:rPr>
                <w:rFonts w:ascii="Arial" w:cs="Arial" w:eastAsia="Arial" w:hAnsi="Arial"/>
                <w:sz w:val="17"/>
                <w:szCs w:val="17"/>
                <w:color w:val="auto"/>
              </w:rPr>
              <w:t>CEO</w:t>
            </w:r>
          </w:p>
        </w:tc>
        <w:tc>
          <w:tcPr>
            <w:tcW w:w="0" w:type="dxa"/>
            <w:vAlign w:val="bottom"/>
          </w:tcPr>
          <w:p>
            <w:pPr>
              <w:spacing w:after="0"/>
              <w:rPr>
                <w:sz w:val="1"/>
                <w:szCs w:val="1"/>
                <w:color w:val="auto"/>
              </w:rPr>
            </w:pPr>
          </w:p>
        </w:tc>
      </w:tr>
      <w:tr>
        <w:trPr>
          <w:trHeight w:val="222"/>
        </w:trPr>
        <w:tc>
          <w:tcPr>
            <w:tcW w:w="5380" w:type="dxa"/>
            <w:vAlign w:val="bottom"/>
          </w:tcPr>
          <w:p>
            <w:pPr>
              <w:spacing w:after="0"/>
              <w:rPr>
                <w:sz w:val="20"/>
                <w:szCs w:val="20"/>
                <w:color w:val="auto"/>
              </w:rPr>
            </w:pPr>
            <w:r>
              <w:rPr>
                <w:rFonts w:ascii="Arial" w:cs="Arial" w:eastAsia="Arial" w:hAnsi="Arial"/>
                <w:sz w:val="17"/>
                <w:szCs w:val="17"/>
                <w:color w:val="auto"/>
              </w:rPr>
              <w:t>Title:</w:t>
            </w:r>
          </w:p>
        </w:tc>
        <w:tc>
          <w:tcPr>
            <w:tcW w:w="38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4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678497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6">
                      <a:extLst>
                        <a:ext uri="{28A0092B-C50C-407E-A947-70E740481C1C}"/>
                      </a:extLst>
                    </a:blip>
                    <a:srcRect/>
                    <a:stretch>
                      <a:fillRect/>
                    </a:stretch>
                  </pic:blipFill>
                  <pic:spPr bwMode="auto">
                    <a:xfrm>
                      <a:off x="0" y="0"/>
                      <a:ext cx="6784975" cy="8255"/>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20"/>
                <w:szCs w:val="20"/>
                <w:color w:val="auto"/>
              </w:rPr>
            </w:pPr>
            <w:r>
              <w:rPr>
                <w:rFonts w:ascii="Arial" w:cs="Arial" w:eastAsia="Arial" w:hAnsi="Arial"/>
                <w:sz w:val="17"/>
                <w:szCs w:val="17"/>
                <w:color w:val="auto"/>
              </w:rPr>
              <w:t>Date:</w:t>
            </w:r>
          </w:p>
        </w:tc>
        <w:tc>
          <w:tcPr>
            <w:tcW w:w="3900" w:type="dxa"/>
            <w:vAlign w:val="bottom"/>
          </w:tcPr>
          <w:p>
            <w:pPr>
              <w:ind w:left="380"/>
              <w:spacing w:after="0"/>
              <w:rPr>
                <w:sz w:val="20"/>
                <w:szCs w:val="20"/>
                <w:color w:val="auto"/>
              </w:rPr>
            </w:pPr>
            <w:r>
              <w:rPr>
                <w:rFonts w:ascii="Arial" w:cs="Arial" w:eastAsia="Arial" w:hAnsi="Arial"/>
                <w:sz w:val="17"/>
                <w:szCs w:val="17"/>
                <w:color w:val="auto"/>
              </w:rPr>
              <w:t>Address: 630 Gateway Boulevard</w:t>
            </w:r>
          </w:p>
        </w:tc>
      </w:tr>
      <w:tr>
        <w:trPr>
          <w:trHeight w:val="222"/>
        </w:trPr>
        <w:tc>
          <w:tcPr>
            <w:tcW w:w="5380" w:type="dxa"/>
            <w:vAlign w:val="bottom"/>
            <w:tcBorders>
              <w:bottom w:val="single" w:sz="8" w:color="auto"/>
            </w:tcBorders>
          </w:tcPr>
          <w:p>
            <w:pPr>
              <w:spacing w:after="0"/>
              <w:rPr>
                <w:sz w:val="19"/>
                <w:szCs w:val="19"/>
                <w:color w:val="auto"/>
              </w:rPr>
            </w:pPr>
          </w:p>
        </w:tc>
        <w:tc>
          <w:tcPr>
            <w:tcW w:w="3900" w:type="dxa"/>
            <w:vAlign w:val="bottom"/>
          </w:tcPr>
          <w:p>
            <w:pPr>
              <w:ind w:left="1260"/>
              <w:spacing w:after="0"/>
              <w:rPr>
                <w:sz w:val="20"/>
                <w:szCs w:val="20"/>
                <w:color w:val="auto"/>
              </w:rPr>
            </w:pPr>
            <w:r>
              <w:rPr>
                <w:rFonts w:ascii="Arial" w:cs="Arial" w:eastAsia="Arial" w:hAnsi="Arial"/>
                <w:sz w:val="17"/>
                <w:szCs w:val="17"/>
                <w:color w:val="auto"/>
                <w:w w:val="91"/>
              </w:rPr>
              <w:t>South San Francisco, CA 94080-7014</w:t>
            </w:r>
          </w:p>
        </w:tc>
      </w:tr>
      <w:tr>
        <w:trPr>
          <w:trHeight w:val="320"/>
        </w:trPr>
        <w:tc>
          <w:tcPr>
            <w:tcW w:w="5380" w:type="dxa"/>
            <w:vAlign w:val="bottom"/>
          </w:tcPr>
          <w:p>
            <w:pPr>
              <w:spacing w:after="0"/>
              <w:rPr>
                <w:sz w:val="20"/>
                <w:szCs w:val="20"/>
                <w:color w:val="auto"/>
              </w:rPr>
            </w:pPr>
            <w:r>
              <w:rPr>
                <w:rFonts w:ascii="Arial" w:cs="Arial" w:eastAsia="Arial" w:hAnsi="Arial"/>
                <w:sz w:val="17"/>
                <w:szCs w:val="17"/>
                <w:color w:val="auto"/>
              </w:rPr>
              <w:t>Address:</w:t>
            </w:r>
          </w:p>
        </w:tc>
        <w:tc>
          <w:tcPr>
            <w:tcW w:w="3900" w:type="dxa"/>
            <w:vAlign w:val="bottom"/>
          </w:tcPr>
          <w:p>
            <w:pPr>
              <w:spacing w:after="0"/>
              <w:rPr>
                <w:sz w:val="24"/>
                <w:szCs w:val="24"/>
                <w:color w:val="auto"/>
              </w:rPr>
            </w:pPr>
          </w:p>
        </w:tc>
      </w:tr>
      <w:tr>
        <w:trPr>
          <w:trHeight w:val="210"/>
        </w:trPr>
        <w:tc>
          <w:tcPr>
            <w:tcW w:w="5380" w:type="dxa"/>
            <w:vAlign w:val="bottom"/>
            <w:tcBorders>
              <w:bottom w:val="single" w:sz="8" w:color="auto"/>
            </w:tcBorders>
          </w:tcPr>
          <w:p>
            <w:pPr>
              <w:spacing w:after="0"/>
              <w:rPr>
                <w:sz w:val="18"/>
                <w:szCs w:val="18"/>
                <w:color w:val="auto"/>
              </w:rPr>
            </w:pPr>
          </w:p>
        </w:tc>
        <w:tc>
          <w:tcPr>
            <w:tcW w:w="3900" w:type="dxa"/>
            <w:vAlign w:val="bottom"/>
          </w:tcPr>
          <w:p>
            <w:pPr>
              <w:spacing w:after="0"/>
              <w:rPr>
                <w:sz w:val="18"/>
                <w:szCs w:val="18"/>
                <w:color w:val="auto"/>
              </w:rPr>
            </w:pPr>
          </w:p>
        </w:tc>
      </w:tr>
    </w:tbl>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680"/>
          </w:cols>
          <w:pgMar w:left="620" w:top="318" w:right="599" w:bottom="1440" w:gutter="0" w:footer="0" w:header="0"/>
          <w:type w:val="continuous"/>
        </w:sectPr>
      </w:pPr>
    </w:p>
    <w:bookmarkStart w:id="389" w:name="page390"/>
    <w:bookmarkEnd w:id="389"/>
    <w:p>
      <w:pPr>
        <w:jc w:val="center"/>
        <w:ind w:right="-48"/>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A</w:t>
      </w:r>
    </w:p>
    <w:p>
      <w:pPr>
        <w:spacing w:after="0" w:line="224" w:lineRule="exact"/>
        <w:rPr>
          <w:sz w:val="20"/>
          <w:szCs w:val="20"/>
          <w:color w:val="auto"/>
        </w:rPr>
      </w:pPr>
    </w:p>
    <w:p>
      <w:pPr>
        <w:jc w:val="center"/>
        <w:ind w:right="-48"/>
        <w:spacing w:after="0"/>
        <w:rPr>
          <w:sz w:val="20"/>
          <w:szCs w:val="20"/>
          <w:color w:val="auto"/>
        </w:rPr>
      </w:pPr>
      <w:r>
        <w:rPr>
          <w:rFonts w:ascii="Arial" w:cs="Arial" w:eastAsia="Arial" w:hAnsi="Arial"/>
          <w:sz w:val="17"/>
          <w:szCs w:val="17"/>
          <w:b w:val="1"/>
          <w:bCs w:val="1"/>
          <w:color w:val="auto"/>
        </w:rPr>
        <w:t>INVENTIONS</w:t>
      </w:r>
    </w:p>
    <w:p>
      <w:pPr>
        <w:spacing w:after="0" w:line="224" w:lineRule="exact"/>
        <w:rPr>
          <w:sz w:val="20"/>
          <w:szCs w:val="20"/>
          <w:color w:val="auto"/>
        </w:rPr>
      </w:pPr>
    </w:p>
    <w:p>
      <w:pPr>
        <w:ind w:left="9" w:right="780" w:hanging="9"/>
        <w:spacing w:after="0" w:line="296" w:lineRule="auto"/>
        <w:tabs>
          <w:tab w:leader="none" w:pos="183" w:val="left"/>
        </w:tabs>
        <w:numPr>
          <w:ilvl w:val="0"/>
          <w:numId w:val="30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Prior Inventions Disclosure. </w:t>
      </w:r>
      <w:r>
        <w:rPr>
          <w:rFonts w:ascii="Arial" w:cs="Arial" w:eastAsia="Arial" w:hAnsi="Arial"/>
          <w:sz w:val="17"/>
          <w:szCs w:val="17"/>
          <w:color w:val="auto"/>
        </w:rPr>
        <w:t>The following is a complete list of all Prior Inventions (as provided in Section 2.2 of the attached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Confidential Information and Inventions Assignment Agreement, defined herein as the “Agreement”):</w:t>
      </w:r>
    </w:p>
    <w:p>
      <w:pPr>
        <w:spacing w:after="0" w:line="60" w:lineRule="exact"/>
        <w:rPr>
          <w:rFonts w:ascii="Arial" w:cs="Arial" w:eastAsia="Arial" w:hAnsi="Arial"/>
          <w:sz w:val="17"/>
          <w:szCs w:val="17"/>
          <w:b w:val="1"/>
          <w:bCs w:val="1"/>
          <w:color w:val="auto"/>
        </w:rPr>
      </w:pPr>
    </w:p>
    <w:p>
      <w:pPr>
        <w:ind w:left="1089" w:hanging="656"/>
        <w:spacing w:after="0"/>
        <w:tabs>
          <w:tab w:leader="none" w:pos="1089" w:val="left"/>
        </w:tabs>
        <w:numPr>
          <w:ilvl w:val="1"/>
          <w:numId w:val="309"/>
        </w:numPr>
        <w:rPr>
          <w:rFonts w:ascii="MS PGothic" w:cs="MS PGothic" w:eastAsia="MS PGothic" w:hAnsi="MS PGothic"/>
          <w:sz w:val="17"/>
          <w:szCs w:val="17"/>
          <w:color w:val="auto"/>
        </w:rPr>
      </w:pPr>
      <w:r>
        <w:rPr>
          <w:rFonts w:ascii="Arial" w:cs="Arial" w:eastAsia="Arial" w:hAnsi="Arial"/>
          <w:sz w:val="17"/>
          <w:szCs w:val="17"/>
          <w:color w:val="auto"/>
        </w:rPr>
        <w:t>None</w:t>
      </w:r>
    </w:p>
    <w:p>
      <w:pPr>
        <w:spacing w:after="0" w:line="118" w:lineRule="exact"/>
        <w:rPr>
          <w:rFonts w:ascii="MS PGothic" w:cs="MS PGothic" w:eastAsia="MS PGothic" w:hAnsi="MS PGothic"/>
          <w:sz w:val="17"/>
          <w:szCs w:val="17"/>
          <w:color w:val="auto"/>
        </w:rPr>
      </w:pPr>
    </w:p>
    <w:p>
      <w:pPr>
        <w:ind w:left="1089" w:hanging="656"/>
        <w:spacing w:after="0"/>
        <w:tabs>
          <w:tab w:leader="none" w:pos="1089" w:val="left"/>
        </w:tabs>
        <w:numPr>
          <w:ilvl w:val="1"/>
          <w:numId w:val="309"/>
        </w:numPr>
        <w:rPr>
          <w:rFonts w:ascii="MS PGothic" w:cs="MS PGothic" w:eastAsia="MS PGothic" w:hAnsi="MS PGothic"/>
          <w:sz w:val="17"/>
          <w:szCs w:val="17"/>
          <w:color w:val="auto"/>
        </w:rPr>
      </w:pPr>
      <w:r>
        <w:rPr>
          <w:rFonts w:ascii="Arial" w:cs="Arial" w:eastAsia="Arial" w:hAnsi="Arial"/>
          <w:sz w:val="17"/>
          <w:szCs w:val="17"/>
          <w:color w:val="auto"/>
        </w:rPr>
        <w:t>See immediately below:</w:t>
      </w:r>
    </w:p>
    <w:p>
      <w:pPr>
        <w:spacing w:after="0" w:line="200" w:lineRule="exact"/>
        <w:rPr>
          <w:rFonts w:ascii="MS PGothic" w:cs="MS PGothic" w:eastAsia="MS PGothic" w:hAnsi="MS PGothic"/>
          <w:sz w:val="17"/>
          <w:szCs w:val="17"/>
          <w:color w:val="auto"/>
        </w:rPr>
      </w:pPr>
    </w:p>
    <w:p>
      <w:pPr>
        <w:spacing w:after="0" w:line="200" w:lineRule="exact"/>
        <w:rPr>
          <w:rFonts w:ascii="MS PGothic" w:cs="MS PGothic" w:eastAsia="MS PGothic" w:hAnsi="MS PGothic"/>
          <w:sz w:val="17"/>
          <w:szCs w:val="17"/>
          <w:color w:val="auto"/>
        </w:rPr>
      </w:pPr>
    </w:p>
    <w:p>
      <w:pPr>
        <w:spacing w:after="0" w:line="200" w:lineRule="exact"/>
        <w:rPr>
          <w:rFonts w:ascii="MS PGothic" w:cs="MS PGothic" w:eastAsia="MS PGothic" w:hAnsi="MS PGothic"/>
          <w:sz w:val="17"/>
          <w:szCs w:val="17"/>
          <w:color w:val="auto"/>
        </w:rPr>
      </w:pPr>
    </w:p>
    <w:p>
      <w:pPr>
        <w:spacing w:after="0" w:line="200" w:lineRule="exact"/>
        <w:rPr>
          <w:rFonts w:ascii="MS PGothic" w:cs="MS PGothic" w:eastAsia="MS PGothic" w:hAnsi="MS PGothic"/>
          <w:sz w:val="17"/>
          <w:szCs w:val="17"/>
          <w:color w:val="auto"/>
        </w:rPr>
      </w:pPr>
    </w:p>
    <w:p>
      <w:pPr>
        <w:spacing w:after="0" w:line="203" w:lineRule="exact"/>
        <w:rPr>
          <w:rFonts w:ascii="MS PGothic" w:cs="MS PGothic" w:eastAsia="MS PGothic" w:hAnsi="MS PGothic"/>
          <w:sz w:val="17"/>
          <w:szCs w:val="17"/>
          <w:color w:val="auto"/>
        </w:rPr>
      </w:pPr>
    </w:p>
    <w:p>
      <w:pPr>
        <w:ind w:left="169" w:hanging="169"/>
        <w:spacing w:after="0"/>
        <w:tabs>
          <w:tab w:leader="none" w:pos="169" w:val="left"/>
        </w:tabs>
        <w:numPr>
          <w:ilvl w:val="0"/>
          <w:numId w:val="309"/>
        </w:numPr>
        <w:rPr>
          <w:rFonts w:ascii="Arial" w:cs="Arial" w:eastAsia="Arial" w:hAnsi="Arial"/>
          <w:sz w:val="17"/>
          <w:szCs w:val="17"/>
          <w:b w:val="1"/>
          <w:bCs w:val="1"/>
          <w:color w:val="auto"/>
        </w:rPr>
      </w:pPr>
      <w:r>
        <w:rPr>
          <w:rFonts w:ascii="Arial" w:cs="Arial" w:eastAsia="Arial" w:hAnsi="Arial"/>
          <w:sz w:val="17"/>
          <w:szCs w:val="17"/>
          <w:b w:val="1"/>
          <w:bCs w:val="1"/>
          <w:color w:val="auto"/>
        </w:rPr>
        <w:t>Limited Exclusion Notification.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-544195</wp:posOffset>
            </wp:positionV>
            <wp:extent cx="59867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8">
                      <a:extLst>
                        <a:ext uri="{28A0092B-C50C-407E-A947-70E740481C1C}"/>
                      </a:extLst>
                    </a:blip>
                    <a:srcRect/>
                    <a:stretch>
                      <a:fillRect/>
                    </a:stretch>
                  </pic:blipFill>
                  <pic:spPr bwMode="auto">
                    <a:xfrm>
                      <a:off x="0" y="0"/>
                      <a:ext cx="5986780"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-328295</wp:posOffset>
            </wp:positionV>
            <wp:extent cx="59867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9">
                      <a:extLst>
                        <a:ext uri="{28A0092B-C50C-407E-A947-70E740481C1C}"/>
                      </a:extLst>
                    </a:blip>
                    <a:srcRect/>
                    <a:stretch>
                      <a:fillRect/>
                    </a:stretch>
                  </pic:blipFill>
                  <pic:spPr bwMode="auto">
                    <a:xfrm>
                      <a:off x="0" y="0"/>
                      <a:ext cx="5986780" cy="8255"/>
                    </a:xfrm>
                    <a:prstGeom prst="rect">
                      <a:avLst/>
                    </a:prstGeom>
                    <a:noFill/>
                  </pic:spPr>
                </pic:pic>
              </a:graphicData>
            </a:graphic>
          </wp:anchor>
        </w:drawing>
      </w:r>
    </w:p>
    <w:p>
      <w:pPr>
        <w:spacing w:after="0" w:line="99" w:lineRule="exact"/>
        <w:rPr>
          <w:sz w:val="20"/>
          <w:szCs w:val="20"/>
          <w:color w:val="auto"/>
        </w:rPr>
      </w:pPr>
    </w:p>
    <w:p>
      <w:pPr>
        <w:ind w:left="9" w:right="40" w:firstLine="427"/>
        <w:spacing w:after="0" w:line="276"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4"/>
          <w:szCs w:val="14"/>
          <w:b w:val="1"/>
          <w:bCs w:val="1"/>
          <w:color w:val="auto"/>
        </w:rPr>
        <w:t>HIS IS TO NOTIFY</w:t>
      </w:r>
      <w:r>
        <w:rPr>
          <w:rFonts w:ascii="Arial" w:cs="Arial" w:eastAsia="Arial" w:hAnsi="Arial"/>
          <w:sz w:val="17"/>
          <w:szCs w:val="17"/>
          <w:b w:val="1"/>
          <w:bCs w:val="1"/>
          <w:color w:val="auto"/>
        </w:rPr>
        <w:t xml:space="preserve"> </w:t>
      </w:r>
      <w:r>
        <w:rPr>
          <w:rFonts w:ascii="Arial" w:cs="Arial" w:eastAsia="Arial" w:hAnsi="Arial"/>
          <w:sz w:val="17"/>
          <w:szCs w:val="17"/>
          <w:color w:val="auto"/>
        </w:rPr>
        <w:t>you in accordance with Section 2872 of the California Labor Code that the foregoing Agreement between you and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does not require you to assign or offer to assign to Company any Invention that you develop entirely on your own time without using Company’s equipment, supplies, facilities or trade secret information, except for those Inventions that either:</w:t>
      </w:r>
    </w:p>
    <w:p>
      <w:pPr>
        <w:spacing w:after="0" w:line="59" w:lineRule="exact"/>
        <w:rPr>
          <w:sz w:val="20"/>
          <w:szCs w:val="20"/>
          <w:color w:val="auto"/>
        </w:rPr>
      </w:pPr>
    </w:p>
    <w:p>
      <w:pPr>
        <w:ind w:left="429"/>
        <w:spacing w:after="0"/>
        <w:rPr>
          <w:sz w:val="20"/>
          <w:szCs w:val="20"/>
          <w:color w:val="auto"/>
        </w:rPr>
      </w:pPr>
      <w:r>
        <w:rPr>
          <w:rFonts w:ascii="Arial" w:cs="Arial" w:eastAsia="Arial" w:hAnsi="Arial"/>
          <w:sz w:val="15"/>
          <w:szCs w:val="15"/>
          <w:b w:val="1"/>
          <w:bCs w:val="1"/>
          <w:color w:val="auto"/>
        </w:rPr>
        <w:t xml:space="preserve">a. </w:t>
      </w:r>
      <w:r>
        <w:rPr>
          <w:rFonts w:ascii="Arial" w:cs="Arial" w:eastAsia="Arial" w:hAnsi="Arial"/>
          <w:sz w:val="15"/>
          <w:szCs w:val="15"/>
          <w:color w:val="auto"/>
        </w:rPr>
        <w:t>Relate at the time of conception or reduction to practice to Company’s business, or actual or demonstrably anticipated research or development;</w:t>
      </w:r>
    </w:p>
    <w:p>
      <w:pPr>
        <w:spacing w:after="0" w:line="55" w:lineRule="exact"/>
        <w:rPr>
          <w:sz w:val="20"/>
          <w:szCs w:val="20"/>
          <w:color w:val="auto"/>
        </w:rPr>
      </w:pPr>
    </w:p>
    <w:p>
      <w:pPr>
        <w:ind w:left="9"/>
        <w:spacing w:after="0"/>
        <w:rPr>
          <w:sz w:val="20"/>
          <w:szCs w:val="20"/>
          <w:color w:val="auto"/>
        </w:rPr>
      </w:pPr>
      <w:r>
        <w:rPr>
          <w:rFonts w:ascii="Arial" w:cs="Arial" w:eastAsia="Arial" w:hAnsi="Arial"/>
          <w:sz w:val="17"/>
          <w:szCs w:val="17"/>
          <w:color w:val="auto"/>
        </w:rPr>
        <w:t>or</w:t>
      </w:r>
    </w:p>
    <w:p>
      <w:pPr>
        <w:spacing w:after="0" w:line="101" w:lineRule="exact"/>
        <w:rPr>
          <w:sz w:val="20"/>
          <w:szCs w:val="20"/>
          <w:color w:val="auto"/>
        </w:rPr>
      </w:pPr>
    </w:p>
    <w:p>
      <w:pPr>
        <w:ind w:left="429"/>
        <w:spacing w:after="0"/>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Result from any work performed by you for Company.</w:t>
      </w:r>
    </w:p>
    <w:p>
      <w:pPr>
        <w:spacing w:after="0" w:line="230" w:lineRule="exact"/>
        <w:rPr>
          <w:sz w:val="20"/>
          <w:szCs w:val="20"/>
          <w:color w:val="auto"/>
        </w:rPr>
      </w:pPr>
    </w:p>
    <w:p>
      <w:pPr>
        <w:ind w:left="9" w:right="500" w:firstLine="427"/>
        <w:spacing w:after="0" w:line="289" w:lineRule="auto"/>
        <w:rPr>
          <w:sz w:val="20"/>
          <w:szCs w:val="20"/>
          <w:color w:val="auto"/>
        </w:rPr>
      </w:pPr>
      <w:r>
        <w:rPr>
          <w:rFonts w:ascii="Arial" w:cs="Arial" w:eastAsia="Arial" w:hAnsi="Arial"/>
          <w:sz w:val="17"/>
          <w:szCs w:val="17"/>
          <w:color w:val="auto"/>
        </w:rPr>
        <w:t>To the extent a provision in the foregoing Agreement purports to require you to assign an Invention otherwise excluded from the preceding paragraph, the provision is against the public policy of this state and is unenforceable.</w:t>
      </w:r>
    </w:p>
    <w:p>
      <w:pPr>
        <w:spacing w:after="0" w:line="158" w:lineRule="exact"/>
        <w:rPr>
          <w:sz w:val="20"/>
          <w:szCs w:val="20"/>
          <w:color w:val="auto"/>
        </w:rPr>
      </w:pPr>
    </w:p>
    <w:p>
      <w:pPr>
        <w:ind w:left="9" w:right="440" w:firstLine="427"/>
        <w:spacing w:after="0" w:line="289" w:lineRule="auto"/>
        <w:rPr>
          <w:sz w:val="20"/>
          <w:szCs w:val="20"/>
          <w:color w:val="auto"/>
        </w:rPr>
      </w:pPr>
      <w:r>
        <w:rPr>
          <w:rFonts w:ascii="Arial" w:cs="Arial" w:eastAsia="Arial" w:hAnsi="Arial"/>
          <w:sz w:val="17"/>
          <w:szCs w:val="17"/>
          <w:color w:val="auto"/>
        </w:rPr>
        <w:t>This limited exclusion does not apply to any patent or Invention covered by a contract between Company and the United States or any of its agencies requiring full title to such patent or Invention to be in the United States.</w:t>
      </w:r>
    </w:p>
    <w:p>
      <w:pPr>
        <w:spacing w:after="0" w:line="92" w:lineRule="exact"/>
        <w:rPr>
          <w:sz w:val="20"/>
          <w:szCs w:val="20"/>
          <w:color w:val="auto"/>
        </w:rPr>
      </w:pPr>
    </w:p>
    <w:p>
      <w:pPr>
        <w:jc w:val="center"/>
        <w:ind w:right="-48"/>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629"/>
          </w:cols>
          <w:pgMar w:left="611" w:top="265" w:right="659" w:bottom="1440" w:gutter="0" w:footer="0" w:header="0"/>
        </w:sectPr>
      </w:pPr>
    </w:p>
    <w:bookmarkStart w:id="390" w:name="page391"/>
    <w:bookmarkEnd w:id="390"/>
    <w:p>
      <w:pPr>
        <w:ind w:left="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5992495</wp:posOffset>
            </wp:positionH>
            <wp:positionV relativeFrom="page">
              <wp:posOffset>88900</wp:posOffset>
            </wp:positionV>
            <wp:extent cx="1180465" cy="2495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0">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85" w:lineRule="exact"/>
        <w:rPr>
          <w:sz w:val="20"/>
          <w:szCs w:val="20"/>
          <w:color w:val="auto"/>
        </w:rPr>
      </w:pPr>
    </w:p>
    <w:p>
      <w:pPr>
        <w:ind w:left="9" w:right="340" w:hanging="9"/>
        <w:spacing w:after="0" w:line="289" w:lineRule="auto"/>
        <w:tabs>
          <w:tab w:leader="none" w:pos="256" w:val="left"/>
        </w:tabs>
        <w:numPr>
          <w:ilvl w:val="0"/>
          <w:numId w:val="310"/>
        </w:numPr>
        <w:rPr>
          <w:rFonts w:ascii="Arial" w:cs="Arial" w:eastAsia="Arial" w:hAnsi="Arial"/>
          <w:sz w:val="17"/>
          <w:szCs w:val="17"/>
          <w:color w:val="auto"/>
        </w:rPr>
      </w:pPr>
      <w:r>
        <w:rPr>
          <w:rFonts w:ascii="Arial" w:cs="Arial" w:eastAsia="Arial" w:hAnsi="Arial"/>
          <w:sz w:val="17"/>
          <w:szCs w:val="17"/>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5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MULTI-PRODUCT LICENCE AGREEMENT</w:t>
      </w:r>
    </w:p>
    <w:p>
      <w:pPr>
        <w:spacing w:after="0" w:line="200" w:lineRule="exact"/>
        <w:rPr>
          <w:sz w:val="20"/>
          <w:szCs w:val="20"/>
          <w:color w:val="auto"/>
        </w:rPr>
      </w:pPr>
    </w:p>
    <w:p>
      <w:pPr>
        <w:spacing w:after="0" w:line="233"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between</w:t>
      </w:r>
    </w:p>
    <w:p>
      <w:pPr>
        <w:spacing w:after="0" w:line="200" w:lineRule="exact"/>
        <w:rPr>
          <w:sz w:val="20"/>
          <w:szCs w:val="20"/>
          <w:color w:val="auto"/>
        </w:rPr>
      </w:pPr>
    </w:p>
    <w:p>
      <w:pPr>
        <w:spacing w:after="0" w:line="233"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LONZA SALES AG</w:t>
      </w:r>
    </w:p>
    <w:p>
      <w:pPr>
        <w:spacing w:after="0" w:line="200" w:lineRule="exact"/>
        <w:rPr>
          <w:sz w:val="20"/>
          <w:szCs w:val="20"/>
          <w:color w:val="auto"/>
        </w:rPr>
      </w:pPr>
    </w:p>
    <w:p>
      <w:pPr>
        <w:spacing w:after="0" w:line="233"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and</w:t>
      </w:r>
    </w:p>
    <w:p>
      <w:pPr>
        <w:spacing w:after="0" w:line="200" w:lineRule="exact"/>
        <w:rPr>
          <w:sz w:val="20"/>
          <w:szCs w:val="20"/>
          <w:color w:val="auto"/>
        </w:rPr>
      </w:pPr>
    </w:p>
    <w:p>
      <w:pPr>
        <w:spacing w:after="0" w:line="229" w:lineRule="exact"/>
        <w:rPr>
          <w:sz w:val="20"/>
          <w:szCs w:val="20"/>
          <w:color w:val="auto"/>
        </w:rPr>
      </w:pPr>
    </w:p>
    <w:p>
      <w:pPr>
        <w:jc w:val="center"/>
        <w:ind w:right="-8"/>
        <w:spacing w:after="0"/>
        <w:rPr>
          <w:sz w:val="20"/>
          <w:szCs w:val="20"/>
          <w:color w:val="auto"/>
        </w:rPr>
      </w:pPr>
      <w:r>
        <w:rPr>
          <w:rFonts w:ascii="Arial" w:cs="Arial" w:eastAsia="Arial" w:hAnsi="Arial"/>
          <w:sz w:val="19"/>
          <w:szCs w:val="19"/>
          <w:color w:val="auto"/>
        </w:rPr>
        <w:t>NGM BIOPHARMACEUTICALS, INC.</w:t>
      </w:r>
    </w:p>
    <w:p>
      <w:pPr>
        <w:sectPr>
          <w:pgSz w:w="11900" w:h="16838" w:orient="portrait"/>
          <w:cols w:equalWidth="0" w:num="1">
            <w:col w:w="10689"/>
          </w:cols>
          <w:pgMar w:left="611" w:top="310" w:right="599" w:bottom="1440" w:gutter="0" w:footer="0" w:header="0"/>
        </w:sectPr>
      </w:pPr>
    </w:p>
    <w:bookmarkStart w:id="391" w:name="page392"/>
    <w:bookmarkEnd w:id="391"/>
    <w:p>
      <w:pPr>
        <w:ind w:left="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2">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79" w:lineRule="exact"/>
        <w:rPr>
          <w:sz w:val="20"/>
          <w:szCs w:val="20"/>
          <w:color w:val="auto"/>
        </w:rPr>
      </w:pPr>
    </w:p>
    <w:p>
      <w:pPr>
        <w:jc w:val="center"/>
        <w:ind w:right="-8"/>
        <w:spacing w:after="0"/>
        <w:rPr>
          <w:sz w:val="20"/>
          <w:szCs w:val="20"/>
          <w:color w:val="auto"/>
        </w:rPr>
      </w:pPr>
      <w:r>
        <w:rPr>
          <w:rFonts w:ascii="Arial" w:cs="Arial" w:eastAsia="Arial" w:hAnsi="Arial"/>
          <w:sz w:val="17"/>
          <w:szCs w:val="17"/>
          <w:b w:val="1"/>
          <w:bCs w:val="1"/>
          <w:u w:val="single" w:color="auto"/>
          <w:color w:val="auto"/>
        </w:rPr>
        <w:t>INDEX</w:t>
      </w:r>
    </w:p>
    <w:p>
      <w:pPr>
        <w:spacing w:after="0" w:line="246" w:lineRule="exact"/>
        <w:rPr>
          <w:sz w:val="20"/>
          <w:szCs w:val="20"/>
          <w:color w:val="auto"/>
        </w:rPr>
      </w:pPr>
    </w:p>
    <w:tbl>
      <w:tblPr>
        <w:tblLayout w:type="fixed"/>
        <w:tblInd w:w="9" w:type="dxa"/>
        <w:tblCellMar>
          <w:top w:w="0" w:type="dxa"/>
          <w:left w:w="0" w:type="dxa"/>
          <w:bottom w:w="0" w:type="dxa"/>
          <w:right w:w="0" w:type="dxa"/>
        </w:tblCellMar>
      </w:tblPr>
      <w:tr>
        <w:trPr>
          <w:trHeight w:val="167"/>
        </w:trPr>
        <w:tc>
          <w:tcPr>
            <w:tcW w:w="560" w:type="dxa"/>
            <w:vAlign w:val="bottom"/>
          </w:tcPr>
          <w:p>
            <w:pPr>
              <w:spacing w:after="0"/>
              <w:rPr>
                <w:sz w:val="20"/>
                <w:szCs w:val="20"/>
                <w:color w:val="auto"/>
              </w:rPr>
            </w:pPr>
            <w:r>
              <w:rPr>
                <w:rFonts w:ascii="Arial" w:cs="Arial" w:eastAsia="Arial" w:hAnsi="Arial"/>
                <w:sz w:val="14"/>
                <w:szCs w:val="14"/>
                <w:b w:val="1"/>
                <w:bCs w:val="1"/>
                <w:color w:val="auto"/>
                <w:w w:val="93"/>
              </w:rPr>
              <w:t>CLAUSE</w:t>
            </w:r>
          </w:p>
        </w:tc>
        <w:tc>
          <w:tcPr>
            <w:tcW w:w="260" w:type="dxa"/>
            <w:vAlign w:val="bottom"/>
          </w:tcPr>
          <w:p>
            <w:pPr>
              <w:spacing w:after="0"/>
              <w:rPr>
                <w:sz w:val="14"/>
                <w:szCs w:val="14"/>
                <w:color w:val="auto"/>
              </w:rPr>
            </w:pPr>
          </w:p>
        </w:tc>
        <w:tc>
          <w:tcPr>
            <w:tcW w:w="94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0"/>
              </w:rPr>
              <w:t>PAGE</w:t>
            </w:r>
          </w:p>
        </w:tc>
      </w:tr>
      <w:tr>
        <w:trPr>
          <w:trHeight w:val="20"/>
        </w:trPr>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183"/>
        </w:trPr>
        <w:tc>
          <w:tcPr>
            <w:tcW w:w="560" w:type="dxa"/>
            <w:vAlign w:val="bottom"/>
          </w:tcPr>
          <w:p>
            <w:pPr>
              <w:spacing w:after="0" w:line="184" w:lineRule="exact"/>
              <w:rPr>
                <w:sz w:val="20"/>
                <w:szCs w:val="20"/>
                <w:color w:val="auto"/>
              </w:rPr>
            </w:pPr>
            <w:r>
              <w:rPr>
                <w:rFonts w:ascii="Arial" w:cs="Arial" w:eastAsia="Arial" w:hAnsi="Arial"/>
                <w:sz w:val="17"/>
                <w:szCs w:val="17"/>
                <w:color w:val="auto"/>
              </w:rPr>
              <w:t>1.</w:t>
            </w:r>
          </w:p>
        </w:tc>
        <w:tc>
          <w:tcPr>
            <w:tcW w:w="260" w:type="dxa"/>
            <w:vAlign w:val="bottom"/>
          </w:tcPr>
          <w:p>
            <w:pPr>
              <w:spacing w:after="0"/>
              <w:rPr>
                <w:sz w:val="15"/>
                <w:szCs w:val="15"/>
                <w:color w:val="auto"/>
              </w:rPr>
            </w:pPr>
          </w:p>
        </w:tc>
        <w:tc>
          <w:tcPr>
            <w:tcW w:w="9480" w:type="dxa"/>
            <w:vAlign w:val="bottom"/>
            <w:gridSpan w:val="2"/>
          </w:tcPr>
          <w:p>
            <w:pPr>
              <w:ind w:left="40"/>
              <w:spacing w:after="0" w:line="184" w:lineRule="exact"/>
              <w:rPr>
                <w:sz w:val="20"/>
                <w:szCs w:val="20"/>
                <w:color w:val="auto"/>
              </w:rPr>
            </w:pPr>
            <w:r>
              <w:rPr>
                <w:rFonts w:ascii="Arial" w:cs="Arial" w:eastAsia="Arial" w:hAnsi="Arial"/>
                <w:sz w:val="17"/>
                <w:szCs w:val="17"/>
                <w:color w:val="auto"/>
              </w:rPr>
              <w:t>DEFINITIONS AND INTERPRETATION</w:t>
            </w: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3</w:t>
            </w:r>
          </w:p>
        </w:tc>
      </w:tr>
      <w:tr>
        <w:trPr>
          <w:trHeight w:val="210"/>
        </w:trPr>
        <w:tc>
          <w:tcPr>
            <w:tcW w:w="560" w:type="dxa"/>
            <w:vAlign w:val="bottom"/>
          </w:tcPr>
          <w:p>
            <w:pPr>
              <w:spacing w:after="0"/>
              <w:rPr>
                <w:sz w:val="20"/>
                <w:szCs w:val="20"/>
                <w:color w:val="auto"/>
              </w:rPr>
            </w:pPr>
            <w:r>
              <w:rPr>
                <w:rFonts w:ascii="Arial" w:cs="Arial" w:eastAsia="Arial" w:hAnsi="Arial"/>
                <w:sz w:val="17"/>
                <w:szCs w:val="17"/>
                <w:color w:val="auto"/>
              </w:rPr>
              <w:t>2.</w:t>
            </w:r>
          </w:p>
        </w:tc>
        <w:tc>
          <w:tcPr>
            <w:tcW w:w="260" w:type="dxa"/>
            <w:vAlign w:val="bottom"/>
          </w:tcPr>
          <w:p>
            <w:pPr>
              <w:spacing w:after="0"/>
              <w:rPr>
                <w:sz w:val="18"/>
                <w:szCs w:val="18"/>
                <w:color w:val="auto"/>
              </w:rPr>
            </w:pPr>
          </w:p>
        </w:tc>
        <w:tc>
          <w:tcPr>
            <w:tcW w:w="9480" w:type="dxa"/>
            <w:vAlign w:val="bottom"/>
            <w:gridSpan w:val="2"/>
          </w:tcPr>
          <w:p>
            <w:pPr>
              <w:ind w:left="40"/>
              <w:spacing w:after="0"/>
              <w:rPr>
                <w:sz w:val="20"/>
                <w:szCs w:val="20"/>
                <w:color w:val="auto"/>
              </w:rPr>
            </w:pPr>
            <w:r>
              <w:rPr>
                <w:rFonts w:ascii="Arial" w:cs="Arial" w:eastAsia="Arial" w:hAnsi="Arial"/>
                <w:sz w:val="17"/>
                <w:szCs w:val="17"/>
                <w:color w:val="auto"/>
              </w:rPr>
              <w:t>SUPPLY OF THE SYSTEM, CDACF VERSION 8 SYSTEM AND SYSTEM KNOW-HOW</w:t>
            </w:r>
          </w:p>
        </w:tc>
        <w:tc>
          <w:tcPr>
            <w:tcW w:w="38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560" w:type="dxa"/>
            <w:vAlign w:val="bottom"/>
          </w:tcPr>
          <w:p>
            <w:pPr>
              <w:spacing w:after="0"/>
              <w:rPr>
                <w:sz w:val="20"/>
                <w:szCs w:val="20"/>
                <w:color w:val="auto"/>
              </w:rPr>
            </w:pPr>
            <w:r>
              <w:rPr>
                <w:rFonts w:ascii="Arial" w:cs="Arial" w:eastAsia="Arial" w:hAnsi="Arial"/>
                <w:sz w:val="17"/>
                <w:szCs w:val="17"/>
                <w:color w:val="auto"/>
              </w:rPr>
              <w:t>3.</w:t>
            </w:r>
          </w:p>
        </w:tc>
        <w:tc>
          <w:tcPr>
            <w:tcW w:w="260" w:type="dxa"/>
            <w:vAlign w:val="bottom"/>
          </w:tcPr>
          <w:p>
            <w:pPr>
              <w:spacing w:after="0"/>
              <w:rPr>
                <w:sz w:val="18"/>
                <w:szCs w:val="18"/>
                <w:color w:val="auto"/>
              </w:rPr>
            </w:pPr>
          </w:p>
        </w:tc>
        <w:tc>
          <w:tcPr>
            <w:tcW w:w="9480" w:type="dxa"/>
            <w:vAlign w:val="bottom"/>
            <w:gridSpan w:val="2"/>
          </w:tcPr>
          <w:p>
            <w:pPr>
              <w:ind w:left="40"/>
              <w:spacing w:after="0"/>
              <w:rPr>
                <w:sz w:val="20"/>
                <w:szCs w:val="20"/>
                <w:color w:val="auto"/>
              </w:rPr>
            </w:pPr>
            <w:r>
              <w:rPr>
                <w:rFonts w:ascii="Arial" w:cs="Arial" w:eastAsia="Arial" w:hAnsi="Arial"/>
                <w:sz w:val="17"/>
                <w:szCs w:val="17"/>
                <w:color w:val="auto"/>
              </w:rPr>
              <w:t>OWNERSHIP OF PROPERTY AND INTELLECTUAL PROPERTY</w:t>
            </w:r>
          </w:p>
        </w:tc>
        <w:tc>
          <w:tcPr>
            <w:tcW w:w="38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0"/>
        </w:trPr>
        <w:tc>
          <w:tcPr>
            <w:tcW w:w="560" w:type="dxa"/>
            <w:vAlign w:val="bottom"/>
          </w:tcPr>
          <w:p>
            <w:pPr>
              <w:spacing w:after="0"/>
              <w:rPr>
                <w:sz w:val="20"/>
                <w:szCs w:val="20"/>
                <w:color w:val="auto"/>
              </w:rPr>
            </w:pPr>
            <w:r>
              <w:rPr>
                <w:rFonts w:ascii="Arial" w:cs="Arial" w:eastAsia="Arial" w:hAnsi="Arial"/>
                <w:sz w:val="17"/>
                <w:szCs w:val="17"/>
                <w:color w:val="auto"/>
              </w:rPr>
              <w:t>4.</w:t>
            </w:r>
          </w:p>
        </w:tc>
        <w:tc>
          <w:tcPr>
            <w:tcW w:w="260" w:type="dxa"/>
            <w:vAlign w:val="bottom"/>
          </w:tcPr>
          <w:p>
            <w:pPr>
              <w:spacing w:after="0"/>
              <w:rPr>
                <w:sz w:val="18"/>
                <w:szCs w:val="18"/>
                <w:color w:val="auto"/>
              </w:rPr>
            </w:pPr>
          </w:p>
        </w:tc>
        <w:tc>
          <w:tcPr>
            <w:tcW w:w="9480" w:type="dxa"/>
            <w:vAlign w:val="bottom"/>
            <w:gridSpan w:val="2"/>
          </w:tcPr>
          <w:p>
            <w:pPr>
              <w:ind w:left="40"/>
              <w:spacing w:after="0"/>
              <w:rPr>
                <w:sz w:val="20"/>
                <w:szCs w:val="20"/>
                <w:color w:val="auto"/>
              </w:rPr>
            </w:pPr>
            <w:r>
              <w:rPr>
                <w:rFonts w:ascii="Arial" w:cs="Arial" w:eastAsia="Arial" w:hAnsi="Arial"/>
                <w:sz w:val="17"/>
                <w:szCs w:val="17"/>
                <w:color w:val="auto"/>
              </w:rPr>
              <w:t>LICENCES</w:t>
            </w:r>
          </w:p>
        </w:tc>
        <w:tc>
          <w:tcPr>
            <w:tcW w:w="3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0"/>
        </w:trPr>
        <w:tc>
          <w:tcPr>
            <w:tcW w:w="560" w:type="dxa"/>
            <w:vAlign w:val="bottom"/>
          </w:tcPr>
          <w:p>
            <w:pPr>
              <w:spacing w:after="0"/>
              <w:rPr>
                <w:sz w:val="20"/>
                <w:szCs w:val="20"/>
                <w:color w:val="auto"/>
              </w:rPr>
            </w:pPr>
            <w:r>
              <w:rPr>
                <w:rFonts w:ascii="Arial" w:cs="Arial" w:eastAsia="Arial" w:hAnsi="Arial"/>
                <w:sz w:val="17"/>
                <w:szCs w:val="17"/>
                <w:color w:val="auto"/>
              </w:rPr>
              <w:t>5.</w:t>
            </w:r>
          </w:p>
        </w:tc>
        <w:tc>
          <w:tcPr>
            <w:tcW w:w="260" w:type="dxa"/>
            <w:vAlign w:val="bottom"/>
          </w:tcPr>
          <w:p>
            <w:pPr>
              <w:spacing w:after="0"/>
              <w:rPr>
                <w:sz w:val="18"/>
                <w:szCs w:val="18"/>
                <w:color w:val="auto"/>
              </w:rPr>
            </w:pPr>
          </w:p>
        </w:tc>
        <w:tc>
          <w:tcPr>
            <w:tcW w:w="9480" w:type="dxa"/>
            <w:vAlign w:val="bottom"/>
            <w:gridSpan w:val="2"/>
          </w:tcPr>
          <w:p>
            <w:pPr>
              <w:ind w:left="40"/>
              <w:spacing w:after="0"/>
              <w:rPr>
                <w:sz w:val="20"/>
                <w:szCs w:val="20"/>
                <w:color w:val="auto"/>
              </w:rPr>
            </w:pPr>
            <w:r>
              <w:rPr>
                <w:rFonts w:ascii="Arial" w:cs="Arial" w:eastAsia="Arial" w:hAnsi="Arial"/>
                <w:sz w:val="17"/>
                <w:szCs w:val="17"/>
                <w:color w:val="auto"/>
              </w:rPr>
              <w:t>PAYMENTS</w:t>
            </w:r>
          </w:p>
        </w:tc>
        <w:tc>
          <w:tcPr>
            <w:tcW w:w="3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0"/>
        </w:trPr>
        <w:tc>
          <w:tcPr>
            <w:tcW w:w="560" w:type="dxa"/>
            <w:vAlign w:val="bottom"/>
          </w:tcPr>
          <w:p>
            <w:pPr>
              <w:spacing w:after="0"/>
              <w:rPr>
                <w:sz w:val="20"/>
                <w:szCs w:val="20"/>
                <w:color w:val="auto"/>
              </w:rPr>
            </w:pPr>
            <w:r>
              <w:rPr>
                <w:rFonts w:ascii="Arial" w:cs="Arial" w:eastAsia="Arial" w:hAnsi="Arial"/>
                <w:sz w:val="17"/>
                <w:szCs w:val="17"/>
                <w:color w:val="auto"/>
              </w:rPr>
              <w:t>6.</w:t>
            </w:r>
          </w:p>
        </w:tc>
        <w:tc>
          <w:tcPr>
            <w:tcW w:w="260" w:type="dxa"/>
            <w:vAlign w:val="bottom"/>
          </w:tcPr>
          <w:p>
            <w:pPr>
              <w:spacing w:after="0"/>
              <w:rPr>
                <w:sz w:val="18"/>
                <w:szCs w:val="18"/>
                <w:color w:val="auto"/>
              </w:rPr>
            </w:pPr>
          </w:p>
        </w:tc>
        <w:tc>
          <w:tcPr>
            <w:tcW w:w="9480" w:type="dxa"/>
            <w:vAlign w:val="bottom"/>
            <w:gridSpan w:val="2"/>
          </w:tcPr>
          <w:p>
            <w:pPr>
              <w:ind w:left="40"/>
              <w:spacing w:after="0"/>
              <w:rPr>
                <w:sz w:val="20"/>
                <w:szCs w:val="20"/>
                <w:color w:val="auto"/>
              </w:rPr>
            </w:pPr>
            <w:r>
              <w:rPr>
                <w:rFonts w:ascii="Arial" w:cs="Arial" w:eastAsia="Arial" w:hAnsi="Arial"/>
                <w:sz w:val="17"/>
                <w:szCs w:val="17"/>
                <w:color w:val="auto"/>
              </w:rPr>
              <w:t>ROYALTY PROCEDURES</w:t>
            </w:r>
          </w:p>
        </w:tc>
        <w:tc>
          <w:tcPr>
            <w:tcW w:w="3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0"/>
        </w:trPr>
        <w:tc>
          <w:tcPr>
            <w:tcW w:w="560" w:type="dxa"/>
            <w:vAlign w:val="bottom"/>
          </w:tcPr>
          <w:p>
            <w:pPr>
              <w:spacing w:after="0"/>
              <w:rPr>
                <w:sz w:val="20"/>
                <w:szCs w:val="20"/>
                <w:color w:val="auto"/>
              </w:rPr>
            </w:pPr>
            <w:r>
              <w:rPr>
                <w:rFonts w:ascii="Arial" w:cs="Arial" w:eastAsia="Arial" w:hAnsi="Arial"/>
                <w:sz w:val="17"/>
                <w:szCs w:val="17"/>
                <w:color w:val="auto"/>
              </w:rPr>
              <w:t>7.</w:t>
            </w:r>
          </w:p>
        </w:tc>
        <w:tc>
          <w:tcPr>
            <w:tcW w:w="260" w:type="dxa"/>
            <w:vAlign w:val="bottom"/>
          </w:tcPr>
          <w:p>
            <w:pPr>
              <w:spacing w:after="0"/>
              <w:rPr>
                <w:sz w:val="18"/>
                <w:szCs w:val="18"/>
                <w:color w:val="auto"/>
              </w:rPr>
            </w:pPr>
          </w:p>
        </w:tc>
        <w:tc>
          <w:tcPr>
            <w:tcW w:w="9480" w:type="dxa"/>
            <w:vAlign w:val="bottom"/>
            <w:gridSpan w:val="2"/>
          </w:tcPr>
          <w:p>
            <w:pPr>
              <w:ind w:left="40"/>
              <w:spacing w:after="0"/>
              <w:rPr>
                <w:sz w:val="20"/>
                <w:szCs w:val="20"/>
                <w:color w:val="auto"/>
              </w:rPr>
            </w:pPr>
            <w:r>
              <w:rPr>
                <w:rFonts w:ascii="Arial" w:cs="Arial" w:eastAsia="Arial" w:hAnsi="Arial"/>
                <w:sz w:val="17"/>
                <w:szCs w:val="17"/>
                <w:color w:val="auto"/>
              </w:rPr>
              <w:t>LIABILITY AND WARRANTIES</w:t>
            </w:r>
          </w:p>
        </w:tc>
        <w:tc>
          <w:tcPr>
            <w:tcW w:w="3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0"/>
        </w:trPr>
        <w:tc>
          <w:tcPr>
            <w:tcW w:w="560" w:type="dxa"/>
            <w:vAlign w:val="bottom"/>
          </w:tcPr>
          <w:p>
            <w:pPr>
              <w:spacing w:after="0"/>
              <w:rPr>
                <w:sz w:val="20"/>
                <w:szCs w:val="20"/>
                <w:color w:val="auto"/>
              </w:rPr>
            </w:pPr>
            <w:r>
              <w:rPr>
                <w:rFonts w:ascii="Arial" w:cs="Arial" w:eastAsia="Arial" w:hAnsi="Arial"/>
                <w:sz w:val="17"/>
                <w:szCs w:val="17"/>
                <w:color w:val="auto"/>
              </w:rPr>
              <w:t>8.</w:t>
            </w:r>
          </w:p>
        </w:tc>
        <w:tc>
          <w:tcPr>
            <w:tcW w:w="260" w:type="dxa"/>
            <w:vAlign w:val="bottom"/>
          </w:tcPr>
          <w:p>
            <w:pPr>
              <w:spacing w:after="0"/>
              <w:rPr>
                <w:sz w:val="18"/>
                <w:szCs w:val="18"/>
                <w:color w:val="auto"/>
              </w:rPr>
            </w:pPr>
          </w:p>
        </w:tc>
        <w:tc>
          <w:tcPr>
            <w:tcW w:w="9480" w:type="dxa"/>
            <w:vAlign w:val="bottom"/>
            <w:gridSpan w:val="2"/>
          </w:tcPr>
          <w:p>
            <w:pPr>
              <w:ind w:left="40"/>
              <w:spacing w:after="0"/>
              <w:rPr>
                <w:sz w:val="20"/>
                <w:szCs w:val="20"/>
                <w:color w:val="auto"/>
              </w:rPr>
            </w:pPr>
            <w:r>
              <w:rPr>
                <w:rFonts w:ascii="Arial" w:cs="Arial" w:eastAsia="Arial" w:hAnsi="Arial"/>
                <w:sz w:val="17"/>
                <w:szCs w:val="17"/>
                <w:color w:val="auto"/>
              </w:rPr>
              <w:t>CONFIDENTIALITY</w:t>
            </w:r>
          </w:p>
        </w:tc>
        <w:tc>
          <w:tcPr>
            <w:tcW w:w="3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560" w:type="dxa"/>
            <w:vAlign w:val="bottom"/>
          </w:tcPr>
          <w:p>
            <w:pPr>
              <w:spacing w:after="0"/>
              <w:rPr>
                <w:sz w:val="20"/>
                <w:szCs w:val="20"/>
                <w:color w:val="auto"/>
              </w:rPr>
            </w:pPr>
            <w:r>
              <w:rPr>
                <w:rFonts w:ascii="Arial" w:cs="Arial" w:eastAsia="Arial" w:hAnsi="Arial"/>
                <w:sz w:val="17"/>
                <w:szCs w:val="17"/>
                <w:color w:val="auto"/>
              </w:rPr>
              <w:t>9.</w:t>
            </w:r>
          </w:p>
        </w:tc>
        <w:tc>
          <w:tcPr>
            <w:tcW w:w="260" w:type="dxa"/>
            <w:vAlign w:val="bottom"/>
          </w:tcPr>
          <w:p>
            <w:pPr>
              <w:spacing w:after="0"/>
              <w:rPr>
                <w:sz w:val="18"/>
                <w:szCs w:val="18"/>
                <w:color w:val="auto"/>
              </w:rPr>
            </w:pPr>
          </w:p>
        </w:tc>
        <w:tc>
          <w:tcPr>
            <w:tcW w:w="9480" w:type="dxa"/>
            <w:vAlign w:val="bottom"/>
            <w:gridSpan w:val="2"/>
          </w:tcPr>
          <w:p>
            <w:pPr>
              <w:ind w:left="40"/>
              <w:spacing w:after="0"/>
              <w:rPr>
                <w:sz w:val="20"/>
                <w:szCs w:val="20"/>
                <w:color w:val="auto"/>
              </w:rPr>
            </w:pPr>
            <w:r>
              <w:rPr>
                <w:rFonts w:ascii="Arial" w:cs="Arial" w:eastAsia="Arial" w:hAnsi="Arial"/>
                <w:sz w:val="17"/>
                <w:szCs w:val="17"/>
                <w:color w:val="auto"/>
              </w:rPr>
              <w:t>INTELLECTUAL PROPERTY ENFORCEMENT</w:t>
            </w:r>
          </w:p>
        </w:tc>
        <w:tc>
          <w:tcPr>
            <w:tcW w:w="3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560" w:type="dxa"/>
            <w:vAlign w:val="bottom"/>
          </w:tcPr>
          <w:p>
            <w:pPr>
              <w:spacing w:after="0"/>
              <w:rPr>
                <w:sz w:val="20"/>
                <w:szCs w:val="20"/>
                <w:color w:val="auto"/>
              </w:rPr>
            </w:pPr>
            <w:r>
              <w:rPr>
                <w:rFonts w:ascii="Arial" w:cs="Arial" w:eastAsia="Arial" w:hAnsi="Arial"/>
                <w:sz w:val="17"/>
                <w:szCs w:val="17"/>
                <w:color w:val="auto"/>
              </w:rPr>
              <w:t>10.</w:t>
            </w:r>
          </w:p>
        </w:tc>
        <w:tc>
          <w:tcPr>
            <w:tcW w:w="260" w:type="dxa"/>
            <w:vAlign w:val="bottom"/>
          </w:tcPr>
          <w:p>
            <w:pPr>
              <w:spacing w:after="0"/>
              <w:rPr>
                <w:sz w:val="18"/>
                <w:szCs w:val="18"/>
                <w:color w:val="auto"/>
              </w:rPr>
            </w:pPr>
          </w:p>
        </w:tc>
        <w:tc>
          <w:tcPr>
            <w:tcW w:w="9480" w:type="dxa"/>
            <w:vAlign w:val="bottom"/>
            <w:gridSpan w:val="2"/>
          </w:tcPr>
          <w:p>
            <w:pPr>
              <w:ind w:left="40"/>
              <w:spacing w:after="0"/>
              <w:rPr>
                <w:sz w:val="20"/>
                <w:szCs w:val="20"/>
                <w:color w:val="auto"/>
              </w:rPr>
            </w:pPr>
            <w:r>
              <w:rPr>
                <w:rFonts w:ascii="Arial" w:cs="Arial" w:eastAsia="Arial" w:hAnsi="Arial"/>
                <w:sz w:val="17"/>
                <w:szCs w:val="17"/>
                <w:color w:val="auto"/>
              </w:rPr>
              <w:t>TERM AND TERMINATION</w:t>
            </w:r>
          </w:p>
        </w:tc>
        <w:tc>
          <w:tcPr>
            <w:tcW w:w="3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560" w:type="dxa"/>
            <w:vAlign w:val="bottom"/>
          </w:tcPr>
          <w:p>
            <w:pPr>
              <w:spacing w:after="0"/>
              <w:rPr>
                <w:sz w:val="20"/>
                <w:szCs w:val="20"/>
                <w:color w:val="auto"/>
              </w:rPr>
            </w:pPr>
            <w:r>
              <w:rPr>
                <w:rFonts w:ascii="Arial" w:cs="Arial" w:eastAsia="Arial" w:hAnsi="Arial"/>
                <w:sz w:val="17"/>
                <w:szCs w:val="17"/>
                <w:color w:val="auto"/>
              </w:rPr>
              <w:t>11.</w:t>
            </w:r>
          </w:p>
        </w:tc>
        <w:tc>
          <w:tcPr>
            <w:tcW w:w="260" w:type="dxa"/>
            <w:vAlign w:val="bottom"/>
          </w:tcPr>
          <w:p>
            <w:pPr>
              <w:spacing w:after="0"/>
              <w:rPr>
                <w:sz w:val="18"/>
                <w:szCs w:val="18"/>
                <w:color w:val="auto"/>
              </w:rPr>
            </w:pPr>
          </w:p>
        </w:tc>
        <w:tc>
          <w:tcPr>
            <w:tcW w:w="9480" w:type="dxa"/>
            <w:vAlign w:val="bottom"/>
            <w:gridSpan w:val="2"/>
          </w:tcPr>
          <w:p>
            <w:pPr>
              <w:ind w:left="20"/>
              <w:spacing w:after="0"/>
              <w:rPr>
                <w:sz w:val="20"/>
                <w:szCs w:val="20"/>
                <w:color w:val="auto"/>
              </w:rPr>
            </w:pPr>
            <w:r>
              <w:rPr>
                <w:rFonts w:ascii="Arial" w:cs="Arial" w:eastAsia="Arial" w:hAnsi="Arial"/>
                <w:sz w:val="17"/>
                <w:szCs w:val="17"/>
                <w:color w:val="auto"/>
              </w:rPr>
              <w:t>ASSIGNMENT</w:t>
            </w:r>
          </w:p>
        </w:tc>
        <w:tc>
          <w:tcPr>
            <w:tcW w:w="38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0"/>
        </w:trPr>
        <w:tc>
          <w:tcPr>
            <w:tcW w:w="560" w:type="dxa"/>
            <w:vAlign w:val="bottom"/>
          </w:tcPr>
          <w:p>
            <w:pPr>
              <w:spacing w:after="0"/>
              <w:rPr>
                <w:sz w:val="20"/>
                <w:szCs w:val="20"/>
                <w:color w:val="auto"/>
              </w:rPr>
            </w:pPr>
            <w:r>
              <w:rPr>
                <w:rFonts w:ascii="Arial" w:cs="Arial" w:eastAsia="Arial" w:hAnsi="Arial"/>
                <w:sz w:val="17"/>
                <w:szCs w:val="17"/>
                <w:color w:val="auto"/>
              </w:rPr>
              <w:t>12.</w:t>
            </w:r>
          </w:p>
        </w:tc>
        <w:tc>
          <w:tcPr>
            <w:tcW w:w="260" w:type="dxa"/>
            <w:vAlign w:val="bottom"/>
          </w:tcPr>
          <w:p>
            <w:pPr>
              <w:spacing w:after="0"/>
              <w:rPr>
                <w:sz w:val="18"/>
                <w:szCs w:val="18"/>
                <w:color w:val="auto"/>
              </w:rPr>
            </w:pPr>
          </w:p>
        </w:tc>
        <w:tc>
          <w:tcPr>
            <w:tcW w:w="9480" w:type="dxa"/>
            <w:vAlign w:val="bottom"/>
            <w:gridSpan w:val="2"/>
          </w:tcPr>
          <w:p>
            <w:pPr>
              <w:ind w:left="40"/>
              <w:spacing w:after="0"/>
              <w:rPr>
                <w:sz w:val="20"/>
                <w:szCs w:val="20"/>
                <w:color w:val="auto"/>
              </w:rPr>
            </w:pPr>
            <w:r>
              <w:rPr>
                <w:rFonts w:ascii="Arial" w:cs="Arial" w:eastAsia="Arial" w:hAnsi="Arial"/>
                <w:sz w:val="17"/>
                <w:szCs w:val="17"/>
                <w:color w:val="auto"/>
              </w:rPr>
              <w:t>GOVERNING LAW AND DISPUTE RESOLUTION</w:t>
            </w:r>
          </w:p>
        </w:tc>
        <w:tc>
          <w:tcPr>
            <w:tcW w:w="38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0"/>
        </w:trPr>
        <w:tc>
          <w:tcPr>
            <w:tcW w:w="560" w:type="dxa"/>
            <w:vAlign w:val="bottom"/>
          </w:tcPr>
          <w:p>
            <w:pPr>
              <w:spacing w:after="0"/>
              <w:rPr>
                <w:sz w:val="20"/>
                <w:szCs w:val="20"/>
                <w:color w:val="auto"/>
              </w:rPr>
            </w:pPr>
            <w:r>
              <w:rPr>
                <w:rFonts w:ascii="Arial" w:cs="Arial" w:eastAsia="Arial" w:hAnsi="Arial"/>
                <w:sz w:val="17"/>
                <w:szCs w:val="17"/>
                <w:color w:val="auto"/>
              </w:rPr>
              <w:t>13.</w:t>
            </w:r>
          </w:p>
        </w:tc>
        <w:tc>
          <w:tcPr>
            <w:tcW w:w="260" w:type="dxa"/>
            <w:vAlign w:val="bottom"/>
          </w:tcPr>
          <w:p>
            <w:pPr>
              <w:spacing w:after="0"/>
              <w:rPr>
                <w:sz w:val="18"/>
                <w:szCs w:val="18"/>
                <w:color w:val="auto"/>
              </w:rPr>
            </w:pPr>
          </w:p>
        </w:tc>
        <w:tc>
          <w:tcPr>
            <w:tcW w:w="9480" w:type="dxa"/>
            <w:vAlign w:val="bottom"/>
            <w:gridSpan w:val="2"/>
          </w:tcPr>
          <w:p>
            <w:pPr>
              <w:ind w:left="40"/>
              <w:spacing w:after="0"/>
              <w:rPr>
                <w:sz w:val="20"/>
                <w:szCs w:val="20"/>
                <w:color w:val="auto"/>
              </w:rPr>
            </w:pPr>
            <w:r>
              <w:rPr>
                <w:rFonts w:ascii="Arial" w:cs="Arial" w:eastAsia="Arial" w:hAnsi="Arial"/>
                <w:sz w:val="17"/>
                <w:szCs w:val="17"/>
                <w:color w:val="auto"/>
              </w:rPr>
              <w:t>FORCE MAJEURE</w:t>
            </w:r>
          </w:p>
        </w:tc>
        <w:tc>
          <w:tcPr>
            <w:tcW w:w="38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560" w:type="dxa"/>
            <w:vAlign w:val="bottom"/>
          </w:tcPr>
          <w:p>
            <w:pPr>
              <w:spacing w:after="0"/>
              <w:rPr>
                <w:sz w:val="20"/>
                <w:szCs w:val="20"/>
                <w:color w:val="auto"/>
              </w:rPr>
            </w:pPr>
            <w:r>
              <w:rPr>
                <w:rFonts w:ascii="Arial" w:cs="Arial" w:eastAsia="Arial" w:hAnsi="Arial"/>
                <w:sz w:val="17"/>
                <w:szCs w:val="17"/>
                <w:color w:val="auto"/>
              </w:rPr>
              <w:t>14.</w:t>
            </w:r>
          </w:p>
        </w:tc>
        <w:tc>
          <w:tcPr>
            <w:tcW w:w="260" w:type="dxa"/>
            <w:vAlign w:val="bottom"/>
          </w:tcPr>
          <w:p>
            <w:pPr>
              <w:spacing w:after="0"/>
              <w:rPr>
                <w:sz w:val="18"/>
                <w:szCs w:val="18"/>
                <w:color w:val="auto"/>
              </w:rPr>
            </w:pPr>
          </w:p>
        </w:tc>
        <w:tc>
          <w:tcPr>
            <w:tcW w:w="9480" w:type="dxa"/>
            <w:vAlign w:val="bottom"/>
            <w:gridSpan w:val="2"/>
          </w:tcPr>
          <w:p>
            <w:pPr>
              <w:ind w:left="40"/>
              <w:spacing w:after="0"/>
              <w:rPr>
                <w:sz w:val="20"/>
                <w:szCs w:val="20"/>
                <w:color w:val="auto"/>
              </w:rPr>
            </w:pPr>
            <w:r>
              <w:rPr>
                <w:rFonts w:ascii="Arial" w:cs="Arial" w:eastAsia="Arial" w:hAnsi="Arial"/>
                <w:sz w:val="17"/>
                <w:szCs w:val="17"/>
                <w:color w:val="auto"/>
              </w:rPr>
              <w:t>ILLEGALITY</w:t>
            </w:r>
          </w:p>
        </w:tc>
        <w:tc>
          <w:tcPr>
            <w:tcW w:w="38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560" w:type="dxa"/>
            <w:vAlign w:val="bottom"/>
          </w:tcPr>
          <w:p>
            <w:pPr>
              <w:spacing w:after="0"/>
              <w:rPr>
                <w:sz w:val="20"/>
                <w:szCs w:val="20"/>
                <w:color w:val="auto"/>
              </w:rPr>
            </w:pPr>
            <w:r>
              <w:rPr>
                <w:rFonts w:ascii="Arial" w:cs="Arial" w:eastAsia="Arial" w:hAnsi="Arial"/>
                <w:sz w:val="17"/>
                <w:szCs w:val="17"/>
                <w:color w:val="auto"/>
              </w:rPr>
              <w:t>15.</w:t>
            </w:r>
          </w:p>
        </w:tc>
        <w:tc>
          <w:tcPr>
            <w:tcW w:w="260" w:type="dxa"/>
            <w:vAlign w:val="bottom"/>
          </w:tcPr>
          <w:p>
            <w:pPr>
              <w:spacing w:after="0"/>
              <w:rPr>
                <w:sz w:val="18"/>
                <w:szCs w:val="18"/>
                <w:color w:val="auto"/>
              </w:rPr>
            </w:pPr>
          </w:p>
        </w:tc>
        <w:tc>
          <w:tcPr>
            <w:tcW w:w="9480" w:type="dxa"/>
            <w:vAlign w:val="bottom"/>
            <w:gridSpan w:val="2"/>
          </w:tcPr>
          <w:p>
            <w:pPr>
              <w:ind w:left="40"/>
              <w:spacing w:after="0"/>
              <w:rPr>
                <w:sz w:val="20"/>
                <w:szCs w:val="20"/>
                <w:color w:val="auto"/>
              </w:rPr>
            </w:pPr>
            <w:r>
              <w:rPr>
                <w:rFonts w:ascii="Arial" w:cs="Arial" w:eastAsia="Arial" w:hAnsi="Arial"/>
                <w:sz w:val="17"/>
                <w:szCs w:val="17"/>
                <w:color w:val="auto"/>
              </w:rPr>
              <w:t>MISCELLANEOUS</w:t>
            </w:r>
          </w:p>
        </w:tc>
        <w:tc>
          <w:tcPr>
            <w:tcW w:w="38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22"/>
        </w:trPr>
        <w:tc>
          <w:tcPr>
            <w:tcW w:w="560" w:type="dxa"/>
            <w:vAlign w:val="bottom"/>
          </w:tcPr>
          <w:p>
            <w:pPr>
              <w:spacing w:after="0"/>
              <w:rPr>
                <w:sz w:val="20"/>
                <w:szCs w:val="20"/>
                <w:color w:val="auto"/>
              </w:rPr>
            </w:pPr>
            <w:r>
              <w:rPr>
                <w:rFonts w:ascii="Arial" w:cs="Arial" w:eastAsia="Arial" w:hAnsi="Arial"/>
                <w:sz w:val="17"/>
                <w:szCs w:val="17"/>
                <w:color w:val="auto"/>
              </w:rPr>
              <w:t>16.</w:t>
            </w:r>
          </w:p>
        </w:tc>
        <w:tc>
          <w:tcPr>
            <w:tcW w:w="260" w:type="dxa"/>
            <w:vAlign w:val="bottom"/>
          </w:tcPr>
          <w:p>
            <w:pPr>
              <w:spacing w:after="0"/>
              <w:rPr>
                <w:sz w:val="19"/>
                <w:szCs w:val="19"/>
                <w:color w:val="auto"/>
              </w:rPr>
            </w:pPr>
          </w:p>
        </w:tc>
        <w:tc>
          <w:tcPr>
            <w:tcW w:w="9480" w:type="dxa"/>
            <w:vAlign w:val="bottom"/>
            <w:gridSpan w:val="2"/>
          </w:tcPr>
          <w:p>
            <w:pPr>
              <w:ind w:left="40"/>
              <w:spacing w:after="0"/>
              <w:rPr>
                <w:sz w:val="20"/>
                <w:szCs w:val="20"/>
                <w:color w:val="auto"/>
              </w:rPr>
            </w:pPr>
            <w:r>
              <w:rPr>
                <w:rFonts w:ascii="Arial" w:cs="Arial" w:eastAsia="Arial" w:hAnsi="Arial"/>
                <w:sz w:val="17"/>
                <w:szCs w:val="17"/>
                <w:color w:val="auto"/>
              </w:rPr>
              <w:t>NOTICE</w:t>
            </w:r>
          </w:p>
        </w:tc>
        <w:tc>
          <w:tcPr>
            <w:tcW w:w="380" w:type="dxa"/>
            <w:vAlign w:val="bottom"/>
          </w:tcPr>
          <w:p>
            <w:pPr>
              <w:jc w:val="right"/>
              <w:spacing w:after="0"/>
              <w:rPr>
                <w:sz w:val="20"/>
                <w:szCs w:val="20"/>
                <w:color w:val="auto"/>
              </w:rPr>
            </w:pPr>
            <w:r>
              <w:rPr>
                <w:rFonts w:ascii="Arial" w:cs="Arial" w:eastAsia="Arial" w:hAnsi="Arial"/>
                <w:sz w:val="17"/>
                <w:szCs w:val="17"/>
                <w:color w:val="auto"/>
              </w:rPr>
              <w:t>24</w:t>
            </w:r>
          </w:p>
        </w:tc>
      </w:tr>
    </w:tbl>
    <w:p>
      <w:pPr>
        <w:spacing w:after="0" w:line="198" w:lineRule="exact"/>
        <w:rPr>
          <w:sz w:val="20"/>
          <w:szCs w:val="20"/>
          <w:color w:val="auto"/>
        </w:rPr>
      </w:pPr>
    </w:p>
    <w:p>
      <w:pPr>
        <w:ind w:left="9"/>
        <w:spacing w:after="0"/>
        <w:rPr>
          <w:sz w:val="20"/>
          <w:szCs w:val="20"/>
          <w:color w:val="auto"/>
        </w:rPr>
      </w:pPr>
      <w:r>
        <w:rPr>
          <w:rFonts w:ascii="Arial" w:cs="Arial" w:eastAsia="Arial" w:hAnsi="Arial"/>
          <w:sz w:val="17"/>
          <w:szCs w:val="17"/>
          <w:u w:val="single" w:color="auto"/>
          <w:color w:val="auto"/>
        </w:rPr>
        <w:t>APPENDIX</w:t>
      </w:r>
    </w:p>
    <w:p>
      <w:pPr>
        <w:spacing w:after="0" w:line="250" w:lineRule="exact"/>
        <w:rPr>
          <w:sz w:val="20"/>
          <w:szCs w:val="20"/>
          <w:color w:val="auto"/>
        </w:rPr>
      </w:pPr>
    </w:p>
    <w:p>
      <w:pPr>
        <w:ind w:left="849" w:hanging="849"/>
        <w:spacing w:after="0"/>
        <w:tabs>
          <w:tab w:leader="none" w:pos="849" w:val="left"/>
        </w:tabs>
        <w:numPr>
          <w:ilvl w:val="0"/>
          <w:numId w:val="311"/>
        </w:numPr>
        <w:rPr>
          <w:rFonts w:ascii="Arial" w:cs="Arial" w:eastAsia="Arial" w:hAnsi="Arial"/>
          <w:sz w:val="17"/>
          <w:szCs w:val="17"/>
          <w:color w:val="auto"/>
        </w:rPr>
      </w:pPr>
      <w:r>
        <w:rPr>
          <w:rFonts w:ascii="Arial" w:cs="Arial" w:eastAsia="Arial" w:hAnsi="Arial"/>
          <w:sz w:val="17"/>
          <w:szCs w:val="17"/>
          <w:color w:val="auto"/>
        </w:rPr>
        <w:t>Patent Rights</w:t>
      </w:r>
    </w:p>
    <w:p>
      <w:pPr>
        <w:spacing w:after="0" w:line="26" w:lineRule="exact"/>
        <w:rPr>
          <w:sz w:val="20"/>
          <w:szCs w:val="20"/>
          <w:color w:val="auto"/>
        </w:rPr>
      </w:pPr>
    </w:p>
    <w:p>
      <w:pPr>
        <w:ind w:left="849" w:hanging="849"/>
        <w:spacing w:after="0"/>
        <w:tabs>
          <w:tab w:leader="none" w:pos="849" w:val="left"/>
        </w:tabs>
        <w:numPr>
          <w:ilvl w:val="0"/>
          <w:numId w:val="312"/>
        </w:numPr>
        <w:rPr>
          <w:rFonts w:ascii="Arial" w:cs="Arial" w:eastAsia="Arial" w:hAnsi="Arial"/>
          <w:sz w:val="17"/>
          <w:szCs w:val="17"/>
          <w:color w:val="auto"/>
        </w:rPr>
      </w:pPr>
      <w:r>
        <w:rPr>
          <w:rFonts w:ascii="Arial" w:cs="Arial" w:eastAsia="Arial" w:hAnsi="Arial"/>
          <w:sz w:val="17"/>
          <w:szCs w:val="17"/>
          <w:color w:val="auto"/>
        </w:rPr>
        <w:t>CDACF Version 8 Base Powders</w:t>
      </w:r>
    </w:p>
    <w:p>
      <w:pPr>
        <w:spacing w:after="0" w:line="14" w:lineRule="exact"/>
        <w:rPr>
          <w:sz w:val="20"/>
          <w:szCs w:val="20"/>
          <w:color w:val="auto"/>
        </w:rPr>
      </w:pPr>
    </w:p>
    <w:p>
      <w:pPr>
        <w:ind w:left="849" w:hanging="849"/>
        <w:spacing w:after="0"/>
        <w:tabs>
          <w:tab w:leader="none" w:pos="849" w:val="left"/>
        </w:tabs>
        <w:numPr>
          <w:ilvl w:val="0"/>
          <w:numId w:val="313"/>
        </w:numPr>
        <w:rPr>
          <w:rFonts w:ascii="Arial" w:cs="Arial" w:eastAsia="Arial" w:hAnsi="Arial"/>
          <w:sz w:val="17"/>
          <w:szCs w:val="17"/>
          <w:color w:val="auto"/>
        </w:rPr>
      </w:pPr>
      <w:r>
        <w:rPr>
          <w:rFonts w:ascii="Arial" w:cs="Arial" w:eastAsia="Arial" w:hAnsi="Arial"/>
          <w:sz w:val="17"/>
          <w:szCs w:val="17"/>
          <w:color w:val="auto"/>
        </w:rPr>
        <w:t>CDACF Version 8 Supplements, Media and Feeds</w:t>
      </w:r>
    </w:p>
    <w:p>
      <w:pPr>
        <w:spacing w:after="0" w:line="14" w:lineRule="exact"/>
        <w:rPr>
          <w:sz w:val="20"/>
          <w:szCs w:val="20"/>
          <w:color w:val="auto"/>
        </w:rPr>
      </w:pPr>
    </w:p>
    <w:p>
      <w:pPr>
        <w:ind w:left="849" w:hanging="849"/>
        <w:spacing w:after="0"/>
        <w:tabs>
          <w:tab w:leader="none" w:pos="849" w:val="left"/>
        </w:tabs>
        <w:numPr>
          <w:ilvl w:val="0"/>
          <w:numId w:val="314"/>
        </w:numPr>
        <w:rPr>
          <w:rFonts w:ascii="Arial" w:cs="Arial" w:eastAsia="Arial" w:hAnsi="Arial"/>
          <w:sz w:val="17"/>
          <w:szCs w:val="17"/>
          <w:color w:val="auto"/>
        </w:rPr>
      </w:pPr>
      <w:r>
        <w:rPr>
          <w:rFonts w:ascii="Arial" w:cs="Arial" w:eastAsia="Arial" w:hAnsi="Arial"/>
          <w:sz w:val="17"/>
          <w:szCs w:val="17"/>
          <w:color w:val="auto"/>
        </w:rPr>
        <w:t>CDACF Version 8 Know-How</w:t>
      </w:r>
    </w:p>
    <w:p>
      <w:pPr>
        <w:spacing w:after="0" w:line="14" w:lineRule="exact"/>
        <w:rPr>
          <w:rFonts w:ascii="Arial" w:cs="Arial" w:eastAsia="Arial" w:hAnsi="Arial"/>
          <w:sz w:val="17"/>
          <w:szCs w:val="17"/>
          <w:color w:val="auto"/>
        </w:rPr>
      </w:pPr>
    </w:p>
    <w:p>
      <w:pPr>
        <w:ind w:left="9"/>
        <w:spacing w:after="0"/>
        <w:rPr>
          <w:rFonts w:ascii="Arial" w:cs="Arial" w:eastAsia="Arial" w:hAnsi="Arial"/>
          <w:sz w:val="17"/>
          <w:szCs w:val="17"/>
          <w:color w:val="auto"/>
        </w:rPr>
      </w:pPr>
      <w:r>
        <w:rPr>
          <w:rFonts w:ascii="Arial" w:cs="Arial" w:eastAsia="Arial" w:hAnsi="Arial"/>
          <w:sz w:val="17"/>
          <w:szCs w:val="17"/>
          <w:color w:val="auto"/>
        </w:rPr>
        <w:t>5</w:t>
      </w:r>
      <w:r>
        <w:rPr>
          <w:rFonts w:ascii="Arial" w:cs="Arial" w:eastAsia="Arial" w:hAnsi="Arial"/>
          <w:sz w:val="15"/>
          <w:szCs w:val="15"/>
          <w:color w:val="auto"/>
        </w:rPr>
        <w:t>Products</w:t>
      </w:r>
    </w:p>
    <w:p>
      <w:pPr>
        <w:spacing w:after="0" w:line="146"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2</w:t>
      </w:r>
    </w:p>
    <w:p>
      <w:pPr>
        <w:spacing w:after="0" w:line="26" w:lineRule="exact"/>
        <w:rPr>
          <w:sz w:val="20"/>
          <w:szCs w:val="20"/>
          <w:color w:val="auto"/>
        </w:rPr>
      </w:pPr>
    </w:p>
    <w:p>
      <w:pPr>
        <w:ind w:left="1469" w:right="1000" w:hanging="481"/>
        <w:spacing w:after="0" w:line="343" w:lineRule="auto"/>
        <w:tabs>
          <w:tab w:leader="none" w:pos="1241" w:val="left"/>
        </w:tabs>
        <w:numPr>
          <w:ilvl w:val="0"/>
          <w:numId w:val="315"/>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89"/>
          </w:cols>
          <w:pgMar w:left="611" w:top="454" w:right="599" w:bottom="1440" w:gutter="0" w:footer="0" w:header="0"/>
        </w:sectPr>
      </w:pPr>
    </w:p>
    <w:bookmarkStart w:id="392" w:name="page393"/>
    <w:bookmarkEnd w:id="392"/>
    <w:p>
      <w:pPr>
        <w:ind w:left="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4">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85" w:lineRule="exact"/>
        <w:rPr>
          <w:sz w:val="20"/>
          <w:szCs w:val="20"/>
          <w:color w:val="auto"/>
        </w:rPr>
      </w:pPr>
    </w:p>
    <w:p>
      <w:pPr>
        <w:ind w:left="9"/>
        <w:spacing w:after="0"/>
        <w:tabs>
          <w:tab w:leader="none" w:pos="3028" w:val="left"/>
          <w:tab w:leader="none" w:pos="3888" w:val="left"/>
          <w:tab w:leader="none" w:pos="5028" w:val="left"/>
          <w:tab w:leader="none" w:pos="6288" w:val="left"/>
        </w:tabs>
        <w:rPr>
          <w:sz w:val="20"/>
          <w:szCs w:val="20"/>
          <w:color w:val="auto"/>
        </w:rPr>
      </w:pPr>
      <w:r>
        <w:rPr>
          <w:rFonts w:ascii="Arial" w:cs="Arial" w:eastAsia="Arial" w:hAnsi="Arial"/>
          <w:sz w:val="17"/>
          <w:szCs w:val="17"/>
          <w:color w:val="auto"/>
        </w:rPr>
        <w:t>THIS AGREEMENT is made the</w:t>
      </w:r>
      <w:r>
        <w:rPr>
          <w:sz w:val="20"/>
          <w:szCs w:val="20"/>
          <w:color w:val="auto"/>
        </w:rPr>
        <w:tab/>
      </w: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day of</w:t>
      </w:r>
      <w:r>
        <w:rPr>
          <w:sz w:val="20"/>
          <w:szCs w:val="20"/>
          <w:color w:val="auto"/>
        </w:rPr>
        <w:tab/>
      </w:r>
      <w:r>
        <w:rPr>
          <w:rFonts w:ascii="Arial" w:cs="Arial" w:eastAsia="Arial" w:hAnsi="Arial"/>
          <w:sz w:val="17"/>
          <w:szCs w:val="17"/>
          <w:color w:val="auto"/>
        </w:rPr>
        <w:t>October</w:t>
      </w:r>
      <w:r>
        <w:rPr>
          <w:sz w:val="20"/>
          <w:szCs w:val="20"/>
          <w:color w:val="auto"/>
        </w:rPr>
        <w:tab/>
      </w:r>
      <w:r>
        <w:rPr>
          <w:rFonts w:ascii="Arial" w:cs="Arial" w:eastAsia="Arial" w:hAnsi="Arial"/>
          <w:sz w:val="16"/>
          <w:szCs w:val="16"/>
          <w:color w:val="auto"/>
        </w:rPr>
        <w:t>2014</w:t>
      </w:r>
    </w:p>
    <w:p>
      <w:pPr>
        <w:spacing w:after="0" w:line="224" w:lineRule="exact"/>
        <w:rPr>
          <w:sz w:val="20"/>
          <w:szCs w:val="20"/>
          <w:color w:val="auto"/>
        </w:rPr>
      </w:pPr>
    </w:p>
    <w:p>
      <w:pPr>
        <w:ind w:left="9"/>
        <w:spacing w:after="0"/>
        <w:rPr>
          <w:sz w:val="20"/>
          <w:szCs w:val="20"/>
          <w:color w:val="auto"/>
        </w:rPr>
      </w:pPr>
      <w:r>
        <w:rPr>
          <w:rFonts w:ascii="Arial" w:cs="Arial" w:eastAsia="Arial" w:hAnsi="Arial"/>
          <w:sz w:val="17"/>
          <w:szCs w:val="17"/>
          <w:color w:val="auto"/>
        </w:rPr>
        <w:t>BETWEEN</w:t>
      </w:r>
    </w:p>
    <w:p>
      <w:pPr>
        <w:spacing w:after="0" w:line="218" w:lineRule="exact"/>
        <w:rPr>
          <w:sz w:val="20"/>
          <w:szCs w:val="20"/>
          <w:color w:val="auto"/>
        </w:rPr>
      </w:pPr>
    </w:p>
    <w:p>
      <w:pPr>
        <w:ind w:left="9" w:right="60"/>
        <w:spacing w:after="0" w:line="296" w:lineRule="auto"/>
        <w:rPr>
          <w:sz w:val="20"/>
          <w:szCs w:val="20"/>
          <w:color w:val="auto"/>
        </w:rPr>
      </w:pPr>
      <w:r>
        <w:rPr>
          <w:rFonts w:ascii="Arial" w:cs="Arial" w:eastAsia="Arial" w:hAnsi="Arial"/>
          <w:sz w:val="17"/>
          <w:szCs w:val="17"/>
          <w:b w:val="1"/>
          <w:bCs w:val="1"/>
          <w:color w:val="auto"/>
        </w:rPr>
        <w:t xml:space="preserve">LONZA SALES AG </w:t>
      </w:r>
      <w:r>
        <w:rPr>
          <w:rFonts w:ascii="Arial" w:cs="Arial" w:eastAsia="Arial" w:hAnsi="Arial"/>
          <w:sz w:val="17"/>
          <w:szCs w:val="17"/>
          <w:color w:val="auto"/>
        </w:rPr>
        <w:t>incorporated and registered in Switzerland whose registered office is at Muenchensteinerstrasse 38, CH-4002, Basel, Switzerland</w:t>
      </w:r>
      <w:r>
        <w:rPr>
          <w:rFonts w:ascii="Arial" w:cs="Arial" w:eastAsia="Arial" w:hAnsi="Arial"/>
          <w:sz w:val="17"/>
          <w:szCs w:val="17"/>
          <w:b w:val="1"/>
          <w:bCs w:val="1"/>
          <w:color w:val="auto"/>
        </w:rPr>
        <w:t xml:space="preserve"> </w:t>
      </w:r>
      <w:r>
        <w:rPr>
          <w:rFonts w:ascii="Arial" w:cs="Arial" w:eastAsia="Arial" w:hAnsi="Arial"/>
          <w:sz w:val="17"/>
          <w:szCs w:val="17"/>
          <w:color w:val="auto"/>
        </w:rPr>
        <w:t>(hereinafter referred to as “</w:t>
      </w:r>
      <w:r>
        <w:rPr>
          <w:rFonts w:ascii="Arial" w:cs="Arial" w:eastAsia="Arial" w:hAnsi="Arial"/>
          <w:sz w:val="17"/>
          <w:szCs w:val="17"/>
          <w:b w:val="1"/>
          <w:bCs w:val="1"/>
          <w:color w:val="auto"/>
        </w:rPr>
        <w:t>Lonza</w:t>
      </w:r>
      <w:r>
        <w:rPr>
          <w:rFonts w:ascii="Arial" w:cs="Arial" w:eastAsia="Arial" w:hAnsi="Arial"/>
          <w:sz w:val="17"/>
          <w:szCs w:val="17"/>
          <w:color w:val="auto"/>
        </w:rPr>
        <w:t>”), and</w:t>
      </w:r>
    </w:p>
    <w:p>
      <w:pPr>
        <w:spacing w:after="0" w:line="146"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 xml:space="preserve">NGM BIOPHARMACEUTICALS, INC., </w:t>
      </w:r>
      <w:r>
        <w:rPr>
          <w:rFonts w:ascii="Arial" w:cs="Arial" w:eastAsia="Arial" w:hAnsi="Arial"/>
          <w:sz w:val="17"/>
          <w:szCs w:val="17"/>
          <w:color w:val="auto"/>
        </w:rPr>
        <w:t>of 630 Gateway Blvd., South San Francisco, CA 94080, USA (hereinafter referred to as “</w:t>
      </w:r>
      <w:r>
        <w:rPr>
          <w:rFonts w:ascii="Arial" w:cs="Arial" w:eastAsia="Arial" w:hAnsi="Arial"/>
          <w:sz w:val="17"/>
          <w:szCs w:val="17"/>
          <w:b w:val="1"/>
          <w:bCs w:val="1"/>
          <w:color w:val="auto"/>
        </w:rPr>
        <w:t>Licensee</w:t>
      </w:r>
      <w:r>
        <w:rPr>
          <w:rFonts w:ascii="Arial" w:cs="Arial" w:eastAsia="Arial" w:hAnsi="Arial"/>
          <w:sz w:val="17"/>
          <w:szCs w:val="17"/>
          <w:color w:val="auto"/>
        </w:rPr>
        <w:t>”)</w:t>
      </w:r>
    </w:p>
    <w:p>
      <w:pPr>
        <w:spacing w:after="0" w:line="224" w:lineRule="exact"/>
        <w:rPr>
          <w:sz w:val="20"/>
          <w:szCs w:val="20"/>
          <w:color w:val="auto"/>
        </w:rPr>
      </w:pPr>
    </w:p>
    <w:p>
      <w:pPr>
        <w:ind w:left="9"/>
        <w:spacing w:after="0"/>
        <w:rPr>
          <w:sz w:val="20"/>
          <w:szCs w:val="20"/>
          <w:color w:val="auto"/>
        </w:rPr>
      </w:pPr>
      <w:r>
        <w:rPr>
          <w:rFonts w:ascii="Arial" w:cs="Arial" w:eastAsia="Arial" w:hAnsi="Arial"/>
          <w:sz w:val="17"/>
          <w:szCs w:val="17"/>
          <w:color w:val="auto"/>
        </w:rPr>
        <w:t>The Licensee and Lonza shall hereinafter jointly be referred to as the “</w:t>
      </w:r>
      <w:r>
        <w:rPr>
          <w:rFonts w:ascii="Arial" w:cs="Arial" w:eastAsia="Arial" w:hAnsi="Arial"/>
          <w:sz w:val="17"/>
          <w:szCs w:val="17"/>
          <w:b w:val="1"/>
          <w:bCs w:val="1"/>
          <w:color w:val="auto"/>
        </w:rPr>
        <w:t>Parties</w:t>
      </w:r>
      <w:r>
        <w:rPr>
          <w:rFonts w:ascii="Arial" w:cs="Arial" w:eastAsia="Arial" w:hAnsi="Arial"/>
          <w:sz w:val="17"/>
          <w:szCs w:val="17"/>
          <w:color w:val="auto"/>
        </w:rPr>
        <w:t>” and individually as the “</w:t>
      </w:r>
      <w:r>
        <w:rPr>
          <w:rFonts w:ascii="Arial" w:cs="Arial" w:eastAsia="Arial" w:hAnsi="Arial"/>
          <w:sz w:val="17"/>
          <w:szCs w:val="17"/>
          <w:b w:val="1"/>
          <w:bCs w:val="1"/>
          <w:color w:val="auto"/>
        </w:rPr>
        <w:t>Party</w:t>
      </w:r>
      <w:r>
        <w:rPr>
          <w:rFonts w:ascii="Arial" w:cs="Arial" w:eastAsia="Arial" w:hAnsi="Arial"/>
          <w:sz w:val="17"/>
          <w:szCs w:val="17"/>
          <w:color w:val="auto"/>
        </w:rPr>
        <w:t>”.</w:t>
      </w:r>
    </w:p>
    <w:p>
      <w:pPr>
        <w:spacing w:after="0" w:line="230" w:lineRule="exact"/>
        <w:rPr>
          <w:sz w:val="20"/>
          <w:szCs w:val="20"/>
          <w:color w:val="auto"/>
        </w:rPr>
      </w:pPr>
    </w:p>
    <w:p>
      <w:pPr>
        <w:ind w:left="9"/>
        <w:spacing w:after="0"/>
        <w:rPr>
          <w:sz w:val="20"/>
          <w:szCs w:val="20"/>
          <w:color w:val="auto"/>
        </w:rPr>
      </w:pPr>
      <w:r>
        <w:rPr>
          <w:rFonts w:ascii="Arial" w:cs="Arial" w:eastAsia="Arial" w:hAnsi="Arial"/>
          <w:sz w:val="17"/>
          <w:szCs w:val="17"/>
          <w:color w:val="auto"/>
        </w:rPr>
        <w:t>WHEREAS</w:t>
      </w:r>
    </w:p>
    <w:p>
      <w:pPr>
        <w:spacing w:after="0" w:line="250" w:lineRule="exact"/>
        <w:rPr>
          <w:sz w:val="20"/>
          <w:szCs w:val="20"/>
          <w:color w:val="auto"/>
        </w:rPr>
      </w:pPr>
    </w:p>
    <w:p>
      <w:pPr>
        <w:ind w:left="529" w:right="60" w:hanging="529"/>
        <w:spacing w:after="0" w:line="289" w:lineRule="auto"/>
        <w:tabs>
          <w:tab w:leader="none" w:pos="529" w:val="left"/>
        </w:tabs>
        <w:numPr>
          <w:ilvl w:val="0"/>
          <w:numId w:val="316"/>
        </w:numPr>
        <w:rPr>
          <w:rFonts w:ascii="Arial" w:cs="Arial" w:eastAsia="Arial" w:hAnsi="Arial"/>
          <w:sz w:val="17"/>
          <w:szCs w:val="17"/>
          <w:color w:val="auto"/>
        </w:rPr>
      </w:pPr>
      <w:r>
        <w:rPr>
          <w:rFonts w:ascii="Arial" w:cs="Arial" w:eastAsia="Arial" w:hAnsi="Arial"/>
          <w:sz w:val="17"/>
          <w:szCs w:val="17"/>
          <w:color w:val="auto"/>
        </w:rPr>
        <w:t>Lonza is the proprietor of the System and the CDACF Version 8 System and has the right to grant certain Intellectual Property Rights in relation thereto (all as hereinafter defined), and</w:t>
      </w:r>
    </w:p>
    <w:p>
      <w:pPr>
        <w:spacing w:after="0" w:line="183" w:lineRule="exact"/>
        <w:rPr>
          <w:rFonts w:ascii="Arial" w:cs="Arial" w:eastAsia="Arial" w:hAnsi="Arial"/>
          <w:sz w:val="17"/>
          <w:szCs w:val="17"/>
          <w:color w:val="auto"/>
        </w:rPr>
      </w:pPr>
    </w:p>
    <w:p>
      <w:pPr>
        <w:ind w:left="529" w:hanging="529"/>
        <w:spacing w:after="0" w:line="273" w:lineRule="auto"/>
        <w:tabs>
          <w:tab w:leader="none" w:pos="529"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 Licensee took a license for research purposes under Intellectual Property Rights of which Lonza is the proprietor under that certain Research Evaluation Agreement between the Parties dated 9 November 2012 referred to as contract no. B14690 (as amended by the Parties from time to time, the “</w:t>
      </w:r>
      <w:r>
        <w:rPr>
          <w:rFonts w:ascii="Arial" w:cs="Arial" w:eastAsia="Arial" w:hAnsi="Arial"/>
          <w:sz w:val="17"/>
          <w:szCs w:val="17"/>
          <w:b w:val="1"/>
          <w:bCs w:val="1"/>
          <w:color w:val="auto"/>
        </w:rPr>
        <w:t>REA</w:t>
      </w:r>
      <w:r>
        <w:rPr>
          <w:rFonts w:ascii="Arial" w:cs="Arial" w:eastAsia="Arial" w:hAnsi="Arial"/>
          <w:sz w:val="17"/>
          <w:szCs w:val="17"/>
          <w:color w:val="auto"/>
        </w:rPr>
        <w:t>”), which remains valid in accordance with its terms, and</w:t>
      </w:r>
    </w:p>
    <w:p>
      <w:pPr>
        <w:spacing w:after="0" w:line="197" w:lineRule="exact"/>
        <w:rPr>
          <w:rFonts w:ascii="Arial" w:cs="Arial" w:eastAsia="Arial" w:hAnsi="Arial"/>
          <w:sz w:val="17"/>
          <w:szCs w:val="17"/>
          <w:color w:val="auto"/>
        </w:rPr>
      </w:pPr>
    </w:p>
    <w:p>
      <w:pPr>
        <w:ind w:left="529" w:right="80" w:hanging="529"/>
        <w:spacing w:after="0" w:line="289" w:lineRule="auto"/>
        <w:tabs>
          <w:tab w:leader="none" w:pos="529"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 Licensee now wishes to take a licence under Intellectual Property Rights of which Lonza is the proprietor to commercially exploit Products (as hereinafter defined) in the form hereunder.</w:t>
      </w:r>
    </w:p>
    <w:p>
      <w:pPr>
        <w:spacing w:after="0" w:line="158" w:lineRule="exact"/>
        <w:rPr>
          <w:sz w:val="20"/>
          <w:szCs w:val="20"/>
          <w:color w:val="auto"/>
        </w:rPr>
      </w:pPr>
    </w:p>
    <w:p>
      <w:pPr>
        <w:ind w:left="9"/>
        <w:spacing w:after="0"/>
        <w:rPr>
          <w:sz w:val="20"/>
          <w:szCs w:val="20"/>
          <w:color w:val="auto"/>
        </w:rPr>
      </w:pPr>
      <w:r>
        <w:rPr>
          <w:rFonts w:ascii="Arial" w:cs="Arial" w:eastAsia="Arial" w:hAnsi="Arial"/>
          <w:sz w:val="17"/>
          <w:szCs w:val="17"/>
          <w:color w:val="auto"/>
        </w:rPr>
        <w:t>NOW THEREFORE the Parties hereby agree as follows:</w:t>
      </w:r>
    </w:p>
    <w:p>
      <w:pPr>
        <w:spacing w:after="0" w:line="244" w:lineRule="exact"/>
        <w:rPr>
          <w:sz w:val="20"/>
          <w:szCs w:val="20"/>
          <w:color w:val="auto"/>
        </w:rPr>
      </w:pPr>
    </w:p>
    <w:p>
      <w:pPr>
        <w:ind w:left="529" w:hanging="529"/>
        <w:spacing w:after="0"/>
        <w:tabs>
          <w:tab w:leader="none" w:pos="529" w:val="left"/>
        </w:tabs>
        <w:numPr>
          <w:ilvl w:val="0"/>
          <w:numId w:val="317"/>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 and Interpretation</w:t>
      </w:r>
    </w:p>
    <w:p>
      <w:pPr>
        <w:spacing w:after="0" w:line="256" w:lineRule="exact"/>
        <w:rPr>
          <w:sz w:val="20"/>
          <w:szCs w:val="20"/>
          <w:color w:val="auto"/>
        </w:rPr>
      </w:pPr>
    </w:p>
    <w:p>
      <w:pPr>
        <w:ind w:left="9"/>
        <w:spacing w:after="0"/>
        <w:tabs>
          <w:tab w:leader="none" w:pos="508"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color w:val="auto"/>
        </w:rPr>
        <w:t>In this Agreement the following words and phrases shall have the following meanings:</w:t>
      </w:r>
    </w:p>
    <w:p>
      <w:pPr>
        <w:spacing w:after="0" w:line="244" w:lineRule="exact"/>
        <w:rPr>
          <w:sz w:val="20"/>
          <w:szCs w:val="20"/>
          <w:color w:val="auto"/>
        </w:rPr>
      </w:pPr>
    </w:p>
    <w:p>
      <w:pPr>
        <w:ind w:left="1269" w:right="160" w:hanging="745"/>
        <w:spacing w:after="0" w:line="267" w:lineRule="auto"/>
        <w:tabs>
          <w:tab w:leader="none" w:pos="1248"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7"/>
          <w:szCs w:val="17"/>
          <w:b w:val="1"/>
          <w:bCs w:val="1"/>
          <w:color w:val="auto"/>
        </w:rPr>
        <w:t xml:space="preserve">“Affiliate” </w:t>
      </w:r>
      <w:r>
        <w:rPr>
          <w:rFonts w:ascii="Arial" w:cs="Arial" w:eastAsia="Arial" w:hAnsi="Arial"/>
          <w:sz w:val="17"/>
          <w:szCs w:val="17"/>
          <w:color w:val="auto"/>
        </w:rPr>
        <w:t>means any company, corporation, limited liability company, partnership or other entity which directly or indirectly</w:t>
      </w:r>
      <w:r>
        <w:rPr>
          <w:rFonts w:ascii="Arial" w:cs="Arial" w:eastAsia="Arial" w:hAnsi="Arial"/>
          <w:sz w:val="17"/>
          <w:szCs w:val="17"/>
          <w:b w:val="1"/>
          <w:bCs w:val="1"/>
          <w:color w:val="auto"/>
        </w:rPr>
        <w:t xml:space="preserve"> </w:t>
      </w:r>
      <w:r>
        <w:rPr>
          <w:rFonts w:ascii="Arial" w:cs="Arial" w:eastAsia="Arial" w:hAnsi="Arial"/>
          <w:sz w:val="17"/>
          <w:szCs w:val="17"/>
          <w:color w:val="auto"/>
        </w:rPr>
        <w:t>controls, is controlled by or is under common control, directly or indirectly, with the relevant Party to this Agreement. “Control” means the ownership of more than fifty percent (50%) of the issued share capital of the party in question or the legal power to direct or cause the direction of the general management and policies of the party in question. Such entity shall be deemed an Affiliate only so long as it satisfies the foregoing definition.</w:t>
      </w:r>
    </w:p>
    <w:p>
      <w:pPr>
        <w:spacing w:after="0" w:line="196" w:lineRule="exact"/>
        <w:rPr>
          <w:sz w:val="20"/>
          <w:szCs w:val="20"/>
          <w:color w:val="auto"/>
        </w:rPr>
      </w:pPr>
    </w:p>
    <w:p>
      <w:pPr>
        <w:ind w:left="529"/>
        <w:spacing w:after="0"/>
        <w:tabs>
          <w:tab w:leader="none" w:pos="1248"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CDACF Version 8 Base Powders</w:t>
      </w:r>
      <w:r>
        <w:rPr>
          <w:rFonts w:ascii="Arial" w:cs="Arial" w:eastAsia="Arial" w:hAnsi="Arial"/>
          <w:sz w:val="15"/>
          <w:szCs w:val="15"/>
          <w:color w:val="auto"/>
        </w:rPr>
        <w:t>” means the powders set out in Appendix 2.</w:t>
      </w:r>
    </w:p>
    <w:p>
      <w:pPr>
        <w:spacing w:after="0" w:line="250" w:lineRule="exact"/>
        <w:rPr>
          <w:sz w:val="20"/>
          <w:szCs w:val="20"/>
          <w:color w:val="auto"/>
        </w:rPr>
      </w:pPr>
    </w:p>
    <w:p>
      <w:pPr>
        <w:ind w:left="1269" w:right="500" w:hanging="745"/>
        <w:spacing w:after="0" w:line="296" w:lineRule="auto"/>
        <w:tabs>
          <w:tab w:leader="none" w:pos="1248"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CDACF Version 8 Feeds</w:t>
      </w:r>
      <w:r>
        <w:rPr>
          <w:rFonts w:ascii="Arial" w:cs="Arial" w:eastAsia="Arial" w:hAnsi="Arial"/>
          <w:sz w:val="17"/>
          <w:szCs w:val="17"/>
          <w:color w:val="auto"/>
        </w:rPr>
        <w:t>” means the concentrated nutrient solutions used in order to maintain the growth and productivity of mammalian cells, as more fully set out in Appendix 3.</w:t>
      </w:r>
    </w:p>
    <w:p>
      <w:pPr>
        <w:spacing w:after="0" w:line="87" w:lineRule="exact"/>
        <w:rPr>
          <w:sz w:val="20"/>
          <w:szCs w:val="20"/>
          <w:color w:val="auto"/>
        </w:rPr>
      </w:pPr>
    </w:p>
    <w:p>
      <w:pPr>
        <w:jc w:val="center"/>
        <w:ind w:right="-28"/>
        <w:spacing w:after="0"/>
        <w:rPr>
          <w:sz w:val="20"/>
          <w:szCs w:val="20"/>
          <w:color w:val="auto"/>
        </w:rPr>
      </w:pPr>
      <w:r>
        <w:rPr>
          <w:rFonts w:ascii="Arial" w:cs="Arial" w:eastAsia="Arial" w:hAnsi="Arial"/>
          <w:sz w:val="17"/>
          <w:szCs w:val="17"/>
          <w:color w:val="auto"/>
        </w:rPr>
        <w:t>3</w:t>
      </w:r>
    </w:p>
    <w:p>
      <w:pPr>
        <w:spacing w:after="0" w:line="26" w:lineRule="exact"/>
        <w:rPr>
          <w:sz w:val="20"/>
          <w:szCs w:val="20"/>
          <w:color w:val="auto"/>
        </w:rPr>
      </w:pPr>
    </w:p>
    <w:p>
      <w:pPr>
        <w:ind w:left="1469" w:right="960" w:hanging="481"/>
        <w:spacing w:after="0" w:line="343" w:lineRule="auto"/>
        <w:tabs>
          <w:tab w:leader="none" w:pos="1241" w:val="left"/>
        </w:tabs>
        <w:numPr>
          <w:ilvl w:val="0"/>
          <w:numId w:val="318"/>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49"/>
          </w:cols>
          <w:pgMar w:left="611" w:top="454" w:right="639" w:bottom="1440" w:gutter="0" w:footer="0" w:header="0"/>
        </w:sectPr>
      </w:pPr>
    </w:p>
    <w:bookmarkStart w:id="393" w:name="page394"/>
    <w:bookmarkEnd w:id="39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6">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ectPr>
          <w:pgSz w:w="11900" w:h="16838" w:orient="portrait"/>
          <w:cols w:equalWidth="0" w:num="1">
            <w:col w:w="10660"/>
          </w:cols>
          <w:pgMar w:left="620" w:top="455" w:right="61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520"/>
        <w:spacing w:after="0"/>
        <w:tabs>
          <w:tab w:leader="none" w:pos="124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CDACF Version 8 Media</w:t>
      </w:r>
      <w:r>
        <w:rPr>
          <w:rFonts w:ascii="Arial" w:cs="Arial" w:eastAsia="Arial" w:hAnsi="Arial"/>
          <w:sz w:val="16"/>
          <w:szCs w:val="16"/>
          <w:color w:val="auto"/>
        </w:rPr>
        <w:t>” means the solutions of nutrients used in mammalian cell culture, as more fully set out in Appendix 3.</w:t>
      </w:r>
    </w:p>
    <w:p>
      <w:pPr>
        <w:spacing w:after="0" w:line="250" w:lineRule="exact"/>
        <w:rPr>
          <w:sz w:val="20"/>
          <w:szCs w:val="20"/>
          <w:color w:val="auto"/>
        </w:rPr>
      </w:pPr>
    </w:p>
    <w:p>
      <w:pPr>
        <w:ind w:left="1260" w:hanging="745"/>
        <w:spacing w:after="0" w:line="276" w:lineRule="auto"/>
        <w:tabs>
          <w:tab w:leader="none" w:pos="1240" w:val="left"/>
        </w:tabs>
        <w:rPr>
          <w:sz w:val="20"/>
          <w:szCs w:val="20"/>
          <w:color w:val="auto"/>
        </w:rPr>
      </w:pPr>
      <w:r>
        <w:rPr>
          <w:rFonts w:ascii="Arial" w:cs="Arial" w:eastAsia="Arial" w:hAnsi="Arial"/>
          <w:sz w:val="17"/>
          <w:szCs w:val="17"/>
          <w:color w:val="auto"/>
        </w:rPr>
        <w:t>1.1.5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CDACF Version 8 Know-How</w:t>
      </w:r>
      <w:r>
        <w:rPr>
          <w:rFonts w:ascii="Arial" w:cs="Arial" w:eastAsia="Arial" w:hAnsi="Arial"/>
          <w:sz w:val="17"/>
          <w:szCs w:val="17"/>
          <w:color w:val="auto"/>
        </w:rPr>
        <w:t>” means any Know-How specifically relating to the CDACF Version 8 Base Powders, CDACF Version 8 Feeds, CDACF Version 8 Media or the CDACF Version 8 Supplements used either in combination or individually, as set out in Appendix 4.</w:t>
      </w:r>
    </w:p>
    <w:p>
      <w:pPr>
        <w:spacing w:after="0" w:line="190" w:lineRule="exact"/>
        <w:rPr>
          <w:sz w:val="20"/>
          <w:szCs w:val="20"/>
          <w:color w:val="auto"/>
        </w:rPr>
      </w:pPr>
    </w:p>
    <w:p>
      <w:pPr>
        <w:ind w:left="1260" w:right="480" w:hanging="745"/>
        <w:spacing w:after="0" w:line="330" w:lineRule="auto"/>
        <w:tabs>
          <w:tab w:leader="none" w:pos="1240" w:val="left"/>
        </w:tabs>
        <w:rPr>
          <w:sz w:val="20"/>
          <w:szCs w:val="20"/>
          <w:color w:val="auto"/>
        </w:rPr>
      </w:pPr>
      <w:r>
        <w:rPr>
          <w:rFonts w:ascii="Arial" w:cs="Arial" w:eastAsia="Arial" w:hAnsi="Arial"/>
          <w:sz w:val="17"/>
          <w:szCs w:val="17"/>
          <w:color w:val="auto"/>
        </w:rPr>
        <w:t>1.1.6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CDACF Version 8 System</w:t>
      </w:r>
      <w:r>
        <w:rPr>
          <w:rFonts w:ascii="Arial" w:cs="Arial" w:eastAsia="Arial" w:hAnsi="Arial"/>
          <w:sz w:val="16"/>
          <w:szCs w:val="16"/>
          <w:color w:val="auto"/>
        </w:rPr>
        <w:t>” means the CDACF Version 8 Base Powders, CDACF Version 8 Feeds, CDACF Version 8 Media, CDACF Version 8 Know-How and the CDACF Version 8 Supplements used either in combination or individually.</w:t>
      </w:r>
    </w:p>
    <w:p>
      <w:pPr>
        <w:spacing w:after="0" w:line="149" w:lineRule="exact"/>
        <w:rPr>
          <w:sz w:val="20"/>
          <w:szCs w:val="20"/>
          <w:color w:val="auto"/>
        </w:rPr>
      </w:pPr>
    </w:p>
    <w:p>
      <w:pPr>
        <w:ind w:left="520"/>
        <w:spacing w:after="0"/>
        <w:tabs>
          <w:tab w:leader="none" w:pos="1240" w:val="left"/>
        </w:tabs>
        <w:rPr>
          <w:sz w:val="20"/>
          <w:szCs w:val="20"/>
          <w:color w:val="auto"/>
        </w:rPr>
      </w:pPr>
      <w:r>
        <w:rPr>
          <w:rFonts w:ascii="Arial" w:cs="Arial" w:eastAsia="Arial" w:hAnsi="Arial"/>
          <w:sz w:val="17"/>
          <w:szCs w:val="17"/>
          <w:color w:val="auto"/>
        </w:rPr>
        <w:t>1.1.7</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CDACF Version 8 Supplements</w:t>
      </w:r>
      <w:r>
        <w:rPr>
          <w:rFonts w:ascii="Arial" w:cs="Arial" w:eastAsia="Arial" w:hAnsi="Arial"/>
          <w:sz w:val="15"/>
          <w:szCs w:val="15"/>
          <w:color w:val="auto"/>
        </w:rPr>
        <w:t>” means the supplement solutions, as more fully set out in Appendix 3.</w:t>
      </w:r>
    </w:p>
    <w:p>
      <w:pPr>
        <w:spacing w:after="0" w:line="250" w:lineRule="exact"/>
        <w:rPr>
          <w:sz w:val="20"/>
          <w:szCs w:val="20"/>
          <w:color w:val="auto"/>
        </w:rPr>
      </w:pPr>
    </w:p>
    <w:p>
      <w:pPr>
        <w:ind w:left="1260" w:right="480" w:hanging="745"/>
        <w:spacing w:after="0" w:line="296" w:lineRule="auto"/>
        <w:tabs>
          <w:tab w:leader="none" w:pos="1240" w:val="left"/>
        </w:tabs>
        <w:rPr>
          <w:sz w:val="20"/>
          <w:szCs w:val="20"/>
          <w:color w:val="auto"/>
        </w:rPr>
      </w:pPr>
      <w:r>
        <w:rPr>
          <w:rFonts w:ascii="Arial" w:cs="Arial" w:eastAsia="Arial" w:hAnsi="Arial"/>
          <w:sz w:val="17"/>
          <w:szCs w:val="17"/>
          <w:color w:val="auto"/>
        </w:rPr>
        <w:t>1.1.8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Cell Lines</w:t>
      </w:r>
      <w:r>
        <w:rPr>
          <w:rFonts w:ascii="Arial" w:cs="Arial" w:eastAsia="Arial" w:hAnsi="Arial"/>
          <w:sz w:val="17"/>
          <w:szCs w:val="17"/>
          <w:color w:val="auto"/>
        </w:rPr>
        <w:t>” means those cell lines referred to in Clause 2.1.2, and refers to cell lines provided by Lonza to Licensee under this Agreement or the REA for use with the System.</w:t>
      </w:r>
    </w:p>
    <w:p>
      <w:pPr>
        <w:spacing w:after="0" w:line="173" w:lineRule="exact"/>
        <w:rPr>
          <w:sz w:val="20"/>
          <w:szCs w:val="20"/>
          <w:color w:val="auto"/>
        </w:rPr>
      </w:pPr>
    </w:p>
    <w:p>
      <w:pPr>
        <w:ind w:left="1260" w:right="320" w:hanging="745"/>
        <w:spacing w:after="0" w:line="276" w:lineRule="auto"/>
        <w:tabs>
          <w:tab w:leader="none" w:pos="1240" w:val="left"/>
        </w:tabs>
        <w:rPr>
          <w:sz w:val="20"/>
          <w:szCs w:val="20"/>
          <w:color w:val="auto"/>
        </w:rPr>
      </w:pPr>
      <w:r>
        <w:rPr>
          <w:rFonts w:ascii="Arial" w:cs="Arial" w:eastAsia="Arial" w:hAnsi="Arial"/>
          <w:sz w:val="17"/>
          <w:szCs w:val="17"/>
          <w:color w:val="auto"/>
        </w:rPr>
        <w:t>1.1.9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Competing Contract Manufacturer</w:t>
      </w:r>
      <w:r>
        <w:rPr>
          <w:rFonts w:ascii="Arial" w:cs="Arial" w:eastAsia="Arial" w:hAnsi="Arial"/>
          <w:sz w:val="17"/>
          <w:szCs w:val="17"/>
          <w:color w:val="auto"/>
        </w:rPr>
        <w:t>” shall mean any Third Party who, together with its Affiliates, earns more than fifty percent (50%) of their net annual revenue from their business as a third party contract manufacturer of monoclonal antibodies and/or therapeutic proteins or any product of a similar nature to which this Agreement relates.</w:t>
      </w:r>
    </w:p>
    <w:p>
      <w:pPr>
        <w:spacing w:after="0" w:line="190" w:lineRule="exact"/>
        <w:rPr>
          <w:sz w:val="20"/>
          <w:szCs w:val="20"/>
          <w:color w:val="auto"/>
        </w:rPr>
      </w:pPr>
    </w:p>
    <w:p>
      <w:pPr>
        <w:ind w:left="1260" w:right="80" w:hanging="745"/>
        <w:spacing w:after="0" w:line="276" w:lineRule="auto"/>
        <w:tabs>
          <w:tab w:leader="none" w:pos="1240" w:val="left"/>
        </w:tabs>
        <w:rPr>
          <w:sz w:val="20"/>
          <w:szCs w:val="20"/>
          <w:color w:val="auto"/>
        </w:rPr>
      </w:pPr>
      <w:r>
        <w:rPr>
          <w:rFonts w:ascii="Arial" w:cs="Arial" w:eastAsia="Arial" w:hAnsi="Arial"/>
          <w:sz w:val="17"/>
          <w:szCs w:val="17"/>
          <w:color w:val="auto"/>
        </w:rPr>
        <w:t>1.1.10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means all Know-How and other confidential, proprietary and/or trade secret information provided or disclosed by one Party or its Affiliate or their respective officers, employees, agents and advisors to the other Party or its Affiliate or their respective officers, employees, agents and advisors in connection with this Agreement or the REA, including for the avoidance of doubt the terms of this Agreement itself. In the case of Lonza, Confidential Information shall mean all confidential, proprietary and/or trade secret information relating to the System (including the CDACF Version 8 System) and any other materials, specifications or information which is provided and/or disclosed in connection with this Agreement or the REA by Lonza, its Affiliates and their respective officers, employees, agents and advisors to the Licensee and its officers, employees, agents and advisors, whether directly or indirectly, including, without limitation, all agreements, research databases, trade secrets, Intellectual Property Rights, business and/ or commercial and/ or financial data, specifications, technical designs, documents and drawings which are related to the System (including the CDACF Version 8 System) and/or Lonza’s business. In the case of Licensee, Confidential Information includes all confidential, proprietary and/or trade secret information, materials and technologies, including Know-How and other Intellectual Property Rights of Licensee or any Affiliate, Strategic Partner, Sublicensee or independent contractor, provided and/or disclosed directly or indirectly under this Agreement or the REA, including without limitation information relating to any Product or to any Genes and Antibodies (defined in Clause 3.1.1.2) or other genes, biological materials, specifications, processes or formulas of Licensee or any Affiliate, Strategic Partner, Sublicensee or independent contractor, and also including without limitation all research, development, scientific, clinical, commercial, regulatory, manufacturing, sales, operations, business, corporate, financial or technical information of or relating to Licensee or any Affiliate, Strategic Partner, Sublicensee or independent contractor, and any updates, reports and royalty statements issued from time to time under this Agreement or the REA.</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6" w:lineRule="exact"/>
        <w:rPr>
          <w:sz w:val="20"/>
          <w:szCs w:val="20"/>
          <w:color w:val="auto"/>
        </w:rPr>
      </w:pPr>
    </w:p>
    <w:p>
      <w:pPr>
        <w:ind w:left="1460" w:right="980" w:hanging="481"/>
        <w:spacing w:after="0" w:line="343" w:lineRule="auto"/>
        <w:tabs>
          <w:tab w:leader="none" w:pos="1232" w:val="left"/>
        </w:tabs>
        <w:numPr>
          <w:ilvl w:val="0"/>
          <w:numId w:val="319"/>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60"/>
          </w:cols>
          <w:pgMar w:left="620" w:top="455" w:right="619" w:bottom="1440" w:gutter="0" w:footer="0" w:header="0"/>
          <w:type w:val="continuous"/>
        </w:sectPr>
      </w:pPr>
    </w:p>
    <w:bookmarkStart w:id="394" w:name="page395"/>
    <w:bookmarkEnd w:id="39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8">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ectPr>
          <w:pgSz w:w="11900" w:h="16838" w:orient="portrait"/>
          <w:cols w:equalWidth="0" w:num="1">
            <w:col w:w="10640"/>
          </w:cols>
          <w:pgMar w:left="620" w:top="454" w:right="6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520"/>
        <w:spacing w:after="0"/>
        <w:tabs>
          <w:tab w:leader="none" w:pos="1240" w:val="left"/>
        </w:tabs>
        <w:rPr>
          <w:sz w:val="20"/>
          <w:szCs w:val="20"/>
          <w:color w:val="auto"/>
        </w:rPr>
      </w:pPr>
      <w:r>
        <w:rPr>
          <w:rFonts w:ascii="Arial" w:cs="Arial" w:eastAsia="Arial" w:hAnsi="Arial"/>
          <w:sz w:val="17"/>
          <w:szCs w:val="17"/>
          <w:color w:val="auto"/>
        </w:rPr>
        <w:t>1.1.11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means the date first above written.</w:t>
      </w:r>
    </w:p>
    <w:p>
      <w:pPr>
        <w:spacing w:after="0" w:line="250" w:lineRule="exact"/>
        <w:rPr>
          <w:sz w:val="20"/>
          <w:szCs w:val="20"/>
          <w:color w:val="auto"/>
        </w:rPr>
      </w:pPr>
    </w:p>
    <w:p>
      <w:pPr>
        <w:ind w:left="1260" w:hanging="745"/>
        <w:spacing w:after="0" w:line="296" w:lineRule="auto"/>
        <w:tabs>
          <w:tab w:leader="none" w:pos="1240" w:val="left"/>
        </w:tabs>
        <w:rPr>
          <w:sz w:val="20"/>
          <w:szCs w:val="20"/>
          <w:color w:val="auto"/>
        </w:rPr>
      </w:pPr>
      <w:r>
        <w:rPr>
          <w:rFonts w:ascii="Arial" w:cs="Arial" w:eastAsia="Arial" w:hAnsi="Arial"/>
          <w:sz w:val="17"/>
          <w:szCs w:val="17"/>
          <w:color w:val="auto"/>
        </w:rPr>
        <w:t>1.1.12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Excluded Purposes</w:t>
      </w:r>
      <w:r>
        <w:rPr>
          <w:rFonts w:ascii="Arial" w:cs="Arial" w:eastAsia="Arial" w:hAnsi="Arial"/>
          <w:sz w:val="17"/>
          <w:szCs w:val="17"/>
          <w:color w:val="auto"/>
        </w:rPr>
        <w:t>“ means use or disposal of Product (a) for preclinical research and development purposes, (b) for use in a clinical trial, (c) as commercial or registration samples, (d) for educational purposes, or (e) for evaluation purposes.</w:t>
      </w:r>
    </w:p>
    <w:p>
      <w:pPr>
        <w:spacing w:after="0" w:line="173" w:lineRule="exact"/>
        <w:rPr>
          <w:sz w:val="20"/>
          <w:szCs w:val="20"/>
          <w:color w:val="auto"/>
        </w:rPr>
      </w:pPr>
    </w:p>
    <w:p>
      <w:pPr>
        <w:ind w:left="1260" w:right="120" w:hanging="745"/>
        <w:spacing w:after="0" w:line="296" w:lineRule="auto"/>
        <w:tabs>
          <w:tab w:leader="none" w:pos="1240" w:val="left"/>
        </w:tabs>
        <w:rPr>
          <w:sz w:val="20"/>
          <w:szCs w:val="20"/>
          <w:color w:val="auto"/>
        </w:rPr>
      </w:pPr>
      <w:r>
        <w:rPr>
          <w:rFonts w:ascii="Arial" w:cs="Arial" w:eastAsia="Arial" w:hAnsi="Arial"/>
          <w:sz w:val="17"/>
          <w:szCs w:val="17"/>
          <w:color w:val="auto"/>
        </w:rPr>
        <w:t>1.1.13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First Commercial Sale</w:t>
      </w:r>
      <w:r>
        <w:rPr>
          <w:rFonts w:ascii="Arial" w:cs="Arial" w:eastAsia="Arial" w:hAnsi="Arial"/>
          <w:sz w:val="17"/>
          <w:szCs w:val="17"/>
          <w:color w:val="auto"/>
        </w:rPr>
        <w:t>” means the date of first sale of Product for money or money’s worth by Licensee or any Affiliate, Strategic Partner or Sublicensee to a Third Party, excluding use or disposal for any Excluded Purpose.</w:t>
      </w:r>
    </w:p>
    <w:p>
      <w:pPr>
        <w:spacing w:after="0" w:line="173" w:lineRule="exact"/>
        <w:rPr>
          <w:sz w:val="20"/>
          <w:szCs w:val="20"/>
          <w:color w:val="auto"/>
        </w:rPr>
      </w:pPr>
    </w:p>
    <w:p>
      <w:pPr>
        <w:ind w:left="520"/>
        <w:spacing w:after="0"/>
        <w:tabs>
          <w:tab w:leader="none" w:pos="1240" w:val="left"/>
        </w:tabs>
        <w:rPr>
          <w:sz w:val="20"/>
          <w:szCs w:val="20"/>
          <w:color w:val="auto"/>
        </w:rPr>
      </w:pPr>
      <w:r>
        <w:rPr>
          <w:rFonts w:ascii="Arial" w:cs="Arial" w:eastAsia="Arial" w:hAnsi="Arial"/>
          <w:sz w:val="17"/>
          <w:szCs w:val="17"/>
          <w:color w:val="auto"/>
        </w:rPr>
        <w:t>1.1.14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Initiation</w:t>
      </w:r>
      <w:r>
        <w:rPr>
          <w:rFonts w:ascii="Arial" w:cs="Arial" w:eastAsia="Arial" w:hAnsi="Arial"/>
          <w:sz w:val="16"/>
          <w:szCs w:val="16"/>
          <w:color w:val="auto"/>
        </w:rPr>
        <w:t>” means, with respect to any clinical trial, the first date that a human subject is dosed in such clinical trial.</w:t>
      </w:r>
    </w:p>
    <w:p>
      <w:pPr>
        <w:spacing w:after="0" w:line="250" w:lineRule="exact"/>
        <w:rPr>
          <w:sz w:val="20"/>
          <w:szCs w:val="20"/>
          <w:color w:val="auto"/>
        </w:rPr>
      </w:pPr>
    </w:p>
    <w:p>
      <w:pPr>
        <w:ind w:left="1260" w:right="40" w:hanging="745"/>
        <w:spacing w:after="0" w:line="304" w:lineRule="auto"/>
        <w:tabs>
          <w:tab w:leader="none" w:pos="1240" w:val="left"/>
        </w:tabs>
        <w:rPr>
          <w:sz w:val="20"/>
          <w:szCs w:val="20"/>
          <w:color w:val="auto"/>
        </w:rPr>
      </w:pPr>
      <w:r>
        <w:rPr>
          <w:rFonts w:ascii="Arial" w:cs="Arial" w:eastAsia="Arial" w:hAnsi="Arial"/>
          <w:sz w:val="17"/>
          <w:szCs w:val="17"/>
          <w:color w:val="auto"/>
        </w:rPr>
        <w:t>1.1.15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Intellectual Property Rights</w:t>
      </w:r>
      <w:r>
        <w:rPr>
          <w:rFonts w:ascii="Arial" w:cs="Arial" w:eastAsia="Arial" w:hAnsi="Arial"/>
          <w:sz w:val="15"/>
          <w:szCs w:val="15"/>
          <w:color w:val="auto"/>
        </w:rPr>
        <w:t>” means all rights, title and interests, vested and/or arising out of any industrial or intellectual property, whether protected at common law or under statute, which includes (without limitation) any rights and interests in copyrights, designs, trademarks, servicemarks, trade-names, technology, business names, logos, commercial symbols, processes, developments, licenses, trade secrets, goodwill, drawings, computer software, formulae, technical information, research data, procedures, designs, Confidential Information, Know-How, and any other knowledge of any nature whatsoever throughout the world whether in existence today or which will come into existence in the future, and including all applications for patents, copyrights, trademarks, trade names, rights to apply and any amendments/modifications or renewals thereto; and all other intellectual property rights.</w:t>
      </w:r>
    </w:p>
    <w:p>
      <w:pPr>
        <w:spacing w:after="0" w:line="173" w:lineRule="exact"/>
        <w:rPr>
          <w:sz w:val="20"/>
          <w:szCs w:val="20"/>
          <w:color w:val="auto"/>
        </w:rPr>
      </w:pPr>
    </w:p>
    <w:p>
      <w:pPr>
        <w:ind w:left="1260" w:right="100" w:hanging="745"/>
        <w:spacing w:after="0" w:line="292" w:lineRule="auto"/>
        <w:tabs>
          <w:tab w:leader="none" w:pos="1240" w:val="left"/>
        </w:tabs>
        <w:rPr>
          <w:sz w:val="20"/>
          <w:szCs w:val="20"/>
          <w:color w:val="auto"/>
        </w:rPr>
      </w:pPr>
      <w:r>
        <w:rPr>
          <w:rFonts w:ascii="Arial" w:cs="Arial" w:eastAsia="Arial" w:hAnsi="Arial"/>
          <w:sz w:val="17"/>
          <w:szCs w:val="17"/>
          <w:color w:val="auto"/>
        </w:rPr>
        <w:t>1.1.16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Know-How</w:t>
      </w:r>
      <w:r>
        <w:rPr>
          <w:rFonts w:ascii="Arial" w:cs="Arial" w:eastAsia="Arial" w:hAnsi="Arial"/>
          <w:sz w:val="16"/>
          <w:szCs w:val="16"/>
          <w:color w:val="auto"/>
        </w:rPr>
        <w:t>” means any unpatented technical and other information, including, but without prejudice to the generality of the foregoing, ideas, concepts, trade secrets, know-how, inventions, discoveries, data, formulae, specifications, processes, procedures for experiments and tests and other protocols, results of experimentation and testing, fermentation and purification techniques and assay protocols. Lonza’s “Know-How” includes System Know-How and/or CDACF Version 8 Know-How.</w:t>
      </w:r>
    </w:p>
    <w:p>
      <w:pPr>
        <w:spacing w:after="0" w:line="178" w:lineRule="exact"/>
        <w:rPr>
          <w:sz w:val="20"/>
          <w:szCs w:val="20"/>
          <w:color w:val="auto"/>
        </w:rPr>
      </w:pPr>
    </w:p>
    <w:p>
      <w:pPr>
        <w:ind w:left="1260" w:right="120" w:hanging="745"/>
        <w:spacing w:after="0" w:line="270" w:lineRule="auto"/>
        <w:tabs>
          <w:tab w:leader="none" w:pos="1240" w:val="left"/>
        </w:tabs>
        <w:rPr>
          <w:sz w:val="20"/>
          <w:szCs w:val="20"/>
          <w:color w:val="auto"/>
        </w:rPr>
      </w:pPr>
      <w:r>
        <w:rPr>
          <w:rFonts w:ascii="Arial" w:cs="Arial" w:eastAsia="Arial" w:hAnsi="Arial"/>
          <w:sz w:val="17"/>
          <w:szCs w:val="17"/>
          <w:color w:val="auto"/>
        </w:rPr>
        <w:t>1.1.17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Net Sales</w:t>
      </w:r>
      <w:r>
        <w:rPr>
          <w:rFonts w:ascii="Arial" w:cs="Arial" w:eastAsia="Arial" w:hAnsi="Arial"/>
          <w:sz w:val="17"/>
          <w:szCs w:val="17"/>
          <w:color w:val="auto"/>
        </w:rPr>
        <w:t>” means, with respect to sales of Product by Licensee or any Affiliate, Strategic Partner or Sublicensee, the net amount actually received in respect of sales of Product by Licensee or any Affiliate, Strategic Partner or Sublicensee in the Territory, less the deductions listed below to the extent paid or allowed under their respective accounting standards to calculate the recorded net sales from gross sales:</w:t>
      </w:r>
    </w:p>
    <w:p>
      <w:pPr>
        <w:spacing w:after="0" w:line="200" w:lineRule="exact"/>
        <w:rPr>
          <w:sz w:val="20"/>
          <w:szCs w:val="20"/>
          <w:color w:val="auto"/>
        </w:rPr>
      </w:pPr>
    </w:p>
    <w:p>
      <w:pPr>
        <w:ind w:left="1900" w:right="20" w:hanging="638"/>
        <w:spacing w:after="0" w:line="289" w:lineRule="auto"/>
        <w:tabs>
          <w:tab w:leader="none" w:pos="190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normal discounts actually granted, including without limitation, quantity, trade, cash and other discounts, rebates and charge-backs;</w:t>
      </w:r>
    </w:p>
    <w:p>
      <w:pPr>
        <w:spacing w:after="0" w:line="183" w:lineRule="exact"/>
        <w:rPr>
          <w:rFonts w:ascii="Arial" w:cs="Arial" w:eastAsia="Arial" w:hAnsi="Arial"/>
          <w:sz w:val="17"/>
          <w:szCs w:val="17"/>
          <w:color w:val="auto"/>
        </w:rPr>
      </w:pPr>
    </w:p>
    <w:p>
      <w:pPr>
        <w:ind w:left="1900" w:right="460" w:hanging="638"/>
        <w:spacing w:after="0" w:line="289" w:lineRule="auto"/>
        <w:tabs>
          <w:tab w:leader="none" w:pos="190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amounts refunded or credits or other allowances allowed for Product or other goods damaged, rejected, returned or not accepted by customers, including without limitation in connection with recalls;</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6" w:lineRule="exact"/>
        <w:rPr>
          <w:sz w:val="20"/>
          <w:szCs w:val="20"/>
          <w:color w:val="auto"/>
        </w:rPr>
      </w:pPr>
    </w:p>
    <w:p>
      <w:pPr>
        <w:ind w:left="1460" w:right="960" w:hanging="481"/>
        <w:spacing w:after="0" w:line="343" w:lineRule="auto"/>
        <w:tabs>
          <w:tab w:leader="none" w:pos="1232" w:val="left"/>
        </w:tabs>
        <w:numPr>
          <w:ilvl w:val="0"/>
          <w:numId w:val="321"/>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40"/>
          </w:cols>
          <w:pgMar w:left="620" w:top="454" w:right="639" w:bottom="1440" w:gutter="0" w:footer="0" w:header="0"/>
          <w:type w:val="continuous"/>
        </w:sectPr>
      </w:pPr>
    </w:p>
    <w:bookmarkStart w:id="395" w:name="page396"/>
    <w:bookmarkEnd w:id="39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0">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ectPr>
          <w:pgSz w:w="11900" w:h="16838" w:orient="portrait"/>
          <w:cols w:equalWidth="0" w:num="1">
            <w:col w:w="10680"/>
          </w:cols>
          <w:pgMar w:left="620" w:top="455" w:right="59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ind w:left="1900" w:right="620" w:hanging="638"/>
        <w:spacing w:after="0" w:line="289" w:lineRule="auto"/>
        <w:tabs>
          <w:tab w:leader="none" w:pos="190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packaging, handling, transportation, postage, freight and insurance charges on shipments, deliveries or distribution to customers; and</w:t>
      </w:r>
    </w:p>
    <w:p>
      <w:pPr>
        <w:spacing w:after="0" w:line="183" w:lineRule="exact"/>
        <w:rPr>
          <w:rFonts w:ascii="Arial" w:cs="Arial" w:eastAsia="Arial" w:hAnsi="Arial"/>
          <w:sz w:val="17"/>
          <w:szCs w:val="17"/>
          <w:color w:val="auto"/>
        </w:rPr>
      </w:pPr>
    </w:p>
    <w:p>
      <w:pPr>
        <w:ind w:left="1900" w:right="160" w:hanging="638"/>
        <w:spacing w:after="0" w:line="273" w:lineRule="auto"/>
        <w:tabs>
          <w:tab w:leader="none" w:pos="190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taxes, tariffs, customs duties, surcharges and other governmental charges actually levied on the Products or otherwise incurred and paid by Licensee or its Affiliates hereunder in connection with the sale, exportation, importation or delivery of Product or other goods, including without limitation value-added taxes.</w:t>
      </w:r>
    </w:p>
    <w:p>
      <w:pPr>
        <w:spacing w:after="0" w:line="171" w:lineRule="exact"/>
        <w:rPr>
          <w:sz w:val="20"/>
          <w:szCs w:val="20"/>
          <w:color w:val="auto"/>
        </w:rPr>
      </w:pPr>
    </w:p>
    <w:p>
      <w:pPr>
        <w:ind w:left="1280"/>
        <w:spacing w:after="0" w:line="285" w:lineRule="auto"/>
        <w:rPr>
          <w:sz w:val="20"/>
          <w:szCs w:val="20"/>
          <w:color w:val="auto"/>
        </w:rPr>
      </w:pPr>
      <w:r>
        <w:rPr>
          <w:rFonts w:ascii="Arial" w:cs="Arial" w:eastAsia="Arial" w:hAnsi="Arial"/>
          <w:sz w:val="16"/>
          <w:szCs w:val="16"/>
          <w:color w:val="auto"/>
        </w:rPr>
        <w:t>Subject to the qualification stated in the paragraph immediately below this paragraph, upon any sale or other disposal of Product by or on behalf of Licensee or any Affiliate, Strategic Partner or Sublicensee hereunder other than a bona fide arm’s length transaction exclusively for money at market value or upon any use of the Product for purposes which do not result in a disposal of such Product in consideration of sales revenue customary in the country of use, such sale, other disposal or use, shall be deemed to constitute a sale at the then current maximum selling price in the country in which such sale, other disposal or use occurs.</w:t>
      </w:r>
    </w:p>
    <w:p>
      <w:pPr>
        <w:spacing w:after="0" w:line="165" w:lineRule="exact"/>
        <w:rPr>
          <w:sz w:val="20"/>
          <w:szCs w:val="20"/>
          <w:color w:val="auto"/>
        </w:rPr>
      </w:pPr>
    </w:p>
    <w:p>
      <w:pPr>
        <w:ind w:left="1280" w:right="460"/>
        <w:spacing w:after="0" w:line="273" w:lineRule="auto"/>
        <w:rPr>
          <w:sz w:val="20"/>
          <w:szCs w:val="20"/>
          <w:color w:val="auto"/>
        </w:rPr>
      </w:pPr>
      <w:r>
        <w:rPr>
          <w:rFonts w:ascii="Arial" w:cs="Arial" w:eastAsia="Arial" w:hAnsi="Arial"/>
          <w:sz w:val="17"/>
          <w:szCs w:val="17"/>
          <w:color w:val="auto"/>
        </w:rPr>
        <w:t>Notwithstanding anything contained in this Agreement to the contrary, the supply or other disposition of Product for Excluded Purposes shall be excluded for the purposes of determining Net Sales under this Clause 1.1.17, as well as for the purposes of the paragraph immediately above this paragraph.</w:t>
      </w:r>
    </w:p>
    <w:p>
      <w:pPr>
        <w:spacing w:after="0" w:line="171" w:lineRule="exact"/>
        <w:rPr>
          <w:sz w:val="20"/>
          <w:szCs w:val="20"/>
          <w:color w:val="auto"/>
        </w:rPr>
      </w:pPr>
    </w:p>
    <w:p>
      <w:pPr>
        <w:ind w:left="1280" w:right="60"/>
        <w:spacing w:after="0" w:line="278" w:lineRule="auto"/>
        <w:rPr>
          <w:sz w:val="20"/>
          <w:szCs w:val="20"/>
          <w:color w:val="auto"/>
        </w:rPr>
      </w:pPr>
      <w:r>
        <w:rPr>
          <w:rFonts w:ascii="Arial" w:cs="Arial" w:eastAsia="Arial" w:hAnsi="Arial"/>
          <w:sz w:val="16"/>
          <w:szCs w:val="16"/>
          <w:color w:val="auto"/>
        </w:rPr>
        <w:t>If the Product is sold as a combined product that consists of Product together with another therapeutically active ingredient or product for the same indication (a “</w:t>
      </w:r>
      <w:r>
        <w:rPr>
          <w:rFonts w:ascii="Arial" w:cs="Arial" w:eastAsia="Arial" w:hAnsi="Arial"/>
          <w:sz w:val="16"/>
          <w:szCs w:val="16"/>
          <w:b w:val="1"/>
          <w:bCs w:val="1"/>
          <w:color w:val="auto"/>
        </w:rPr>
        <w:t>Combination</w:t>
      </w:r>
      <w:r>
        <w:rPr>
          <w:rFonts w:ascii="Arial" w:cs="Arial" w:eastAsia="Arial" w:hAnsi="Arial"/>
          <w:sz w:val="16"/>
          <w:szCs w:val="16"/>
          <w:color w:val="auto"/>
        </w:rPr>
        <w:t>”), the Net Sales will be calculated by multiplying the Net Sales of the Combination (as defined using the Net Sales definition above) by the fraction, A/(A+B) where A is the weighted (by sales volume) average sale price of the Product in the relevant country, and B is the weighted average sale price (by sales volume) in that country of the product(s) containing the other component(s) in finished form. Regarding prices comprised in the weighted average price when sold separately referred to above, if these are available for different dosages from the dosages of Product and other components that are included in the Combination, then the Parties shall mutually agree on the appropriate proportional adjustment to such prices in calculating the royalty-bearing Net Sales of the Combination. If the weighted average sale price cannot be determined for the Product or other component(s), the calculation of Net Sales for a Combination will be mutually agreed upon by the Parties based on the relative value contributed by each component, such agreement to be negotiated in good faith without unreasonable delay.</w:t>
      </w:r>
    </w:p>
    <w:p>
      <w:pPr>
        <w:spacing w:after="0" w:line="194" w:lineRule="exact"/>
        <w:rPr>
          <w:sz w:val="20"/>
          <w:szCs w:val="20"/>
          <w:color w:val="auto"/>
        </w:rPr>
      </w:pPr>
    </w:p>
    <w:p>
      <w:pPr>
        <w:ind w:left="1260" w:right="160" w:hanging="745"/>
        <w:spacing w:after="0" w:line="267" w:lineRule="auto"/>
        <w:tabs>
          <w:tab w:leader="none" w:pos="1240" w:val="left"/>
        </w:tabs>
        <w:rPr>
          <w:sz w:val="20"/>
          <w:szCs w:val="20"/>
          <w:color w:val="auto"/>
        </w:rPr>
      </w:pPr>
      <w:r>
        <w:rPr>
          <w:rFonts w:ascii="Arial" w:cs="Arial" w:eastAsia="Arial" w:hAnsi="Arial"/>
          <w:sz w:val="17"/>
          <w:szCs w:val="17"/>
          <w:color w:val="auto"/>
        </w:rPr>
        <w:t>1.1.18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Patent Rights (Lonza)</w:t>
      </w:r>
      <w:r>
        <w:rPr>
          <w:rFonts w:ascii="Arial" w:cs="Arial" w:eastAsia="Arial" w:hAnsi="Arial"/>
          <w:sz w:val="17"/>
          <w:szCs w:val="17"/>
          <w:color w:val="auto"/>
        </w:rPr>
        <w:t>” means the patents and applications, short particulars of which are set out in Appendix 1A hereto, and all patents and applications thereof of any kind throughout the world whether national or regional including but without prejudice to the generality of the foregoing, author certificates, inventor certificates, improvement patents, utility certificates and models and certificates of addition, and including any divisions, renewals, continuations, continuations in part, reissues, patent disclosures, improvements and extensions of reissue thereof.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6" w:lineRule="exact"/>
        <w:rPr>
          <w:sz w:val="20"/>
          <w:szCs w:val="20"/>
          <w:color w:val="auto"/>
        </w:rPr>
      </w:pPr>
    </w:p>
    <w:p>
      <w:pPr>
        <w:ind w:left="1460" w:right="1000" w:hanging="481"/>
        <w:spacing w:after="0" w:line="343" w:lineRule="auto"/>
        <w:tabs>
          <w:tab w:leader="none" w:pos="1232" w:val="left"/>
        </w:tabs>
        <w:numPr>
          <w:ilvl w:val="0"/>
          <w:numId w:val="323"/>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80"/>
          </w:cols>
          <w:pgMar w:left="620" w:top="455" w:right="599" w:bottom="1440" w:gutter="0" w:footer="0" w:header="0"/>
          <w:type w:val="continuous"/>
        </w:sectPr>
      </w:pPr>
    </w:p>
    <w:bookmarkStart w:id="396" w:name="page397"/>
    <w:bookmarkEnd w:id="39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2">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ectPr>
          <w:pgSz w:w="11900" w:h="16838" w:orient="portrait"/>
          <w:cols w:equalWidth="0" w:num="1">
            <w:col w:w="10620"/>
          </w:cols>
          <w:pgMar w:left="620" w:top="454" w:right="65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1260" w:right="40" w:hanging="745"/>
        <w:spacing w:after="0" w:line="310" w:lineRule="auto"/>
        <w:tabs>
          <w:tab w:leader="none" w:pos="1240" w:val="left"/>
        </w:tabs>
        <w:rPr>
          <w:sz w:val="20"/>
          <w:szCs w:val="20"/>
          <w:color w:val="auto"/>
        </w:rPr>
      </w:pPr>
      <w:r>
        <w:rPr>
          <w:rFonts w:ascii="Arial" w:cs="Arial" w:eastAsia="Arial" w:hAnsi="Arial"/>
          <w:sz w:val="17"/>
          <w:szCs w:val="17"/>
          <w:color w:val="auto"/>
        </w:rPr>
        <w:t>1.1.19</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Patent Rights (Third Party)</w:t>
      </w:r>
      <w:r>
        <w:rPr>
          <w:rFonts w:ascii="Arial" w:cs="Arial" w:eastAsia="Arial" w:hAnsi="Arial"/>
          <w:sz w:val="15"/>
          <w:szCs w:val="15"/>
          <w:color w:val="auto"/>
        </w:rPr>
        <w:t>” means the patents and applications, short particulars of which are set out in Appendix 1B hereto, and to the extent granted to Lonza by the owners of the Patent Rights (Third Party), all patents and applications thereof of any kind throughout the world whether national or regional including but without prejudice to the generality of the foregoing, author certificates, inventor certificates, improvement patents, utility certificates and models and certificates of addition, and including any divisions, renewals, continuations, continuations in part, reissues, patent disclosures, improvements and extensions of reissue thereof.</w:t>
      </w:r>
    </w:p>
    <w:p>
      <w:pPr>
        <w:spacing w:after="0" w:line="169" w:lineRule="exact"/>
        <w:rPr>
          <w:sz w:val="20"/>
          <w:szCs w:val="20"/>
          <w:color w:val="auto"/>
        </w:rPr>
      </w:pPr>
    </w:p>
    <w:p>
      <w:pPr>
        <w:ind w:left="1260" w:hanging="745"/>
        <w:spacing w:after="0" w:line="270" w:lineRule="auto"/>
        <w:tabs>
          <w:tab w:leader="none" w:pos="1240" w:val="left"/>
        </w:tabs>
        <w:rPr>
          <w:sz w:val="20"/>
          <w:szCs w:val="20"/>
          <w:color w:val="auto"/>
        </w:rPr>
      </w:pPr>
      <w:r>
        <w:rPr>
          <w:rFonts w:ascii="Arial" w:cs="Arial" w:eastAsia="Arial" w:hAnsi="Arial"/>
          <w:sz w:val="17"/>
          <w:szCs w:val="17"/>
          <w:color w:val="auto"/>
        </w:rPr>
        <w:t>1.1.20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Product(s)</w:t>
      </w:r>
      <w:r>
        <w:rPr>
          <w:rFonts w:ascii="Arial" w:cs="Arial" w:eastAsia="Arial" w:hAnsi="Arial"/>
          <w:sz w:val="17"/>
          <w:szCs w:val="17"/>
          <w:color w:val="auto"/>
        </w:rPr>
        <w:t>” means and includes the products that are proprietary or licensed to Licensee or any Affiliate, and that are or are to be obtained by the expression of any one gene or of any combination of genes by use of the System, or any formulation containing or derived from the same and are the subject of this Agreement, the particulars of which will be set out in Appendix 5 to this Agreement, as may be modified from time to time in accordance with Clause 4.8.</w:t>
      </w:r>
    </w:p>
    <w:p>
      <w:pPr>
        <w:spacing w:after="0" w:line="194" w:lineRule="exact"/>
        <w:rPr>
          <w:sz w:val="20"/>
          <w:szCs w:val="20"/>
          <w:color w:val="auto"/>
        </w:rPr>
      </w:pPr>
    </w:p>
    <w:p>
      <w:pPr>
        <w:ind w:left="1260" w:right="60" w:hanging="745"/>
        <w:spacing w:after="0" w:line="281" w:lineRule="auto"/>
        <w:tabs>
          <w:tab w:leader="none" w:pos="1240" w:val="left"/>
        </w:tabs>
        <w:rPr>
          <w:sz w:val="20"/>
          <w:szCs w:val="20"/>
          <w:color w:val="auto"/>
        </w:rPr>
      </w:pPr>
      <w:r>
        <w:rPr>
          <w:rFonts w:ascii="Arial" w:cs="Arial" w:eastAsia="Arial" w:hAnsi="Arial"/>
          <w:sz w:val="17"/>
          <w:szCs w:val="17"/>
          <w:color w:val="auto"/>
        </w:rPr>
        <w:t>1.1.21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Strategic Partner</w:t>
      </w:r>
      <w:r>
        <w:rPr>
          <w:rFonts w:ascii="Arial" w:cs="Arial" w:eastAsia="Arial" w:hAnsi="Arial"/>
          <w:sz w:val="16"/>
          <w:szCs w:val="16"/>
          <w:color w:val="auto"/>
        </w:rPr>
        <w:t>” means a party with whom Licensee or its Affiliate has entered into a contractual relationship, to identify a therapeutic target, and/or collaborate in the performance of research and development and/or commercialization of a Product or a product that is proprietary to the Strategic Partner or in which the Strategic Partner has research and development and/or commercialization rights. A party may be a “Strategic Partner” for purposes of this Agreement even if it has its own manufacturing facilities; however, a party may not, except with Lonza’s written consent, be a “Strategic Partner” for purposes of Clause 5.3.1 of this Agreement if the contractual relationship between that party and Licensee or its Affiliate is solely intended to provide for the provision by that party of third-party contract manufacturing services. For the purposes of the table in Clause 5.3.1 below, any entity that is primarily a Competing Contract Manufacturer will not be deemed a Strategic Partner.</w:t>
      </w:r>
    </w:p>
    <w:p>
      <w:pPr>
        <w:spacing w:after="0" w:line="188" w:lineRule="exact"/>
        <w:rPr>
          <w:sz w:val="20"/>
          <w:szCs w:val="20"/>
          <w:color w:val="auto"/>
        </w:rPr>
      </w:pPr>
    </w:p>
    <w:p>
      <w:pPr>
        <w:ind w:left="1260" w:right="280" w:hanging="745"/>
        <w:spacing w:after="0" w:line="296" w:lineRule="auto"/>
        <w:tabs>
          <w:tab w:leader="none" w:pos="1240" w:val="left"/>
        </w:tabs>
        <w:rPr>
          <w:sz w:val="20"/>
          <w:szCs w:val="20"/>
          <w:color w:val="auto"/>
        </w:rPr>
      </w:pPr>
      <w:r>
        <w:rPr>
          <w:rFonts w:ascii="Arial" w:cs="Arial" w:eastAsia="Arial" w:hAnsi="Arial"/>
          <w:sz w:val="17"/>
          <w:szCs w:val="17"/>
          <w:color w:val="auto"/>
        </w:rPr>
        <w:t>1.1.22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Sublicensee</w:t>
      </w:r>
      <w:r>
        <w:rPr>
          <w:rFonts w:ascii="Arial" w:cs="Arial" w:eastAsia="Arial" w:hAnsi="Arial"/>
          <w:sz w:val="17"/>
          <w:szCs w:val="17"/>
          <w:color w:val="auto"/>
        </w:rPr>
        <w:t>” means any Affiliate, Strategic Partner or Third Party to which Licensee grants a sublicence of any rights granted to Licensee pursuant to this Agreement.</w:t>
      </w:r>
    </w:p>
    <w:p>
      <w:pPr>
        <w:spacing w:after="0" w:line="173" w:lineRule="exact"/>
        <w:rPr>
          <w:sz w:val="20"/>
          <w:szCs w:val="20"/>
          <w:color w:val="auto"/>
        </w:rPr>
      </w:pPr>
    </w:p>
    <w:p>
      <w:pPr>
        <w:ind w:left="1260" w:right="20" w:hanging="745"/>
        <w:spacing w:after="0" w:line="267" w:lineRule="auto"/>
        <w:tabs>
          <w:tab w:leader="none" w:pos="1240" w:val="left"/>
        </w:tabs>
        <w:rPr>
          <w:sz w:val="20"/>
          <w:szCs w:val="20"/>
          <w:color w:val="auto"/>
        </w:rPr>
      </w:pPr>
      <w:r>
        <w:rPr>
          <w:rFonts w:ascii="Arial" w:cs="Arial" w:eastAsia="Arial" w:hAnsi="Arial"/>
          <w:sz w:val="17"/>
          <w:szCs w:val="17"/>
          <w:color w:val="auto"/>
        </w:rPr>
        <w:t>1.1.23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System</w:t>
      </w:r>
      <w:r>
        <w:rPr>
          <w:rFonts w:ascii="Arial" w:cs="Arial" w:eastAsia="Arial" w:hAnsi="Arial"/>
          <w:sz w:val="17"/>
          <w:szCs w:val="17"/>
          <w:color w:val="auto"/>
        </w:rPr>
        <w:t>” means Lonza’s glutamine synthetase gene expression system known as GS Xceed™ consisting of the Cell Lines and the Vectors, and the System Know-How, whether used individually or in combination with each other. “System” includes the CDACF Version 8 System. For the avoidance of doubt, any gene proprietary or licensed to Licensee or any Affiliate and inserted by Licensee into the System for the purposes of producing Product, and any Genes and Antibodies produced using the System, do not form part of the System.</w:t>
      </w:r>
    </w:p>
    <w:p>
      <w:pPr>
        <w:spacing w:after="0" w:line="196" w:lineRule="exact"/>
        <w:rPr>
          <w:sz w:val="20"/>
          <w:szCs w:val="20"/>
          <w:color w:val="auto"/>
        </w:rPr>
      </w:pPr>
    </w:p>
    <w:p>
      <w:pPr>
        <w:ind w:left="1260" w:right="220" w:hanging="745"/>
        <w:spacing w:after="0" w:line="296" w:lineRule="auto"/>
        <w:tabs>
          <w:tab w:leader="none" w:pos="1240" w:val="left"/>
        </w:tabs>
        <w:rPr>
          <w:sz w:val="20"/>
          <w:szCs w:val="20"/>
          <w:color w:val="auto"/>
        </w:rPr>
      </w:pPr>
      <w:r>
        <w:rPr>
          <w:rFonts w:ascii="Arial" w:cs="Arial" w:eastAsia="Arial" w:hAnsi="Arial"/>
          <w:sz w:val="17"/>
          <w:szCs w:val="17"/>
          <w:color w:val="auto"/>
        </w:rPr>
        <w:t>1.1.24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System Know-How</w:t>
      </w:r>
      <w:r>
        <w:rPr>
          <w:rFonts w:ascii="Arial" w:cs="Arial" w:eastAsia="Arial" w:hAnsi="Arial"/>
          <w:sz w:val="17"/>
          <w:szCs w:val="17"/>
          <w:color w:val="auto"/>
        </w:rPr>
        <w:t xml:space="preserve">” means Know-How relating directly or indirectly to the System known to Lonza from time to time, of which Lonza is the proprietor. Lonza’s </w:t>
      </w:r>
      <w:r>
        <w:rPr>
          <w:rFonts w:ascii="Arial" w:cs="Arial" w:eastAsia="Arial" w:hAnsi="Arial"/>
          <w:sz w:val="17"/>
          <w:szCs w:val="17"/>
          <w:b w:val="1"/>
          <w:bCs w:val="1"/>
          <w:color w:val="auto"/>
        </w:rPr>
        <w:t>“</w:t>
      </w:r>
      <w:r>
        <w:rPr>
          <w:rFonts w:ascii="Arial" w:cs="Arial" w:eastAsia="Arial" w:hAnsi="Arial"/>
          <w:sz w:val="17"/>
          <w:szCs w:val="17"/>
          <w:color w:val="auto"/>
        </w:rPr>
        <w:t>System Know-How” includes CDACF Version 8 Know-How.</w:t>
      </w:r>
    </w:p>
    <w:p>
      <w:pPr>
        <w:spacing w:after="0" w:line="173" w:lineRule="exact"/>
        <w:rPr>
          <w:sz w:val="20"/>
          <w:szCs w:val="20"/>
          <w:color w:val="auto"/>
        </w:rPr>
      </w:pPr>
    </w:p>
    <w:p>
      <w:pPr>
        <w:ind w:left="520"/>
        <w:spacing w:after="0"/>
        <w:tabs>
          <w:tab w:leader="none" w:pos="1240" w:val="left"/>
        </w:tabs>
        <w:rPr>
          <w:sz w:val="20"/>
          <w:szCs w:val="20"/>
          <w:color w:val="auto"/>
        </w:rPr>
      </w:pPr>
      <w:r>
        <w:rPr>
          <w:rFonts w:ascii="Arial" w:cs="Arial" w:eastAsia="Arial" w:hAnsi="Arial"/>
          <w:sz w:val="17"/>
          <w:szCs w:val="17"/>
          <w:color w:val="auto"/>
        </w:rPr>
        <w:t>1.1.25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Territory</w:t>
      </w:r>
      <w:r>
        <w:rPr>
          <w:rFonts w:ascii="Arial" w:cs="Arial" w:eastAsia="Arial" w:hAnsi="Arial"/>
          <w:sz w:val="16"/>
          <w:szCs w:val="16"/>
          <w:color w:val="auto"/>
        </w:rPr>
        <w:t>” means world-wide.</w:t>
      </w:r>
    </w:p>
    <w:p>
      <w:pPr>
        <w:spacing w:after="0" w:line="250" w:lineRule="exact"/>
        <w:rPr>
          <w:sz w:val="20"/>
          <w:szCs w:val="20"/>
          <w:color w:val="auto"/>
        </w:rPr>
      </w:pPr>
    </w:p>
    <w:p>
      <w:pPr>
        <w:ind w:left="520"/>
        <w:spacing w:after="0"/>
        <w:tabs>
          <w:tab w:leader="none" w:pos="1240" w:val="left"/>
        </w:tabs>
        <w:rPr>
          <w:sz w:val="20"/>
          <w:szCs w:val="20"/>
          <w:color w:val="auto"/>
        </w:rPr>
      </w:pPr>
      <w:r>
        <w:rPr>
          <w:rFonts w:ascii="Arial" w:cs="Arial" w:eastAsia="Arial" w:hAnsi="Arial"/>
          <w:sz w:val="17"/>
          <w:szCs w:val="17"/>
          <w:color w:val="auto"/>
        </w:rPr>
        <w:t>1.1.26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individual or entity other than Lonza and Licensee.</w:t>
      </w:r>
    </w:p>
    <w:p>
      <w:pPr>
        <w:spacing w:after="0" w:line="164"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7</w:t>
      </w:r>
    </w:p>
    <w:p>
      <w:pPr>
        <w:spacing w:after="0" w:line="26" w:lineRule="exact"/>
        <w:rPr>
          <w:sz w:val="20"/>
          <w:szCs w:val="20"/>
          <w:color w:val="auto"/>
        </w:rPr>
      </w:pPr>
    </w:p>
    <w:p>
      <w:pPr>
        <w:ind w:left="1460" w:right="940" w:hanging="481"/>
        <w:spacing w:after="0" w:line="343" w:lineRule="auto"/>
        <w:tabs>
          <w:tab w:leader="none" w:pos="1232" w:val="left"/>
        </w:tabs>
        <w:numPr>
          <w:ilvl w:val="0"/>
          <w:numId w:val="324"/>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20"/>
          </w:cols>
          <w:pgMar w:left="620" w:top="454" w:right="659" w:bottom="1440" w:gutter="0" w:footer="0" w:header="0"/>
          <w:type w:val="continuous"/>
        </w:sectPr>
      </w:pPr>
    </w:p>
    <w:bookmarkStart w:id="397" w:name="page398"/>
    <w:bookmarkEnd w:id="397"/>
    <w:p>
      <w:pPr>
        <w:ind w:left="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4">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79" w:lineRule="exact"/>
        <w:rPr>
          <w:sz w:val="20"/>
          <w:szCs w:val="20"/>
          <w:color w:val="auto"/>
        </w:rPr>
      </w:pPr>
    </w:p>
    <w:p>
      <w:pPr>
        <w:ind w:left="1269" w:hanging="745"/>
        <w:spacing w:after="0" w:line="295" w:lineRule="auto"/>
        <w:tabs>
          <w:tab w:leader="none" w:pos="1248" w:val="left"/>
        </w:tabs>
        <w:rPr>
          <w:sz w:val="20"/>
          <w:szCs w:val="20"/>
          <w:color w:val="auto"/>
        </w:rPr>
      </w:pPr>
      <w:r>
        <w:rPr>
          <w:rFonts w:ascii="Arial" w:cs="Arial" w:eastAsia="Arial" w:hAnsi="Arial"/>
          <w:sz w:val="17"/>
          <w:szCs w:val="17"/>
          <w:color w:val="auto"/>
        </w:rPr>
        <w:t>1.1.27</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Valid Claim</w:t>
      </w:r>
      <w:r>
        <w:rPr>
          <w:rFonts w:ascii="Arial" w:cs="Arial" w:eastAsia="Arial" w:hAnsi="Arial"/>
          <w:sz w:val="15"/>
          <w:szCs w:val="15"/>
          <w:color w:val="auto"/>
        </w:rPr>
        <w:t>” means an issued and unexpired claim within the Patent Rights (Lonza) or the Patent Rights (Third Party) (including any re-issued and unexpired patents) which, but for the licence and other rights granted pursuant to Clauses 4.1 and 4.3 hereof, would be infringed by the manufacture, use, sale, offer for sale, exportation or importation of Product by Licensee or its Sublicensees and which also (a) has not been cancelled, withdrawn, abandoned or rejected by any administrative agency or other body of competent jurisdiction, and (b) has not been revoked, held invalid or declared unpatentable or unenforceable in a decision of a court or other body of competent jurisdiction that is unappealable or unappealed within the time allowed for appeal, and (c) has not been rendered unenforceable through disclaimer or otherwise, and (d) has not been disclaimed or otherwise dedicated to the public by Lonza, and</w:t>
      </w:r>
    </w:p>
    <w:p>
      <w:pPr>
        <w:spacing w:after="0" w:line="1" w:lineRule="exact"/>
        <w:rPr>
          <w:sz w:val="20"/>
          <w:szCs w:val="20"/>
          <w:color w:val="auto"/>
        </w:rPr>
      </w:pPr>
    </w:p>
    <w:p>
      <w:pPr>
        <w:ind w:left="1269"/>
        <w:spacing w:after="0"/>
        <w:rPr>
          <w:sz w:val="20"/>
          <w:szCs w:val="20"/>
          <w:color w:val="auto"/>
        </w:rPr>
      </w:pPr>
      <w:r>
        <w:rPr>
          <w:rFonts w:ascii="Arial" w:cs="Arial" w:eastAsia="Arial" w:hAnsi="Arial"/>
          <w:sz w:val="17"/>
          <w:szCs w:val="17"/>
          <w:color w:val="auto"/>
        </w:rPr>
        <w:t>(e) is not lost through an interference proceeding and any appeals therefrom.</w:t>
      </w:r>
    </w:p>
    <w:p>
      <w:pPr>
        <w:spacing w:after="0" w:line="232" w:lineRule="exact"/>
        <w:rPr>
          <w:sz w:val="20"/>
          <w:szCs w:val="20"/>
          <w:color w:val="auto"/>
        </w:rPr>
      </w:pPr>
    </w:p>
    <w:p>
      <w:pPr>
        <w:ind w:left="1269" w:right="660" w:hanging="745"/>
        <w:spacing w:after="0" w:line="296" w:lineRule="auto"/>
        <w:tabs>
          <w:tab w:leader="none" w:pos="1248" w:val="left"/>
        </w:tabs>
        <w:rPr>
          <w:sz w:val="20"/>
          <w:szCs w:val="20"/>
          <w:color w:val="auto"/>
        </w:rPr>
      </w:pPr>
      <w:r>
        <w:rPr>
          <w:rFonts w:ascii="Arial" w:cs="Arial" w:eastAsia="Arial" w:hAnsi="Arial"/>
          <w:sz w:val="17"/>
          <w:szCs w:val="17"/>
          <w:color w:val="auto"/>
        </w:rPr>
        <w:t>1.1.28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Vectors</w:t>
      </w:r>
      <w:r>
        <w:rPr>
          <w:rFonts w:ascii="Arial" w:cs="Arial" w:eastAsia="Arial" w:hAnsi="Arial"/>
          <w:sz w:val="17"/>
          <w:szCs w:val="17"/>
          <w:color w:val="auto"/>
        </w:rPr>
        <w:t>” means those vectors referred to in Clause 2.1.1 and refers to the vectors provided by Lonza to Licensee under this Agreement or the REA.</w:t>
      </w:r>
    </w:p>
    <w:p>
      <w:pPr>
        <w:spacing w:after="0" w:line="179" w:lineRule="exact"/>
        <w:rPr>
          <w:sz w:val="20"/>
          <w:szCs w:val="20"/>
          <w:color w:val="auto"/>
        </w:rPr>
      </w:pPr>
    </w:p>
    <w:p>
      <w:pPr>
        <w:ind w:left="9"/>
        <w:spacing w:after="0"/>
        <w:tabs>
          <w:tab w:leader="none" w:pos="508"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color w:val="auto"/>
        </w:rPr>
        <w:t>The headings of this Agreement are inserted only for convenience and shall not affect the construction hereof.</w:t>
      </w:r>
    </w:p>
    <w:p>
      <w:pPr>
        <w:spacing w:after="0" w:line="250" w:lineRule="exact"/>
        <w:rPr>
          <w:sz w:val="20"/>
          <w:szCs w:val="20"/>
          <w:color w:val="auto"/>
        </w:rPr>
      </w:pPr>
    </w:p>
    <w:p>
      <w:pPr>
        <w:ind w:left="9"/>
        <w:spacing w:after="0"/>
        <w:tabs>
          <w:tab w:leader="none" w:pos="508"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5"/>
          <w:szCs w:val="15"/>
          <w:color w:val="auto"/>
        </w:rPr>
        <w:t>Where appropriate words denoting a singular number only shall include the plural and vice versa.</w:t>
      </w:r>
    </w:p>
    <w:p>
      <w:pPr>
        <w:spacing w:after="0" w:line="250" w:lineRule="exact"/>
        <w:rPr>
          <w:sz w:val="20"/>
          <w:szCs w:val="20"/>
          <w:color w:val="auto"/>
        </w:rPr>
      </w:pPr>
    </w:p>
    <w:p>
      <w:pPr>
        <w:ind w:left="529" w:right="160" w:hanging="523"/>
        <w:spacing w:after="0" w:line="289" w:lineRule="auto"/>
        <w:tabs>
          <w:tab w:leader="none" w:pos="508"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7"/>
          <w:szCs w:val="17"/>
          <w:color w:val="auto"/>
        </w:rPr>
        <w:t>References to the recitals, clauses and Appendix shall be deemed to be a reference to the recitals, clauses and Appendix to this Agreement and shall form an integral part of this Agreement.</w:t>
      </w:r>
    </w:p>
    <w:p>
      <w:pPr>
        <w:spacing w:after="0" w:line="184" w:lineRule="exact"/>
        <w:rPr>
          <w:sz w:val="20"/>
          <w:szCs w:val="20"/>
          <w:color w:val="auto"/>
        </w:rPr>
      </w:pPr>
    </w:p>
    <w:p>
      <w:pPr>
        <w:ind w:left="529" w:right="80" w:hanging="523"/>
        <w:spacing w:after="0" w:line="289" w:lineRule="auto"/>
        <w:tabs>
          <w:tab w:leader="none" w:pos="508"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7"/>
          <w:szCs w:val="17"/>
          <w:color w:val="auto"/>
        </w:rPr>
        <w:t>References to any statute or statutory provision include a reference to the statute or statutory provision as from time to time amended, extended or re-enacted.</w:t>
      </w:r>
    </w:p>
    <w:p>
      <w:pPr>
        <w:spacing w:after="0" w:line="184" w:lineRule="exact"/>
        <w:rPr>
          <w:sz w:val="20"/>
          <w:szCs w:val="20"/>
          <w:color w:val="auto"/>
        </w:rPr>
      </w:pPr>
    </w:p>
    <w:p>
      <w:pPr>
        <w:ind w:left="9"/>
        <w:spacing w:after="0"/>
        <w:tabs>
          <w:tab w:leader="none" w:pos="508"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5"/>
          <w:szCs w:val="15"/>
          <w:color w:val="auto"/>
        </w:rPr>
        <w:t>Reference in this Agreement to Lonza shall, unless repugnant to the subject or context thereof, include its Affiliates, successors and assigns.</w:t>
      </w:r>
    </w:p>
    <w:p>
      <w:pPr>
        <w:spacing w:after="0" w:line="250" w:lineRule="exact"/>
        <w:rPr>
          <w:sz w:val="20"/>
          <w:szCs w:val="20"/>
          <w:color w:val="auto"/>
        </w:rPr>
      </w:pPr>
    </w:p>
    <w:p>
      <w:pPr>
        <w:ind w:left="529" w:right="120" w:hanging="523"/>
        <w:spacing w:after="0" w:line="273" w:lineRule="auto"/>
        <w:tabs>
          <w:tab w:leader="none" w:pos="508"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7"/>
          <w:szCs w:val="17"/>
          <w:color w:val="auto"/>
        </w:rPr>
        <w:t>Lonza acknowledges that Licensee operates its business using people who are bona fide employees as well as people who are independent contractors. Reference in this Agreement to a party’s employees shall, unless repugnant to the subject or context thereof, include its employees and such independent contractors.</w:t>
      </w:r>
    </w:p>
    <w:p>
      <w:pPr>
        <w:spacing w:after="0" w:line="191" w:lineRule="exact"/>
        <w:rPr>
          <w:sz w:val="20"/>
          <w:szCs w:val="20"/>
          <w:color w:val="auto"/>
        </w:rPr>
      </w:pPr>
    </w:p>
    <w:p>
      <w:pPr>
        <w:ind w:left="529" w:hanging="529"/>
        <w:spacing w:after="0"/>
        <w:tabs>
          <w:tab w:leader="none" w:pos="529" w:val="left"/>
        </w:tabs>
        <w:numPr>
          <w:ilvl w:val="0"/>
          <w:numId w:val="325"/>
        </w:numPr>
        <w:rPr>
          <w:rFonts w:ascii="Arial" w:cs="Arial" w:eastAsia="Arial" w:hAnsi="Arial"/>
          <w:sz w:val="17"/>
          <w:szCs w:val="17"/>
          <w:b w:val="1"/>
          <w:bCs w:val="1"/>
          <w:color w:val="auto"/>
        </w:rPr>
      </w:pPr>
      <w:r>
        <w:rPr>
          <w:rFonts w:ascii="Arial" w:cs="Arial" w:eastAsia="Arial" w:hAnsi="Arial"/>
          <w:sz w:val="17"/>
          <w:szCs w:val="17"/>
          <w:b w:val="1"/>
          <w:bCs w:val="1"/>
          <w:color w:val="auto"/>
        </w:rPr>
        <w:t>Supply of the System, CDACF Version 8 System and System Know-How</w:t>
      </w:r>
    </w:p>
    <w:p>
      <w:pPr>
        <w:spacing w:after="0" w:line="256" w:lineRule="exact"/>
        <w:rPr>
          <w:sz w:val="20"/>
          <w:szCs w:val="20"/>
          <w:color w:val="auto"/>
        </w:rPr>
      </w:pPr>
    </w:p>
    <w:p>
      <w:pPr>
        <w:ind w:left="529" w:hanging="523"/>
        <w:spacing w:after="0" w:line="289" w:lineRule="auto"/>
        <w:tabs>
          <w:tab w:leader="none" w:pos="508"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Unless previously supplied by Lonza under the REA or another separate agreement, Lonza shall, if requested by Licensee in writing, arrange for the supply ex-works Lonza’s premises, Slough, Berkshire (Incoterms 2010) to Licensee of the following:</w:t>
      </w:r>
    </w:p>
    <w:p>
      <w:pPr>
        <w:spacing w:after="0" w:line="184" w:lineRule="exact"/>
        <w:rPr>
          <w:sz w:val="20"/>
          <w:szCs w:val="20"/>
          <w:color w:val="auto"/>
        </w:rPr>
      </w:pPr>
    </w:p>
    <w:tbl>
      <w:tblPr>
        <w:tblLayout w:type="fixed"/>
        <w:tblInd w:w="529" w:type="dxa"/>
        <w:tblCellMar>
          <w:top w:w="0" w:type="dxa"/>
          <w:left w:w="0" w:type="dxa"/>
          <w:bottom w:w="0" w:type="dxa"/>
          <w:right w:w="0" w:type="dxa"/>
        </w:tblCellMar>
      </w:tblPr>
      <w:tr>
        <w:trPr>
          <w:trHeight w:val="210"/>
        </w:trPr>
        <w:tc>
          <w:tcPr>
            <w:tcW w:w="540" w:type="dxa"/>
            <w:vAlign w:val="bottom"/>
          </w:tcPr>
          <w:p>
            <w:pPr>
              <w:jc w:val="right"/>
              <w:ind w:right="113"/>
              <w:spacing w:after="0"/>
              <w:rPr>
                <w:sz w:val="20"/>
                <w:szCs w:val="20"/>
                <w:color w:val="auto"/>
              </w:rPr>
            </w:pPr>
            <w:r>
              <w:rPr>
                <w:rFonts w:ascii="Arial" w:cs="Arial" w:eastAsia="Arial" w:hAnsi="Arial"/>
                <w:sz w:val="17"/>
                <w:szCs w:val="17"/>
                <w:color w:val="auto"/>
                <w:w w:val="84"/>
              </w:rPr>
              <w:t>2.1.1</w:t>
            </w:r>
          </w:p>
        </w:tc>
        <w:tc>
          <w:tcPr>
            <w:tcW w:w="9460" w:type="dxa"/>
            <w:vAlign w:val="bottom"/>
          </w:tcPr>
          <w:p>
            <w:pPr>
              <w:ind w:left="200"/>
              <w:spacing w:after="0"/>
              <w:rPr>
                <w:sz w:val="20"/>
                <w:szCs w:val="20"/>
                <w:color w:val="auto"/>
              </w:rPr>
            </w:pPr>
            <w:r>
              <w:rPr>
                <w:rFonts w:ascii="Arial" w:cs="Arial" w:eastAsia="Arial" w:hAnsi="Arial"/>
                <w:sz w:val="17"/>
                <w:szCs w:val="17"/>
                <w:color w:val="auto"/>
              </w:rPr>
              <w:t>Vectors</w:t>
            </w:r>
          </w:p>
        </w:tc>
      </w:tr>
      <w:tr>
        <w:trPr>
          <w:trHeight w:val="222"/>
        </w:trPr>
        <w:tc>
          <w:tcPr>
            <w:tcW w:w="540" w:type="dxa"/>
            <w:vAlign w:val="bottom"/>
          </w:tcPr>
          <w:p>
            <w:pPr>
              <w:spacing w:after="0"/>
              <w:rPr>
                <w:sz w:val="19"/>
                <w:szCs w:val="19"/>
                <w:color w:val="auto"/>
              </w:rPr>
            </w:pPr>
          </w:p>
        </w:tc>
        <w:tc>
          <w:tcPr>
            <w:tcW w:w="9460" w:type="dxa"/>
            <w:vAlign w:val="bottom"/>
          </w:tcPr>
          <w:p>
            <w:pPr>
              <w:ind w:left="220"/>
              <w:spacing w:after="0"/>
              <w:rPr>
                <w:sz w:val="20"/>
                <w:szCs w:val="20"/>
                <w:color w:val="auto"/>
              </w:rPr>
            </w:pPr>
            <w:r>
              <w:rPr>
                <w:rFonts w:ascii="Arial" w:cs="Arial" w:eastAsia="Arial" w:hAnsi="Arial"/>
                <w:sz w:val="17"/>
                <w:szCs w:val="17"/>
                <w:color w:val="auto"/>
              </w:rPr>
              <w:t>[*]</w:t>
            </w:r>
          </w:p>
        </w:tc>
      </w:tr>
      <w:tr>
        <w:trPr>
          <w:trHeight w:val="433"/>
        </w:trPr>
        <w:tc>
          <w:tcPr>
            <w:tcW w:w="540" w:type="dxa"/>
            <w:vAlign w:val="bottom"/>
          </w:tcPr>
          <w:p>
            <w:pPr>
              <w:jc w:val="right"/>
              <w:ind w:right="113"/>
              <w:spacing w:after="0"/>
              <w:rPr>
                <w:sz w:val="20"/>
                <w:szCs w:val="20"/>
                <w:color w:val="auto"/>
              </w:rPr>
            </w:pPr>
            <w:r>
              <w:rPr>
                <w:rFonts w:ascii="Arial" w:cs="Arial" w:eastAsia="Arial" w:hAnsi="Arial"/>
                <w:sz w:val="17"/>
                <w:szCs w:val="17"/>
                <w:color w:val="auto"/>
                <w:w w:val="84"/>
              </w:rPr>
              <w:t>2.1.2</w:t>
            </w:r>
          </w:p>
        </w:tc>
        <w:tc>
          <w:tcPr>
            <w:tcW w:w="9460" w:type="dxa"/>
            <w:vAlign w:val="bottom"/>
          </w:tcPr>
          <w:p>
            <w:pPr>
              <w:ind w:left="200"/>
              <w:spacing w:after="0"/>
              <w:rPr>
                <w:sz w:val="20"/>
                <w:szCs w:val="20"/>
                <w:color w:val="auto"/>
              </w:rPr>
            </w:pPr>
            <w:r>
              <w:rPr>
                <w:rFonts w:ascii="Arial" w:cs="Arial" w:eastAsia="Arial" w:hAnsi="Arial"/>
                <w:sz w:val="17"/>
                <w:szCs w:val="17"/>
                <w:color w:val="auto"/>
              </w:rPr>
              <w:t>Cell Lines</w:t>
            </w:r>
          </w:p>
        </w:tc>
      </w:tr>
      <w:tr>
        <w:trPr>
          <w:trHeight w:val="222"/>
        </w:trPr>
        <w:tc>
          <w:tcPr>
            <w:tcW w:w="540" w:type="dxa"/>
            <w:vAlign w:val="bottom"/>
          </w:tcPr>
          <w:p>
            <w:pPr>
              <w:spacing w:after="0"/>
              <w:rPr>
                <w:sz w:val="19"/>
                <w:szCs w:val="19"/>
                <w:color w:val="auto"/>
              </w:rPr>
            </w:pPr>
          </w:p>
        </w:tc>
        <w:tc>
          <w:tcPr>
            <w:tcW w:w="9460" w:type="dxa"/>
            <w:vAlign w:val="bottom"/>
          </w:tcPr>
          <w:p>
            <w:pPr>
              <w:ind w:left="220"/>
              <w:spacing w:after="0"/>
              <w:rPr>
                <w:sz w:val="20"/>
                <w:szCs w:val="20"/>
                <w:color w:val="auto"/>
              </w:rPr>
            </w:pPr>
            <w:r>
              <w:rPr>
                <w:rFonts w:ascii="Arial" w:cs="Arial" w:eastAsia="Arial" w:hAnsi="Arial"/>
                <w:sz w:val="17"/>
                <w:szCs w:val="17"/>
                <w:color w:val="auto"/>
              </w:rPr>
              <w:t>[*]</w:t>
            </w:r>
          </w:p>
        </w:tc>
      </w:tr>
      <w:tr>
        <w:trPr>
          <w:trHeight w:val="433"/>
        </w:trPr>
        <w:tc>
          <w:tcPr>
            <w:tcW w:w="540" w:type="dxa"/>
            <w:vAlign w:val="bottom"/>
          </w:tcPr>
          <w:p>
            <w:pPr>
              <w:jc w:val="right"/>
              <w:ind w:right="113"/>
              <w:spacing w:after="0"/>
              <w:rPr>
                <w:sz w:val="20"/>
                <w:szCs w:val="20"/>
                <w:color w:val="auto"/>
              </w:rPr>
            </w:pPr>
            <w:r>
              <w:rPr>
                <w:rFonts w:ascii="Arial" w:cs="Arial" w:eastAsia="Arial" w:hAnsi="Arial"/>
                <w:sz w:val="17"/>
                <w:szCs w:val="17"/>
                <w:color w:val="auto"/>
                <w:w w:val="84"/>
              </w:rPr>
              <w:t>2.1.3</w:t>
            </w:r>
          </w:p>
        </w:tc>
        <w:tc>
          <w:tcPr>
            <w:tcW w:w="9460" w:type="dxa"/>
            <w:vAlign w:val="bottom"/>
          </w:tcPr>
          <w:p>
            <w:pPr>
              <w:ind w:left="200"/>
              <w:spacing w:after="0"/>
              <w:rPr>
                <w:sz w:val="20"/>
                <w:szCs w:val="20"/>
                <w:color w:val="auto"/>
              </w:rPr>
            </w:pPr>
            <w:r>
              <w:rPr>
                <w:rFonts w:ascii="Arial" w:cs="Arial" w:eastAsia="Arial" w:hAnsi="Arial"/>
                <w:sz w:val="17"/>
                <w:szCs w:val="17"/>
                <w:color w:val="auto"/>
              </w:rPr>
              <w:t>System Know-How</w:t>
            </w:r>
          </w:p>
        </w:tc>
      </w:tr>
      <w:tr>
        <w:trPr>
          <w:trHeight w:val="210"/>
        </w:trPr>
        <w:tc>
          <w:tcPr>
            <w:tcW w:w="540" w:type="dxa"/>
            <w:vAlign w:val="bottom"/>
          </w:tcPr>
          <w:p>
            <w:pPr>
              <w:spacing w:after="0"/>
              <w:rPr>
                <w:sz w:val="18"/>
                <w:szCs w:val="18"/>
                <w:color w:val="auto"/>
              </w:rPr>
            </w:pPr>
          </w:p>
        </w:tc>
        <w:tc>
          <w:tcPr>
            <w:tcW w:w="9460" w:type="dxa"/>
            <w:vAlign w:val="bottom"/>
          </w:tcPr>
          <w:p>
            <w:pPr>
              <w:ind w:left="220"/>
              <w:spacing w:after="0"/>
              <w:rPr>
                <w:sz w:val="20"/>
                <w:szCs w:val="20"/>
                <w:color w:val="auto"/>
              </w:rPr>
            </w:pPr>
            <w:r>
              <w:rPr>
                <w:rFonts w:ascii="Arial" w:cs="Arial" w:eastAsia="Arial" w:hAnsi="Arial"/>
                <w:sz w:val="17"/>
                <w:szCs w:val="17"/>
                <w:color w:val="auto"/>
                <w:w w:val="97"/>
              </w:rPr>
              <w:t>System Know-How contained as at the date hereinabove in (a) manuals of operating procedures for the System, (b) regulatory</w:t>
            </w:r>
          </w:p>
        </w:tc>
      </w:tr>
      <w:tr>
        <w:trPr>
          <w:trHeight w:val="210"/>
        </w:trPr>
        <w:tc>
          <w:tcPr>
            <w:tcW w:w="540" w:type="dxa"/>
            <w:vAlign w:val="bottom"/>
          </w:tcPr>
          <w:p>
            <w:pPr>
              <w:spacing w:after="0"/>
              <w:rPr>
                <w:sz w:val="18"/>
                <w:szCs w:val="18"/>
                <w:color w:val="auto"/>
              </w:rPr>
            </w:pPr>
          </w:p>
        </w:tc>
        <w:tc>
          <w:tcPr>
            <w:tcW w:w="9460" w:type="dxa"/>
            <w:vAlign w:val="bottom"/>
          </w:tcPr>
          <w:p>
            <w:pPr>
              <w:ind w:left="220"/>
              <w:spacing w:after="0"/>
              <w:rPr>
                <w:sz w:val="20"/>
                <w:szCs w:val="20"/>
                <w:color w:val="auto"/>
              </w:rPr>
            </w:pPr>
            <w:r>
              <w:rPr>
                <w:rFonts w:ascii="Arial" w:cs="Arial" w:eastAsia="Arial" w:hAnsi="Arial"/>
                <w:sz w:val="17"/>
                <w:szCs w:val="17"/>
                <w:color w:val="auto"/>
                <w:w w:val="95"/>
              </w:rPr>
              <w:t>information in pdf format, and (c) Vector nucleotide sequences, and, to the extent necessary for the use of the CDACF Version 8</w:t>
            </w:r>
          </w:p>
        </w:tc>
      </w:tr>
      <w:tr>
        <w:trPr>
          <w:trHeight w:val="210"/>
        </w:trPr>
        <w:tc>
          <w:tcPr>
            <w:tcW w:w="540" w:type="dxa"/>
            <w:vAlign w:val="bottom"/>
          </w:tcPr>
          <w:p>
            <w:pPr>
              <w:spacing w:after="0"/>
              <w:rPr>
                <w:sz w:val="18"/>
                <w:szCs w:val="18"/>
                <w:color w:val="auto"/>
              </w:rPr>
            </w:pPr>
          </w:p>
        </w:tc>
        <w:tc>
          <w:tcPr>
            <w:tcW w:w="9460" w:type="dxa"/>
            <w:vAlign w:val="bottom"/>
          </w:tcPr>
          <w:p>
            <w:pPr>
              <w:ind w:left="220"/>
              <w:spacing w:after="0"/>
              <w:rPr>
                <w:sz w:val="20"/>
                <w:szCs w:val="20"/>
                <w:color w:val="auto"/>
              </w:rPr>
            </w:pPr>
            <w:r>
              <w:rPr>
                <w:rFonts w:ascii="Arial" w:cs="Arial" w:eastAsia="Arial" w:hAnsi="Arial"/>
                <w:sz w:val="17"/>
                <w:szCs w:val="17"/>
                <w:color w:val="auto"/>
                <w:w w:val="91"/>
              </w:rPr>
              <w:t>System as contemplated under this Agreement, updates, corrections and revisions thereto, but this does not extend to, for example, a</w:t>
            </w:r>
          </w:p>
        </w:tc>
      </w:tr>
      <w:tr>
        <w:trPr>
          <w:trHeight w:val="222"/>
        </w:trPr>
        <w:tc>
          <w:tcPr>
            <w:tcW w:w="540" w:type="dxa"/>
            <w:vAlign w:val="bottom"/>
          </w:tcPr>
          <w:p>
            <w:pPr>
              <w:spacing w:after="0"/>
              <w:rPr>
                <w:sz w:val="19"/>
                <w:szCs w:val="19"/>
                <w:color w:val="auto"/>
              </w:rPr>
            </w:pPr>
          </w:p>
        </w:tc>
        <w:tc>
          <w:tcPr>
            <w:tcW w:w="9460" w:type="dxa"/>
            <w:vAlign w:val="bottom"/>
          </w:tcPr>
          <w:p>
            <w:pPr>
              <w:ind w:left="220"/>
              <w:spacing w:after="0"/>
              <w:rPr>
                <w:sz w:val="20"/>
                <w:szCs w:val="20"/>
                <w:color w:val="auto"/>
              </w:rPr>
            </w:pPr>
            <w:r>
              <w:rPr>
                <w:rFonts w:ascii="Arial" w:cs="Arial" w:eastAsia="Arial" w:hAnsi="Arial"/>
                <w:sz w:val="17"/>
                <w:szCs w:val="17"/>
                <w:color w:val="auto"/>
              </w:rPr>
              <w:t>version 9 if and when such became available.</w:t>
            </w:r>
          </w:p>
        </w:tc>
      </w:tr>
      <w:tr>
        <w:trPr>
          <w:trHeight w:val="354"/>
        </w:trPr>
        <w:tc>
          <w:tcPr>
            <w:tcW w:w="540" w:type="dxa"/>
            <w:vAlign w:val="bottom"/>
          </w:tcPr>
          <w:p>
            <w:pPr>
              <w:spacing w:after="0"/>
              <w:rPr>
                <w:sz w:val="24"/>
                <w:szCs w:val="24"/>
                <w:color w:val="auto"/>
              </w:rPr>
            </w:pPr>
          </w:p>
        </w:tc>
        <w:tc>
          <w:tcPr>
            <w:tcW w:w="9460" w:type="dxa"/>
            <w:vAlign w:val="bottom"/>
          </w:tcPr>
          <w:p>
            <w:pPr>
              <w:ind w:left="4240"/>
              <w:spacing w:after="0"/>
              <w:rPr>
                <w:sz w:val="20"/>
                <w:szCs w:val="20"/>
                <w:color w:val="auto"/>
              </w:rPr>
            </w:pPr>
            <w:r>
              <w:rPr>
                <w:rFonts w:ascii="Arial" w:cs="Arial" w:eastAsia="Arial" w:hAnsi="Arial"/>
                <w:sz w:val="17"/>
                <w:szCs w:val="17"/>
                <w:color w:val="auto"/>
              </w:rPr>
              <w:t>8</w:t>
            </w:r>
          </w:p>
        </w:tc>
      </w:tr>
    </w:tbl>
    <w:p>
      <w:pPr>
        <w:ind w:left="1469" w:right="920" w:hanging="481"/>
        <w:spacing w:after="0" w:line="343" w:lineRule="auto"/>
        <w:tabs>
          <w:tab w:leader="none" w:pos="1241" w:val="left"/>
        </w:tabs>
        <w:numPr>
          <w:ilvl w:val="0"/>
          <w:numId w:val="326"/>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09"/>
          </w:cols>
          <w:pgMar w:left="611" w:top="454" w:right="679" w:bottom="1440" w:gutter="0" w:footer="0" w:header="0"/>
        </w:sectPr>
      </w:pPr>
    </w:p>
    <w:bookmarkStart w:id="398" w:name="page399"/>
    <w:bookmarkEnd w:id="398"/>
    <w:p>
      <w:pPr>
        <w:ind w:left="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6">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85" w:lineRule="exact"/>
        <w:rPr>
          <w:sz w:val="20"/>
          <w:szCs w:val="20"/>
          <w:color w:val="auto"/>
        </w:rPr>
      </w:pPr>
    </w:p>
    <w:p>
      <w:pPr>
        <w:jc w:val="both"/>
        <w:ind w:left="529" w:right="40" w:hanging="523"/>
        <w:spacing w:after="0" w:line="273" w:lineRule="auto"/>
        <w:tabs>
          <w:tab w:leader="none" w:pos="508"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7"/>
          <w:szCs w:val="17"/>
          <w:color w:val="auto"/>
        </w:rPr>
        <w:t>In the event that Licensee requires any additional quantities of the materials referred to in Clauses 2.1.1 and 2.1.2, Lonza shall use commercially reasonable efforts to supply such additional materials, provided that such supply shall be subject to the payment of an additional fee by Licensee to Lonza in accordance with Lonza’s prices at the time.</w:t>
      </w:r>
    </w:p>
    <w:p>
      <w:pPr>
        <w:spacing w:after="0" w:line="197" w:lineRule="exact"/>
        <w:rPr>
          <w:sz w:val="20"/>
          <w:szCs w:val="20"/>
          <w:color w:val="auto"/>
        </w:rPr>
      </w:pPr>
    </w:p>
    <w:p>
      <w:pPr>
        <w:ind w:left="529" w:hanging="523"/>
        <w:spacing w:after="0" w:line="263" w:lineRule="auto"/>
        <w:tabs>
          <w:tab w:leader="none" w:pos="508"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7"/>
          <w:szCs w:val="17"/>
          <w:color w:val="auto"/>
        </w:rPr>
        <w:t>In relation to the CDACF Version 8 System, Lonza shall following signature of this Agreement (a) provide Licensee with details of how to purchase the CDACF Version 8 Base Powders and CDACF Version 8 Supplements to enable Licensee and its Sublicensees to make CDACF Version 8 Feeds and CDACF Version 8 Media, and (b) supply Licensee with the CDACF Version 8 Know-How. Lonza agrees that Licensee may confirm to the Third Party supplier that Licensee is a party to this Agreement. Lonza confirms that [*] the CDACF Version 8 Base Powders and CDACF Version 8 Supplements to enable it to make CDACF Version 8 Feeds and CDACF Version 8 Media, but [*] may only do so for the purposes of the manufacture of the specific Product [*].</w:t>
      </w:r>
    </w:p>
    <w:p>
      <w:pPr>
        <w:spacing w:after="0" w:line="208" w:lineRule="exact"/>
        <w:rPr>
          <w:sz w:val="20"/>
          <w:szCs w:val="20"/>
          <w:color w:val="auto"/>
        </w:rPr>
      </w:pPr>
    </w:p>
    <w:p>
      <w:pPr>
        <w:ind w:left="529" w:right="100" w:hanging="523"/>
        <w:spacing w:after="0" w:line="289" w:lineRule="auto"/>
        <w:tabs>
          <w:tab w:leader="none" w:pos="508"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7"/>
          <w:szCs w:val="17"/>
          <w:color w:val="auto"/>
        </w:rPr>
        <w:t>Licensee shall use the System only in the expression of Product by insertion of gene(s) coding for Product(s) into the System, and shall not use, cause the use of or permit to be used the System for any purpose not directly authorised by this Agreement.</w:t>
      </w:r>
    </w:p>
    <w:p>
      <w:pPr>
        <w:spacing w:after="0" w:line="184" w:lineRule="exact"/>
        <w:rPr>
          <w:sz w:val="20"/>
          <w:szCs w:val="20"/>
          <w:color w:val="auto"/>
        </w:rPr>
      </w:pPr>
    </w:p>
    <w:p>
      <w:pPr>
        <w:ind w:left="529" w:right="520" w:hanging="523"/>
        <w:spacing w:after="0" w:line="289" w:lineRule="auto"/>
        <w:tabs>
          <w:tab w:leader="none" w:pos="508"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7"/>
          <w:szCs w:val="17"/>
          <w:color w:val="auto"/>
        </w:rPr>
        <w:t>The CDACF Version 8 System may only be used in conjunction with the System and may not be used in conjunction with any other gene expression system or for any other purpose whatsoever.</w:t>
      </w:r>
    </w:p>
    <w:p>
      <w:pPr>
        <w:spacing w:after="0" w:line="184" w:lineRule="exact"/>
        <w:rPr>
          <w:sz w:val="20"/>
          <w:szCs w:val="20"/>
          <w:color w:val="auto"/>
        </w:rPr>
      </w:pPr>
    </w:p>
    <w:p>
      <w:pPr>
        <w:ind w:left="529" w:right="260" w:hanging="523"/>
        <w:spacing w:after="0" w:line="297" w:lineRule="auto"/>
        <w:tabs>
          <w:tab w:leader="none" w:pos="508"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6"/>
          <w:szCs w:val="16"/>
          <w:color w:val="auto"/>
        </w:rPr>
        <w:t>Any transportation of the System and/or CDACF Version 8 System by Lonza on behalf of Licensee shall be made at sole risk of the Licensee who shall be deemed to have full knowledge of the carrier’s terms and conditions of carriage (“</w:t>
      </w:r>
      <w:r>
        <w:rPr>
          <w:rFonts w:ascii="Arial" w:cs="Arial" w:eastAsia="Arial" w:hAnsi="Arial"/>
          <w:sz w:val="16"/>
          <w:szCs w:val="16"/>
          <w:b w:val="1"/>
          <w:bCs w:val="1"/>
          <w:color w:val="auto"/>
        </w:rPr>
        <w:t>Carriage Terms</w:t>
      </w:r>
      <w:r>
        <w:rPr>
          <w:rFonts w:ascii="Arial" w:cs="Arial" w:eastAsia="Arial" w:hAnsi="Arial"/>
          <w:sz w:val="16"/>
          <w:szCs w:val="16"/>
          <w:color w:val="auto"/>
        </w:rPr>
        <w:t>”). The Licensee shall, as appropriate, observe, perform, and be subject to the Carriage Terms in relation to the transportation of the System.</w:t>
      </w:r>
    </w:p>
    <w:p>
      <w:pPr>
        <w:spacing w:after="0" w:line="175" w:lineRule="exact"/>
        <w:rPr>
          <w:sz w:val="20"/>
          <w:szCs w:val="20"/>
          <w:color w:val="auto"/>
        </w:rPr>
      </w:pPr>
    </w:p>
    <w:p>
      <w:pPr>
        <w:ind w:left="529" w:hanging="529"/>
        <w:spacing w:after="0"/>
        <w:tabs>
          <w:tab w:leader="none" w:pos="529" w:val="left"/>
        </w:tabs>
        <w:numPr>
          <w:ilvl w:val="0"/>
          <w:numId w:val="327"/>
        </w:numPr>
        <w:rPr>
          <w:rFonts w:ascii="Arial" w:cs="Arial" w:eastAsia="Arial" w:hAnsi="Arial"/>
          <w:sz w:val="17"/>
          <w:szCs w:val="17"/>
          <w:b w:val="1"/>
          <w:bCs w:val="1"/>
          <w:color w:val="auto"/>
        </w:rPr>
      </w:pPr>
      <w:r>
        <w:rPr>
          <w:rFonts w:ascii="Arial" w:cs="Arial" w:eastAsia="Arial" w:hAnsi="Arial"/>
          <w:sz w:val="17"/>
          <w:szCs w:val="17"/>
          <w:b w:val="1"/>
          <w:bCs w:val="1"/>
          <w:color w:val="auto"/>
        </w:rPr>
        <w:t>Ownership of Property and Intellectual Property</w:t>
      </w:r>
    </w:p>
    <w:p>
      <w:pPr>
        <w:spacing w:after="0" w:line="256" w:lineRule="exact"/>
        <w:rPr>
          <w:sz w:val="20"/>
          <w:szCs w:val="20"/>
          <w:color w:val="auto"/>
        </w:rPr>
      </w:pPr>
    </w:p>
    <w:p>
      <w:pPr>
        <w:ind w:left="529" w:hanging="523"/>
        <w:spacing w:after="0" w:line="302" w:lineRule="auto"/>
        <w:tabs>
          <w:tab w:leader="none" w:pos="508"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color w:val="auto"/>
        </w:rPr>
        <w:t>It is hereby acknowledged and agreed that as between the Parties any and all property rights and Intellectual Property Rights in the System and System Know-How is vested in Lonza. It is further hereby acknowledged and agreed as follows: (a) as stated in Clause 4.2, Licensee shall not make any modifications or adaptations to the System; (b) as between the Parties, any and all property rights and Intellectual Property Rights in any modifications or adaptations to the System are vested in Lonza; and (c) for the avoidance of doubt, no rights or licenses are granted under Clause 3.1.1 to any modifications or adaptations to the System or to any other Intellectual Property Rights of Lonza. For further avoidance of doubt, consistent with Clause 1.1.23, any genes or other materials inserted into the System for the purposes of producing Product, and any Genes and Antibodies produced using the System, are not modifications or adaptations to and do not form part of the System.</w:t>
      </w:r>
    </w:p>
    <w:p>
      <w:pPr>
        <w:spacing w:after="0" w:line="91" w:lineRule="exact"/>
        <w:rPr>
          <w:sz w:val="20"/>
          <w:szCs w:val="20"/>
          <w:color w:val="auto"/>
        </w:rPr>
      </w:pPr>
    </w:p>
    <w:p>
      <w:pPr>
        <w:jc w:val="center"/>
        <w:ind w:right="-28"/>
        <w:spacing w:after="0"/>
        <w:rPr>
          <w:sz w:val="20"/>
          <w:szCs w:val="20"/>
          <w:color w:val="auto"/>
        </w:rPr>
      </w:pPr>
      <w:r>
        <w:rPr>
          <w:rFonts w:ascii="Arial" w:cs="Arial" w:eastAsia="Arial" w:hAnsi="Arial"/>
          <w:sz w:val="17"/>
          <w:szCs w:val="17"/>
          <w:color w:val="auto"/>
        </w:rPr>
        <w:t>9</w:t>
      </w:r>
    </w:p>
    <w:p>
      <w:pPr>
        <w:spacing w:after="0" w:line="26" w:lineRule="exact"/>
        <w:rPr>
          <w:sz w:val="20"/>
          <w:szCs w:val="20"/>
          <w:color w:val="auto"/>
        </w:rPr>
      </w:pPr>
    </w:p>
    <w:p>
      <w:pPr>
        <w:ind w:left="1469" w:right="960" w:hanging="481"/>
        <w:spacing w:after="0" w:line="343" w:lineRule="auto"/>
        <w:tabs>
          <w:tab w:leader="none" w:pos="1241" w:val="left"/>
        </w:tabs>
        <w:numPr>
          <w:ilvl w:val="0"/>
          <w:numId w:val="328"/>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49"/>
          </w:cols>
          <w:pgMar w:left="611" w:top="455" w:right="639" w:bottom="1440" w:gutter="0" w:footer="0" w:header="0"/>
        </w:sectPr>
      </w:pPr>
    </w:p>
    <w:bookmarkStart w:id="399" w:name="page400"/>
    <w:bookmarkEnd w:id="399"/>
    <w:p>
      <w:pPr>
        <w:ind w:left="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8">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85" w:lineRule="exact"/>
        <w:rPr>
          <w:sz w:val="20"/>
          <w:szCs w:val="20"/>
          <w:color w:val="auto"/>
        </w:rPr>
      </w:pPr>
    </w:p>
    <w:p>
      <w:pPr>
        <w:ind w:left="529"/>
        <w:spacing w:after="0"/>
        <w:tabs>
          <w:tab w:leader="none" w:pos="1248"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5"/>
          <w:szCs w:val="15"/>
          <w:color w:val="auto"/>
        </w:rPr>
        <w:t>Similarly it is hereby acknowledged as between the Parties:</w:t>
      </w:r>
    </w:p>
    <w:p>
      <w:pPr>
        <w:spacing w:after="0" w:line="250" w:lineRule="exact"/>
        <w:rPr>
          <w:sz w:val="20"/>
          <w:szCs w:val="20"/>
          <w:color w:val="auto"/>
        </w:rPr>
      </w:pPr>
    </w:p>
    <w:p>
      <w:pPr>
        <w:ind w:left="1909" w:right="80" w:hanging="628"/>
        <w:spacing w:after="0" w:line="267" w:lineRule="auto"/>
        <w:tabs>
          <w:tab w:leader="none" w:pos="1888" w:val="left"/>
        </w:tabs>
        <w:rPr>
          <w:sz w:val="20"/>
          <w:szCs w:val="20"/>
          <w:color w:val="auto"/>
        </w:rPr>
      </w:pPr>
      <w:r>
        <w:rPr>
          <w:rFonts w:ascii="Arial" w:cs="Arial" w:eastAsia="Arial" w:hAnsi="Arial"/>
          <w:sz w:val="17"/>
          <w:szCs w:val="17"/>
          <w:color w:val="auto"/>
        </w:rPr>
        <w:t>3.1.1.1</w:t>
        <w:tab/>
        <w:t>any and all tangible forms of the Product, any and all property rights and Intellectual Property Rights in the Product, and any and all invention(s) relating to any Product that are severable from the System and conceived or reduced to practice by Licensee or an Affiliate or any respective Strategic Partner, Sublicensee or independent contractor, and all Intellectual Property Rights therein, are and shall be vested exclusively in Licensee;</w:t>
      </w:r>
    </w:p>
    <w:p>
      <w:pPr>
        <w:spacing w:after="0" w:line="204" w:lineRule="exact"/>
        <w:rPr>
          <w:sz w:val="20"/>
          <w:szCs w:val="20"/>
          <w:color w:val="auto"/>
        </w:rPr>
      </w:pPr>
    </w:p>
    <w:p>
      <w:pPr>
        <w:ind w:left="1909" w:right="40" w:hanging="628"/>
        <w:spacing w:after="0" w:line="265" w:lineRule="auto"/>
        <w:tabs>
          <w:tab w:leader="none" w:pos="1888" w:val="left"/>
        </w:tabs>
        <w:rPr>
          <w:sz w:val="20"/>
          <w:szCs w:val="20"/>
          <w:color w:val="auto"/>
        </w:rPr>
      </w:pPr>
      <w:r>
        <w:rPr>
          <w:rFonts w:ascii="Arial" w:cs="Arial" w:eastAsia="Arial" w:hAnsi="Arial"/>
          <w:sz w:val="17"/>
          <w:szCs w:val="17"/>
          <w:color w:val="auto"/>
        </w:rPr>
        <w:t>3.1.1.2</w:t>
        <w:tab/>
        <w:t>any and all property rights and any and all Intellectual Property Rights (to the extent severable from the System) in any genes or other materials inserted into the System for the purpose of producing Product or any proteins, peptides, antibodies or other composition of matter made or derived by Licensee or an Affiliate or any respective Strategic Partner, Sublicensee or independent contractor through use of the System and System Know-How (all of the foregoing, “</w:t>
      </w:r>
      <w:r>
        <w:rPr>
          <w:rFonts w:ascii="Arial" w:cs="Arial" w:eastAsia="Arial" w:hAnsi="Arial"/>
          <w:sz w:val="17"/>
          <w:szCs w:val="17"/>
          <w:b w:val="1"/>
          <w:bCs w:val="1"/>
          <w:color w:val="auto"/>
        </w:rPr>
        <w:t>Genes and Antibodies</w:t>
      </w:r>
      <w:r>
        <w:rPr>
          <w:rFonts w:ascii="Arial" w:cs="Arial" w:eastAsia="Arial" w:hAnsi="Arial"/>
          <w:sz w:val="17"/>
          <w:szCs w:val="17"/>
          <w:color w:val="auto"/>
        </w:rPr>
        <w:t>”), are and shall be vested exclusively in Licensee;</w:t>
      </w:r>
    </w:p>
    <w:p>
      <w:pPr>
        <w:spacing w:after="0" w:line="204" w:lineRule="exact"/>
        <w:rPr>
          <w:sz w:val="20"/>
          <w:szCs w:val="20"/>
          <w:color w:val="auto"/>
        </w:rPr>
      </w:pPr>
    </w:p>
    <w:p>
      <w:pPr>
        <w:ind w:left="1909" w:right="40" w:hanging="628"/>
        <w:spacing w:after="0" w:line="297" w:lineRule="auto"/>
        <w:tabs>
          <w:tab w:leader="none" w:pos="1888" w:val="left"/>
        </w:tabs>
        <w:rPr>
          <w:sz w:val="20"/>
          <w:szCs w:val="20"/>
          <w:color w:val="auto"/>
        </w:rPr>
      </w:pPr>
      <w:r>
        <w:rPr>
          <w:rFonts w:ascii="Arial" w:cs="Arial" w:eastAsia="Arial" w:hAnsi="Arial"/>
          <w:sz w:val="17"/>
          <w:szCs w:val="17"/>
          <w:color w:val="auto"/>
        </w:rPr>
        <w:t>3.1.1.3</w:t>
      </w:r>
      <w:r>
        <w:rPr>
          <w:sz w:val="20"/>
          <w:szCs w:val="20"/>
          <w:color w:val="auto"/>
        </w:rPr>
        <w:tab/>
      </w:r>
      <w:r>
        <w:rPr>
          <w:rFonts w:ascii="Arial" w:cs="Arial" w:eastAsia="Arial" w:hAnsi="Arial"/>
          <w:sz w:val="16"/>
          <w:szCs w:val="16"/>
          <w:color w:val="auto"/>
        </w:rPr>
        <w:t>Any Know-How developed by Licensee or any Affiliate or any respective Strategic Partner, Sublicensee or independent contractor that specifically relates to a Product or to any Genes and Antibodies and is severable from and when used does not utilise, disclose or reveal any Intellectual Property Rights of Lonza is and shall be vested exclusively in Licensee; and</w:t>
      </w:r>
    </w:p>
    <w:p>
      <w:pPr>
        <w:spacing w:after="0" w:line="181" w:lineRule="exact"/>
        <w:rPr>
          <w:sz w:val="20"/>
          <w:szCs w:val="20"/>
          <w:color w:val="auto"/>
        </w:rPr>
      </w:pPr>
    </w:p>
    <w:p>
      <w:pPr>
        <w:ind w:left="1909" w:right="180" w:hanging="628"/>
        <w:spacing w:after="0" w:line="289" w:lineRule="auto"/>
        <w:tabs>
          <w:tab w:leader="none" w:pos="1888" w:val="left"/>
        </w:tabs>
        <w:rPr>
          <w:sz w:val="20"/>
          <w:szCs w:val="20"/>
          <w:color w:val="auto"/>
        </w:rPr>
      </w:pPr>
      <w:r>
        <w:rPr>
          <w:rFonts w:ascii="Arial" w:cs="Arial" w:eastAsia="Arial" w:hAnsi="Arial"/>
          <w:sz w:val="17"/>
          <w:szCs w:val="17"/>
          <w:color w:val="auto"/>
        </w:rPr>
        <w:t>3.1.1.4</w:t>
        <w:tab/>
        <w:t>No rights or licenses are granted to Lonza in any property rights or Intellectual Property Rights of Licensee or any Affiliate or any respective Strategic Partner, Sublicensee or independent contractor.</w:t>
      </w:r>
    </w:p>
    <w:p>
      <w:pPr>
        <w:spacing w:after="0" w:line="184" w:lineRule="exact"/>
        <w:rPr>
          <w:sz w:val="20"/>
          <w:szCs w:val="20"/>
          <w:color w:val="auto"/>
        </w:rPr>
      </w:pPr>
    </w:p>
    <w:p>
      <w:pPr>
        <w:ind w:left="9"/>
        <w:spacing w:after="0"/>
        <w:tabs>
          <w:tab w:leader="none" w:pos="508"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6"/>
          <w:szCs w:val="16"/>
          <w:color w:val="auto"/>
        </w:rPr>
        <w:t>The provisions of this Clause 3 shall survive expiration or termination of this Agreement.</w:t>
      </w:r>
    </w:p>
    <w:p>
      <w:pPr>
        <w:spacing w:after="0" w:line="244" w:lineRule="exact"/>
        <w:rPr>
          <w:sz w:val="20"/>
          <w:szCs w:val="20"/>
          <w:color w:val="auto"/>
        </w:rPr>
      </w:pPr>
    </w:p>
    <w:p>
      <w:pPr>
        <w:ind w:left="529" w:hanging="529"/>
        <w:spacing w:after="0"/>
        <w:tabs>
          <w:tab w:leader="none" w:pos="529" w:val="left"/>
        </w:tabs>
        <w:numPr>
          <w:ilvl w:val="0"/>
          <w:numId w:val="329"/>
        </w:numPr>
        <w:rPr>
          <w:rFonts w:ascii="Arial" w:cs="Arial" w:eastAsia="Arial" w:hAnsi="Arial"/>
          <w:sz w:val="17"/>
          <w:szCs w:val="17"/>
          <w:b w:val="1"/>
          <w:bCs w:val="1"/>
          <w:color w:val="auto"/>
        </w:rPr>
      </w:pPr>
      <w:r>
        <w:rPr>
          <w:rFonts w:ascii="Arial" w:cs="Arial" w:eastAsia="Arial" w:hAnsi="Arial"/>
          <w:sz w:val="17"/>
          <w:szCs w:val="17"/>
          <w:b w:val="1"/>
          <w:bCs w:val="1"/>
          <w:color w:val="auto"/>
        </w:rPr>
        <w:t>Licences</w:t>
      </w:r>
    </w:p>
    <w:p>
      <w:pPr>
        <w:spacing w:after="0" w:line="256" w:lineRule="exact"/>
        <w:rPr>
          <w:sz w:val="20"/>
          <w:szCs w:val="20"/>
          <w:color w:val="auto"/>
        </w:rPr>
      </w:pPr>
    </w:p>
    <w:p>
      <w:pPr>
        <w:ind w:left="9"/>
        <w:spacing w:after="0"/>
        <w:tabs>
          <w:tab w:leader="none" w:pos="508"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color w:val="auto"/>
        </w:rPr>
        <w:t>Lonza hereby grants to Licensee on the Effective Date:</w:t>
      </w:r>
    </w:p>
    <w:p>
      <w:pPr>
        <w:spacing w:after="0" w:line="250" w:lineRule="exact"/>
        <w:rPr>
          <w:sz w:val="20"/>
          <w:szCs w:val="20"/>
          <w:color w:val="auto"/>
        </w:rPr>
      </w:pPr>
    </w:p>
    <w:p>
      <w:pPr>
        <w:ind w:left="1269" w:hanging="745"/>
        <w:spacing w:after="0" w:line="289" w:lineRule="auto"/>
        <w:tabs>
          <w:tab w:leader="none" w:pos="1248" w:val="left"/>
        </w:tabs>
        <w:rPr>
          <w:sz w:val="20"/>
          <w:szCs w:val="20"/>
          <w:color w:val="auto"/>
        </w:rPr>
      </w:pPr>
      <w:r>
        <w:rPr>
          <w:rFonts w:ascii="Arial" w:cs="Arial" w:eastAsia="Arial" w:hAnsi="Arial"/>
          <w:sz w:val="17"/>
          <w:szCs w:val="17"/>
          <w:color w:val="auto"/>
        </w:rPr>
        <w:t>4.1.1.</w:t>
      </w:r>
      <w:r>
        <w:rPr>
          <w:sz w:val="20"/>
          <w:szCs w:val="20"/>
          <w:color w:val="auto"/>
        </w:rPr>
        <w:tab/>
      </w:r>
      <w:r>
        <w:rPr>
          <w:rFonts w:ascii="Arial" w:cs="Arial" w:eastAsia="Arial" w:hAnsi="Arial"/>
          <w:sz w:val="17"/>
          <w:szCs w:val="17"/>
          <w:color w:val="auto"/>
        </w:rPr>
        <w:t>a world-wide non-exclusive licence under the System Know-How, CDACF Version 8 Know-How, and the Patent Rights (Lonza) (with the right to sublicence, subject to Clause 4.3 below);</w:t>
      </w:r>
    </w:p>
    <w:p>
      <w:pPr>
        <w:spacing w:after="0" w:line="184" w:lineRule="exact"/>
        <w:rPr>
          <w:sz w:val="20"/>
          <w:szCs w:val="20"/>
          <w:color w:val="auto"/>
        </w:rPr>
      </w:pPr>
    </w:p>
    <w:p>
      <w:pPr>
        <w:ind w:left="1269" w:right="520" w:hanging="745"/>
        <w:spacing w:after="0" w:line="289" w:lineRule="auto"/>
        <w:tabs>
          <w:tab w:leader="none" w:pos="1248" w:val="left"/>
        </w:tabs>
        <w:rPr>
          <w:sz w:val="20"/>
          <w:szCs w:val="20"/>
          <w:color w:val="auto"/>
        </w:rPr>
      </w:pPr>
      <w:r>
        <w:rPr>
          <w:rFonts w:ascii="Arial" w:cs="Arial" w:eastAsia="Arial" w:hAnsi="Arial"/>
          <w:sz w:val="17"/>
          <w:szCs w:val="17"/>
          <w:color w:val="auto"/>
        </w:rPr>
        <w:t>4.1.2</w:t>
      </w:r>
      <w:r>
        <w:rPr>
          <w:sz w:val="20"/>
          <w:szCs w:val="20"/>
          <w:color w:val="auto"/>
        </w:rPr>
        <w:tab/>
      </w:r>
      <w:r>
        <w:rPr>
          <w:rFonts w:ascii="Arial" w:cs="Arial" w:eastAsia="Arial" w:hAnsi="Arial"/>
          <w:sz w:val="17"/>
          <w:szCs w:val="17"/>
          <w:color w:val="auto"/>
        </w:rPr>
        <w:t>a world-wide non-exclusive sublicence under the Patent Rights (Third Party) (with the right to sublicense, subject to Clause 4.3 below); and</w:t>
      </w:r>
    </w:p>
    <w:p>
      <w:pPr>
        <w:spacing w:after="0" w:line="184" w:lineRule="exact"/>
        <w:rPr>
          <w:sz w:val="20"/>
          <w:szCs w:val="20"/>
          <w:color w:val="auto"/>
        </w:rPr>
      </w:pPr>
    </w:p>
    <w:p>
      <w:pPr>
        <w:ind w:left="529"/>
        <w:spacing w:after="0"/>
        <w:tabs>
          <w:tab w:leader="none" w:pos="1248" w:val="left"/>
        </w:tabs>
        <w:rPr>
          <w:sz w:val="20"/>
          <w:szCs w:val="20"/>
          <w:color w:val="auto"/>
        </w:rPr>
      </w:pPr>
      <w:r>
        <w:rPr>
          <w:rFonts w:ascii="Arial" w:cs="Arial" w:eastAsia="Arial" w:hAnsi="Arial"/>
          <w:sz w:val="17"/>
          <w:szCs w:val="17"/>
          <w:color w:val="auto"/>
        </w:rPr>
        <w:t>4.1.3</w:t>
      </w:r>
      <w:r>
        <w:rPr>
          <w:sz w:val="20"/>
          <w:szCs w:val="20"/>
          <w:color w:val="auto"/>
        </w:rPr>
        <w:tab/>
      </w:r>
      <w:r>
        <w:rPr>
          <w:rFonts w:ascii="Arial" w:cs="Arial" w:eastAsia="Arial" w:hAnsi="Arial"/>
          <w:sz w:val="15"/>
          <w:szCs w:val="15"/>
          <w:color w:val="auto"/>
        </w:rPr>
        <w:t>a world-wide, non-exclusive, non-transferable licence (with the right to sublicense, subject to Clause 4.3 below) to use the System;</w:t>
      </w:r>
    </w:p>
    <w:p>
      <w:pPr>
        <w:spacing w:after="0" w:line="224" w:lineRule="exact"/>
        <w:rPr>
          <w:sz w:val="20"/>
          <w:szCs w:val="20"/>
          <w:color w:val="auto"/>
        </w:rPr>
      </w:pPr>
    </w:p>
    <w:p>
      <w:pPr>
        <w:ind w:left="1289" w:right="180"/>
        <w:spacing w:after="0" w:line="267" w:lineRule="auto"/>
        <w:rPr>
          <w:sz w:val="20"/>
          <w:szCs w:val="20"/>
          <w:color w:val="auto"/>
        </w:rPr>
      </w:pPr>
      <w:r>
        <w:rPr>
          <w:rFonts w:ascii="Arial" w:cs="Arial" w:eastAsia="Arial" w:hAnsi="Arial"/>
          <w:sz w:val="17"/>
          <w:szCs w:val="17"/>
          <w:color w:val="auto"/>
        </w:rPr>
        <w:t>in each case 4.1.1, 4.1.2 and 4.1.3, to use, develop, commercialize, make, have made (by Sublicensees subject to the applicable restrictions set out in this Agreement), manufacture, market, sell, have sold, offer for sale, distribute, import, have imported, export, have exported and otherwise dispose of any and all Products in the Territory (“</w:t>
      </w:r>
      <w:r>
        <w:rPr>
          <w:rFonts w:ascii="Arial" w:cs="Arial" w:eastAsia="Arial" w:hAnsi="Arial"/>
          <w:sz w:val="17"/>
          <w:szCs w:val="17"/>
          <w:b w:val="1"/>
          <w:bCs w:val="1"/>
          <w:color w:val="auto"/>
        </w:rPr>
        <w:t>Commercial Activities</w:t>
      </w:r>
      <w:r>
        <w:rPr>
          <w:rFonts w:ascii="Arial" w:cs="Arial" w:eastAsia="Arial" w:hAnsi="Arial"/>
          <w:sz w:val="17"/>
          <w:szCs w:val="17"/>
          <w:color w:val="auto"/>
        </w:rPr>
        <w:t>”), which license shall be fee-and royalty-bearing.</w:t>
      </w:r>
    </w:p>
    <w:p>
      <w:pPr>
        <w:spacing w:after="0" w:line="204" w:lineRule="exact"/>
        <w:rPr>
          <w:sz w:val="20"/>
          <w:szCs w:val="20"/>
          <w:color w:val="auto"/>
        </w:rPr>
      </w:pPr>
    </w:p>
    <w:p>
      <w:pPr>
        <w:ind w:left="529" w:right="40" w:hanging="523"/>
        <w:spacing w:after="0" w:line="273" w:lineRule="auto"/>
        <w:tabs>
          <w:tab w:leader="none" w:pos="508"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Save as expressly provided by Clause 2.4 above, the Licensee hereby undertakes not to make any modifications or adaptations to the System and the CDACF Version 8 System during the term of this Agreement. For the avoidance of doubt, Licensee is not prevented from adding any materials to the System.</w:t>
      </w:r>
    </w:p>
    <w:p>
      <w:pPr>
        <w:spacing w:after="0" w:line="106"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10</w:t>
      </w:r>
    </w:p>
    <w:p>
      <w:pPr>
        <w:spacing w:after="0" w:line="26" w:lineRule="exact"/>
        <w:rPr>
          <w:sz w:val="20"/>
          <w:szCs w:val="20"/>
          <w:color w:val="auto"/>
        </w:rPr>
      </w:pPr>
    </w:p>
    <w:p>
      <w:pPr>
        <w:ind w:left="1469" w:right="1000" w:hanging="481"/>
        <w:spacing w:after="0" w:line="343" w:lineRule="auto"/>
        <w:tabs>
          <w:tab w:leader="none" w:pos="1241" w:val="left"/>
        </w:tabs>
        <w:numPr>
          <w:ilvl w:val="0"/>
          <w:numId w:val="330"/>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89"/>
          </w:cols>
          <w:pgMar w:left="611" w:top="454" w:right="599" w:bottom="1440" w:gutter="0" w:footer="0" w:header="0"/>
        </w:sectPr>
      </w:pPr>
    </w:p>
    <w:bookmarkStart w:id="400" w:name="page401"/>
    <w:bookmarkEnd w:id="40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9">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0">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85"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5"/>
          <w:szCs w:val="15"/>
          <w:color w:val="auto"/>
        </w:rPr>
        <w:t>Subject to the provisions of this Clause 4.3,</w:t>
      </w:r>
    </w:p>
    <w:p>
      <w:pPr>
        <w:spacing w:after="0" w:line="224" w:lineRule="exact"/>
        <w:rPr>
          <w:sz w:val="20"/>
          <w:szCs w:val="20"/>
          <w:color w:val="auto"/>
        </w:rPr>
      </w:pPr>
    </w:p>
    <w:p>
      <w:pPr>
        <w:ind w:left="520" w:right="560" w:firstLine="6"/>
        <w:spacing w:after="0" w:line="322" w:lineRule="auto"/>
        <w:tabs>
          <w:tab w:leader="none" w:pos="757" w:val="left"/>
        </w:tabs>
        <w:numPr>
          <w:ilvl w:val="0"/>
          <w:numId w:val="331"/>
        </w:numPr>
        <w:rPr>
          <w:rFonts w:ascii="Arial" w:cs="Arial" w:eastAsia="Arial" w:hAnsi="Arial"/>
          <w:sz w:val="16"/>
          <w:szCs w:val="16"/>
          <w:color w:val="auto"/>
        </w:rPr>
      </w:pPr>
      <w:r>
        <w:rPr>
          <w:rFonts w:ascii="Arial" w:cs="Arial" w:eastAsia="Arial" w:hAnsi="Arial"/>
          <w:sz w:val="16"/>
          <w:szCs w:val="16"/>
          <w:color w:val="auto"/>
        </w:rPr>
        <w:t>Licensee shall be entitled from time to time to sublicence the rights granted by Clause 4.1 to any one or more Affiliates and Strategic Partners, and to Third Parties for the purposes of any such Third Party manufacturing Product for Licensee, provided always:</w:t>
      </w:r>
    </w:p>
    <w:p>
      <w:pPr>
        <w:spacing w:after="0" w:line="161" w:lineRule="exact"/>
        <w:rPr>
          <w:sz w:val="20"/>
          <w:szCs w:val="20"/>
          <w:color w:val="auto"/>
        </w:rPr>
      </w:pPr>
    </w:p>
    <w:tbl>
      <w:tblPr>
        <w:tblLayout w:type="fixed"/>
        <w:tblInd w:w="520" w:type="dxa"/>
        <w:tblCellMar>
          <w:top w:w="0" w:type="dxa"/>
          <w:left w:w="0" w:type="dxa"/>
          <w:bottom w:w="0" w:type="dxa"/>
          <w:right w:w="0" w:type="dxa"/>
        </w:tblCellMar>
      </w:tblPr>
      <w:tr>
        <w:trPr>
          <w:trHeight w:val="210"/>
        </w:trPr>
        <w:tc>
          <w:tcPr>
            <w:tcW w:w="540" w:type="dxa"/>
            <w:vAlign w:val="bottom"/>
          </w:tcPr>
          <w:p>
            <w:pPr>
              <w:jc w:val="right"/>
              <w:ind w:right="113"/>
              <w:spacing w:after="0"/>
              <w:rPr>
                <w:sz w:val="20"/>
                <w:szCs w:val="20"/>
                <w:color w:val="auto"/>
              </w:rPr>
            </w:pPr>
            <w:r>
              <w:rPr>
                <w:rFonts w:ascii="Arial" w:cs="Arial" w:eastAsia="Arial" w:hAnsi="Arial"/>
                <w:sz w:val="17"/>
                <w:szCs w:val="17"/>
                <w:color w:val="auto"/>
                <w:w w:val="84"/>
              </w:rPr>
              <w:t>4.3.1</w:t>
            </w:r>
          </w:p>
        </w:tc>
        <w:tc>
          <w:tcPr>
            <w:tcW w:w="9540" w:type="dxa"/>
            <w:vAlign w:val="bottom"/>
            <w:gridSpan w:val="2"/>
          </w:tcPr>
          <w:p>
            <w:pPr>
              <w:ind w:left="200"/>
              <w:spacing w:after="0"/>
              <w:rPr>
                <w:sz w:val="20"/>
                <w:szCs w:val="20"/>
                <w:color w:val="auto"/>
              </w:rPr>
            </w:pPr>
            <w:r>
              <w:rPr>
                <w:rFonts w:ascii="Arial" w:cs="Arial" w:eastAsia="Arial" w:hAnsi="Arial"/>
                <w:sz w:val="17"/>
                <w:szCs w:val="17"/>
                <w:color w:val="auto"/>
                <w:w w:val="97"/>
              </w:rPr>
              <w:t>Licensee shall ensure each such Sublicensee’s use of the System, including the CDACF Version 8 System, Lonza’s Intellectual</w:t>
            </w:r>
          </w:p>
        </w:tc>
      </w:tr>
      <w:tr>
        <w:trPr>
          <w:trHeight w:val="222"/>
        </w:trPr>
        <w:tc>
          <w:tcPr>
            <w:tcW w:w="540" w:type="dxa"/>
            <w:vAlign w:val="bottom"/>
          </w:tcPr>
          <w:p>
            <w:pPr>
              <w:spacing w:after="0"/>
              <w:rPr>
                <w:sz w:val="19"/>
                <w:szCs w:val="19"/>
                <w:color w:val="auto"/>
              </w:rPr>
            </w:pPr>
          </w:p>
        </w:tc>
        <w:tc>
          <w:tcPr>
            <w:tcW w:w="9540" w:type="dxa"/>
            <w:vAlign w:val="bottom"/>
            <w:gridSpan w:val="2"/>
          </w:tcPr>
          <w:p>
            <w:pPr>
              <w:ind w:left="200"/>
              <w:spacing w:after="0"/>
              <w:rPr>
                <w:sz w:val="20"/>
                <w:szCs w:val="20"/>
                <w:color w:val="auto"/>
              </w:rPr>
            </w:pPr>
            <w:r>
              <w:rPr>
                <w:rFonts w:ascii="Arial" w:cs="Arial" w:eastAsia="Arial" w:hAnsi="Arial"/>
                <w:sz w:val="17"/>
                <w:szCs w:val="17"/>
                <w:color w:val="auto"/>
              </w:rPr>
              <w:t>Property Rights and the Product is undertaken solely for undertaking Commercial Activities for or on behalf of Licensee; and</w:t>
            </w:r>
          </w:p>
        </w:tc>
      </w:tr>
      <w:tr>
        <w:trPr>
          <w:trHeight w:val="433"/>
        </w:trPr>
        <w:tc>
          <w:tcPr>
            <w:tcW w:w="540" w:type="dxa"/>
            <w:vAlign w:val="bottom"/>
          </w:tcPr>
          <w:p>
            <w:pPr>
              <w:jc w:val="right"/>
              <w:ind w:right="113"/>
              <w:spacing w:after="0"/>
              <w:rPr>
                <w:sz w:val="20"/>
                <w:szCs w:val="20"/>
                <w:color w:val="auto"/>
              </w:rPr>
            </w:pPr>
            <w:r>
              <w:rPr>
                <w:rFonts w:ascii="Arial" w:cs="Arial" w:eastAsia="Arial" w:hAnsi="Arial"/>
                <w:sz w:val="17"/>
                <w:szCs w:val="17"/>
                <w:color w:val="auto"/>
                <w:w w:val="84"/>
              </w:rPr>
              <w:t>4.3.2</w:t>
            </w:r>
          </w:p>
        </w:tc>
        <w:tc>
          <w:tcPr>
            <w:tcW w:w="9540" w:type="dxa"/>
            <w:vAlign w:val="bottom"/>
            <w:gridSpan w:val="2"/>
          </w:tcPr>
          <w:p>
            <w:pPr>
              <w:ind w:left="200"/>
              <w:spacing w:after="0"/>
              <w:rPr>
                <w:sz w:val="20"/>
                <w:szCs w:val="20"/>
                <w:color w:val="auto"/>
              </w:rPr>
            </w:pPr>
            <w:r>
              <w:rPr>
                <w:rFonts w:ascii="Arial" w:cs="Arial" w:eastAsia="Arial" w:hAnsi="Arial"/>
                <w:sz w:val="17"/>
                <w:szCs w:val="17"/>
                <w:color w:val="auto"/>
                <w:w w:val="92"/>
              </w:rPr>
              <w:t>The Sublicensees shall not, by virtue of this Agreement, be granted any right or licence, either express or implied, under any patent or</w:t>
            </w:r>
          </w:p>
        </w:tc>
      </w:tr>
      <w:tr>
        <w:trPr>
          <w:trHeight w:val="210"/>
        </w:trPr>
        <w:tc>
          <w:tcPr>
            <w:tcW w:w="540" w:type="dxa"/>
            <w:vAlign w:val="bottom"/>
          </w:tcPr>
          <w:p>
            <w:pPr>
              <w:spacing w:after="0"/>
              <w:rPr>
                <w:sz w:val="18"/>
                <w:szCs w:val="18"/>
                <w:color w:val="auto"/>
              </w:rPr>
            </w:pPr>
          </w:p>
        </w:tc>
        <w:tc>
          <w:tcPr>
            <w:tcW w:w="9540" w:type="dxa"/>
            <w:vAlign w:val="bottom"/>
            <w:gridSpan w:val="2"/>
          </w:tcPr>
          <w:p>
            <w:pPr>
              <w:ind w:left="200"/>
              <w:spacing w:after="0"/>
              <w:rPr>
                <w:sz w:val="20"/>
                <w:szCs w:val="20"/>
                <w:color w:val="auto"/>
              </w:rPr>
            </w:pPr>
            <w:r>
              <w:rPr>
                <w:rFonts w:ascii="Arial" w:cs="Arial" w:eastAsia="Arial" w:hAnsi="Arial"/>
                <w:sz w:val="17"/>
                <w:szCs w:val="17"/>
                <w:color w:val="auto"/>
                <w:w w:val="93"/>
              </w:rPr>
              <w:t>proprietary right vested in Lonza or otherwise, to use the System, the CDACF Version 8 System, Lonza’s Intellectual Property Rights</w:t>
            </w:r>
          </w:p>
        </w:tc>
      </w:tr>
      <w:tr>
        <w:trPr>
          <w:trHeight w:val="210"/>
        </w:trPr>
        <w:tc>
          <w:tcPr>
            <w:tcW w:w="540" w:type="dxa"/>
            <w:vAlign w:val="bottom"/>
          </w:tcPr>
          <w:p>
            <w:pPr>
              <w:spacing w:after="0"/>
              <w:rPr>
                <w:sz w:val="18"/>
                <w:szCs w:val="18"/>
                <w:color w:val="auto"/>
              </w:rPr>
            </w:pPr>
          </w:p>
        </w:tc>
        <w:tc>
          <w:tcPr>
            <w:tcW w:w="9540" w:type="dxa"/>
            <w:vAlign w:val="bottom"/>
            <w:gridSpan w:val="2"/>
          </w:tcPr>
          <w:p>
            <w:pPr>
              <w:ind w:left="200"/>
              <w:spacing w:after="0"/>
              <w:rPr>
                <w:sz w:val="20"/>
                <w:szCs w:val="20"/>
                <w:color w:val="auto"/>
              </w:rPr>
            </w:pPr>
            <w:r>
              <w:rPr>
                <w:rFonts w:ascii="Arial" w:cs="Arial" w:eastAsia="Arial" w:hAnsi="Arial"/>
                <w:sz w:val="17"/>
                <w:szCs w:val="17"/>
                <w:color w:val="auto"/>
                <w:w w:val="94"/>
              </w:rPr>
              <w:t>or the Product other than for undertaking Commercial Activities for or on behalf Licensee, and Licensee agrees to ensure that such</w:t>
            </w:r>
          </w:p>
        </w:tc>
      </w:tr>
      <w:tr>
        <w:trPr>
          <w:trHeight w:val="210"/>
        </w:trPr>
        <w:tc>
          <w:tcPr>
            <w:tcW w:w="540" w:type="dxa"/>
            <w:vAlign w:val="bottom"/>
          </w:tcPr>
          <w:p>
            <w:pPr>
              <w:spacing w:after="0"/>
              <w:rPr>
                <w:sz w:val="18"/>
                <w:szCs w:val="18"/>
                <w:color w:val="auto"/>
              </w:rPr>
            </w:pPr>
          </w:p>
        </w:tc>
        <w:tc>
          <w:tcPr>
            <w:tcW w:w="9540" w:type="dxa"/>
            <w:vAlign w:val="bottom"/>
            <w:gridSpan w:val="2"/>
          </w:tcPr>
          <w:p>
            <w:pPr>
              <w:ind w:left="200"/>
              <w:spacing w:after="0"/>
              <w:rPr>
                <w:sz w:val="20"/>
                <w:szCs w:val="20"/>
                <w:color w:val="auto"/>
              </w:rPr>
            </w:pPr>
            <w:r>
              <w:rPr>
                <w:rFonts w:ascii="Arial" w:cs="Arial" w:eastAsia="Arial" w:hAnsi="Arial"/>
                <w:sz w:val="17"/>
                <w:szCs w:val="17"/>
                <w:color w:val="auto"/>
                <w:w w:val="93"/>
              </w:rPr>
              <w:t>Sublicensees shall not assign, transfer, further sublicense or otherwise make over the benefit or the burden of the rights granted to it</w:t>
            </w:r>
          </w:p>
        </w:tc>
      </w:tr>
      <w:tr>
        <w:trPr>
          <w:trHeight w:val="222"/>
        </w:trPr>
        <w:tc>
          <w:tcPr>
            <w:tcW w:w="540" w:type="dxa"/>
            <w:vAlign w:val="bottom"/>
          </w:tcPr>
          <w:p>
            <w:pPr>
              <w:spacing w:after="0"/>
              <w:rPr>
                <w:sz w:val="19"/>
                <w:szCs w:val="19"/>
                <w:color w:val="auto"/>
              </w:rPr>
            </w:pPr>
          </w:p>
        </w:tc>
        <w:tc>
          <w:tcPr>
            <w:tcW w:w="9540" w:type="dxa"/>
            <w:vAlign w:val="bottom"/>
            <w:gridSpan w:val="2"/>
          </w:tcPr>
          <w:p>
            <w:pPr>
              <w:ind w:left="200"/>
              <w:spacing w:after="0"/>
              <w:rPr>
                <w:sz w:val="20"/>
                <w:szCs w:val="20"/>
                <w:color w:val="auto"/>
              </w:rPr>
            </w:pPr>
            <w:r>
              <w:rPr>
                <w:rFonts w:ascii="Arial" w:cs="Arial" w:eastAsia="Arial" w:hAnsi="Arial"/>
                <w:sz w:val="17"/>
                <w:szCs w:val="17"/>
                <w:color w:val="auto"/>
              </w:rPr>
              <w:t>pursuant to this Agreement; and</w:t>
            </w:r>
          </w:p>
        </w:tc>
      </w:tr>
      <w:tr>
        <w:trPr>
          <w:trHeight w:val="433"/>
        </w:trPr>
        <w:tc>
          <w:tcPr>
            <w:tcW w:w="540" w:type="dxa"/>
            <w:vAlign w:val="bottom"/>
          </w:tcPr>
          <w:p>
            <w:pPr>
              <w:jc w:val="right"/>
              <w:ind w:right="113"/>
              <w:spacing w:after="0"/>
              <w:rPr>
                <w:sz w:val="20"/>
                <w:szCs w:val="20"/>
                <w:color w:val="auto"/>
              </w:rPr>
            </w:pPr>
            <w:r>
              <w:rPr>
                <w:rFonts w:ascii="Arial" w:cs="Arial" w:eastAsia="Arial" w:hAnsi="Arial"/>
                <w:sz w:val="17"/>
                <w:szCs w:val="17"/>
                <w:color w:val="auto"/>
                <w:w w:val="84"/>
              </w:rPr>
              <w:t>4.3.3</w:t>
            </w:r>
          </w:p>
        </w:tc>
        <w:tc>
          <w:tcPr>
            <w:tcW w:w="9540" w:type="dxa"/>
            <w:vAlign w:val="bottom"/>
            <w:gridSpan w:val="2"/>
          </w:tcPr>
          <w:p>
            <w:pPr>
              <w:ind w:left="200"/>
              <w:spacing w:after="0"/>
              <w:rPr>
                <w:sz w:val="20"/>
                <w:szCs w:val="20"/>
                <w:color w:val="auto"/>
              </w:rPr>
            </w:pPr>
            <w:r>
              <w:rPr>
                <w:rFonts w:ascii="Arial" w:cs="Arial" w:eastAsia="Arial" w:hAnsi="Arial"/>
                <w:sz w:val="17"/>
                <w:szCs w:val="17"/>
                <w:color w:val="auto"/>
                <w:w w:val="94"/>
              </w:rPr>
              <w:t>Any sublicence granted shall be granted expressly subject to the terms of this Agreement, and it shall be Licensee’s responsibility to</w:t>
            </w:r>
          </w:p>
        </w:tc>
      </w:tr>
      <w:tr>
        <w:trPr>
          <w:trHeight w:val="210"/>
        </w:trPr>
        <w:tc>
          <w:tcPr>
            <w:tcW w:w="540" w:type="dxa"/>
            <w:vAlign w:val="bottom"/>
          </w:tcPr>
          <w:p>
            <w:pPr>
              <w:spacing w:after="0"/>
              <w:rPr>
                <w:sz w:val="18"/>
                <w:szCs w:val="18"/>
                <w:color w:val="auto"/>
              </w:rPr>
            </w:pPr>
          </w:p>
        </w:tc>
        <w:tc>
          <w:tcPr>
            <w:tcW w:w="9540" w:type="dxa"/>
            <w:vAlign w:val="bottom"/>
            <w:gridSpan w:val="2"/>
          </w:tcPr>
          <w:p>
            <w:pPr>
              <w:ind w:left="200"/>
              <w:spacing w:after="0"/>
              <w:rPr>
                <w:sz w:val="20"/>
                <w:szCs w:val="20"/>
                <w:color w:val="auto"/>
              </w:rPr>
            </w:pPr>
            <w:r>
              <w:rPr>
                <w:rFonts w:ascii="Arial" w:cs="Arial" w:eastAsia="Arial" w:hAnsi="Arial"/>
                <w:sz w:val="17"/>
                <w:szCs w:val="17"/>
                <w:color w:val="auto"/>
                <w:w w:val="95"/>
              </w:rPr>
              <w:t>ensure the strict adherence by its Sublicensees hereunder to the terms and conditions of this Agreement, and, for such purposes,</w:t>
            </w:r>
          </w:p>
        </w:tc>
      </w:tr>
      <w:tr>
        <w:trPr>
          <w:trHeight w:val="210"/>
        </w:trPr>
        <w:tc>
          <w:tcPr>
            <w:tcW w:w="540" w:type="dxa"/>
            <w:vAlign w:val="bottom"/>
          </w:tcPr>
          <w:p>
            <w:pPr>
              <w:spacing w:after="0"/>
              <w:rPr>
                <w:sz w:val="18"/>
                <w:szCs w:val="18"/>
                <w:color w:val="auto"/>
              </w:rPr>
            </w:pPr>
          </w:p>
        </w:tc>
        <w:tc>
          <w:tcPr>
            <w:tcW w:w="9540" w:type="dxa"/>
            <w:vAlign w:val="bottom"/>
            <w:gridSpan w:val="2"/>
          </w:tcPr>
          <w:p>
            <w:pPr>
              <w:ind w:left="200"/>
              <w:spacing w:after="0"/>
              <w:rPr>
                <w:sz w:val="20"/>
                <w:szCs w:val="20"/>
                <w:color w:val="auto"/>
              </w:rPr>
            </w:pPr>
            <w:r>
              <w:rPr>
                <w:rFonts w:ascii="Arial" w:cs="Arial" w:eastAsia="Arial" w:hAnsi="Arial"/>
                <w:sz w:val="17"/>
                <w:szCs w:val="17"/>
                <w:color w:val="auto"/>
                <w:w w:val="98"/>
              </w:rPr>
              <w:t>Licensee may disclose this Agreement to its Sublicensees under obligations of confidence in accordance with Clause 8 of this</w:t>
            </w:r>
          </w:p>
        </w:tc>
      </w:tr>
      <w:tr>
        <w:trPr>
          <w:trHeight w:val="222"/>
        </w:trPr>
        <w:tc>
          <w:tcPr>
            <w:tcW w:w="540" w:type="dxa"/>
            <w:vAlign w:val="bottom"/>
          </w:tcPr>
          <w:p>
            <w:pPr>
              <w:spacing w:after="0"/>
              <w:rPr>
                <w:sz w:val="19"/>
                <w:szCs w:val="19"/>
                <w:color w:val="auto"/>
              </w:rPr>
            </w:pPr>
          </w:p>
        </w:tc>
        <w:tc>
          <w:tcPr>
            <w:tcW w:w="9540" w:type="dxa"/>
            <w:vAlign w:val="bottom"/>
            <w:gridSpan w:val="2"/>
          </w:tcPr>
          <w:p>
            <w:pPr>
              <w:ind w:left="200"/>
              <w:spacing w:after="0"/>
              <w:rPr>
                <w:sz w:val="20"/>
                <w:szCs w:val="20"/>
                <w:color w:val="auto"/>
              </w:rPr>
            </w:pPr>
            <w:r>
              <w:rPr>
                <w:rFonts w:ascii="Arial" w:cs="Arial" w:eastAsia="Arial" w:hAnsi="Arial"/>
                <w:sz w:val="17"/>
                <w:szCs w:val="17"/>
                <w:color w:val="auto"/>
              </w:rPr>
              <w:t>Agreement; and</w:t>
            </w:r>
          </w:p>
        </w:tc>
      </w:tr>
      <w:tr>
        <w:trPr>
          <w:trHeight w:val="433"/>
        </w:trPr>
        <w:tc>
          <w:tcPr>
            <w:tcW w:w="540" w:type="dxa"/>
            <w:vAlign w:val="bottom"/>
          </w:tcPr>
          <w:p>
            <w:pPr>
              <w:jc w:val="right"/>
              <w:ind w:right="113"/>
              <w:spacing w:after="0"/>
              <w:rPr>
                <w:sz w:val="20"/>
                <w:szCs w:val="20"/>
                <w:color w:val="auto"/>
              </w:rPr>
            </w:pPr>
            <w:r>
              <w:rPr>
                <w:rFonts w:ascii="Arial" w:cs="Arial" w:eastAsia="Arial" w:hAnsi="Arial"/>
                <w:sz w:val="17"/>
                <w:szCs w:val="17"/>
                <w:color w:val="auto"/>
                <w:w w:val="84"/>
              </w:rPr>
              <w:t>4.3.4</w:t>
            </w:r>
          </w:p>
        </w:tc>
        <w:tc>
          <w:tcPr>
            <w:tcW w:w="9540" w:type="dxa"/>
            <w:vAlign w:val="bottom"/>
            <w:gridSpan w:val="2"/>
          </w:tcPr>
          <w:p>
            <w:pPr>
              <w:ind w:left="200"/>
              <w:spacing w:after="0"/>
              <w:rPr>
                <w:sz w:val="20"/>
                <w:szCs w:val="20"/>
                <w:color w:val="auto"/>
              </w:rPr>
            </w:pPr>
            <w:r>
              <w:rPr>
                <w:rFonts w:ascii="Arial" w:cs="Arial" w:eastAsia="Arial" w:hAnsi="Arial"/>
                <w:sz w:val="17"/>
                <w:szCs w:val="17"/>
                <w:color w:val="auto"/>
                <w:w w:val="93"/>
              </w:rPr>
              <w:t>Prior to the grant of any sublicence pursuant to this Clause 4 Licensee shall obtain the written consent of Lonza (such consent not to</w:t>
            </w:r>
          </w:p>
        </w:tc>
      </w:tr>
      <w:tr>
        <w:trPr>
          <w:trHeight w:val="210"/>
        </w:trPr>
        <w:tc>
          <w:tcPr>
            <w:tcW w:w="540" w:type="dxa"/>
            <w:vAlign w:val="bottom"/>
          </w:tcPr>
          <w:p>
            <w:pPr>
              <w:spacing w:after="0"/>
              <w:rPr>
                <w:sz w:val="18"/>
                <w:szCs w:val="18"/>
                <w:color w:val="auto"/>
              </w:rPr>
            </w:pPr>
          </w:p>
        </w:tc>
        <w:tc>
          <w:tcPr>
            <w:tcW w:w="9540" w:type="dxa"/>
            <w:vAlign w:val="bottom"/>
            <w:gridSpan w:val="2"/>
          </w:tcPr>
          <w:p>
            <w:pPr>
              <w:ind w:left="200"/>
              <w:spacing w:after="0"/>
              <w:rPr>
                <w:sz w:val="20"/>
                <w:szCs w:val="20"/>
                <w:color w:val="auto"/>
              </w:rPr>
            </w:pPr>
            <w:r>
              <w:rPr>
                <w:rFonts w:ascii="Arial" w:cs="Arial" w:eastAsia="Arial" w:hAnsi="Arial"/>
                <w:sz w:val="17"/>
                <w:szCs w:val="17"/>
                <w:color w:val="auto"/>
                <w:w w:val="95"/>
              </w:rPr>
              <w:t>be unreasonably withheld, conditioned or delayed, and Lonza shall respond within [*]), to the grant of such sublicence. It is agreed</w:t>
            </w:r>
          </w:p>
        </w:tc>
      </w:tr>
      <w:tr>
        <w:trPr>
          <w:trHeight w:val="222"/>
        </w:trPr>
        <w:tc>
          <w:tcPr>
            <w:tcW w:w="540" w:type="dxa"/>
            <w:vAlign w:val="bottom"/>
          </w:tcPr>
          <w:p>
            <w:pPr>
              <w:spacing w:after="0"/>
              <w:rPr>
                <w:sz w:val="19"/>
                <w:szCs w:val="19"/>
                <w:color w:val="auto"/>
              </w:rPr>
            </w:pPr>
          </w:p>
        </w:tc>
        <w:tc>
          <w:tcPr>
            <w:tcW w:w="9540" w:type="dxa"/>
            <w:vAlign w:val="bottom"/>
            <w:gridSpan w:val="2"/>
          </w:tcPr>
          <w:p>
            <w:pPr>
              <w:ind w:left="200"/>
              <w:spacing w:after="0"/>
              <w:rPr>
                <w:sz w:val="20"/>
                <w:szCs w:val="20"/>
                <w:color w:val="auto"/>
              </w:rPr>
            </w:pPr>
            <w:r>
              <w:rPr>
                <w:rFonts w:ascii="Arial" w:cs="Arial" w:eastAsia="Arial" w:hAnsi="Arial"/>
                <w:sz w:val="17"/>
                <w:szCs w:val="17"/>
                <w:color w:val="auto"/>
              </w:rPr>
              <w:t>between the Parties that Lonza shall be considered to [*] if [*]; and</w:t>
            </w:r>
          </w:p>
        </w:tc>
      </w:tr>
      <w:tr>
        <w:trPr>
          <w:trHeight w:val="433"/>
        </w:trPr>
        <w:tc>
          <w:tcPr>
            <w:tcW w:w="540" w:type="dxa"/>
            <w:vAlign w:val="bottom"/>
          </w:tcPr>
          <w:p>
            <w:pPr>
              <w:jc w:val="right"/>
              <w:ind w:right="113"/>
              <w:spacing w:after="0"/>
              <w:rPr>
                <w:sz w:val="20"/>
                <w:szCs w:val="20"/>
                <w:color w:val="auto"/>
              </w:rPr>
            </w:pPr>
            <w:r>
              <w:rPr>
                <w:rFonts w:ascii="Arial" w:cs="Arial" w:eastAsia="Arial" w:hAnsi="Arial"/>
                <w:sz w:val="17"/>
                <w:szCs w:val="17"/>
                <w:color w:val="auto"/>
                <w:w w:val="84"/>
              </w:rPr>
              <w:t>4.3.5</w:t>
            </w:r>
          </w:p>
        </w:tc>
        <w:tc>
          <w:tcPr>
            <w:tcW w:w="9540" w:type="dxa"/>
            <w:vAlign w:val="bottom"/>
            <w:gridSpan w:val="2"/>
          </w:tcPr>
          <w:p>
            <w:pPr>
              <w:ind w:left="200"/>
              <w:spacing w:after="0"/>
              <w:rPr>
                <w:sz w:val="20"/>
                <w:szCs w:val="20"/>
                <w:color w:val="auto"/>
              </w:rPr>
            </w:pPr>
            <w:r>
              <w:rPr>
                <w:rFonts w:ascii="Arial" w:cs="Arial" w:eastAsia="Arial" w:hAnsi="Arial"/>
                <w:sz w:val="17"/>
                <w:szCs w:val="17"/>
                <w:color w:val="auto"/>
                <w:w w:val="95"/>
              </w:rPr>
              <w:t>Licensee shall not sublicense the rights sublicensed to it under the [*] or any of its affiliates or its or their successors, with “affiliate”</w:t>
            </w:r>
          </w:p>
        </w:tc>
      </w:tr>
      <w:tr>
        <w:trPr>
          <w:trHeight w:val="222"/>
        </w:trPr>
        <w:tc>
          <w:tcPr>
            <w:tcW w:w="540" w:type="dxa"/>
            <w:vAlign w:val="bottom"/>
          </w:tcPr>
          <w:p>
            <w:pPr>
              <w:spacing w:after="0"/>
              <w:rPr>
                <w:sz w:val="19"/>
                <w:szCs w:val="19"/>
                <w:color w:val="auto"/>
              </w:rPr>
            </w:pPr>
          </w:p>
        </w:tc>
        <w:tc>
          <w:tcPr>
            <w:tcW w:w="9540" w:type="dxa"/>
            <w:vAlign w:val="bottom"/>
            <w:gridSpan w:val="2"/>
          </w:tcPr>
          <w:p>
            <w:pPr>
              <w:ind w:left="200"/>
              <w:spacing w:after="0"/>
              <w:rPr>
                <w:sz w:val="20"/>
                <w:szCs w:val="20"/>
                <w:color w:val="auto"/>
              </w:rPr>
            </w:pPr>
            <w:r>
              <w:rPr>
                <w:rFonts w:ascii="Arial" w:cs="Arial" w:eastAsia="Arial" w:hAnsi="Arial"/>
                <w:sz w:val="17"/>
                <w:szCs w:val="17"/>
                <w:color w:val="auto"/>
              </w:rPr>
              <w:t>meaning for the purposes of this Clause 4.3.5 any entity controlling, controlled by, or under common control with [*]</w:t>
            </w:r>
          </w:p>
        </w:tc>
      </w:tr>
      <w:tr>
        <w:trPr>
          <w:trHeight w:val="433"/>
        </w:trPr>
        <w:tc>
          <w:tcPr>
            <w:tcW w:w="540" w:type="dxa"/>
            <w:vAlign w:val="bottom"/>
          </w:tcPr>
          <w:p>
            <w:pPr>
              <w:jc w:val="right"/>
              <w:ind w:right="113"/>
              <w:spacing w:after="0"/>
              <w:rPr>
                <w:sz w:val="20"/>
                <w:szCs w:val="20"/>
                <w:color w:val="auto"/>
              </w:rPr>
            </w:pPr>
            <w:r>
              <w:rPr>
                <w:rFonts w:ascii="Arial" w:cs="Arial" w:eastAsia="Arial" w:hAnsi="Arial"/>
                <w:sz w:val="17"/>
                <w:szCs w:val="17"/>
                <w:color w:val="auto"/>
                <w:w w:val="84"/>
              </w:rPr>
              <w:t>4.3.6</w:t>
            </w:r>
          </w:p>
        </w:tc>
        <w:tc>
          <w:tcPr>
            <w:tcW w:w="9540" w:type="dxa"/>
            <w:vAlign w:val="bottom"/>
            <w:gridSpan w:val="2"/>
          </w:tcPr>
          <w:p>
            <w:pPr>
              <w:ind w:left="200"/>
              <w:spacing w:after="0"/>
              <w:rPr>
                <w:sz w:val="20"/>
                <w:szCs w:val="20"/>
                <w:color w:val="auto"/>
              </w:rPr>
            </w:pPr>
            <w:r>
              <w:rPr>
                <w:rFonts w:ascii="Arial" w:cs="Arial" w:eastAsia="Arial" w:hAnsi="Arial"/>
                <w:sz w:val="17"/>
                <w:szCs w:val="17"/>
                <w:color w:val="auto"/>
                <w:w w:val="95"/>
              </w:rPr>
              <w:t>(a)  Lonza hereby consents to the grant of a sublicence by Licensee to its Affiliate NGM Biopharmaceuticals Australia Pty Ltd, The</w:t>
            </w:r>
          </w:p>
        </w:tc>
      </w:tr>
      <w:tr>
        <w:trPr>
          <w:trHeight w:val="222"/>
        </w:trPr>
        <w:tc>
          <w:tcPr>
            <w:tcW w:w="540" w:type="dxa"/>
            <w:vAlign w:val="bottom"/>
          </w:tcPr>
          <w:p>
            <w:pPr>
              <w:spacing w:after="0"/>
              <w:rPr>
                <w:sz w:val="19"/>
                <w:szCs w:val="19"/>
                <w:color w:val="auto"/>
              </w:rPr>
            </w:pPr>
          </w:p>
        </w:tc>
        <w:tc>
          <w:tcPr>
            <w:tcW w:w="9540" w:type="dxa"/>
            <w:vAlign w:val="bottom"/>
            <w:gridSpan w:val="2"/>
          </w:tcPr>
          <w:p>
            <w:pPr>
              <w:ind w:left="200"/>
              <w:spacing w:after="0"/>
              <w:rPr>
                <w:sz w:val="20"/>
                <w:szCs w:val="20"/>
                <w:color w:val="auto"/>
              </w:rPr>
            </w:pPr>
            <w:r>
              <w:rPr>
                <w:rFonts w:ascii="Arial" w:cs="Arial" w:eastAsia="Arial" w:hAnsi="Arial"/>
                <w:sz w:val="17"/>
                <w:szCs w:val="17"/>
                <w:color w:val="auto"/>
              </w:rPr>
              <w:t>Rialto, Level 30, 525 Collins St., Melbourne, Victoria 3000, Australia.</w:t>
            </w:r>
          </w:p>
        </w:tc>
      </w:tr>
      <w:tr>
        <w:trPr>
          <w:trHeight w:val="419"/>
        </w:trPr>
        <w:tc>
          <w:tcPr>
            <w:tcW w:w="540" w:type="dxa"/>
            <w:vAlign w:val="bottom"/>
          </w:tcPr>
          <w:p>
            <w:pPr>
              <w:spacing w:after="0"/>
              <w:rPr>
                <w:sz w:val="24"/>
                <w:szCs w:val="24"/>
                <w:color w:val="auto"/>
              </w:rPr>
            </w:pPr>
          </w:p>
        </w:tc>
        <w:tc>
          <w:tcPr>
            <w:tcW w:w="9540" w:type="dxa"/>
            <w:vAlign w:val="bottom"/>
            <w:gridSpan w:val="2"/>
          </w:tcPr>
          <w:p>
            <w:pPr>
              <w:ind w:left="220"/>
              <w:spacing w:after="0"/>
              <w:rPr>
                <w:sz w:val="20"/>
                <w:szCs w:val="20"/>
                <w:color w:val="auto"/>
              </w:rPr>
            </w:pPr>
            <w:r>
              <w:rPr>
                <w:rFonts w:ascii="Arial" w:cs="Arial" w:eastAsia="Arial" w:hAnsi="Arial"/>
                <w:sz w:val="17"/>
                <w:szCs w:val="17"/>
                <w:color w:val="auto"/>
              </w:rPr>
              <w:t>(b)  Lonza hereby consents to the grant of a sublicence [*] for the purpose of:</w:t>
            </w:r>
          </w:p>
        </w:tc>
      </w:tr>
      <w:tr>
        <w:trPr>
          <w:trHeight w:val="419"/>
        </w:trPr>
        <w:tc>
          <w:tcPr>
            <w:tcW w:w="54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7"/>
                <w:szCs w:val="17"/>
                <w:color w:val="auto"/>
              </w:rPr>
              <w:t>(i)</w:t>
            </w:r>
          </w:p>
        </w:tc>
        <w:tc>
          <w:tcPr>
            <w:tcW w:w="9020" w:type="dxa"/>
            <w:vAlign w:val="bottom"/>
          </w:tcPr>
          <w:p>
            <w:pPr>
              <w:ind w:left="80"/>
              <w:spacing w:after="0"/>
              <w:rPr>
                <w:sz w:val="20"/>
                <w:szCs w:val="20"/>
                <w:color w:val="auto"/>
              </w:rPr>
            </w:pPr>
            <w:r>
              <w:rPr>
                <w:rFonts w:ascii="Arial" w:cs="Arial" w:eastAsia="Arial" w:hAnsi="Arial"/>
                <w:sz w:val="17"/>
                <w:szCs w:val="17"/>
                <w:color w:val="auto"/>
              </w:rPr>
              <w:t>[*]; and</w:t>
            </w:r>
          </w:p>
        </w:tc>
      </w:tr>
      <w:tr>
        <w:trPr>
          <w:trHeight w:val="419"/>
        </w:trPr>
        <w:tc>
          <w:tcPr>
            <w:tcW w:w="54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7"/>
                <w:szCs w:val="17"/>
                <w:color w:val="auto"/>
              </w:rPr>
              <w:t>(ii)</w:t>
            </w:r>
          </w:p>
        </w:tc>
        <w:tc>
          <w:tcPr>
            <w:tcW w:w="9020" w:type="dxa"/>
            <w:vAlign w:val="bottom"/>
          </w:tcPr>
          <w:p>
            <w:pPr>
              <w:ind w:left="80"/>
              <w:spacing w:after="0"/>
              <w:rPr>
                <w:sz w:val="20"/>
                <w:szCs w:val="20"/>
                <w:color w:val="auto"/>
              </w:rPr>
            </w:pPr>
            <w:r>
              <w:rPr>
                <w:rFonts w:ascii="Arial" w:cs="Arial" w:eastAsia="Arial" w:hAnsi="Arial"/>
                <w:sz w:val="17"/>
                <w:szCs w:val="17"/>
                <w:color w:val="auto"/>
              </w:rPr>
              <w:t>[*].</w:t>
            </w:r>
          </w:p>
        </w:tc>
      </w:tr>
    </w:tbl>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w:t>
      </w:r>
    </w:p>
    <w:p>
      <w:pPr>
        <w:spacing w:after="0" w:line="26" w:lineRule="exact"/>
        <w:rPr>
          <w:sz w:val="20"/>
          <w:szCs w:val="20"/>
          <w:color w:val="auto"/>
        </w:rPr>
      </w:pPr>
    </w:p>
    <w:p>
      <w:pPr>
        <w:ind w:left="1460" w:right="920" w:hanging="481"/>
        <w:spacing w:after="0" w:line="343" w:lineRule="auto"/>
        <w:tabs>
          <w:tab w:leader="none" w:pos="1232" w:val="left"/>
        </w:tabs>
        <w:numPr>
          <w:ilvl w:val="0"/>
          <w:numId w:val="332"/>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00"/>
          </w:cols>
          <w:pgMar w:left="620" w:top="455" w:right="679" w:bottom="1440" w:gutter="0" w:footer="0" w:header="0"/>
        </w:sectPr>
      </w:pPr>
    </w:p>
    <w:bookmarkStart w:id="401" w:name="page402"/>
    <w:bookmarkEnd w:id="401"/>
    <w:p>
      <w:pPr>
        <w:ind w:left="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2">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85" w:lineRule="exact"/>
        <w:rPr>
          <w:sz w:val="20"/>
          <w:szCs w:val="20"/>
          <w:color w:val="auto"/>
        </w:rPr>
      </w:pPr>
    </w:p>
    <w:p>
      <w:pPr>
        <w:ind w:left="529" w:hanging="523"/>
        <w:spacing w:after="0" w:line="265" w:lineRule="auto"/>
        <w:tabs>
          <w:tab w:leader="none" w:pos="508"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7"/>
          <w:szCs w:val="17"/>
          <w:color w:val="auto"/>
        </w:rPr>
        <w:t>On a country-by-country basis, if any granted patents that form part of the Patent Rights (Lonza) or Patent Rights (Third Party) (including any re-issued patents and unexpired patents) subsequently expire or no longer contain a Valid Claim, such Patent Rights (Lonza) or Patent Rights (Third Party) shall automatically fall outside the scope of this Agreement and the provisions of Clauses 4.1 to 4.3 shall only apply, with respect to granted patents, to those granted patents which contain a Valid Claim and form part of the Patent Rights (Lonza) or Patent Rights (Third Party) for as long as those granted patents remain in force.</w:t>
      </w:r>
    </w:p>
    <w:p>
      <w:pPr>
        <w:spacing w:after="0" w:line="204" w:lineRule="exact"/>
        <w:rPr>
          <w:sz w:val="20"/>
          <w:szCs w:val="20"/>
          <w:color w:val="auto"/>
        </w:rPr>
      </w:pPr>
    </w:p>
    <w:p>
      <w:pPr>
        <w:ind w:left="529" w:hanging="523"/>
        <w:spacing w:after="0" w:line="322" w:lineRule="auto"/>
        <w:tabs>
          <w:tab w:leader="none" w:pos="508" w:val="left"/>
        </w:tabs>
        <w:rPr>
          <w:sz w:val="20"/>
          <w:szCs w:val="20"/>
          <w:color w:val="auto"/>
        </w:rPr>
      </w:pPr>
      <w:r>
        <w:rPr>
          <w:rFonts w:ascii="Arial" w:cs="Arial" w:eastAsia="Arial" w:hAnsi="Arial"/>
          <w:sz w:val="17"/>
          <w:szCs w:val="17"/>
          <w:color w:val="auto"/>
        </w:rPr>
        <w:t>4.5</w:t>
      </w:r>
      <w:r>
        <w:rPr>
          <w:sz w:val="20"/>
          <w:szCs w:val="20"/>
          <w:color w:val="auto"/>
        </w:rPr>
        <w:tab/>
      </w:r>
      <w:r>
        <w:rPr>
          <w:rFonts w:ascii="Arial" w:cs="Arial" w:eastAsia="Arial" w:hAnsi="Arial"/>
          <w:sz w:val="16"/>
          <w:szCs w:val="16"/>
          <w:color w:val="auto"/>
        </w:rPr>
        <w:t>Notwithstanding clause 4.4, on a country-by-country basis, where no Valid Claim remains in force, the provisions of Clauses 4.1 to 4.3 shall only apply for as long as the System Know-How and CDACF Version 8 Know-How (as appropriate) remain secret and substantial.</w:t>
      </w:r>
    </w:p>
    <w:p>
      <w:pPr>
        <w:spacing w:after="0" w:line="161" w:lineRule="exact"/>
        <w:rPr>
          <w:sz w:val="20"/>
          <w:szCs w:val="20"/>
          <w:color w:val="auto"/>
        </w:rPr>
      </w:pPr>
    </w:p>
    <w:p>
      <w:pPr>
        <w:ind w:left="529" w:hanging="523"/>
        <w:spacing w:after="0" w:line="289" w:lineRule="auto"/>
        <w:tabs>
          <w:tab w:leader="none" w:pos="508" w:val="left"/>
        </w:tabs>
        <w:rPr>
          <w:sz w:val="20"/>
          <w:szCs w:val="20"/>
          <w:color w:val="auto"/>
        </w:rPr>
      </w:pPr>
      <w:r>
        <w:rPr>
          <w:rFonts w:ascii="Arial" w:cs="Arial" w:eastAsia="Arial" w:hAnsi="Arial"/>
          <w:sz w:val="17"/>
          <w:szCs w:val="17"/>
          <w:color w:val="auto"/>
        </w:rPr>
        <w:t>4.6</w:t>
      </w:r>
      <w:r>
        <w:rPr>
          <w:sz w:val="20"/>
          <w:szCs w:val="20"/>
          <w:color w:val="auto"/>
        </w:rPr>
        <w:tab/>
      </w:r>
      <w:r>
        <w:rPr>
          <w:rFonts w:ascii="Arial" w:cs="Arial" w:eastAsia="Arial" w:hAnsi="Arial"/>
          <w:sz w:val="17"/>
          <w:szCs w:val="17"/>
          <w:color w:val="auto"/>
        </w:rPr>
        <w:t>No licence is granted save as expressly provided herein and no licence in addition thereto shall be deemed to have arisen or be implied by way of estoppel or otherwise.</w:t>
      </w:r>
    </w:p>
    <w:p>
      <w:pPr>
        <w:spacing w:after="0" w:line="184" w:lineRule="exact"/>
        <w:rPr>
          <w:sz w:val="20"/>
          <w:szCs w:val="20"/>
          <w:color w:val="auto"/>
        </w:rPr>
      </w:pPr>
    </w:p>
    <w:p>
      <w:pPr>
        <w:ind w:left="529" w:right="60" w:hanging="523"/>
        <w:spacing w:after="0" w:line="273" w:lineRule="auto"/>
        <w:tabs>
          <w:tab w:leader="none" w:pos="508" w:val="left"/>
        </w:tabs>
        <w:rPr>
          <w:sz w:val="20"/>
          <w:szCs w:val="20"/>
          <w:color w:val="auto"/>
        </w:rPr>
      </w:pPr>
      <w:r>
        <w:rPr>
          <w:rFonts w:ascii="Arial" w:cs="Arial" w:eastAsia="Arial" w:hAnsi="Arial"/>
          <w:sz w:val="17"/>
          <w:szCs w:val="17"/>
          <w:color w:val="auto"/>
        </w:rPr>
        <w:t>4.7</w:t>
      </w:r>
      <w:r>
        <w:rPr>
          <w:sz w:val="20"/>
          <w:szCs w:val="20"/>
          <w:color w:val="auto"/>
        </w:rPr>
        <w:tab/>
      </w:r>
      <w:r>
        <w:rPr>
          <w:rFonts w:ascii="Arial" w:cs="Arial" w:eastAsia="Arial" w:hAnsi="Arial"/>
          <w:sz w:val="17"/>
          <w:szCs w:val="17"/>
          <w:color w:val="auto"/>
        </w:rPr>
        <w:t>For purposes of this Agreement, all intangible and tangible information, technology and materials disclosed, provided, purchased, derived or made under the REA that are used or referenced under this Agreement shall be, for the purposes of this Agreement, deemed disclosed, provided, purchased, derived or made under this Agreement.</w:t>
      </w:r>
    </w:p>
    <w:p>
      <w:pPr>
        <w:spacing w:after="0" w:line="197" w:lineRule="exact"/>
        <w:rPr>
          <w:sz w:val="20"/>
          <w:szCs w:val="20"/>
          <w:color w:val="auto"/>
        </w:rPr>
      </w:pPr>
    </w:p>
    <w:p>
      <w:pPr>
        <w:ind w:left="529" w:right="100" w:hanging="523"/>
        <w:spacing w:after="0" w:line="265" w:lineRule="auto"/>
        <w:tabs>
          <w:tab w:leader="none" w:pos="508" w:val="left"/>
        </w:tabs>
        <w:rPr>
          <w:sz w:val="20"/>
          <w:szCs w:val="20"/>
          <w:color w:val="auto"/>
        </w:rPr>
      </w:pPr>
      <w:r>
        <w:rPr>
          <w:rFonts w:ascii="Arial" w:cs="Arial" w:eastAsia="Arial" w:hAnsi="Arial"/>
          <w:sz w:val="17"/>
          <w:szCs w:val="17"/>
          <w:color w:val="auto"/>
        </w:rPr>
        <w:t>4.8</w:t>
      </w:r>
      <w:r>
        <w:rPr>
          <w:sz w:val="20"/>
          <w:szCs w:val="20"/>
          <w:color w:val="auto"/>
        </w:rPr>
        <w:tab/>
      </w:r>
      <w:r>
        <w:rPr>
          <w:rFonts w:ascii="Arial" w:cs="Arial" w:eastAsia="Arial" w:hAnsi="Arial"/>
          <w:sz w:val="17"/>
          <w:szCs w:val="17"/>
          <w:color w:val="auto"/>
        </w:rPr>
        <w:t>Licensee may add additional products to Schedule 5 of this Agreement from time to time by notifying Lonza in writing of the identity of each such product. Unless Lonza determines that there are patent rights or Intellectual Property Rights vested in a Third Party that would prevent or conflict with the addition of such product to this Agreement, Lonza shall confirm the addition of such products to Schedule 5 of this Agreement in writing to Licensee within thirty (30) days of receipt of such notification from Licensee, and upon the issuance of such confirmation such products shall be deemed to be Products.</w:t>
      </w:r>
    </w:p>
    <w:p>
      <w:pPr>
        <w:spacing w:after="0" w:line="198" w:lineRule="exact"/>
        <w:rPr>
          <w:sz w:val="20"/>
          <w:szCs w:val="20"/>
          <w:color w:val="auto"/>
        </w:rPr>
      </w:pPr>
    </w:p>
    <w:p>
      <w:pPr>
        <w:ind w:left="529" w:hanging="529"/>
        <w:spacing w:after="0"/>
        <w:tabs>
          <w:tab w:leader="none" w:pos="529" w:val="left"/>
        </w:tabs>
        <w:numPr>
          <w:ilvl w:val="0"/>
          <w:numId w:val="333"/>
        </w:numPr>
        <w:rPr>
          <w:rFonts w:ascii="Arial" w:cs="Arial" w:eastAsia="Arial" w:hAnsi="Arial"/>
          <w:sz w:val="17"/>
          <w:szCs w:val="17"/>
          <w:b w:val="1"/>
          <w:bCs w:val="1"/>
          <w:color w:val="auto"/>
        </w:rPr>
      </w:pPr>
      <w:r>
        <w:rPr>
          <w:rFonts w:ascii="Arial" w:cs="Arial" w:eastAsia="Arial" w:hAnsi="Arial"/>
          <w:sz w:val="17"/>
          <w:szCs w:val="17"/>
          <w:b w:val="1"/>
          <w:bCs w:val="1"/>
          <w:color w:val="auto"/>
        </w:rPr>
        <w:t>Payments</w:t>
      </w:r>
    </w:p>
    <w:p>
      <w:pPr>
        <w:spacing w:after="0" w:line="250" w:lineRule="exact"/>
        <w:rPr>
          <w:sz w:val="20"/>
          <w:szCs w:val="20"/>
          <w:color w:val="auto"/>
        </w:rPr>
      </w:pPr>
    </w:p>
    <w:p>
      <w:pPr>
        <w:ind w:left="9"/>
        <w:spacing w:after="0"/>
        <w:tabs>
          <w:tab w:leader="none" w:pos="508"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5"/>
          <w:szCs w:val="15"/>
          <w:b w:val="1"/>
          <w:bCs w:val="1"/>
          <w:color w:val="auto"/>
        </w:rPr>
        <w:t>Signature Fee</w:t>
      </w:r>
    </w:p>
    <w:p>
      <w:pPr>
        <w:spacing w:after="0" w:line="230" w:lineRule="exact"/>
        <w:rPr>
          <w:sz w:val="20"/>
          <w:szCs w:val="20"/>
          <w:color w:val="auto"/>
        </w:rPr>
      </w:pPr>
    </w:p>
    <w:p>
      <w:pPr>
        <w:ind w:left="529" w:right="360"/>
        <w:spacing w:after="0" w:line="289" w:lineRule="auto"/>
        <w:rPr>
          <w:sz w:val="20"/>
          <w:szCs w:val="20"/>
          <w:color w:val="auto"/>
        </w:rPr>
      </w:pPr>
      <w:r>
        <w:rPr>
          <w:rFonts w:ascii="Arial" w:cs="Arial" w:eastAsia="Arial" w:hAnsi="Arial"/>
          <w:sz w:val="17"/>
          <w:szCs w:val="17"/>
          <w:color w:val="auto"/>
        </w:rPr>
        <w:t>In consideration of the licence granted to Licensee pursuant to Clause 4.1 hereof, Licensee shall pay Lonza a one-time fee of £250,000 (two hundred fifty thousand pounds) within [*] days of the Effective Date of this Agreement.</w:t>
      </w:r>
    </w:p>
    <w:p>
      <w:pPr>
        <w:spacing w:after="0" w:line="178" w:lineRule="exact"/>
        <w:rPr>
          <w:sz w:val="20"/>
          <w:szCs w:val="20"/>
          <w:color w:val="auto"/>
        </w:rPr>
      </w:pPr>
    </w:p>
    <w:p>
      <w:pPr>
        <w:ind w:left="9"/>
        <w:spacing w:after="0"/>
        <w:tabs>
          <w:tab w:leader="none" w:pos="508"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5"/>
          <w:szCs w:val="15"/>
          <w:b w:val="1"/>
          <w:bCs w:val="1"/>
          <w:color w:val="auto"/>
        </w:rPr>
        <w:t>Milestone Fees</w:t>
      </w:r>
    </w:p>
    <w:p>
      <w:pPr>
        <w:spacing w:after="0" w:line="230" w:lineRule="exact"/>
        <w:rPr>
          <w:sz w:val="20"/>
          <w:szCs w:val="20"/>
          <w:color w:val="auto"/>
        </w:rPr>
      </w:pPr>
    </w:p>
    <w:p>
      <w:pPr>
        <w:ind w:left="529" w:right="520"/>
        <w:spacing w:after="0" w:line="289" w:lineRule="auto"/>
        <w:rPr>
          <w:sz w:val="20"/>
          <w:szCs w:val="20"/>
          <w:color w:val="auto"/>
        </w:rPr>
      </w:pPr>
      <w:r>
        <w:rPr>
          <w:rFonts w:ascii="Arial" w:cs="Arial" w:eastAsia="Arial" w:hAnsi="Arial"/>
          <w:sz w:val="17"/>
          <w:szCs w:val="17"/>
          <w:color w:val="auto"/>
        </w:rPr>
        <w:t>In consideration of the licence granted to Licensee pursuant to Clause 4.1 above, and in consideration for the right to sublicense the rights granted by Clause 4.1 pursuant to Clause 4.3, Licensee shall pay Lonza as follows:</w:t>
      </w:r>
    </w:p>
    <w:p>
      <w:pPr>
        <w:spacing w:after="0" w:line="184" w:lineRule="exact"/>
        <w:rPr>
          <w:sz w:val="20"/>
          <w:szCs w:val="20"/>
          <w:color w:val="auto"/>
        </w:rPr>
      </w:pPr>
    </w:p>
    <w:p>
      <w:pPr>
        <w:ind w:left="1269" w:right="440" w:hanging="745"/>
        <w:spacing w:after="0" w:line="289" w:lineRule="auto"/>
        <w:tabs>
          <w:tab w:leader="none" w:pos="1248" w:val="left"/>
        </w:tabs>
        <w:rPr>
          <w:sz w:val="20"/>
          <w:szCs w:val="20"/>
          <w:color w:val="auto"/>
        </w:rPr>
      </w:pPr>
      <w:r>
        <w:rPr>
          <w:rFonts w:ascii="Arial" w:cs="Arial" w:eastAsia="Arial" w:hAnsi="Arial"/>
          <w:sz w:val="17"/>
          <w:szCs w:val="17"/>
          <w:color w:val="auto"/>
        </w:rPr>
        <w:t>5.2.1</w:t>
      </w:r>
      <w:r>
        <w:rPr>
          <w:sz w:val="20"/>
          <w:szCs w:val="20"/>
          <w:color w:val="auto"/>
        </w:rPr>
        <w:tab/>
      </w:r>
      <w:r>
        <w:rPr>
          <w:rFonts w:ascii="Arial" w:cs="Arial" w:eastAsia="Arial" w:hAnsi="Arial"/>
          <w:sz w:val="17"/>
          <w:szCs w:val="17"/>
          <w:color w:val="auto"/>
        </w:rPr>
        <w:t>a one-off milestone fee of £100,000 (one hundred thousand pounds) in respect of each Product, being payable within [*] days of Initiation of the first phase 2 clinical trial for such Product;</w:t>
      </w:r>
    </w:p>
    <w:p>
      <w:pPr>
        <w:spacing w:after="0" w:line="184" w:lineRule="exact"/>
        <w:rPr>
          <w:sz w:val="20"/>
          <w:szCs w:val="20"/>
          <w:color w:val="auto"/>
        </w:rPr>
      </w:pPr>
    </w:p>
    <w:p>
      <w:pPr>
        <w:ind w:left="1269" w:right="440" w:hanging="745"/>
        <w:spacing w:after="0" w:line="289" w:lineRule="auto"/>
        <w:tabs>
          <w:tab w:leader="none" w:pos="1248" w:val="left"/>
        </w:tabs>
        <w:rPr>
          <w:sz w:val="20"/>
          <w:szCs w:val="20"/>
          <w:color w:val="auto"/>
        </w:rPr>
      </w:pPr>
      <w:r>
        <w:rPr>
          <w:rFonts w:ascii="Arial" w:cs="Arial" w:eastAsia="Arial" w:hAnsi="Arial"/>
          <w:sz w:val="17"/>
          <w:szCs w:val="17"/>
          <w:color w:val="auto"/>
        </w:rPr>
        <w:t>5.2.2</w:t>
      </w:r>
      <w:r>
        <w:rPr>
          <w:sz w:val="20"/>
          <w:szCs w:val="20"/>
          <w:color w:val="auto"/>
        </w:rPr>
        <w:tab/>
      </w:r>
      <w:r>
        <w:rPr>
          <w:rFonts w:ascii="Arial" w:cs="Arial" w:eastAsia="Arial" w:hAnsi="Arial"/>
          <w:sz w:val="17"/>
          <w:szCs w:val="17"/>
          <w:color w:val="auto"/>
        </w:rPr>
        <w:t>a one-off milestone fee of £100,000 (one hundred thousand pounds) in respect of each Product, being payable within [*] days of Initiation of the first phase 3 clinical trial for such Product; and</w:t>
      </w:r>
    </w:p>
    <w:p>
      <w:pPr>
        <w:spacing w:after="0" w:line="92"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12</w:t>
      </w:r>
    </w:p>
    <w:p>
      <w:pPr>
        <w:spacing w:after="0" w:line="26" w:lineRule="exact"/>
        <w:rPr>
          <w:sz w:val="20"/>
          <w:szCs w:val="20"/>
          <w:color w:val="auto"/>
        </w:rPr>
      </w:pPr>
    </w:p>
    <w:p>
      <w:pPr>
        <w:ind w:left="1469" w:right="980" w:hanging="481"/>
        <w:spacing w:after="0" w:line="343" w:lineRule="auto"/>
        <w:tabs>
          <w:tab w:leader="none" w:pos="1241" w:val="left"/>
        </w:tabs>
        <w:numPr>
          <w:ilvl w:val="0"/>
          <w:numId w:val="334"/>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69"/>
          </w:cols>
          <w:pgMar w:left="611" w:top="454" w:right="619" w:bottom="1440" w:gutter="0" w:footer="0" w:header="0"/>
        </w:sectPr>
      </w:pPr>
    </w:p>
    <w:bookmarkStart w:id="402" w:name="page403"/>
    <w:bookmarkEnd w:id="40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3">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4">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85" w:lineRule="exact"/>
        <w:rPr>
          <w:sz w:val="20"/>
          <w:szCs w:val="20"/>
          <w:color w:val="auto"/>
        </w:rPr>
      </w:pPr>
    </w:p>
    <w:p>
      <w:pPr>
        <w:ind w:left="1260" w:right="20" w:hanging="745"/>
        <w:spacing w:after="0" w:line="289" w:lineRule="auto"/>
        <w:tabs>
          <w:tab w:leader="none" w:pos="1240" w:val="left"/>
        </w:tabs>
        <w:rPr>
          <w:sz w:val="20"/>
          <w:szCs w:val="20"/>
          <w:color w:val="auto"/>
        </w:rPr>
      </w:pPr>
      <w:r>
        <w:rPr>
          <w:rFonts w:ascii="Arial" w:cs="Arial" w:eastAsia="Arial" w:hAnsi="Arial"/>
          <w:sz w:val="17"/>
          <w:szCs w:val="17"/>
          <w:color w:val="auto"/>
        </w:rPr>
        <w:t>5.2.3</w:t>
      </w:r>
      <w:r>
        <w:rPr>
          <w:sz w:val="20"/>
          <w:szCs w:val="20"/>
          <w:color w:val="auto"/>
        </w:rPr>
        <w:tab/>
      </w:r>
      <w:r>
        <w:rPr>
          <w:rFonts w:ascii="Arial" w:cs="Arial" w:eastAsia="Arial" w:hAnsi="Arial"/>
          <w:sz w:val="17"/>
          <w:szCs w:val="17"/>
          <w:color w:val="auto"/>
        </w:rPr>
        <w:t>a one-off milestone fee of £150,000 (one hundred and fifty thousand pounds) in respect of each Product, being payable within [*] days of First Commercial Sale following attainment of the first regulatory approval for such Product.</w:t>
      </w:r>
    </w:p>
    <w:p>
      <w:pPr>
        <w:spacing w:after="0" w:line="178"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5"/>
          <w:szCs w:val="15"/>
          <w:b w:val="1"/>
          <w:bCs w:val="1"/>
          <w:color w:val="auto"/>
        </w:rPr>
        <w:t>Royalties</w:t>
      </w:r>
    </w:p>
    <w:p>
      <w:pPr>
        <w:spacing w:after="0" w:line="256" w:lineRule="exact"/>
        <w:rPr>
          <w:sz w:val="20"/>
          <w:szCs w:val="20"/>
          <w:color w:val="auto"/>
        </w:rPr>
      </w:pPr>
    </w:p>
    <w:p>
      <w:pPr>
        <w:ind w:left="1260" w:right="400" w:hanging="745"/>
        <w:spacing w:after="0" w:line="267" w:lineRule="auto"/>
        <w:tabs>
          <w:tab w:leader="none" w:pos="1240" w:val="left"/>
        </w:tabs>
        <w:rPr>
          <w:sz w:val="20"/>
          <w:szCs w:val="20"/>
          <w:color w:val="auto"/>
        </w:rPr>
      </w:pPr>
      <w:r>
        <w:rPr>
          <w:rFonts w:ascii="Arial" w:cs="Arial" w:eastAsia="Arial" w:hAnsi="Arial"/>
          <w:sz w:val="17"/>
          <w:szCs w:val="17"/>
          <w:color w:val="auto"/>
        </w:rPr>
        <w:t>5.3.1</w:t>
      </w:r>
      <w:r>
        <w:rPr>
          <w:sz w:val="20"/>
          <w:szCs w:val="20"/>
          <w:color w:val="auto"/>
        </w:rPr>
        <w:tab/>
      </w:r>
      <w:r>
        <w:rPr>
          <w:rFonts w:ascii="Arial" w:cs="Arial" w:eastAsia="Arial" w:hAnsi="Arial"/>
          <w:sz w:val="17"/>
          <w:szCs w:val="17"/>
          <w:color w:val="auto"/>
        </w:rPr>
        <w:t>In further consideration of the licence granted to Licensee pursuant to Clause 4.1 hereof and in consideration for the right to sublicense the rights granted by Clause 4.1 pursuant to Clause 4.3, Licensee shall, subject to the provisions of this Clause 5.3 and Clause 5.4, pay to Lonza royalties based on the party manufacturing the Product for Commercial Activities and Net Sales of each Product, according to the following schedule:</w:t>
      </w:r>
    </w:p>
    <w:p>
      <w:pPr>
        <w:spacing w:after="0" w:line="177"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Royalty on Net Sales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8"/>
              </w:rPr>
              <w:t>Royalty on Net Sales</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16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Royalty on Net Sales</w:t>
            </w:r>
          </w:p>
        </w:tc>
        <w:tc>
          <w:tcPr>
            <w:tcW w:w="1640" w:type="dxa"/>
            <w:vAlign w:val="bottom"/>
            <w:gridSpan w:val="2"/>
          </w:tcPr>
          <w:p>
            <w:pPr>
              <w:jc w:val="center"/>
              <w:ind w:right="400"/>
              <w:spacing w:after="0" w:line="144" w:lineRule="exact"/>
              <w:rPr>
                <w:sz w:val="20"/>
                <w:szCs w:val="20"/>
                <w:color w:val="auto"/>
              </w:rPr>
            </w:pPr>
            <w:r>
              <w:rPr>
                <w:rFonts w:ascii="Arial" w:cs="Arial" w:eastAsia="Arial" w:hAnsi="Arial"/>
                <w:sz w:val="14"/>
                <w:szCs w:val="14"/>
                <w:b w:val="1"/>
                <w:bCs w:val="1"/>
                <w:color w:val="auto"/>
                <w:w w:val="88"/>
              </w:rPr>
              <w:t>in respect of Product</w:t>
            </w:r>
          </w:p>
        </w:tc>
        <w:tc>
          <w:tcPr>
            <w:tcW w:w="12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8"/>
              </w:rPr>
              <w:t>in respect of Product</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40" w:type="dxa"/>
            <w:vAlign w:val="bottom"/>
            <w:gridSpan w:val="2"/>
          </w:tcPr>
          <w:p>
            <w:pPr>
              <w:jc w:val="center"/>
              <w:ind w:right="400"/>
              <w:spacing w:after="0" w:line="144" w:lineRule="exact"/>
              <w:rPr>
                <w:sz w:val="20"/>
                <w:szCs w:val="20"/>
                <w:color w:val="auto"/>
              </w:rPr>
            </w:pPr>
            <w:r>
              <w:rPr>
                <w:rFonts w:ascii="Arial" w:cs="Arial" w:eastAsia="Arial" w:hAnsi="Arial"/>
                <w:sz w:val="14"/>
                <w:szCs w:val="14"/>
                <w:b w:val="1"/>
                <w:bCs w:val="1"/>
                <w:color w:val="auto"/>
                <w:w w:val="92"/>
              </w:rPr>
              <w:t>manufactured by</w:t>
            </w:r>
          </w:p>
        </w:tc>
        <w:tc>
          <w:tcPr>
            <w:tcW w:w="12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manufactured by</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1640" w:type="dxa"/>
            <w:vAlign w:val="bottom"/>
            <w:gridSpan w:val="2"/>
          </w:tcPr>
          <w:p>
            <w:pPr>
              <w:jc w:val="center"/>
              <w:ind w:right="400"/>
              <w:spacing w:after="0" w:line="144" w:lineRule="exact"/>
              <w:rPr>
                <w:sz w:val="20"/>
                <w:szCs w:val="20"/>
                <w:color w:val="auto"/>
              </w:rPr>
            </w:pPr>
            <w:r>
              <w:rPr>
                <w:rFonts w:ascii="Arial" w:cs="Arial" w:eastAsia="Arial" w:hAnsi="Arial"/>
                <w:sz w:val="14"/>
                <w:szCs w:val="14"/>
                <w:b w:val="1"/>
                <w:bCs w:val="1"/>
                <w:color w:val="auto"/>
                <w:w w:val="86"/>
              </w:rPr>
              <w:t>in respect of</w:t>
            </w:r>
          </w:p>
        </w:tc>
        <w:tc>
          <w:tcPr>
            <w:tcW w:w="1640" w:type="dxa"/>
            <w:vAlign w:val="bottom"/>
            <w:gridSpan w:val="2"/>
          </w:tcPr>
          <w:p>
            <w:pPr>
              <w:jc w:val="center"/>
              <w:ind w:right="400"/>
              <w:spacing w:after="0" w:line="144" w:lineRule="exact"/>
              <w:rPr>
                <w:sz w:val="20"/>
                <w:szCs w:val="20"/>
                <w:color w:val="auto"/>
              </w:rPr>
            </w:pPr>
            <w:r>
              <w:rPr>
                <w:rFonts w:ascii="Arial" w:cs="Arial" w:eastAsia="Arial" w:hAnsi="Arial"/>
                <w:sz w:val="14"/>
                <w:szCs w:val="14"/>
                <w:b w:val="1"/>
                <w:bCs w:val="1"/>
                <w:color w:val="auto"/>
                <w:w w:val="86"/>
              </w:rPr>
              <w:t>Licensee, Licensee’s</w:t>
            </w:r>
          </w:p>
        </w:tc>
        <w:tc>
          <w:tcPr>
            <w:tcW w:w="12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9"/>
              </w:rPr>
              <w:t>other than Licensee,</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1640" w:type="dxa"/>
            <w:vAlign w:val="bottom"/>
            <w:gridSpan w:val="2"/>
          </w:tcPr>
          <w:p>
            <w:pPr>
              <w:jc w:val="center"/>
              <w:ind w:right="400"/>
              <w:spacing w:after="0" w:line="144" w:lineRule="exact"/>
              <w:rPr>
                <w:sz w:val="20"/>
                <w:szCs w:val="20"/>
                <w:color w:val="auto"/>
              </w:rPr>
            </w:pPr>
            <w:r>
              <w:rPr>
                <w:rFonts w:ascii="Arial" w:cs="Arial" w:eastAsia="Arial" w:hAnsi="Arial"/>
                <w:sz w:val="14"/>
                <w:szCs w:val="14"/>
                <w:b w:val="1"/>
                <w:bCs w:val="1"/>
                <w:color w:val="auto"/>
                <w:w w:val="90"/>
              </w:rPr>
              <w:t>Product</w:t>
            </w:r>
          </w:p>
        </w:tc>
        <w:tc>
          <w:tcPr>
            <w:tcW w:w="1640" w:type="dxa"/>
            <w:vAlign w:val="bottom"/>
            <w:gridSpan w:val="2"/>
          </w:tcPr>
          <w:p>
            <w:pPr>
              <w:jc w:val="center"/>
              <w:ind w:right="400"/>
              <w:spacing w:after="0" w:line="144" w:lineRule="exact"/>
              <w:rPr>
                <w:sz w:val="20"/>
                <w:szCs w:val="20"/>
                <w:color w:val="auto"/>
              </w:rPr>
            </w:pPr>
            <w:r>
              <w:rPr>
                <w:rFonts w:ascii="Arial" w:cs="Arial" w:eastAsia="Arial" w:hAnsi="Arial"/>
                <w:sz w:val="14"/>
                <w:szCs w:val="14"/>
                <w:b w:val="1"/>
                <w:bCs w:val="1"/>
                <w:color w:val="auto"/>
                <w:w w:val="92"/>
              </w:rPr>
              <w:t>Affiliate, or</w:t>
            </w:r>
          </w:p>
        </w:tc>
        <w:tc>
          <w:tcPr>
            <w:tcW w:w="12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Licensee’s Affiliate,</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1640" w:type="dxa"/>
            <w:vAlign w:val="bottom"/>
            <w:gridSpan w:val="2"/>
          </w:tcPr>
          <w:p>
            <w:pPr>
              <w:jc w:val="center"/>
              <w:ind w:right="400"/>
              <w:spacing w:after="0" w:line="144" w:lineRule="exact"/>
              <w:rPr>
                <w:sz w:val="20"/>
                <w:szCs w:val="20"/>
                <w:color w:val="auto"/>
              </w:rPr>
            </w:pPr>
            <w:r>
              <w:rPr>
                <w:rFonts w:ascii="Arial" w:cs="Arial" w:eastAsia="Arial" w:hAnsi="Arial"/>
                <w:sz w:val="14"/>
                <w:szCs w:val="14"/>
                <w:b w:val="1"/>
                <w:bCs w:val="1"/>
                <w:color w:val="auto"/>
                <w:w w:val="90"/>
              </w:rPr>
              <w:t>manufactured</w:t>
            </w:r>
          </w:p>
        </w:tc>
        <w:tc>
          <w:tcPr>
            <w:tcW w:w="1640" w:type="dxa"/>
            <w:vAlign w:val="bottom"/>
            <w:gridSpan w:val="2"/>
          </w:tcPr>
          <w:p>
            <w:pPr>
              <w:jc w:val="center"/>
              <w:ind w:right="400"/>
              <w:spacing w:after="0" w:line="144" w:lineRule="exact"/>
              <w:rPr>
                <w:sz w:val="20"/>
                <w:szCs w:val="20"/>
                <w:color w:val="auto"/>
              </w:rPr>
            </w:pPr>
            <w:r>
              <w:rPr>
                <w:rFonts w:ascii="Arial" w:cs="Arial" w:eastAsia="Arial" w:hAnsi="Arial"/>
                <w:sz w:val="14"/>
                <w:szCs w:val="14"/>
                <w:b w:val="1"/>
                <w:bCs w:val="1"/>
                <w:color w:val="auto"/>
                <w:w w:val="92"/>
              </w:rPr>
              <w:t>Strategic Partner of</w:t>
            </w:r>
          </w:p>
        </w:tc>
        <w:tc>
          <w:tcPr>
            <w:tcW w:w="12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1"/>
              </w:rPr>
              <w:t>or Strategic Partner</w:t>
            </w:r>
          </w:p>
        </w:tc>
        <w:tc>
          <w:tcPr>
            <w:tcW w:w="0" w:type="dxa"/>
            <w:vAlign w:val="bottom"/>
          </w:tcPr>
          <w:p>
            <w:pPr>
              <w:spacing w:after="0"/>
              <w:rPr>
                <w:sz w:val="1"/>
                <w:szCs w:val="1"/>
                <w:color w:val="auto"/>
              </w:rPr>
            </w:pPr>
          </w:p>
        </w:tc>
      </w:tr>
      <w:tr>
        <w:trPr>
          <w:trHeight w:val="167"/>
        </w:trPr>
        <w:tc>
          <w:tcPr>
            <w:tcW w:w="3580" w:type="dxa"/>
            <w:vAlign w:val="bottom"/>
          </w:tcPr>
          <w:p>
            <w:pPr>
              <w:spacing w:after="0"/>
              <w:rPr>
                <w:sz w:val="14"/>
                <w:szCs w:val="14"/>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by Lonza</w:t>
            </w: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Licensee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5"/>
              </w:rPr>
              <w:t>of Licensee</w:t>
            </w:r>
          </w:p>
        </w:tc>
        <w:tc>
          <w:tcPr>
            <w:tcW w:w="0" w:type="dxa"/>
            <w:vAlign w:val="bottom"/>
          </w:tcPr>
          <w:p>
            <w:pPr>
              <w:spacing w:after="0"/>
              <w:rPr>
                <w:sz w:val="1"/>
                <w:szCs w:val="1"/>
                <w:color w:val="auto"/>
              </w:rPr>
            </w:pPr>
          </w:p>
        </w:tc>
      </w:tr>
      <w:tr>
        <w:trPr>
          <w:trHeight w:val="203"/>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Product #1</w:t>
            </w: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20"/>
                <w:szCs w:val="20"/>
                <w:color w:val="auto"/>
              </w:rPr>
            </w:pPr>
            <w:r>
              <w:rPr>
                <w:rFonts w:ascii="Arial" w:cs="Arial" w:eastAsia="Arial" w:hAnsi="Arial"/>
                <w:sz w:val="17"/>
                <w:szCs w:val="17"/>
                <w:color w:val="auto"/>
              </w:rPr>
              <w:t>Product #2</w:t>
            </w:r>
          </w:p>
        </w:tc>
        <w:tc>
          <w:tcPr>
            <w:tcW w:w="1240" w:type="dxa"/>
            <w:vAlign w:val="bottom"/>
          </w:tcPr>
          <w:p>
            <w:pPr>
              <w:jc w:val="center"/>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Product #3</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20"/>
                <w:szCs w:val="20"/>
                <w:color w:val="auto"/>
              </w:rPr>
            </w:pPr>
            <w:r>
              <w:rPr>
                <w:rFonts w:ascii="Arial" w:cs="Arial" w:eastAsia="Arial" w:hAnsi="Arial"/>
                <w:sz w:val="17"/>
                <w:szCs w:val="17"/>
                <w:color w:val="auto"/>
              </w:rPr>
              <w:t>Product #4</w:t>
            </w:r>
          </w:p>
        </w:tc>
        <w:tc>
          <w:tcPr>
            <w:tcW w:w="1240" w:type="dxa"/>
            <w:vAlign w:val="bottom"/>
          </w:tcPr>
          <w:p>
            <w:pPr>
              <w:jc w:val="center"/>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Product #5 and all subsequent Products</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1260" w:right="380" w:hanging="745"/>
        <w:spacing w:after="0" w:line="289" w:lineRule="auto"/>
        <w:tabs>
          <w:tab w:leader="none" w:pos="1240" w:val="left"/>
        </w:tabs>
        <w:rPr>
          <w:sz w:val="20"/>
          <w:szCs w:val="20"/>
          <w:color w:val="auto"/>
        </w:rPr>
      </w:pPr>
      <w:r>
        <w:rPr>
          <w:rFonts w:ascii="Arial" w:cs="Arial" w:eastAsia="Arial" w:hAnsi="Arial"/>
          <w:sz w:val="17"/>
          <w:szCs w:val="17"/>
          <w:color w:val="auto"/>
        </w:rPr>
        <w:t>5.3.2</w:t>
      </w:r>
      <w:r>
        <w:rPr>
          <w:sz w:val="20"/>
          <w:szCs w:val="20"/>
          <w:color w:val="auto"/>
        </w:rPr>
        <w:tab/>
      </w:r>
      <w:r>
        <w:rPr>
          <w:rFonts w:ascii="Arial" w:cs="Arial" w:eastAsia="Arial" w:hAnsi="Arial"/>
          <w:sz w:val="16"/>
          <w:szCs w:val="16"/>
          <w:color w:val="auto"/>
        </w:rPr>
        <w:t>Where any Product is manufactured for Commercial Activities by a party other than Lonza, Licensee, Licensee’s Affiliate, or Licensee’s Strategic Partner, then Licensee shall pay to Lonza an annual fee of [*] in respect of each such Product, such fee being payable annually during the course of such sublicence (irrespective as to the years of manufacture) and being first payable on the commencement date of the relevant sublicence. For the avoidance of doubt:</w:t>
      </w:r>
    </w:p>
    <w:p>
      <w:pPr>
        <w:spacing w:after="0" w:line="70" w:lineRule="exact"/>
        <w:rPr>
          <w:sz w:val="20"/>
          <w:szCs w:val="20"/>
          <w:color w:val="auto"/>
        </w:rPr>
      </w:pPr>
    </w:p>
    <w:p>
      <w:pPr>
        <w:ind w:left="1780" w:right="220" w:hanging="518"/>
        <w:spacing w:after="0" w:line="289" w:lineRule="auto"/>
        <w:tabs>
          <w:tab w:leader="none" w:pos="1780" w:val="left"/>
        </w:tabs>
        <w:numPr>
          <w:ilvl w:val="0"/>
          <w:numId w:val="335"/>
        </w:numPr>
        <w:rPr>
          <w:rFonts w:ascii="Arial" w:cs="Arial" w:eastAsia="Arial" w:hAnsi="Arial"/>
          <w:sz w:val="17"/>
          <w:szCs w:val="17"/>
          <w:color w:val="auto"/>
        </w:rPr>
      </w:pPr>
      <w:r>
        <w:rPr>
          <w:rFonts w:ascii="Arial" w:cs="Arial" w:eastAsia="Arial" w:hAnsi="Arial"/>
          <w:sz w:val="17"/>
          <w:szCs w:val="17"/>
          <w:color w:val="auto"/>
        </w:rPr>
        <w:t>such payments are on a per-Product basis, irrespective of whether the same third party manufactures more than one Product; and</w:t>
      </w:r>
    </w:p>
    <w:p>
      <w:pPr>
        <w:spacing w:after="0" w:line="66" w:lineRule="exact"/>
        <w:rPr>
          <w:rFonts w:ascii="Arial" w:cs="Arial" w:eastAsia="Arial" w:hAnsi="Arial"/>
          <w:sz w:val="17"/>
          <w:szCs w:val="17"/>
          <w:color w:val="auto"/>
        </w:rPr>
      </w:pPr>
    </w:p>
    <w:p>
      <w:pPr>
        <w:ind w:left="1780" w:right="160" w:hanging="518"/>
        <w:spacing w:after="0" w:line="289" w:lineRule="auto"/>
        <w:tabs>
          <w:tab w:leader="none" w:pos="1780" w:val="left"/>
        </w:tabs>
        <w:numPr>
          <w:ilvl w:val="0"/>
          <w:numId w:val="335"/>
        </w:numPr>
        <w:rPr>
          <w:rFonts w:ascii="Arial" w:cs="Arial" w:eastAsia="Arial" w:hAnsi="Arial"/>
          <w:sz w:val="17"/>
          <w:szCs w:val="17"/>
          <w:color w:val="auto"/>
        </w:rPr>
      </w:pPr>
      <w:r>
        <w:rPr>
          <w:rFonts w:ascii="Arial" w:cs="Arial" w:eastAsia="Arial" w:hAnsi="Arial"/>
          <w:sz w:val="17"/>
          <w:szCs w:val="17"/>
          <w:color w:val="auto"/>
        </w:rPr>
        <w:t>in relation to the activities set out in [*], in respect of each of Products [*], as set out in Appendix 5, be first payable upon [*] of the relevant Product.</w:t>
      </w:r>
    </w:p>
    <w:p>
      <w:pPr>
        <w:spacing w:after="0" w:line="178"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6"/>
          <w:szCs w:val="16"/>
          <w:b w:val="1"/>
          <w:bCs w:val="1"/>
          <w:color w:val="auto"/>
        </w:rPr>
        <w:t>Royalty Term</w:t>
      </w:r>
    </w:p>
    <w:p>
      <w:pPr>
        <w:spacing w:after="0" w:line="256" w:lineRule="exact"/>
        <w:rPr>
          <w:sz w:val="20"/>
          <w:szCs w:val="20"/>
          <w:color w:val="auto"/>
        </w:rPr>
      </w:pPr>
    </w:p>
    <w:p>
      <w:pPr>
        <w:ind w:left="1260" w:hanging="745"/>
        <w:spacing w:after="0" w:line="263" w:lineRule="auto"/>
        <w:tabs>
          <w:tab w:leader="none" w:pos="1240" w:val="left"/>
        </w:tabs>
        <w:rPr>
          <w:sz w:val="20"/>
          <w:szCs w:val="20"/>
          <w:color w:val="auto"/>
        </w:rPr>
      </w:pPr>
      <w:r>
        <w:rPr>
          <w:rFonts w:ascii="Arial" w:cs="Arial" w:eastAsia="Arial" w:hAnsi="Arial"/>
          <w:sz w:val="17"/>
          <w:szCs w:val="17"/>
          <w:color w:val="auto"/>
        </w:rPr>
        <w:t>5.4.1</w:t>
      </w:r>
      <w:r>
        <w:rPr>
          <w:sz w:val="20"/>
          <w:szCs w:val="20"/>
          <w:color w:val="auto"/>
        </w:rPr>
        <w:tab/>
      </w:r>
      <w:r>
        <w:rPr>
          <w:rFonts w:ascii="Arial" w:cs="Arial" w:eastAsia="Arial" w:hAnsi="Arial"/>
          <w:sz w:val="17"/>
          <w:szCs w:val="17"/>
          <w:color w:val="auto"/>
        </w:rPr>
        <w:t>Royalties will be payable by Licensee on a per-Product basis until the later of (i) ten (10) years from the date of First Commercial Sale of the relevant Product, and (ii) expiry of the last Valid Claim in the Patent Rights (Lonza) or Patent Rights (Third Party) (the “Royalty Term”), and, thereafter, the license under this Agreement for such Product shall become fully paid-up. For clarity, if and after a Strategic Partner with a separate license to the System becomes associated with a Product under this Agreement, then, with respect to that Product, the royalties, the milestone fees and the annual fees will be assessed only under this license agreement, with the Strategic Partner having been sublicensed under this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6" w:lineRule="exact"/>
        <w:rPr>
          <w:sz w:val="20"/>
          <w:szCs w:val="20"/>
          <w:color w:val="auto"/>
        </w:rPr>
      </w:pPr>
    </w:p>
    <w:p>
      <w:pPr>
        <w:ind w:left="1460" w:right="1000" w:hanging="481"/>
        <w:spacing w:after="0" w:line="343" w:lineRule="auto"/>
        <w:tabs>
          <w:tab w:leader="none" w:pos="1232" w:val="left"/>
        </w:tabs>
        <w:numPr>
          <w:ilvl w:val="0"/>
          <w:numId w:val="336"/>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80"/>
          </w:cols>
          <w:pgMar w:left="620" w:top="455" w:right="599" w:bottom="1440" w:gutter="0" w:footer="0" w:header="0"/>
        </w:sectPr>
      </w:pPr>
    </w:p>
    <w:bookmarkStart w:id="403" w:name="page404"/>
    <w:bookmarkEnd w:id="403"/>
    <w:p>
      <w:pPr>
        <w:ind w:left="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6">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85" w:lineRule="exact"/>
        <w:rPr>
          <w:sz w:val="20"/>
          <w:szCs w:val="20"/>
          <w:color w:val="auto"/>
        </w:rPr>
      </w:pPr>
    </w:p>
    <w:p>
      <w:pPr>
        <w:ind w:left="1269" w:hanging="745"/>
        <w:spacing w:after="0" w:line="308" w:lineRule="auto"/>
        <w:tabs>
          <w:tab w:leader="none" w:pos="1248" w:val="left"/>
        </w:tabs>
        <w:rPr>
          <w:sz w:val="20"/>
          <w:szCs w:val="20"/>
          <w:color w:val="auto"/>
        </w:rPr>
      </w:pPr>
      <w:r>
        <w:rPr>
          <w:rFonts w:ascii="Arial" w:cs="Arial" w:eastAsia="Arial" w:hAnsi="Arial"/>
          <w:sz w:val="17"/>
          <w:szCs w:val="17"/>
          <w:color w:val="auto"/>
        </w:rPr>
        <w:t>5.4.2</w:t>
      </w:r>
      <w:r>
        <w:rPr>
          <w:sz w:val="20"/>
          <w:szCs w:val="20"/>
          <w:color w:val="auto"/>
        </w:rPr>
        <w:tab/>
      </w:r>
      <w:r>
        <w:rPr>
          <w:rFonts w:ascii="Arial" w:cs="Arial" w:eastAsia="Arial" w:hAnsi="Arial"/>
          <w:sz w:val="15"/>
          <w:szCs w:val="15"/>
          <w:color w:val="auto"/>
        </w:rPr>
        <w:t>On a country-by-country basis, if the manufacture and/or sale of a Product is not covered by a Valid Claim (either because no patent or application was ever filed for such territory or there otherwise was no valid claim, or there was a valid claim but the patent or application has expired or otherwise is no longer of effect) then in respect of sales in such countries royalties shall be due only in respect of the System Know-How, and relevant royalty figures referred to in Clauses 5.3 above shall be reduced by [*] for the duration of the Royalty Term, and, thereafter, the license under this Agreement for such Product in such country shall become fully paid-up.</w:t>
      </w:r>
    </w:p>
    <w:p>
      <w:pPr>
        <w:spacing w:after="0" w:line="177" w:lineRule="exact"/>
        <w:rPr>
          <w:sz w:val="20"/>
          <w:szCs w:val="20"/>
          <w:color w:val="auto"/>
        </w:rPr>
      </w:pPr>
    </w:p>
    <w:p>
      <w:pPr>
        <w:ind w:left="529" w:right="460" w:hanging="523"/>
        <w:spacing w:after="0" w:line="289" w:lineRule="auto"/>
        <w:tabs>
          <w:tab w:leader="none" w:pos="508" w:val="left"/>
        </w:tabs>
        <w:rPr>
          <w:sz w:val="20"/>
          <w:szCs w:val="20"/>
          <w:color w:val="auto"/>
        </w:rPr>
      </w:pPr>
      <w:r>
        <w:rPr>
          <w:rFonts w:ascii="Arial" w:cs="Arial" w:eastAsia="Arial" w:hAnsi="Arial"/>
          <w:sz w:val="17"/>
          <w:szCs w:val="17"/>
          <w:color w:val="auto"/>
        </w:rPr>
        <w:t>5.5</w:t>
      </w:r>
      <w:r>
        <w:rPr>
          <w:sz w:val="20"/>
          <w:szCs w:val="20"/>
          <w:color w:val="auto"/>
        </w:rPr>
        <w:tab/>
      </w:r>
      <w:r>
        <w:rPr>
          <w:rFonts w:ascii="Arial" w:cs="Arial" w:eastAsia="Arial" w:hAnsi="Arial"/>
          <w:sz w:val="17"/>
          <w:szCs w:val="17"/>
          <w:color w:val="auto"/>
        </w:rPr>
        <w:t>For the avoidance of doubt the licence under the CDACF Version 8 System is given in consideration of the obligations incumbent upon the Licensee under the terms of this Agreement and in all respects royalty and licence free.</w:t>
      </w:r>
    </w:p>
    <w:p>
      <w:pPr>
        <w:spacing w:after="0" w:line="184" w:lineRule="exact"/>
        <w:rPr>
          <w:sz w:val="20"/>
          <w:szCs w:val="20"/>
          <w:color w:val="auto"/>
        </w:rPr>
      </w:pPr>
    </w:p>
    <w:p>
      <w:pPr>
        <w:ind w:left="529" w:right="400" w:hanging="523"/>
        <w:spacing w:after="0" w:line="267" w:lineRule="auto"/>
        <w:tabs>
          <w:tab w:leader="none" w:pos="508" w:val="left"/>
        </w:tabs>
        <w:rPr>
          <w:sz w:val="20"/>
          <w:szCs w:val="20"/>
          <w:color w:val="auto"/>
        </w:rPr>
      </w:pPr>
      <w:r>
        <w:rPr>
          <w:rFonts w:ascii="Arial" w:cs="Arial" w:eastAsia="Arial" w:hAnsi="Arial"/>
          <w:sz w:val="17"/>
          <w:szCs w:val="17"/>
          <w:color w:val="auto"/>
        </w:rPr>
        <w:t>5.6</w:t>
      </w:r>
      <w:r>
        <w:rPr>
          <w:sz w:val="20"/>
          <w:szCs w:val="20"/>
          <w:color w:val="auto"/>
        </w:rPr>
        <w:tab/>
      </w:r>
      <w:r>
        <w:rPr>
          <w:rFonts w:ascii="Arial" w:cs="Arial" w:eastAsia="Arial" w:hAnsi="Arial"/>
          <w:sz w:val="17"/>
          <w:szCs w:val="17"/>
          <w:color w:val="auto"/>
        </w:rPr>
        <w:t>Notwithstanding the above, if Licensee or any Affiliate (in such capacity, “Lonza Customer”) and Lonza have entered into a manufacturing agreement for manufacture of a Product and [*], then in such case Licensee may notify Lonza that it is invoking this clause and [*], and, for purposes of [*] shall apply, and, in addition, [*] for that particular year with respect to that Product and that manufacturer. For clarity, this Section 5.6 shall not apply in the event [*].</w:t>
      </w:r>
    </w:p>
    <w:p>
      <w:pPr>
        <w:spacing w:after="0" w:line="198" w:lineRule="exact"/>
        <w:rPr>
          <w:sz w:val="20"/>
          <w:szCs w:val="20"/>
          <w:color w:val="auto"/>
        </w:rPr>
      </w:pPr>
    </w:p>
    <w:p>
      <w:pPr>
        <w:ind w:left="529" w:hanging="529"/>
        <w:spacing w:after="0"/>
        <w:tabs>
          <w:tab w:leader="none" w:pos="529" w:val="left"/>
        </w:tabs>
        <w:numPr>
          <w:ilvl w:val="0"/>
          <w:numId w:val="337"/>
        </w:numPr>
        <w:rPr>
          <w:rFonts w:ascii="Arial" w:cs="Arial" w:eastAsia="Arial" w:hAnsi="Arial"/>
          <w:sz w:val="17"/>
          <w:szCs w:val="17"/>
          <w:b w:val="1"/>
          <w:bCs w:val="1"/>
          <w:color w:val="auto"/>
        </w:rPr>
      </w:pPr>
      <w:r>
        <w:rPr>
          <w:rFonts w:ascii="Arial" w:cs="Arial" w:eastAsia="Arial" w:hAnsi="Arial"/>
          <w:sz w:val="17"/>
          <w:szCs w:val="17"/>
          <w:b w:val="1"/>
          <w:bCs w:val="1"/>
          <w:color w:val="auto"/>
        </w:rPr>
        <w:t>Royalty Procedures</w:t>
      </w:r>
    </w:p>
    <w:p>
      <w:pPr>
        <w:spacing w:after="0" w:line="256" w:lineRule="exact"/>
        <w:rPr>
          <w:sz w:val="20"/>
          <w:szCs w:val="20"/>
          <w:color w:val="auto"/>
        </w:rPr>
      </w:pPr>
    </w:p>
    <w:p>
      <w:pPr>
        <w:ind w:left="529" w:hanging="523"/>
        <w:spacing w:after="0" w:line="295" w:lineRule="auto"/>
        <w:tabs>
          <w:tab w:leader="none" w:pos="508"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5"/>
          <w:szCs w:val="15"/>
          <w:color w:val="auto"/>
        </w:rPr>
        <w:t>Commencing on the First Commercial Sale of any Product, Licensee shall and shall ensure that its Affiliates and their respective Strategic Partners and Sublicensees shall keep true and accurate records and books of account containing all data necessary for the confirmation of the calculation of royalties payable to Lonza, for a duration of [*] years from the date of origination of such records and books. Such records and books of account shall, upon reasonable notice having been given by Lonza (which in no event shall be less than [*] days’ prior notice) during the term of this Agreement and for [*] years thereafter, be open at all reasonable times during regular business hours for inspection by independent certified public accountants acting as auditors selected and paid for by Lonza and reasonably acceptable to Licensee. The independent auditor shall inspect and disclose to Lonza only information relating to the amounts which the accountant believes to be due and payable under this Agreement to Lonza, details concerning any discrepancy from the amount paid and the amount due, and shall disclose no other information revealed in such audit. All information and materials obtained or examined by the independent auditor shall be deemed Licensee’s Confidential Information and may not be used or disclosed except as expressly provided in this Clause 6. Any such audit shall be conducted in a manner that does not interfere unreasonably with the operations of Licensee’s business. Lonza may perform an audit through the independent auditor once each twelve-month period. Each audit shall begin upon the date agreed to by the Parties and shall be completed as soon as reasonably practicable. Lonza shall pay the costs of the independent auditors conducting such audit, unless the results of the audit reveal an underpayment of [*] or more by Licensee, in which case, Licensee shall pay the actual and reasonable costs of the independent auditors. Results of any audit shall be made available to both Licensee and Lonza. If an audit concludes that an overpayment or underpayment has occurred during the audited period, such payment shall be remitted by the Party responsible for such payment to the other Party within [*] days after the date such auditor’s written report identifying the overpayment or underpayment is delivered to the Party responsible for such payment.</w:t>
      </w:r>
    </w:p>
    <w:p>
      <w:pPr>
        <w:spacing w:after="0" w:line="102"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14</w:t>
      </w:r>
    </w:p>
    <w:p>
      <w:pPr>
        <w:spacing w:after="0" w:line="26" w:lineRule="exact"/>
        <w:rPr>
          <w:sz w:val="20"/>
          <w:szCs w:val="20"/>
          <w:color w:val="auto"/>
        </w:rPr>
      </w:pPr>
    </w:p>
    <w:p>
      <w:pPr>
        <w:ind w:left="1469" w:right="1000" w:hanging="481"/>
        <w:spacing w:after="0" w:line="343" w:lineRule="auto"/>
        <w:tabs>
          <w:tab w:leader="none" w:pos="1241" w:val="left"/>
        </w:tabs>
        <w:numPr>
          <w:ilvl w:val="0"/>
          <w:numId w:val="338"/>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89"/>
          </w:cols>
          <w:pgMar w:left="611" w:top="455" w:right="599" w:bottom="1440" w:gutter="0" w:footer="0" w:header="0"/>
        </w:sectPr>
      </w:pPr>
    </w:p>
    <w:bookmarkStart w:id="404" w:name="page405"/>
    <w:bookmarkEnd w:id="404"/>
    <w:p>
      <w:pPr>
        <w:ind w:left="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8">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85" w:lineRule="exact"/>
        <w:rPr>
          <w:sz w:val="20"/>
          <w:szCs w:val="20"/>
          <w:color w:val="auto"/>
        </w:rPr>
      </w:pPr>
    </w:p>
    <w:p>
      <w:pPr>
        <w:ind w:left="529" w:right="260" w:hanging="523"/>
        <w:spacing w:after="0" w:line="273" w:lineRule="auto"/>
        <w:tabs>
          <w:tab w:leader="none" w:pos="508"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7"/>
          <w:szCs w:val="17"/>
          <w:color w:val="auto"/>
        </w:rPr>
        <w:t>Commencing on the First Commercial Sale of any Product, Licensee shall prepare a statement in respect of each calendar quarter which shall show for the immediately preceding quarter details of the sales of Product on a country by country basis and the royalty due and payable to Lonza thereon.</w:t>
      </w:r>
    </w:p>
    <w:p>
      <w:pPr>
        <w:spacing w:after="0" w:line="171" w:lineRule="exact"/>
        <w:rPr>
          <w:sz w:val="20"/>
          <w:szCs w:val="20"/>
          <w:color w:val="auto"/>
        </w:rPr>
      </w:pPr>
    </w:p>
    <w:p>
      <w:pPr>
        <w:ind w:left="529"/>
        <w:spacing w:after="0" w:line="289" w:lineRule="auto"/>
        <w:rPr>
          <w:sz w:val="20"/>
          <w:szCs w:val="20"/>
          <w:color w:val="auto"/>
        </w:rPr>
      </w:pPr>
      <w:r>
        <w:rPr>
          <w:rFonts w:ascii="Arial" w:cs="Arial" w:eastAsia="Arial" w:hAnsi="Arial"/>
          <w:sz w:val="17"/>
          <w:szCs w:val="17"/>
          <w:color w:val="auto"/>
        </w:rPr>
        <w:t>Such statement shall be submitted to Lonza within [*] days after the end of the calendar quarter to which it relates, together with a remittance for the royalties due to Lonza to which Lonza shall issue a receipted invoice in return.</w:t>
      </w:r>
    </w:p>
    <w:p>
      <w:pPr>
        <w:spacing w:after="0" w:line="184" w:lineRule="exact"/>
        <w:rPr>
          <w:sz w:val="20"/>
          <w:szCs w:val="20"/>
          <w:color w:val="auto"/>
        </w:rPr>
      </w:pPr>
    </w:p>
    <w:p>
      <w:pPr>
        <w:ind w:left="9"/>
        <w:spacing w:after="0"/>
        <w:tabs>
          <w:tab w:leader="none" w:pos="508"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5"/>
          <w:szCs w:val="15"/>
          <w:color w:val="auto"/>
        </w:rPr>
        <w:t>All sums due under this Agreement to Lonza:</w:t>
      </w:r>
    </w:p>
    <w:p>
      <w:pPr>
        <w:spacing w:after="0" w:line="250" w:lineRule="exact"/>
        <w:rPr>
          <w:sz w:val="20"/>
          <w:szCs w:val="20"/>
          <w:color w:val="auto"/>
        </w:rPr>
      </w:pPr>
    </w:p>
    <w:p>
      <w:pPr>
        <w:ind w:left="529"/>
        <w:spacing w:after="0"/>
        <w:tabs>
          <w:tab w:leader="none" w:pos="1248" w:val="left"/>
        </w:tabs>
        <w:rPr>
          <w:sz w:val="20"/>
          <w:szCs w:val="20"/>
          <w:color w:val="auto"/>
        </w:rPr>
      </w:pPr>
      <w:r>
        <w:rPr>
          <w:rFonts w:ascii="Arial" w:cs="Arial" w:eastAsia="Arial" w:hAnsi="Arial"/>
          <w:sz w:val="17"/>
          <w:szCs w:val="17"/>
          <w:color w:val="auto"/>
        </w:rPr>
        <w:t>6.3.1</w:t>
      </w:r>
      <w:r>
        <w:rPr>
          <w:sz w:val="20"/>
          <w:szCs w:val="20"/>
          <w:color w:val="auto"/>
        </w:rPr>
        <w:tab/>
      </w:r>
      <w:r>
        <w:rPr>
          <w:rFonts w:ascii="Arial" w:cs="Arial" w:eastAsia="Arial" w:hAnsi="Arial"/>
          <w:sz w:val="15"/>
          <w:szCs w:val="15"/>
          <w:color w:val="auto"/>
        </w:rPr>
        <w:t>shall be paid in pounds sterling to Lonza.</w:t>
      </w:r>
    </w:p>
    <w:p>
      <w:pPr>
        <w:spacing w:after="0" w:line="250" w:lineRule="exact"/>
        <w:rPr>
          <w:sz w:val="20"/>
          <w:szCs w:val="20"/>
          <w:color w:val="auto"/>
        </w:rPr>
      </w:pPr>
    </w:p>
    <w:p>
      <w:pPr>
        <w:ind w:left="1269" w:right="40" w:hanging="745"/>
        <w:spacing w:after="0" w:line="267" w:lineRule="auto"/>
        <w:tabs>
          <w:tab w:leader="none" w:pos="1248" w:val="left"/>
        </w:tabs>
        <w:rPr>
          <w:sz w:val="20"/>
          <w:szCs w:val="20"/>
          <w:color w:val="auto"/>
        </w:rPr>
      </w:pPr>
      <w:r>
        <w:rPr>
          <w:rFonts w:ascii="Arial" w:cs="Arial" w:eastAsia="Arial" w:hAnsi="Arial"/>
          <w:sz w:val="17"/>
          <w:szCs w:val="17"/>
          <w:color w:val="auto"/>
        </w:rPr>
        <w:t>6.3.2</w:t>
      </w:r>
      <w:r>
        <w:rPr>
          <w:sz w:val="20"/>
          <w:szCs w:val="20"/>
          <w:color w:val="auto"/>
        </w:rPr>
        <w:tab/>
      </w:r>
      <w:r>
        <w:rPr>
          <w:rFonts w:ascii="Arial" w:cs="Arial" w:eastAsia="Arial" w:hAnsi="Arial"/>
          <w:sz w:val="17"/>
          <w:szCs w:val="17"/>
          <w:color w:val="auto"/>
        </w:rPr>
        <w:t>are exclusive of any Value Added Tax or of any other applicable taxes, levies, imposts, duties and fees of whatever nature imposed by or under the authority of any government or public authority, and shall be paid by Licensee (other than taxes on Lonza’s income, which shall be Lonza’s responsibility). The parties agree to co-operate in all respects reasonably necessary to take advantage of such double taxation treaties as may be available.</w:t>
      </w:r>
    </w:p>
    <w:p>
      <w:pPr>
        <w:spacing w:after="0" w:line="204" w:lineRule="exact"/>
        <w:rPr>
          <w:sz w:val="20"/>
          <w:szCs w:val="20"/>
          <w:color w:val="auto"/>
        </w:rPr>
      </w:pPr>
    </w:p>
    <w:p>
      <w:pPr>
        <w:ind w:left="529" w:hanging="523"/>
        <w:spacing w:after="0" w:line="297" w:lineRule="auto"/>
        <w:tabs>
          <w:tab w:leader="none" w:pos="508"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6"/>
          <w:szCs w:val="16"/>
          <w:color w:val="auto"/>
        </w:rPr>
        <w:t>To the extent that Licensee reports Net Sales otherwise than in pounds sterling then royalty payments due to Lonza shall be first calculated in the local currency in which Net Sales are reported and then shall be converted to a pounds sterling value at the rate of exchange equivalent to the pound spot rate in London first published in the Financial Times on the first business day after the relevant quarterly reporting period.</w:t>
      </w:r>
    </w:p>
    <w:p>
      <w:pPr>
        <w:spacing w:after="0" w:line="181" w:lineRule="exact"/>
        <w:rPr>
          <w:sz w:val="20"/>
          <w:szCs w:val="20"/>
          <w:color w:val="auto"/>
        </w:rPr>
      </w:pPr>
    </w:p>
    <w:p>
      <w:pPr>
        <w:jc w:val="both"/>
        <w:ind w:left="529" w:right="120" w:hanging="523"/>
        <w:spacing w:after="0" w:line="273" w:lineRule="auto"/>
        <w:tabs>
          <w:tab w:leader="none" w:pos="508" w:val="left"/>
        </w:tabs>
        <w:rPr>
          <w:sz w:val="20"/>
          <w:szCs w:val="20"/>
          <w:color w:val="auto"/>
        </w:rPr>
      </w:pPr>
      <w:r>
        <w:rPr>
          <w:rFonts w:ascii="Arial" w:cs="Arial" w:eastAsia="Arial" w:hAnsi="Arial"/>
          <w:sz w:val="17"/>
          <w:szCs w:val="17"/>
          <w:color w:val="auto"/>
        </w:rPr>
        <w:t>6.5</w:t>
      </w:r>
      <w:r>
        <w:rPr>
          <w:sz w:val="20"/>
          <w:szCs w:val="20"/>
          <w:color w:val="auto"/>
        </w:rPr>
        <w:tab/>
      </w:r>
      <w:r>
        <w:rPr>
          <w:rFonts w:ascii="Arial" w:cs="Arial" w:eastAsia="Arial" w:hAnsi="Arial"/>
          <w:sz w:val="17"/>
          <w:szCs w:val="17"/>
          <w:color w:val="auto"/>
        </w:rPr>
        <w:t>Where Lonza does not receive payment of any sum within [*] days after the due date, interest shall accrue thereafter on the sum due and owing to Lonza at the rate of [*] per annum over the base rate from time to time of National Westminster Bank plc, interest to accrue on a day-to-day basis without prejudice to Lonza’s right to receive payment on the due date.</w:t>
      </w:r>
    </w:p>
    <w:p>
      <w:pPr>
        <w:spacing w:after="0" w:line="191" w:lineRule="exact"/>
        <w:rPr>
          <w:sz w:val="20"/>
          <w:szCs w:val="20"/>
          <w:color w:val="auto"/>
        </w:rPr>
      </w:pPr>
    </w:p>
    <w:p>
      <w:pPr>
        <w:ind w:left="529" w:hanging="529"/>
        <w:spacing w:after="0"/>
        <w:tabs>
          <w:tab w:leader="none" w:pos="529" w:val="left"/>
        </w:tabs>
        <w:numPr>
          <w:ilvl w:val="0"/>
          <w:numId w:val="339"/>
        </w:numPr>
        <w:rPr>
          <w:rFonts w:ascii="Arial" w:cs="Arial" w:eastAsia="Arial" w:hAnsi="Arial"/>
          <w:sz w:val="17"/>
          <w:szCs w:val="17"/>
          <w:b w:val="1"/>
          <w:bCs w:val="1"/>
          <w:color w:val="auto"/>
        </w:rPr>
      </w:pPr>
      <w:r>
        <w:rPr>
          <w:rFonts w:ascii="Arial" w:cs="Arial" w:eastAsia="Arial" w:hAnsi="Arial"/>
          <w:sz w:val="17"/>
          <w:szCs w:val="17"/>
          <w:b w:val="1"/>
          <w:bCs w:val="1"/>
          <w:color w:val="auto"/>
        </w:rPr>
        <w:t>Liability and Warranties</w:t>
      </w:r>
    </w:p>
    <w:p>
      <w:pPr>
        <w:spacing w:after="0" w:line="256" w:lineRule="exact"/>
        <w:rPr>
          <w:sz w:val="20"/>
          <w:szCs w:val="20"/>
          <w:color w:val="auto"/>
        </w:rPr>
      </w:pPr>
    </w:p>
    <w:p>
      <w:pPr>
        <w:ind w:left="529" w:right="300" w:hanging="523"/>
        <w:spacing w:after="0" w:line="267" w:lineRule="auto"/>
        <w:tabs>
          <w:tab w:leader="none" w:pos="508"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7"/>
          <w:szCs w:val="17"/>
          <w:color w:val="auto"/>
        </w:rPr>
        <w:t>Subject to and except for the limited warranty set forth in Clause 7.2 and Clause 7.3, Lonza gives no representation or warranty that (a) the Patent Rights (Lonza) or Patent Rights (Third Party) that are patent applications will be granted, or, if granted, will be valid, or (b) that the exercise of the rights granted to Licensee hereunder will not infringe other patent rights or intellectual property rights vested in Lonza or any Third Party.</w:t>
      </w:r>
    </w:p>
    <w:p>
      <w:pPr>
        <w:spacing w:after="0" w:line="204" w:lineRule="exact"/>
        <w:rPr>
          <w:sz w:val="20"/>
          <w:szCs w:val="20"/>
          <w:color w:val="auto"/>
        </w:rPr>
      </w:pPr>
    </w:p>
    <w:p>
      <w:pPr>
        <w:ind w:left="529" w:right="40" w:hanging="523"/>
        <w:spacing w:after="0" w:line="267" w:lineRule="auto"/>
        <w:tabs>
          <w:tab w:leader="none" w:pos="508"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7"/>
          <w:szCs w:val="17"/>
          <w:color w:val="auto"/>
        </w:rPr>
        <w:t>Lonza warrants that it has the right to grant the rights and licenses granted under this Agreement. Lonza warrants that the patents included in the Patent Rights (Lonza), and the GS System Know-How, and the CDACF Version 8 Know-How, are the only patents rights and Know-How that must be licensed from Lonza and/or its Affiliates in order to operate the System including the CDACF Version 8 System as permitted by the terms of this Agreement.</w:t>
      </w:r>
    </w:p>
    <w:p>
      <w:pPr>
        <w:spacing w:after="0" w:line="112" w:lineRule="exact"/>
        <w:rPr>
          <w:sz w:val="20"/>
          <w:szCs w:val="20"/>
          <w:color w:val="auto"/>
        </w:rPr>
      </w:pPr>
    </w:p>
    <w:p>
      <w:pPr>
        <w:jc w:val="center"/>
        <w:ind w:right="-28"/>
        <w:spacing w:after="0"/>
        <w:rPr>
          <w:sz w:val="20"/>
          <w:szCs w:val="20"/>
          <w:color w:val="auto"/>
        </w:rPr>
      </w:pPr>
      <w:r>
        <w:rPr>
          <w:rFonts w:ascii="Arial" w:cs="Arial" w:eastAsia="Arial" w:hAnsi="Arial"/>
          <w:sz w:val="17"/>
          <w:szCs w:val="17"/>
          <w:color w:val="auto"/>
        </w:rPr>
        <w:t>15</w:t>
      </w:r>
    </w:p>
    <w:p>
      <w:pPr>
        <w:spacing w:after="0" w:line="26" w:lineRule="exact"/>
        <w:rPr>
          <w:sz w:val="20"/>
          <w:szCs w:val="20"/>
          <w:color w:val="auto"/>
        </w:rPr>
      </w:pPr>
    </w:p>
    <w:p>
      <w:pPr>
        <w:ind w:left="1469" w:right="960" w:hanging="481"/>
        <w:spacing w:after="0" w:line="343" w:lineRule="auto"/>
        <w:tabs>
          <w:tab w:leader="none" w:pos="1241" w:val="left"/>
        </w:tabs>
        <w:numPr>
          <w:ilvl w:val="0"/>
          <w:numId w:val="340"/>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49"/>
          </w:cols>
          <w:pgMar w:left="611" w:top="454" w:right="639" w:bottom="1440" w:gutter="0" w:footer="0" w:header="0"/>
        </w:sectPr>
      </w:pPr>
    </w:p>
    <w:bookmarkStart w:id="405" w:name="page406"/>
    <w:bookmarkEnd w:id="40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0">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85" w:lineRule="exact"/>
        <w:rPr>
          <w:sz w:val="20"/>
          <w:szCs w:val="20"/>
          <w:color w:val="auto"/>
        </w:rPr>
      </w:pPr>
    </w:p>
    <w:p>
      <w:pPr>
        <w:ind w:left="520" w:hanging="523"/>
        <w:spacing w:after="0" w:line="261" w:lineRule="auto"/>
        <w:tabs>
          <w:tab w:leader="none" w:pos="500"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7"/>
          <w:szCs w:val="17"/>
          <w:color w:val="auto"/>
        </w:rPr>
        <w:t>To Lonza’s knowledge, the grant by Lonza of and the proper exercise of the licenses and sublicenses granted by Lonza pursuant to this Agreement do not infringe or involve the misuse or misappropriation of any Intellectual Property Rights of any Third Party or any other Intellectual Property Rights of Lonza or its Affiliates. The Licensee hereby acknowledges that in order to fully exploit the rights granted under this Agreement the Licensee may require licences under patent rights of Lonza or its Affiliates (other than those herein licensed) or under patent rights of Third Parties that may be infringed by the use by the Licensee of the rights licensed under this Agreement, and it is hereby agreed that it shall be the Licensee’s responsibility to satisfy itself as to the need for such licences and if necessary to obtain such licences; provided that any such patent rights vested in Lonza or its Affiliates which are necessary for Licensee and its Affiliates and their Sublicensees to operate the System as permitted by the terms of this Agreement shall be automatically included within the Intellectual Property Rights licensed to Licensee hereunder.</w:t>
      </w:r>
    </w:p>
    <w:p>
      <w:pPr>
        <w:spacing w:after="0" w:line="202" w:lineRule="exact"/>
        <w:rPr>
          <w:sz w:val="20"/>
          <w:szCs w:val="20"/>
          <w:color w:val="auto"/>
        </w:rPr>
      </w:pPr>
    </w:p>
    <w:p>
      <w:pPr>
        <w:ind w:left="520" w:right="100" w:hanging="523"/>
        <w:spacing w:after="0" w:line="262" w:lineRule="auto"/>
        <w:tabs>
          <w:tab w:leader="none" w:pos="500" w:val="left"/>
        </w:tabs>
        <w:rPr>
          <w:sz w:val="20"/>
          <w:szCs w:val="20"/>
          <w:color w:val="auto"/>
        </w:rPr>
      </w:pPr>
      <w:r>
        <w:rPr>
          <w:rFonts w:ascii="Arial" w:cs="Arial" w:eastAsia="Arial" w:hAnsi="Arial"/>
          <w:sz w:val="17"/>
          <w:szCs w:val="17"/>
          <w:color w:val="auto"/>
        </w:rPr>
        <w:t>7.4</w:t>
      </w:r>
      <w:r>
        <w:rPr>
          <w:sz w:val="20"/>
          <w:szCs w:val="20"/>
          <w:color w:val="auto"/>
        </w:rPr>
        <w:tab/>
      </w:r>
      <w:r>
        <w:rPr>
          <w:rFonts w:ascii="Arial" w:cs="Arial" w:eastAsia="Arial" w:hAnsi="Arial"/>
          <w:sz w:val="17"/>
          <w:szCs w:val="17"/>
          <w:color w:val="auto"/>
        </w:rPr>
        <w:t>Each Party (“</w:t>
      </w:r>
      <w:r>
        <w:rPr>
          <w:rFonts w:ascii="Arial" w:cs="Arial" w:eastAsia="Arial" w:hAnsi="Arial"/>
          <w:sz w:val="17"/>
          <w:szCs w:val="17"/>
          <w:b w:val="1"/>
          <w:bCs w:val="1"/>
          <w:color w:val="auto"/>
        </w:rPr>
        <w:t>Indemnifying Party</w:t>
      </w:r>
      <w:r>
        <w:rPr>
          <w:rFonts w:ascii="Arial" w:cs="Arial" w:eastAsia="Arial" w:hAnsi="Arial"/>
          <w:sz w:val="17"/>
          <w:szCs w:val="17"/>
          <w:color w:val="auto"/>
        </w:rPr>
        <w:t>”) shall defend, indemnify and hold harmless the other Party and its Affiliates, and its and their respective officers, employees and agents (each an “</w:t>
      </w:r>
      <w:r>
        <w:rPr>
          <w:rFonts w:ascii="Arial" w:cs="Arial" w:eastAsia="Arial" w:hAnsi="Arial"/>
          <w:sz w:val="17"/>
          <w:szCs w:val="17"/>
          <w:b w:val="1"/>
          <w:bCs w:val="1"/>
          <w:color w:val="auto"/>
        </w:rPr>
        <w:t>Indemnified Party</w:t>
      </w:r>
      <w:r>
        <w:rPr>
          <w:rFonts w:ascii="Arial" w:cs="Arial" w:eastAsia="Arial" w:hAnsi="Arial"/>
          <w:sz w:val="17"/>
          <w:szCs w:val="17"/>
          <w:color w:val="auto"/>
        </w:rPr>
        <w:t>”) at all times in respect of any contractual, tortious or other claims or proceedings by Third Parties (collectively “</w:t>
      </w:r>
      <w:r>
        <w:rPr>
          <w:rFonts w:ascii="Arial" w:cs="Arial" w:eastAsia="Arial" w:hAnsi="Arial"/>
          <w:sz w:val="17"/>
          <w:szCs w:val="17"/>
          <w:b w:val="1"/>
          <w:bCs w:val="1"/>
          <w:color w:val="auto"/>
        </w:rPr>
        <w:t>Third Party Claims</w:t>
      </w:r>
      <w:r>
        <w:rPr>
          <w:rFonts w:ascii="Arial" w:cs="Arial" w:eastAsia="Arial" w:hAnsi="Arial"/>
          <w:sz w:val="17"/>
          <w:szCs w:val="17"/>
          <w:color w:val="auto"/>
        </w:rPr>
        <w:t>”) against Indemnified Party and any and all losses, damages, costs and expenses payable to such Third Party in relation to such Third Party Claims (collectively “</w:t>
      </w:r>
      <w:r>
        <w:rPr>
          <w:rFonts w:ascii="Arial" w:cs="Arial" w:eastAsia="Arial" w:hAnsi="Arial"/>
          <w:sz w:val="17"/>
          <w:szCs w:val="17"/>
          <w:b w:val="1"/>
          <w:bCs w:val="1"/>
          <w:color w:val="auto"/>
        </w:rPr>
        <w:t>Losses</w:t>
      </w:r>
      <w:r>
        <w:rPr>
          <w:rFonts w:ascii="Arial" w:cs="Arial" w:eastAsia="Arial" w:hAnsi="Arial"/>
          <w:sz w:val="17"/>
          <w:szCs w:val="17"/>
          <w:color w:val="auto"/>
        </w:rPr>
        <w:t>”) that arise out of the Indemnifying Party’s breach of this Agreement, including breach of representations and warranties, violation of applicable law, or negligence or wilful misconduct; provided that with respect to any Third Party Claim for which each Party is entitled hereunder to seek indemnification from the other Party, each Party as the Indemnifying Party shall indemnify the other Party for its Losses only to the extent of the Indemnifying Party’s relative responsibility for the facts underlying the Third Party Claim.</w:t>
      </w:r>
    </w:p>
    <w:p>
      <w:pPr>
        <w:spacing w:after="0" w:line="211" w:lineRule="exact"/>
        <w:rPr>
          <w:sz w:val="20"/>
          <w:szCs w:val="20"/>
          <w:color w:val="auto"/>
        </w:rPr>
      </w:pPr>
    </w:p>
    <w:p>
      <w:pPr>
        <w:ind w:left="520" w:right="40" w:hanging="523"/>
        <w:spacing w:after="0" w:line="261" w:lineRule="auto"/>
        <w:tabs>
          <w:tab w:leader="none" w:pos="500" w:val="left"/>
        </w:tabs>
        <w:rPr>
          <w:sz w:val="20"/>
          <w:szCs w:val="20"/>
          <w:color w:val="auto"/>
        </w:rPr>
      </w:pPr>
      <w:r>
        <w:rPr>
          <w:rFonts w:ascii="Arial" w:cs="Arial" w:eastAsia="Arial" w:hAnsi="Arial"/>
          <w:sz w:val="17"/>
          <w:szCs w:val="17"/>
          <w:color w:val="auto"/>
        </w:rPr>
        <w:t>7.5</w:t>
      </w:r>
      <w:r>
        <w:rPr>
          <w:sz w:val="20"/>
          <w:szCs w:val="20"/>
          <w:color w:val="auto"/>
        </w:rPr>
        <w:tab/>
      </w:r>
      <w:r>
        <w:rPr>
          <w:rFonts w:ascii="Arial" w:cs="Arial" w:eastAsia="Arial" w:hAnsi="Arial"/>
          <w:sz w:val="17"/>
          <w:szCs w:val="17"/>
          <w:color w:val="auto"/>
        </w:rPr>
        <w:t>With respect to product liability claims or proceedings, the following shall apply: (a) except to the extent provided in (b) below, Licensee shall defend, indemnify and hold harmless Lonza and its Affiliates and its and their respective officers, employees and agents at all times in respect of any tortious claims or proceedings by Third Parties for death or bodily injury caused by use of a Product (“</w:t>
      </w:r>
      <w:r>
        <w:rPr>
          <w:rFonts w:ascii="Arial" w:cs="Arial" w:eastAsia="Arial" w:hAnsi="Arial"/>
          <w:sz w:val="17"/>
          <w:szCs w:val="17"/>
          <w:b w:val="1"/>
          <w:bCs w:val="1"/>
          <w:color w:val="auto"/>
        </w:rPr>
        <w:t>Product Liability Claims</w:t>
      </w:r>
      <w:r>
        <w:rPr>
          <w:rFonts w:ascii="Arial" w:cs="Arial" w:eastAsia="Arial" w:hAnsi="Arial"/>
          <w:sz w:val="17"/>
          <w:szCs w:val="17"/>
          <w:color w:val="auto"/>
        </w:rPr>
        <w:t>”) and any and all losses, damages, costs and expenses payable to such Third Party in relation to such Product Liability Claims (collectively, “</w:t>
      </w:r>
      <w:r>
        <w:rPr>
          <w:rFonts w:ascii="Arial" w:cs="Arial" w:eastAsia="Arial" w:hAnsi="Arial"/>
          <w:sz w:val="17"/>
          <w:szCs w:val="17"/>
          <w:b w:val="1"/>
          <w:bCs w:val="1"/>
          <w:color w:val="auto"/>
        </w:rPr>
        <w:t>Product</w:t>
      </w:r>
      <w:r>
        <w:rPr>
          <w:rFonts w:ascii="Arial" w:cs="Arial" w:eastAsia="Arial" w:hAnsi="Arial"/>
          <w:sz w:val="17"/>
          <w:szCs w:val="17"/>
          <w:color w:val="auto"/>
        </w:rPr>
        <w:t xml:space="preserve"> </w:t>
      </w:r>
      <w:r>
        <w:rPr>
          <w:rFonts w:ascii="Arial" w:cs="Arial" w:eastAsia="Arial" w:hAnsi="Arial"/>
          <w:sz w:val="17"/>
          <w:szCs w:val="17"/>
          <w:b w:val="1"/>
          <w:bCs w:val="1"/>
          <w:color w:val="auto"/>
        </w:rPr>
        <w:t>Liability Losses</w:t>
      </w:r>
      <w:r>
        <w:rPr>
          <w:rFonts w:ascii="Arial" w:cs="Arial" w:eastAsia="Arial" w:hAnsi="Arial"/>
          <w:sz w:val="17"/>
          <w:szCs w:val="17"/>
          <w:color w:val="auto"/>
        </w:rPr>
        <w:t>”), and (b) Lonza shall defend, indemnify and hold harmless Licensee and its Affiliates and its and their respective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and agents, at all times in respect of any Product Liability Claims and Product Liability Losses to the extent such Product Liability Claims result from defects or nonconformities in the Cell Lines, Vectors or other tangible materials, if any, provided under the REA or this Agreement, or from Lonza’s breach of this Agreement.</w:t>
      </w:r>
    </w:p>
    <w:p>
      <w:pPr>
        <w:spacing w:after="0" w:line="211" w:lineRule="exact"/>
        <w:rPr>
          <w:sz w:val="20"/>
          <w:szCs w:val="20"/>
          <w:color w:val="auto"/>
        </w:rPr>
      </w:pPr>
    </w:p>
    <w:p>
      <w:pPr>
        <w:jc w:val="both"/>
        <w:ind w:left="520" w:hanging="523"/>
        <w:spacing w:after="0" w:line="297" w:lineRule="auto"/>
        <w:tabs>
          <w:tab w:leader="none" w:pos="500" w:val="left"/>
        </w:tabs>
        <w:rPr>
          <w:sz w:val="20"/>
          <w:szCs w:val="20"/>
          <w:color w:val="auto"/>
        </w:rPr>
      </w:pPr>
      <w:r>
        <w:rPr>
          <w:rFonts w:ascii="Arial" w:cs="Arial" w:eastAsia="Arial" w:hAnsi="Arial"/>
          <w:sz w:val="17"/>
          <w:szCs w:val="17"/>
          <w:color w:val="auto"/>
        </w:rPr>
        <w:t>7.6</w:t>
      </w:r>
      <w:r>
        <w:rPr>
          <w:sz w:val="20"/>
          <w:szCs w:val="20"/>
          <w:color w:val="auto"/>
        </w:rPr>
        <w:tab/>
      </w:r>
      <w:r>
        <w:rPr>
          <w:rFonts w:ascii="Arial" w:cs="Arial" w:eastAsia="Arial" w:hAnsi="Arial"/>
          <w:sz w:val="16"/>
          <w:szCs w:val="16"/>
          <w:color w:val="auto"/>
        </w:rPr>
        <w:t>Except for the conditions and warranties expressly set forth in this Agreement, neither Party makes any representations or extends any warranties of any kind, either express or implied; in particular, any condition or warranty other than those relating to title which might otherwise be implied or incorporated within this Agreement by reason of statute or common law or otherwise is hereby expressly excluded.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6" w:lineRule="exact"/>
        <w:rPr>
          <w:sz w:val="20"/>
          <w:szCs w:val="20"/>
          <w:color w:val="auto"/>
        </w:rPr>
      </w:pPr>
    </w:p>
    <w:p>
      <w:pPr>
        <w:ind w:left="1460" w:right="980" w:hanging="481"/>
        <w:spacing w:after="0" w:line="343" w:lineRule="auto"/>
        <w:tabs>
          <w:tab w:leader="none" w:pos="1232" w:val="left"/>
        </w:tabs>
        <w:numPr>
          <w:ilvl w:val="0"/>
          <w:numId w:val="341"/>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60"/>
          </w:cols>
          <w:pgMar w:left="620" w:top="455" w:right="619" w:bottom="1440" w:gutter="0" w:footer="0" w:header="0"/>
        </w:sectPr>
      </w:pPr>
    </w:p>
    <w:bookmarkStart w:id="406" w:name="page407"/>
    <w:bookmarkEnd w:id="406"/>
    <w:p>
      <w:pPr>
        <w:ind w:left="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2">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85" w:lineRule="exact"/>
        <w:rPr>
          <w:sz w:val="20"/>
          <w:szCs w:val="20"/>
          <w:color w:val="auto"/>
        </w:rPr>
      </w:pPr>
    </w:p>
    <w:p>
      <w:pPr>
        <w:ind w:left="529" w:right="140" w:hanging="523"/>
        <w:spacing w:after="0" w:line="278" w:lineRule="auto"/>
        <w:tabs>
          <w:tab w:leader="none" w:pos="508" w:val="left"/>
        </w:tabs>
        <w:rPr>
          <w:sz w:val="20"/>
          <w:szCs w:val="20"/>
          <w:color w:val="auto"/>
        </w:rPr>
      </w:pPr>
      <w:r>
        <w:rPr>
          <w:rFonts w:ascii="Arial" w:cs="Arial" w:eastAsia="Arial" w:hAnsi="Arial"/>
          <w:sz w:val="17"/>
          <w:szCs w:val="17"/>
          <w:color w:val="auto"/>
        </w:rPr>
        <w:t>7.7</w:t>
      </w:r>
      <w:r>
        <w:rPr>
          <w:sz w:val="20"/>
          <w:szCs w:val="20"/>
          <w:color w:val="auto"/>
        </w:rPr>
        <w:tab/>
      </w:r>
      <w:r>
        <w:rPr>
          <w:rFonts w:ascii="Arial" w:cs="Arial" w:eastAsia="Arial" w:hAnsi="Arial"/>
          <w:sz w:val="16"/>
          <w:szCs w:val="16"/>
          <w:color w:val="auto"/>
        </w:rPr>
        <w:t>EXCEPT FOR EITHER PARTY’S BREACH OF CLAUSE 8 HEREOF, AND EXCEPT IN THE EVENT OF GROSS NEGLIGENCE, WILLFUL MISCONDUCT OR ILLEGALITY BY A PARTY OR ITS AFFILIATES OR THEIR RESPECTIVE OFFICERS, EMPLOYEES (WHICH TERM INCLUDES, FOR THE AVOIDANCE OF DOUBT, IN THE CASE OF LICENSEE, SUCH INDEPENDENT CONTRACTORS REFERRED TO IN SECTION 1.7 ABOVE) OR AGENTS, SUBLICENSEES OR STRATEGIC PARTNERS, IN NO EVENT SHALL EITHER PARTY OR ITS AFFILIATES OR THEIR RESPECTIVE OFFICERS, EMPLOYEES OR AGENTS, BE LIABLE TO THE OTHER PARTY OR ITS AFFILIATES OR THEIR RESPECTIVE OFFICERS, EMPLOYEES OR AGENTS, WITH RESPECT TO ANY SUBJECT MATTER OF THIS AGREEMENT WHETHER IN CONTRACT, IN TORT, IN NEGLIGENCE OR FOR BREACH OF STATUTORY DUTY OR OTHERWISE FOR SPECIAL, INDIRECT, INCIDENTAL, PUNITIVE, EXEMPLARY OR CONSEQUENTIAL DAMAGES, INCLUDING LOSS OF PROFITS. Nothing in this Agreement shall exclude or limit the liability of either Party for fraud or for death or personal injury caused by its negligence or for any other liability that may not be limited or excluded as a matter of law.</w:t>
      </w:r>
    </w:p>
    <w:p>
      <w:pPr>
        <w:spacing w:after="0" w:line="200" w:lineRule="exact"/>
        <w:rPr>
          <w:sz w:val="20"/>
          <w:szCs w:val="20"/>
          <w:color w:val="auto"/>
        </w:rPr>
      </w:pPr>
    </w:p>
    <w:p>
      <w:pPr>
        <w:ind w:left="9"/>
        <w:spacing w:after="0"/>
        <w:tabs>
          <w:tab w:leader="none" w:pos="508" w:val="left"/>
        </w:tabs>
        <w:rPr>
          <w:sz w:val="20"/>
          <w:szCs w:val="20"/>
          <w:color w:val="auto"/>
        </w:rPr>
      </w:pPr>
      <w:r>
        <w:rPr>
          <w:rFonts w:ascii="Arial" w:cs="Arial" w:eastAsia="Arial" w:hAnsi="Arial"/>
          <w:sz w:val="17"/>
          <w:szCs w:val="17"/>
          <w:color w:val="auto"/>
        </w:rPr>
        <w:t>7.8</w:t>
      </w:r>
      <w:r>
        <w:rPr>
          <w:sz w:val="20"/>
          <w:szCs w:val="20"/>
          <w:color w:val="auto"/>
        </w:rPr>
        <w:tab/>
      </w:r>
      <w:r>
        <w:rPr>
          <w:rFonts w:ascii="Arial" w:cs="Arial" w:eastAsia="Arial" w:hAnsi="Arial"/>
          <w:sz w:val="15"/>
          <w:szCs w:val="15"/>
          <w:color w:val="auto"/>
        </w:rPr>
        <w:t>The terms of this Clause 7 shall survive expiration or termination of this Agreement for whatever reason.</w:t>
      </w:r>
    </w:p>
    <w:p>
      <w:pPr>
        <w:spacing w:after="0" w:line="250" w:lineRule="exact"/>
        <w:rPr>
          <w:sz w:val="20"/>
          <w:szCs w:val="20"/>
          <w:color w:val="auto"/>
        </w:rPr>
      </w:pPr>
    </w:p>
    <w:p>
      <w:pPr>
        <w:ind w:left="9"/>
        <w:spacing w:after="0"/>
        <w:tabs>
          <w:tab w:leader="none" w:pos="508" w:val="left"/>
        </w:tabs>
        <w:rPr>
          <w:sz w:val="20"/>
          <w:szCs w:val="20"/>
          <w:color w:val="auto"/>
        </w:rPr>
      </w:pPr>
      <w:r>
        <w:rPr>
          <w:rFonts w:ascii="Arial" w:cs="Arial" w:eastAsia="Arial" w:hAnsi="Arial"/>
          <w:sz w:val="17"/>
          <w:szCs w:val="17"/>
          <w:color w:val="auto"/>
        </w:rPr>
        <w:t>7.9</w:t>
      </w:r>
      <w:r>
        <w:rPr>
          <w:sz w:val="20"/>
          <w:szCs w:val="20"/>
          <w:color w:val="auto"/>
        </w:rPr>
        <w:tab/>
      </w:r>
      <w:r>
        <w:rPr>
          <w:rFonts w:ascii="Arial" w:cs="Arial" w:eastAsia="Arial" w:hAnsi="Arial"/>
          <w:sz w:val="15"/>
          <w:szCs w:val="15"/>
          <w:color w:val="auto"/>
        </w:rPr>
        <w:t>Each Party warrants, represents and covenants to the other that:</w:t>
      </w:r>
    </w:p>
    <w:p>
      <w:pPr>
        <w:spacing w:after="0" w:line="250" w:lineRule="exact"/>
        <w:rPr>
          <w:sz w:val="20"/>
          <w:szCs w:val="20"/>
          <w:color w:val="auto"/>
        </w:rPr>
      </w:pPr>
    </w:p>
    <w:p>
      <w:pPr>
        <w:ind w:left="1269" w:right="40" w:hanging="745"/>
        <w:spacing w:after="0" w:line="289" w:lineRule="auto"/>
        <w:tabs>
          <w:tab w:leader="none" w:pos="1248" w:val="left"/>
        </w:tabs>
        <w:rPr>
          <w:sz w:val="20"/>
          <w:szCs w:val="20"/>
          <w:color w:val="auto"/>
        </w:rPr>
      </w:pPr>
      <w:r>
        <w:rPr>
          <w:rFonts w:ascii="Arial" w:cs="Arial" w:eastAsia="Arial" w:hAnsi="Arial"/>
          <w:sz w:val="17"/>
          <w:szCs w:val="17"/>
          <w:color w:val="auto"/>
        </w:rPr>
        <w:t>7.9.1</w:t>
      </w:r>
      <w:r>
        <w:rPr>
          <w:sz w:val="20"/>
          <w:szCs w:val="20"/>
          <w:color w:val="auto"/>
        </w:rPr>
        <w:tab/>
      </w:r>
      <w:r>
        <w:rPr>
          <w:rFonts w:ascii="Arial" w:cs="Arial" w:eastAsia="Arial" w:hAnsi="Arial"/>
          <w:sz w:val="17"/>
          <w:szCs w:val="17"/>
          <w:color w:val="auto"/>
        </w:rPr>
        <w:t>It is duly organized and validly existing under the laws of its jurisdiction of incorporation, and has full corporate power and authority to enter into this Agreement and to perform its obligations hereunder;</w:t>
      </w:r>
    </w:p>
    <w:p>
      <w:pPr>
        <w:spacing w:after="0" w:line="184" w:lineRule="exact"/>
        <w:rPr>
          <w:sz w:val="20"/>
          <w:szCs w:val="20"/>
          <w:color w:val="auto"/>
        </w:rPr>
      </w:pPr>
    </w:p>
    <w:p>
      <w:pPr>
        <w:ind w:left="1269" w:right="20" w:hanging="745"/>
        <w:spacing w:after="0" w:line="273" w:lineRule="auto"/>
        <w:tabs>
          <w:tab w:leader="none" w:pos="1248" w:val="left"/>
        </w:tabs>
        <w:rPr>
          <w:sz w:val="20"/>
          <w:szCs w:val="20"/>
          <w:color w:val="auto"/>
        </w:rPr>
      </w:pPr>
      <w:r>
        <w:rPr>
          <w:rFonts w:ascii="Arial" w:cs="Arial" w:eastAsia="Arial" w:hAnsi="Arial"/>
          <w:sz w:val="17"/>
          <w:szCs w:val="17"/>
          <w:color w:val="auto"/>
        </w:rPr>
        <w:t>7.9.2</w:t>
      </w:r>
      <w:r>
        <w:rPr>
          <w:sz w:val="20"/>
          <w:szCs w:val="20"/>
          <w:color w:val="auto"/>
        </w:rPr>
        <w:tab/>
      </w:r>
      <w:r>
        <w:rPr>
          <w:rFonts w:ascii="Arial" w:cs="Arial" w:eastAsia="Arial" w:hAnsi="Arial"/>
          <w:sz w:val="17"/>
          <w:szCs w:val="17"/>
          <w:color w:val="auto"/>
        </w:rPr>
        <w:t>This Agreement has been duly authorized, executed and delivered by such Party and constitutes valid and binding obligations of such Party, enforceable in accordance with their respective terms, subject to applicable bankruptcy, insolvency, reorganization, and other laws of general application limiting the enforcement of creditors’ rights;</w:t>
      </w:r>
    </w:p>
    <w:p>
      <w:pPr>
        <w:spacing w:after="0" w:line="197" w:lineRule="exact"/>
        <w:rPr>
          <w:sz w:val="20"/>
          <w:szCs w:val="20"/>
          <w:color w:val="auto"/>
        </w:rPr>
      </w:pPr>
    </w:p>
    <w:p>
      <w:pPr>
        <w:ind w:left="1269" w:right="460" w:hanging="745"/>
        <w:spacing w:after="0" w:line="289" w:lineRule="auto"/>
        <w:tabs>
          <w:tab w:leader="none" w:pos="1248" w:val="left"/>
        </w:tabs>
        <w:rPr>
          <w:sz w:val="20"/>
          <w:szCs w:val="20"/>
          <w:color w:val="auto"/>
        </w:rPr>
      </w:pPr>
      <w:r>
        <w:rPr>
          <w:rFonts w:ascii="Arial" w:cs="Arial" w:eastAsia="Arial" w:hAnsi="Arial"/>
          <w:sz w:val="17"/>
          <w:szCs w:val="17"/>
          <w:color w:val="auto"/>
        </w:rPr>
        <w:t>7.9.3</w:t>
      </w:r>
      <w:r>
        <w:rPr>
          <w:sz w:val="20"/>
          <w:szCs w:val="20"/>
          <w:color w:val="auto"/>
        </w:rPr>
        <w:tab/>
      </w:r>
      <w:r>
        <w:rPr>
          <w:rFonts w:ascii="Arial" w:cs="Arial" w:eastAsia="Arial" w:hAnsi="Arial"/>
          <w:sz w:val="17"/>
          <w:szCs w:val="17"/>
          <w:color w:val="auto"/>
        </w:rPr>
        <w:t>It has obtained all necessary consents, approvals and authorizations of all governmental authorities, Affiliates and Third Parties required to be obtained by such Party in connection with the execution of this Agreement;</w:t>
      </w:r>
    </w:p>
    <w:p>
      <w:pPr>
        <w:spacing w:after="0" w:line="184" w:lineRule="exact"/>
        <w:rPr>
          <w:sz w:val="20"/>
          <w:szCs w:val="20"/>
          <w:color w:val="auto"/>
        </w:rPr>
      </w:pPr>
    </w:p>
    <w:p>
      <w:pPr>
        <w:ind w:left="1269" w:right="120" w:hanging="745"/>
        <w:spacing w:after="0" w:line="273" w:lineRule="auto"/>
        <w:tabs>
          <w:tab w:leader="none" w:pos="1248" w:val="left"/>
        </w:tabs>
        <w:rPr>
          <w:sz w:val="20"/>
          <w:szCs w:val="20"/>
          <w:color w:val="auto"/>
        </w:rPr>
      </w:pPr>
      <w:r>
        <w:rPr>
          <w:rFonts w:ascii="Arial" w:cs="Arial" w:eastAsia="Arial" w:hAnsi="Arial"/>
          <w:sz w:val="17"/>
          <w:szCs w:val="17"/>
          <w:color w:val="auto"/>
        </w:rPr>
        <w:t>7.9.4</w:t>
      </w:r>
      <w:r>
        <w:rPr>
          <w:sz w:val="20"/>
          <w:szCs w:val="20"/>
          <w:color w:val="auto"/>
        </w:rPr>
        <w:tab/>
      </w:r>
      <w:r>
        <w:rPr>
          <w:rFonts w:ascii="Arial" w:cs="Arial" w:eastAsia="Arial" w:hAnsi="Arial"/>
          <w:sz w:val="17"/>
          <w:szCs w:val="17"/>
          <w:color w:val="auto"/>
        </w:rPr>
        <w:t>The execution, delivery and performance of this Agreement does not conflict with, or constitute a breach or default under any of the charter or organizational documents of such Party, any law, order, judgment or governmental rule or regulation applicable to such Party, or any material agreement, contract, commitment or instrument to which such Party is a party.</w:t>
      </w:r>
    </w:p>
    <w:p>
      <w:pPr>
        <w:spacing w:after="0" w:line="197" w:lineRule="exact"/>
        <w:rPr>
          <w:sz w:val="20"/>
          <w:szCs w:val="20"/>
          <w:color w:val="auto"/>
        </w:rPr>
      </w:pPr>
    </w:p>
    <w:p>
      <w:pPr>
        <w:ind w:left="1269" w:hanging="745"/>
        <w:spacing w:after="0" w:line="273" w:lineRule="auto"/>
        <w:tabs>
          <w:tab w:leader="none" w:pos="1248" w:val="left"/>
        </w:tabs>
        <w:rPr>
          <w:sz w:val="20"/>
          <w:szCs w:val="20"/>
          <w:color w:val="auto"/>
        </w:rPr>
      </w:pPr>
      <w:r>
        <w:rPr>
          <w:rFonts w:ascii="Arial" w:cs="Arial" w:eastAsia="Arial" w:hAnsi="Arial"/>
          <w:sz w:val="17"/>
          <w:szCs w:val="17"/>
          <w:color w:val="auto"/>
        </w:rPr>
        <w:t>7.9.5</w:t>
      </w:r>
      <w:r>
        <w:rPr>
          <w:sz w:val="20"/>
          <w:szCs w:val="20"/>
          <w:color w:val="auto"/>
        </w:rPr>
        <w:tab/>
      </w:r>
      <w:r>
        <w:rPr>
          <w:rFonts w:ascii="Arial" w:cs="Arial" w:eastAsia="Arial" w:hAnsi="Arial"/>
          <w:sz w:val="17"/>
          <w:szCs w:val="17"/>
          <w:color w:val="auto"/>
        </w:rPr>
        <w:t>In the performance of this Agreement, and the exercise of any rights granted under this Agreement, such Party will comply with and will cause its Affiliates (and as applicable its Sublicensees and Strategic Partners) to comply with, all applicable laws and regulations, now or hereafter in effect.</w:t>
      </w:r>
    </w:p>
    <w:p>
      <w:pPr>
        <w:spacing w:after="0" w:line="191" w:lineRule="exact"/>
        <w:rPr>
          <w:sz w:val="20"/>
          <w:szCs w:val="20"/>
          <w:color w:val="auto"/>
        </w:rPr>
      </w:pPr>
    </w:p>
    <w:p>
      <w:pPr>
        <w:ind w:left="529" w:hanging="529"/>
        <w:spacing w:after="0"/>
        <w:tabs>
          <w:tab w:leader="none" w:pos="529" w:val="left"/>
        </w:tabs>
        <w:numPr>
          <w:ilvl w:val="0"/>
          <w:numId w:val="342"/>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w:t>
      </w:r>
    </w:p>
    <w:p>
      <w:pPr>
        <w:spacing w:after="0" w:line="256" w:lineRule="exact"/>
        <w:rPr>
          <w:sz w:val="20"/>
          <w:szCs w:val="20"/>
          <w:color w:val="auto"/>
        </w:rPr>
      </w:pPr>
    </w:p>
    <w:p>
      <w:pPr>
        <w:ind w:left="529" w:right="20" w:hanging="523"/>
        <w:spacing w:after="0" w:line="267" w:lineRule="auto"/>
        <w:tabs>
          <w:tab w:leader="none" w:pos="508"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7"/>
          <w:szCs w:val="17"/>
          <w:color w:val="auto"/>
        </w:rPr>
        <w:t>Licensee expressly acknowledges that Confidential Information disclosed by Lonza or its Representatives (defined in Clause 8.3) to Licensee or its Representatives pursuant to this Agreement is supplied in circumstances imparting an obligation of confidence. Licensee shall keep such Confidential Information secure, secret and confidential and undertakes to respect Lonza’s proprietary rights therein and shall use the same for the sole purpose of exercising its rights or performing its obligations under this Agreement</w:t>
      </w:r>
    </w:p>
    <w:p>
      <w:pPr>
        <w:spacing w:after="0" w:line="112" w:lineRule="exact"/>
        <w:rPr>
          <w:sz w:val="20"/>
          <w:szCs w:val="20"/>
          <w:color w:val="auto"/>
        </w:rPr>
      </w:pPr>
    </w:p>
    <w:p>
      <w:pPr>
        <w:jc w:val="center"/>
        <w:ind w:right="-68"/>
        <w:spacing w:after="0"/>
        <w:rPr>
          <w:sz w:val="20"/>
          <w:szCs w:val="20"/>
          <w:color w:val="auto"/>
        </w:rPr>
      </w:pPr>
      <w:r>
        <w:rPr>
          <w:rFonts w:ascii="Arial" w:cs="Arial" w:eastAsia="Arial" w:hAnsi="Arial"/>
          <w:sz w:val="17"/>
          <w:szCs w:val="17"/>
          <w:color w:val="auto"/>
        </w:rPr>
        <w:t>17</w:t>
      </w:r>
    </w:p>
    <w:p>
      <w:pPr>
        <w:spacing w:after="0" w:line="26" w:lineRule="exact"/>
        <w:rPr>
          <w:sz w:val="20"/>
          <w:szCs w:val="20"/>
          <w:color w:val="auto"/>
        </w:rPr>
      </w:pPr>
    </w:p>
    <w:p>
      <w:pPr>
        <w:ind w:left="1469" w:right="920" w:hanging="481"/>
        <w:spacing w:after="0" w:line="343" w:lineRule="auto"/>
        <w:tabs>
          <w:tab w:leader="none" w:pos="1241" w:val="left"/>
        </w:tabs>
        <w:numPr>
          <w:ilvl w:val="0"/>
          <w:numId w:val="343"/>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09"/>
          </w:cols>
          <w:pgMar w:left="611" w:top="454" w:right="679" w:bottom="1440" w:gutter="0" w:footer="0" w:header="0"/>
        </w:sectPr>
      </w:pPr>
    </w:p>
    <w:bookmarkStart w:id="407" w:name="page408"/>
    <w:bookmarkEnd w:id="40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4">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85" w:lineRule="exact"/>
        <w:rPr>
          <w:sz w:val="20"/>
          <w:szCs w:val="20"/>
          <w:color w:val="auto"/>
        </w:rPr>
      </w:pPr>
    </w:p>
    <w:p>
      <w:pPr>
        <w:ind w:left="520" w:right="40"/>
        <w:spacing w:after="0" w:line="281" w:lineRule="auto"/>
        <w:rPr>
          <w:sz w:val="20"/>
          <w:szCs w:val="20"/>
          <w:color w:val="auto"/>
        </w:rPr>
      </w:pPr>
      <w:r>
        <w:rPr>
          <w:rFonts w:ascii="Arial" w:cs="Arial" w:eastAsia="Arial" w:hAnsi="Arial"/>
          <w:sz w:val="16"/>
          <w:szCs w:val="16"/>
          <w:color w:val="auto"/>
        </w:rPr>
        <w:t>and shall not during the period of this Agreement or at any time thereafter for any reason whatsoever to disclose, cause or permit to be disclosed such Confidential Information to any Third Party other than its Representatives hereunder for use in accordance with the terms of this Agreement. Licensee shall procure that only its Representatives shall have access to Confidential Information and then only on a need to know basis and that all such Representatives shall be informed of their secret and confidential nature and, in accordance with Clause 8.3, shall be subject to confidentiality and non-use obligations no less stringent than those set forth herein. Without limitation of the other provisions in this Article 8, Licensee expressly acknowledges and undertakes that it shall not transfer or disclose any of the materials listed in Clauses 2.1.1 or 2.1.2 or any System Know-How to any Strategic Partner without the prior written consent of Lonza.</w:t>
      </w:r>
    </w:p>
    <w:p>
      <w:pPr>
        <w:spacing w:after="0" w:line="194" w:lineRule="exact"/>
        <w:rPr>
          <w:sz w:val="20"/>
          <w:szCs w:val="20"/>
          <w:color w:val="auto"/>
        </w:rPr>
      </w:pPr>
    </w:p>
    <w:p>
      <w:pPr>
        <w:ind w:left="520" w:hanging="523"/>
        <w:spacing w:after="0" w:line="295" w:lineRule="auto"/>
        <w:tabs>
          <w:tab w:leader="none" w:pos="50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5"/>
          <w:szCs w:val="15"/>
          <w:color w:val="auto"/>
        </w:rPr>
        <w:t>Lonza expressly acknowledges and undertakes that any Confidential Information disclosed by the Licensee or its Representatives to Lonza or its Representatives pursuant to this Agreement is disclosed in circumstances imparting an obligation of confidence. Lonza shall keep such Licensee’s Confidential Information secure, secret and confidential and undertakes to respect Licensee and Representative’s proprietary rights therein and shall use the same for the sole purpose of exercising its rights or performing its obligations under this Agreement and not during the period of this Agreement or at any time thereafter for any reason whatsoever disclose, cause or permit to be disclosed such Licensee’s Confidential Information to any Third Party. Without limitation of the other provisions in this Article 8, Lonza expressly acknowledges and undertakes that any information disclosed by the Licensee or its Representatives to Lonza or its Representatives related to consents or approvals requested of or granted or rejected by Lonza under this Agreement, including without limitation under Clauses 1.1.21, 4.3.4, 4.8 and 11.1, and including without limitation the names of the possible Strategic Partners, Sublicensees or Products, the fact that any work, discussions or negotiations are taking place or have taken place concerning any such possible transaction or product, or any of the terms, conditions or other facts with respect to any such possible transaction or product (all of the foregoing Confidential Information, the “Licensee Deal Information”) is particularly sensitive and is disclosed in circumstances imparting the following additional obligations of confidence: Lonza shall keep such Licensee Deal Information secure, secret and confidential and undertakes to respect Licensee and Representative’s proprietary rights therein and shall use the same for the sole purpose of determining whether to grant the requested consent or approval and not during the period of this Agreement or at any time thereafter for any reason whatsoever disclose, cause or permit to be disclosed such Licensee Deal Information to anyone other than Lonza’s and its Affiliates’ officers and employees who have a need to know for the purposes of the requested consent or approval, and, prior to disclosure to such persons, Lonza shall advise them of the additional obligations of confidence under this Clause 8.2.</w:t>
      </w:r>
    </w:p>
    <w:p>
      <w:pPr>
        <w:spacing w:after="0" w:line="193" w:lineRule="exact"/>
        <w:rPr>
          <w:sz w:val="20"/>
          <w:szCs w:val="20"/>
          <w:color w:val="auto"/>
        </w:rPr>
      </w:pPr>
    </w:p>
    <w:p>
      <w:pPr>
        <w:ind w:left="520" w:right="60" w:hanging="523"/>
        <w:spacing w:after="0" w:line="262" w:lineRule="auto"/>
        <w:tabs>
          <w:tab w:leader="none" w:pos="50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7"/>
          <w:szCs w:val="17"/>
          <w:color w:val="auto"/>
        </w:rPr>
        <w:t>Each Party will restrict the disclosure of Confidential Information to such Affiliates, Strategic Partners, and Sublicensees, and its and their respective officers, employees, independent contractors, agents, professional advisers, finance-providers, and consultants (all of the foregoing, collectively, “</w:t>
      </w:r>
      <w:r>
        <w:rPr>
          <w:rFonts w:ascii="Arial" w:cs="Arial" w:eastAsia="Arial" w:hAnsi="Arial"/>
          <w:sz w:val="17"/>
          <w:szCs w:val="17"/>
          <w:b w:val="1"/>
          <w:bCs w:val="1"/>
          <w:color w:val="auto"/>
        </w:rPr>
        <w:t>Representatives</w:t>
      </w:r>
      <w:r>
        <w:rPr>
          <w:rFonts w:ascii="Arial" w:cs="Arial" w:eastAsia="Arial" w:hAnsi="Arial"/>
          <w:sz w:val="17"/>
          <w:szCs w:val="17"/>
          <w:color w:val="auto"/>
        </w:rPr>
        <w:t>”), in each case who have been informed of the confidential nature of the Confidential Information and who have a need to know such Confidential Information for the purpose of this Agreement. Prior to disclosure to such persons, the Party in receipt of the Confidential Information shall bind its and its Affiliates’ Representatives to confidentiality and non-use obligations no less stringent than those set forth herein. The receiving Party shall notify the disclosing Party as promptly as practicable of any unauthorized use or disclosure of the Confidential Information.</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pacing w:after="0" w:line="26" w:lineRule="exact"/>
        <w:rPr>
          <w:sz w:val="20"/>
          <w:szCs w:val="20"/>
          <w:color w:val="auto"/>
        </w:rPr>
      </w:pPr>
    </w:p>
    <w:p>
      <w:pPr>
        <w:ind w:left="1460" w:right="940" w:hanging="481"/>
        <w:spacing w:after="0" w:line="343" w:lineRule="auto"/>
        <w:tabs>
          <w:tab w:leader="none" w:pos="1232" w:val="left"/>
        </w:tabs>
        <w:numPr>
          <w:ilvl w:val="0"/>
          <w:numId w:val="344"/>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20"/>
          </w:cols>
          <w:pgMar w:left="620" w:top="455" w:right="659" w:bottom="1440" w:gutter="0" w:footer="0" w:header="0"/>
        </w:sectPr>
      </w:pPr>
    </w:p>
    <w:bookmarkStart w:id="408" w:name="page409"/>
    <w:bookmarkEnd w:id="408"/>
    <w:p>
      <w:pPr>
        <w:ind w:left="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6">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85" w:lineRule="exact"/>
        <w:rPr>
          <w:sz w:val="20"/>
          <w:szCs w:val="20"/>
          <w:color w:val="auto"/>
        </w:rPr>
      </w:pPr>
    </w:p>
    <w:p>
      <w:pPr>
        <w:ind w:left="9"/>
        <w:spacing w:after="0"/>
        <w:tabs>
          <w:tab w:leader="none" w:pos="508"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5"/>
          <w:szCs w:val="15"/>
          <w:color w:val="auto"/>
        </w:rPr>
        <w:t>The obligations of confidence referred to in this Clause 8 shall not extend to any information which the receiving Party demonstrates:</w:t>
      </w:r>
    </w:p>
    <w:p>
      <w:pPr>
        <w:spacing w:after="0" w:line="250" w:lineRule="exact"/>
        <w:rPr>
          <w:sz w:val="20"/>
          <w:szCs w:val="20"/>
          <w:color w:val="auto"/>
        </w:rPr>
      </w:pPr>
    </w:p>
    <w:p>
      <w:pPr>
        <w:ind w:left="1269" w:right="40" w:hanging="745"/>
        <w:spacing w:after="0" w:line="289" w:lineRule="auto"/>
        <w:tabs>
          <w:tab w:leader="none" w:pos="1248" w:val="left"/>
        </w:tabs>
        <w:rPr>
          <w:sz w:val="20"/>
          <w:szCs w:val="20"/>
          <w:color w:val="auto"/>
        </w:rPr>
      </w:pPr>
      <w:r>
        <w:rPr>
          <w:rFonts w:ascii="Arial" w:cs="Arial" w:eastAsia="Arial" w:hAnsi="Arial"/>
          <w:sz w:val="17"/>
          <w:szCs w:val="17"/>
          <w:color w:val="auto"/>
        </w:rPr>
        <w:t>8.4.1</w:t>
      </w:r>
      <w:r>
        <w:rPr>
          <w:sz w:val="20"/>
          <w:szCs w:val="20"/>
          <w:color w:val="auto"/>
        </w:rPr>
        <w:tab/>
      </w:r>
      <w:r>
        <w:rPr>
          <w:rFonts w:ascii="Arial" w:cs="Arial" w:eastAsia="Arial" w:hAnsi="Arial"/>
          <w:sz w:val="17"/>
          <w:szCs w:val="17"/>
          <w:color w:val="auto"/>
        </w:rPr>
        <w:t>is now or hereafter becomes in the public domain or generally available to the public, through no act or failure to act on the part of the recipient Party or any of its Representatives;</w:t>
      </w:r>
    </w:p>
    <w:p>
      <w:pPr>
        <w:spacing w:after="0" w:line="184" w:lineRule="exact"/>
        <w:rPr>
          <w:sz w:val="20"/>
          <w:szCs w:val="20"/>
          <w:color w:val="auto"/>
        </w:rPr>
      </w:pPr>
    </w:p>
    <w:p>
      <w:pPr>
        <w:ind w:left="1269" w:right="120" w:hanging="745"/>
        <w:spacing w:after="0" w:line="289" w:lineRule="auto"/>
        <w:tabs>
          <w:tab w:leader="none" w:pos="1248" w:val="left"/>
        </w:tabs>
        <w:rPr>
          <w:sz w:val="20"/>
          <w:szCs w:val="20"/>
          <w:color w:val="auto"/>
        </w:rPr>
      </w:pPr>
      <w:r>
        <w:rPr>
          <w:rFonts w:ascii="Arial" w:cs="Arial" w:eastAsia="Arial" w:hAnsi="Arial"/>
          <w:sz w:val="17"/>
          <w:szCs w:val="17"/>
          <w:color w:val="auto"/>
        </w:rPr>
        <w:t>8.4.2</w:t>
      </w:r>
      <w:r>
        <w:rPr>
          <w:sz w:val="20"/>
          <w:szCs w:val="20"/>
          <w:color w:val="auto"/>
        </w:rPr>
        <w:tab/>
      </w:r>
      <w:r>
        <w:rPr>
          <w:rFonts w:ascii="Arial" w:cs="Arial" w:eastAsia="Arial" w:hAnsi="Arial"/>
          <w:sz w:val="17"/>
          <w:szCs w:val="17"/>
          <w:color w:val="auto"/>
        </w:rPr>
        <w:t>is rightfully known to the recipient Party of such information prior to disclosure under this Agreement or under the REA, and is at its free disposal prior to its receipt under this Agreement;</w:t>
      </w:r>
    </w:p>
    <w:p>
      <w:pPr>
        <w:spacing w:after="0" w:line="184" w:lineRule="exact"/>
        <w:rPr>
          <w:sz w:val="20"/>
          <w:szCs w:val="20"/>
          <w:color w:val="auto"/>
        </w:rPr>
      </w:pPr>
    </w:p>
    <w:p>
      <w:pPr>
        <w:ind w:left="1269" w:right="40" w:hanging="745"/>
        <w:spacing w:after="0" w:line="289" w:lineRule="auto"/>
        <w:tabs>
          <w:tab w:leader="none" w:pos="1248" w:val="left"/>
        </w:tabs>
        <w:rPr>
          <w:sz w:val="20"/>
          <w:szCs w:val="20"/>
          <w:color w:val="auto"/>
        </w:rPr>
      </w:pPr>
      <w:r>
        <w:rPr>
          <w:rFonts w:ascii="Arial" w:cs="Arial" w:eastAsia="Arial" w:hAnsi="Arial"/>
          <w:sz w:val="17"/>
          <w:szCs w:val="17"/>
          <w:color w:val="auto"/>
        </w:rPr>
        <w:t>8.4.3</w:t>
      </w:r>
      <w:r>
        <w:rPr>
          <w:sz w:val="20"/>
          <w:szCs w:val="20"/>
          <w:color w:val="auto"/>
        </w:rPr>
        <w:tab/>
      </w:r>
      <w:r>
        <w:rPr>
          <w:rFonts w:ascii="Arial" w:cs="Arial" w:eastAsia="Arial" w:hAnsi="Arial"/>
          <w:sz w:val="17"/>
          <w:szCs w:val="17"/>
          <w:color w:val="auto"/>
        </w:rPr>
        <w:t>is rightfully subsequently disclosed to the recipient Party without obligations of confidence by a Third Party owing no such obligation of confidentiality to the disclosing Party or any of its Representatives; or</w:t>
      </w:r>
    </w:p>
    <w:p>
      <w:pPr>
        <w:spacing w:after="0" w:line="184" w:lineRule="exact"/>
        <w:rPr>
          <w:sz w:val="20"/>
          <w:szCs w:val="20"/>
          <w:color w:val="auto"/>
        </w:rPr>
      </w:pPr>
    </w:p>
    <w:p>
      <w:pPr>
        <w:ind w:left="1269" w:right="280" w:hanging="745"/>
        <w:spacing w:after="0" w:line="289" w:lineRule="auto"/>
        <w:tabs>
          <w:tab w:leader="none" w:pos="1248" w:val="left"/>
        </w:tabs>
        <w:rPr>
          <w:sz w:val="20"/>
          <w:szCs w:val="20"/>
          <w:color w:val="auto"/>
        </w:rPr>
      </w:pPr>
      <w:r>
        <w:rPr>
          <w:rFonts w:ascii="Arial" w:cs="Arial" w:eastAsia="Arial" w:hAnsi="Arial"/>
          <w:sz w:val="17"/>
          <w:szCs w:val="17"/>
          <w:color w:val="auto"/>
        </w:rPr>
        <w:t>8.4.4</w:t>
      </w:r>
      <w:r>
        <w:rPr>
          <w:sz w:val="20"/>
          <w:szCs w:val="20"/>
          <w:color w:val="auto"/>
        </w:rPr>
        <w:tab/>
      </w:r>
      <w:r>
        <w:rPr>
          <w:rFonts w:ascii="Arial" w:cs="Arial" w:eastAsia="Arial" w:hAnsi="Arial"/>
          <w:sz w:val="17"/>
          <w:szCs w:val="17"/>
          <w:color w:val="auto"/>
        </w:rPr>
        <w:t>can be demonstrated by competent written evidence as having been independently developed by the recipient of the information in question without access to or use or knowledge of the information in question.</w:t>
      </w:r>
    </w:p>
    <w:p>
      <w:pPr>
        <w:spacing w:after="0" w:line="184" w:lineRule="exact"/>
        <w:rPr>
          <w:sz w:val="20"/>
          <w:szCs w:val="20"/>
          <w:color w:val="auto"/>
        </w:rPr>
      </w:pPr>
    </w:p>
    <w:p>
      <w:pPr>
        <w:ind w:left="529" w:right="60" w:hanging="523"/>
        <w:spacing w:after="0" w:line="283" w:lineRule="auto"/>
        <w:tabs>
          <w:tab w:leader="none" w:pos="508" w:val="left"/>
        </w:tabs>
        <w:rPr>
          <w:sz w:val="20"/>
          <w:szCs w:val="20"/>
          <w:color w:val="auto"/>
        </w:rPr>
      </w:pPr>
      <w:r>
        <w:rPr>
          <w:rFonts w:ascii="Arial" w:cs="Arial" w:eastAsia="Arial" w:hAnsi="Arial"/>
          <w:sz w:val="17"/>
          <w:szCs w:val="17"/>
          <w:color w:val="auto"/>
        </w:rPr>
        <w:t>8.5</w:t>
      </w:r>
      <w:r>
        <w:rPr>
          <w:sz w:val="20"/>
          <w:szCs w:val="20"/>
          <w:color w:val="auto"/>
        </w:rPr>
        <w:tab/>
      </w:r>
      <w:r>
        <w:rPr>
          <w:rFonts w:ascii="Arial" w:cs="Arial" w:eastAsia="Arial" w:hAnsi="Arial"/>
          <w:sz w:val="16"/>
          <w:szCs w:val="16"/>
          <w:color w:val="auto"/>
        </w:rPr>
        <w:t>Notwithstanding the foregoing it is acknowledged between the Parties that Lonza or Licensee may be required to disclose Confidential Information to a government agency or authority for the purpose of any statutory, regulatory or similar legislative requirement applicable to the clinical trials, production or regulatory approval of Product, or to a court of law or to meet the requirements of any Stock Exchange to which the Parties may be subject. In such circumstances the disclosing Party will inform the other Party prior to disclosure being made as to the nature of the required disclosure, shall only make the disclosure to the extent legally required and shall seek to impose obligations of secrecy wherever possible. Notwithstanding such disclosure such Confidential Information shall otherwise remain subject to this Clause 8.</w:t>
      </w:r>
    </w:p>
    <w:p>
      <w:pPr>
        <w:spacing w:after="0" w:line="191" w:lineRule="exact"/>
        <w:rPr>
          <w:sz w:val="20"/>
          <w:szCs w:val="20"/>
          <w:color w:val="auto"/>
        </w:rPr>
      </w:pPr>
    </w:p>
    <w:p>
      <w:pPr>
        <w:ind w:left="529" w:hanging="523"/>
        <w:spacing w:after="0" w:line="265" w:lineRule="auto"/>
        <w:tabs>
          <w:tab w:leader="none" w:pos="508" w:val="left"/>
        </w:tabs>
        <w:rPr>
          <w:sz w:val="20"/>
          <w:szCs w:val="20"/>
          <w:color w:val="auto"/>
        </w:rPr>
      </w:pPr>
      <w:r>
        <w:rPr>
          <w:rFonts w:ascii="Arial" w:cs="Arial" w:eastAsia="Arial" w:hAnsi="Arial"/>
          <w:sz w:val="17"/>
          <w:szCs w:val="17"/>
          <w:color w:val="auto"/>
        </w:rPr>
        <w:t>8.6</w:t>
      </w:r>
      <w:r>
        <w:rPr>
          <w:sz w:val="20"/>
          <w:szCs w:val="20"/>
          <w:color w:val="auto"/>
        </w:rPr>
        <w:tab/>
      </w:r>
      <w:r>
        <w:rPr>
          <w:rFonts w:ascii="Arial" w:cs="Arial" w:eastAsia="Arial" w:hAnsi="Arial"/>
          <w:sz w:val="17"/>
          <w:szCs w:val="17"/>
          <w:color w:val="auto"/>
        </w:rPr>
        <w:t>Each Party hereto expressly agrees that any breach or threatened breach of the undertakings of confidentiality provided hereunder by a Party may cause irreparable harm to the other Party (“</w:t>
      </w:r>
      <w:r>
        <w:rPr>
          <w:rFonts w:ascii="Arial" w:cs="Arial" w:eastAsia="Arial" w:hAnsi="Arial"/>
          <w:sz w:val="17"/>
          <w:szCs w:val="17"/>
          <w:b w:val="1"/>
          <w:bCs w:val="1"/>
          <w:color w:val="auto"/>
        </w:rPr>
        <w:t>Non-Breaching Party</w:t>
      </w:r>
      <w:r>
        <w:rPr>
          <w:rFonts w:ascii="Arial" w:cs="Arial" w:eastAsia="Arial" w:hAnsi="Arial"/>
          <w:sz w:val="17"/>
          <w:szCs w:val="17"/>
          <w:color w:val="auto"/>
        </w:rPr>
        <w:t>”) and that money damages may not provide a sufficient remedy to the Non-Breaching Party for any breach or threatened breach. In the event of any breach and/or threatened breach, then in addition to all other remedies available at law or in equity, the Non-Breaching Party shall be entitled to seek injunctive relief and any other relief deemed appropriate by the Non-Breaching Party.</w:t>
      </w:r>
    </w:p>
    <w:p>
      <w:pPr>
        <w:spacing w:after="0" w:line="204" w:lineRule="exact"/>
        <w:rPr>
          <w:sz w:val="20"/>
          <w:szCs w:val="20"/>
          <w:color w:val="auto"/>
        </w:rPr>
      </w:pPr>
    </w:p>
    <w:p>
      <w:pPr>
        <w:ind w:left="9"/>
        <w:spacing w:after="0"/>
        <w:tabs>
          <w:tab w:leader="none" w:pos="508" w:val="left"/>
        </w:tabs>
        <w:rPr>
          <w:sz w:val="20"/>
          <w:szCs w:val="20"/>
          <w:color w:val="auto"/>
        </w:rPr>
      </w:pPr>
      <w:r>
        <w:rPr>
          <w:rFonts w:ascii="Arial" w:cs="Arial" w:eastAsia="Arial" w:hAnsi="Arial"/>
          <w:sz w:val="17"/>
          <w:szCs w:val="17"/>
          <w:color w:val="auto"/>
        </w:rPr>
        <w:t>8.7</w:t>
      </w:r>
      <w:r>
        <w:rPr>
          <w:sz w:val="20"/>
          <w:szCs w:val="20"/>
          <w:color w:val="auto"/>
        </w:rPr>
        <w:tab/>
      </w:r>
      <w:r>
        <w:rPr>
          <w:rFonts w:ascii="Arial" w:cs="Arial" w:eastAsia="Arial" w:hAnsi="Arial"/>
          <w:sz w:val="15"/>
          <w:szCs w:val="15"/>
          <w:color w:val="auto"/>
        </w:rPr>
        <w:t>The obligations of both parties under this Clause 8 shall survive the expiration or termination of this Agreement for whatever reason.</w:t>
      </w:r>
    </w:p>
    <w:p>
      <w:pPr>
        <w:spacing w:after="0" w:line="244" w:lineRule="exact"/>
        <w:rPr>
          <w:sz w:val="20"/>
          <w:szCs w:val="20"/>
          <w:color w:val="auto"/>
        </w:rPr>
      </w:pPr>
    </w:p>
    <w:p>
      <w:pPr>
        <w:ind w:left="529" w:hanging="529"/>
        <w:spacing w:after="0"/>
        <w:tabs>
          <w:tab w:leader="none" w:pos="529" w:val="left"/>
        </w:tabs>
        <w:numPr>
          <w:ilvl w:val="0"/>
          <w:numId w:val="345"/>
        </w:numPr>
        <w:rPr>
          <w:rFonts w:ascii="Arial" w:cs="Arial" w:eastAsia="Arial" w:hAnsi="Arial"/>
          <w:sz w:val="17"/>
          <w:szCs w:val="17"/>
          <w:b w:val="1"/>
          <w:bCs w:val="1"/>
          <w:color w:val="auto"/>
        </w:rPr>
      </w:pPr>
      <w:r>
        <w:rPr>
          <w:rFonts w:ascii="Arial" w:cs="Arial" w:eastAsia="Arial" w:hAnsi="Arial"/>
          <w:sz w:val="17"/>
          <w:szCs w:val="17"/>
          <w:b w:val="1"/>
          <w:bCs w:val="1"/>
          <w:color w:val="auto"/>
        </w:rPr>
        <w:t>Intellectual Property Enforcement</w:t>
      </w:r>
    </w:p>
    <w:p>
      <w:pPr>
        <w:spacing w:after="0" w:line="256" w:lineRule="exact"/>
        <w:rPr>
          <w:sz w:val="20"/>
          <w:szCs w:val="20"/>
          <w:color w:val="auto"/>
        </w:rPr>
      </w:pPr>
    </w:p>
    <w:p>
      <w:pPr>
        <w:ind w:left="9"/>
        <w:spacing w:after="0"/>
        <w:tabs>
          <w:tab w:leader="none" w:pos="508"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5"/>
          <w:szCs w:val="15"/>
          <w:color w:val="auto"/>
        </w:rPr>
        <w:t>Lonza hereby undertakes and agrees that at its own cost and expense it will:</w:t>
      </w:r>
    </w:p>
    <w:p>
      <w:pPr>
        <w:spacing w:after="0" w:line="250" w:lineRule="exact"/>
        <w:rPr>
          <w:sz w:val="20"/>
          <w:szCs w:val="20"/>
          <w:color w:val="auto"/>
        </w:rPr>
      </w:pPr>
    </w:p>
    <w:p>
      <w:pPr>
        <w:ind w:left="1269" w:right="100" w:hanging="745"/>
        <w:spacing w:after="0" w:line="267" w:lineRule="auto"/>
        <w:tabs>
          <w:tab w:leader="none" w:pos="1248" w:val="left"/>
        </w:tabs>
        <w:rPr>
          <w:sz w:val="20"/>
          <w:szCs w:val="20"/>
          <w:color w:val="auto"/>
        </w:rPr>
      </w:pPr>
      <w:r>
        <w:rPr>
          <w:rFonts w:ascii="Arial" w:cs="Arial" w:eastAsia="Arial" w:hAnsi="Arial"/>
          <w:sz w:val="17"/>
          <w:szCs w:val="17"/>
          <w:color w:val="auto"/>
        </w:rPr>
        <w:t>9.1.1</w:t>
      </w:r>
      <w:r>
        <w:rPr>
          <w:sz w:val="20"/>
          <w:szCs w:val="20"/>
          <w:color w:val="auto"/>
        </w:rPr>
        <w:tab/>
      </w:r>
      <w:r>
        <w:rPr>
          <w:rFonts w:ascii="Arial" w:cs="Arial" w:eastAsia="Arial" w:hAnsi="Arial"/>
          <w:sz w:val="17"/>
          <w:szCs w:val="17"/>
          <w:color w:val="auto"/>
        </w:rPr>
        <w:t>prosecute or procure prosecution of such of the Patent Rights (Lonza) which are patent applications diligently so as to secure the best commercial advantage obtainable, as determined by Lonza in its commercially reasonable discretion, and will pursue, as determined by Lonza in its commercially reasonable discretion, all necessary actions against any Third Party that Lonza reasonably believes is infringing, misappropriating or violating any Lonza Intellectual Property Rights; and</w:t>
      </w:r>
    </w:p>
    <w:p>
      <w:pPr>
        <w:spacing w:after="0" w:line="112"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19</w:t>
      </w:r>
    </w:p>
    <w:p>
      <w:pPr>
        <w:spacing w:after="0" w:line="26" w:lineRule="exact"/>
        <w:rPr>
          <w:sz w:val="20"/>
          <w:szCs w:val="20"/>
          <w:color w:val="auto"/>
        </w:rPr>
      </w:pPr>
    </w:p>
    <w:p>
      <w:pPr>
        <w:ind w:left="1469" w:right="980" w:hanging="481"/>
        <w:spacing w:after="0" w:line="343" w:lineRule="auto"/>
        <w:tabs>
          <w:tab w:leader="none" w:pos="1241" w:val="left"/>
        </w:tabs>
        <w:numPr>
          <w:ilvl w:val="0"/>
          <w:numId w:val="346"/>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69"/>
          </w:cols>
          <w:pgMar w:left="611" w:top="455" w:right="619" w:bottom="1440" w:gutter="0" w:footer="0" w:header="0"/>
        </w:sectPr>
      </w:pPr>
    </w:p>
    <w:bookmarkStart w:id="409" w:name="page410"/>
    <w:bookmarkEnd w:id="409"/>
    <w:p>
      <w:pPr>
        <w:ind w:left="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8">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85" w:lineRule="exact"/>
        <w:rPr>
          <w:sz w:val="20"/>
          <w:szCs w:val="20"/>
          <w:color w:val="auto"/>
        </w:rPr>
      </w:pPr>
    </w:p>
    <w:p>
      <w:pPr>
        <w:jc w:val="both"/>
        <w:ind w:left="1269" w:right="120" w:hanging="745"/>
        <w:spacing w:after="0" w:line="273" w:lineRule="auto"/>
        <w:tabs>
          <w:tab w:leader="none" w:pos="1248" w:val="left"/>
        </w:tabs>
        <w:rPr>
          <w:sz w:val="20"/>
          <w:szCs w:val="20"/>
          <w:color w:val="auto"/>
        </w:rPr>
      </w:pPr>
      <w:r>
        <w:rPr>
          <w:rFonts w:ascii="Arial" w:cs="Arial" w:eastAsia="Arial" w:hAnsi="Arial"/>
          <w:sz w:val="17"/>
          <w:szCs w:val="17"/>
          <w:color w:val="auto"/>
        </w:rPr>
        <w:t>9.1.2</w:t>
      </w:r>
      <w:r>
        <w:rPr>
          <w:sz w:val="20"/>
          <w:szCs w:val="20"/>
          <w:color w:val="auto"/>
        </w:rPr>
        <w:tab/>
      </w:r>
      <w:r>
        <w:rPr>
          <w:rFonts w:ascii="Arial" w:cs="Arial" w:eastAsia="Arial" w:hAnsi="Arial"/>
          <w:sz w:val="17"/>
          <w:szCs w:val="17"/>
          <w:color w:val="auto"/>
        </w:rPr>
        <w:t>pay or procure payment of all renewal fees in respect of the Patent Rights (Lonza) to ensure they are valid and subsisting for the full term thereof and in particular will procure such renewal of the registrations thereof as may be necessary from time to time so far as it is reasonable to do so with particular reference to commercial considerations.</w:t>
      </w:r>
    </w:p>
    <w:p>
      <w:pPr>
        <w:spacing w:after="0" w:line="197" w:lineRule="exact"/>
        <w:rPr>
          <w:sz w:val="20"/>
          <w:szCs w:val="20"/>
          <w:color w:val="auto"/>
        </w:rPr>
      </w:pPr>
    </w:p>
    <w:p>
      <w:pPr>
        <w:ind w:left="529" w:right="20" w:hanging="523"/>
        <w:spacing w:after="0" w:line="293" w:lineRule="auto"/>
        <w:tabs>
          <w:tab w:leader="none" w:pos="508" w:val="left"/>
        </w:tabs>
        <w:rPr>
          <w:sz w:val="20"/>
          <w:szCs w:val="20"/>
          <w:color w:val="auto"/>
        </w:rPr>
      </w:pPr>
      <w:r>
        <w:rPr>
          <w:rFonts w:ascii="Arial" w:cs="Arial" w:eastAsia="Arial" w:hAnsi="Arial"/>
          <w:sz w:val="17"/>
          <w:szCs w:val="17"/>
          <w:color w:val="auto"/>
        </w:rPr>
        <w:t>9.2</w:t>
      </w:r>
      <w:r>
        <w:rPr>
          <w:sz w:val="20"/>
          <w:szCs w:val="20"/>
          <w:color w:val="auto"/>
        </w:rPr>
        <w:tab/>
      </w:r>
      <w:r>
        <w:rPr>
          <w:rFonts w:ascii="Arial" w:cs="Arial" w:eastAsia="Arial" w:hAnsi="Arial"/>
          <w:sz w:val="15"/>
          <w:szCs w:val="15"/>
          <w:color w:val="auto"/>
        </w:rPr>
        <w:t>Licensee shall use commercially reasonable efforts to promptly notify Lonza in writing if Licensee becomes aware of any claim that Licensee’s use of the Patent Rights (Lonza) and/or Know-How as permitted under this Agreement infringes or improperly or unlawfully uses the Patent Rights (Lonza) and/or Know-How. Licensee shall also use commercially reasonable efforts to promptly notify Lonza in writing if Licensee becomes aware of any infringement or improper or unlawful use of or of any challenge to the validity of the Patent Rights (Lonza) and/or Know-How. Lonza undertakes and agrees to take all such steps and proceedings and to do all other acts and things as may in Lonza’s sole discretion be necessary to defend any such claims, and to restrain any such infringement or improper or unlawful use or to defend such challenge to validity and Licensee shall permit Lonza to have the sole conduct of any such steps and proceedings including the right to settle them whether or not Licensee is a party to them. Licensee shall have the right at its own cost and for its own benefit to initiate, prosecute and control the enforcement of the Patent Rights (Lonza) against infringement by a Third Party in the Territory if all of the following conditions are fulfilled</w:t>
      </w:r>
    </w:p>
    <w:p>
      <w:pPr>
        <w:spacing w:after="0" w:line="2" w:lineRule="exact"/>
        <w:rPr>
          <w:sz w:val="20"/>
          <w:szCs w:val="20"/>
          <w:color w:val="auto"/>
        </w:rPr>
      </w:pPr>
    </w:p>
    <w:p>
      <w:pPr>
        <w:ind w:left="529" w:right="300"/>
        <w:spacing w:after="0" w:line="265" w:lineRule="auto"/>
        <w:rPr>
          <w:sz w:val="20"/>
          <w:szCs w:val="20"/>
          <w:color w:val="auto"/>
        </w:rPr>
      </w:pPr>
      <w:r>
        <w:rPr>
          <w:rFonts w:ascii="Arial" w:cs="Arial" w:eastAsia="Arial" w:hAnsi="Arial"/>
          <w:sz w:val="17"/>
          <w:szCs w:val="17"/>
          <w:color w:val="auto"/>
        </w:rPr>
        <w:t>(a) the product manufactured through the infringing activity is a competing product to the Product, (b) Lonza has not granted rights to Third Parties which prevent Lonza from granting such a right to enforce to Licensee, and (c) Lonza does not initiate proceedings within [*] days of being requested to do so by Licensee.</w:t>
      </w:r>
    </w:p>
    <w:p>
      <w:pPr>
        <w:spacing w:after="0" w:line="198" w:lineRule="exact"/>
        <w:rPr>
          <w:sz w:val="20"/>
          <w:szCs w:val="20"/>
          <w:color w:val="auto"/>
        </w:rPr>
      </w:pPr>
    </w:p>
    <w:p>
      <w:pPr>
        <w:ind w:left="529" w:hanging="529"/>
        <w:spacing w:after="0"/>
        <w:tabs>
          <w:tab w:leader="none" w:pos="529" w:val="left"/>
        </w:tabs>
        <w:numPr>
          <w:ilvl w:val="0"/>
          <w:numId w:val="347"/>
        </w:numPr>
        <w:rPr>
          <w:rFonts w:ascii="Arial" w:cs="Arial" w:eastAsia="Arial" w:hAnsi="Arial"/>
          <w:sz w:val="17"/>
          <w:szCs w:val="17"/>
          <w:b w:val="1"/>
          <w:bCs w:val="1"/>
          <w:color w:val="auto"/>
        </w:rPr>
      </w:pPr>
      <w:r>
        <w:rPr>
          <w:rFonts w:ascii="Arial" w:cs="Arial" w:eastAsia="Arial" w:hAnsi="Arial"/>
          <w:sz w:val="17"/>
          <w:szCs w:val="17"/>
          <w:b w:val="1"/>
          <w:bCs w:val="1"/>
          <w:color w:val="auto"/>
        </w:rPr>
        <w:t>Term and Termination</w:t>
      </w:r>
    </w:p>
    <w:p>
      <w:pPr>
        <w:spacing w:after="0" w:line="256" w:lineRule="exact"/>
        <w:rPr>
          <w:sz w:val="20"/>
          <w:szCs w:val="20"/>
          <w:color w:val="auto"/>
        </w:rPr>
      </w:pPr>
    </w:p>
    <w:p>
      <w:pPr>
        <w:ind w:left="529" w:hanging="523"/>
        <w:spacing w:after="0" w:line="267" w:lineRule="auto"/>
        <w:tabs>
          <w:tab w:leader="none" w:pos="508" w:val="left"/>
        </w:tabs>
        <w:rPr>
          <w:sz w:val="20"/>
          <w:szCs w:val="20"/>
          <w:color w:val="auto"/>
        </w:rPr>
      </w:pPr>
      <w:r>
        <w:rPr>
          <w:rFonts w:ascii="Arial" w:cs="Arial" w:eastAsia="Arial" w:hAnsi="Arial"/>
          <w:sz w:val="17"/>
          <w:szCs w:val="17"/>
          <w:color w:val="auto"/>
        </w:rPr>
        <w:t>10.1</w:t>
        <w:tab/>
        <w:t>Unless terminated earlier in accordance with the provisions of this Clause 10 or Clause 14, this Agreement shall continue in force until there are no remaining royalty obligations under this Agreement with respect to any Product in any country of the world (ie, until expiry of the last Valid Claim, or for so long as the System Know-How and/or CDACF Version 8 Know-How is identified and remains secret and substantial, whichever is later).</w:t>
      </w:r>
    </w:p>
    <w:p>
      <w:pPr>
        <w:spacing w:after="0" w:line="204" w:lineRule="exact"/>
        <w:rPr>
          <w:sz w:val="20"/>
          <w:szCs w:val="20"/>
          <w:color w:val="auto"/>
        </w:rPr>
      </w:pPr>
    </w:p>
    <w:p>
      <w:pPr>
        <w:ind w:left="529" w:right="160" w:hanging="523"/>
        <w:spacing w:after="0" w:line="285" w:lineRule="auto"/>
        <w:tabs>
          <w:tab w:leader="none" w:pos="508"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6"/>
          <w:szCs w:val="16"/>
          <w:color w:val="auto"/>
        </w:rPr>
        <w:t>Licensee may terminate this Agreement in its entirety, by giving at least [*] days’ notice in writing to Lonza. Licensee may also terminate this Agreement from time to time on a Product-by-Product basis, and terminate any licence grant on a sublicense-by-sublicense, Sublicensee-by-Sublicensee, Affiliate-by-Affiliate basis, or Strategic-Partner-by-Strategic-Partner basis, etc., in each case by giving at least [*] days’ notice in writing to Lonza, and, in each such case, the Agreement will be terminated only with respect to, as applicable, the terminated Product, sublicense, Sublicensee, Affiliate or Strategic Partner, etc., and the Agreement shall otherwise remain in full force and effect.</w:t>
      </w:r>
    </w:p>
    <w:p>
      <w:pPr>
        <w:spacing w:after="0" w:line="99" w:lineRule="exact"/>
        <w:rPr>
          <w:sz w:val="20"/>
          <w:szCs w:val="20"/>
          <w:color w:val="auto"/>
        </w:rPr>
      </w:pPr>
    </w:p>
    <w:p>
      <w:pPr>
        <w:jc w:val="center"/>
        <w:ind w:right="-28"/>
        <w:spacing w:after="0"/>
        <w:rPr>
          <w:sz w:val="20"/>
          <w:szCs w:val="20"/>
          <w:color w:val="auto"/>
        </w:rPr>
      </w:pPr>
      <w:r>
        <w:rPr>
          <w:rFonts w:ascii="Arial" w:cs="Arial" w:eastAsia="Arial" w:hAnsi="Arial"/>
          <w:sz w:val="17"/>
          <w:szCs w:val="17"/>
          <w:color w:val="auto"/>
        </w:rPr>
        <w:t>20</w:t>
      </w:r>
    </w:p>
    <w:p>
      <w:pPr>
        <w:spacing w:after="0" w:line="26" w:lineRule="exact"/>
        <w:rPr>
          <w:sz w:val="20"/>
          <w:szCs w:val="20"/>
          <w:color w:val="auto"/>
        </w:rPr>
      </w:pPr>
    </w:p>
    <w:p>
      <w:pPr>
        <w:ind w:left="1469" w:right="980" w:hanging="481"/>
        <w:spacing w:after="0" w:line="343" w:lineRule="auto"/>
        <w:tabs>
          <w:tab w:leader="none" w:pos="1241" w:val="left"/>
        </w:tabs>
        <w:numPr>
          <w:ilvl w:val="0"/>
          <w:numId w:val="348"/>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69"/>
          </w:cols>
          <w:pgMar w:left="611" w:top="455" w:right="619" w:bottom="1440" w:gutter="0" w:footer="0" w:header="0"/>
        </w:sectPr>
      </w:pPr>
    </w:p>
    <w:bookmarkStart w:id="410" w:name="page411"/>
    <w:bookmarkEnd w:id="41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0">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85" w:lineRule="exact"/>
        <w:rPr>
          <w:sz w:val="20"/>
          <w:szCs w:val="20"/>
          <w:color w:val="auto"/>
        </w:rPr>
      </w:pPr>
    </w:p>
    <w:p>
      <w:pPr>
        <w:ind w:left="520" w:right="160" w:hanging="523"/>
        <w:spacing w:after="0" w:line="289" w:lineRule="auto"/>
        <w:tabs>
          <w:tab w:leader="none" w:pos="500" w:val="left"/>
        </w:tabs>
        <w:rPr>
          <w:sz w:val="20"/>
          <w:szCs w:val="20"/>
          <w:color w:val="auto"/>
        </w:rPr>
      </w:pPr>
      <w:r>
        <w:rPr>
          <w:rFonts w:ascii="Arial" w:cs="Arial" w:eastAsia="Arial" w:hAnsi="Arial"/>
          <w:sz w:val="17"/>
          <w:szCs w:val="17"/>
          <w:color w:val="auto"/>
        </w:rPr>
        <w:t>10.3</w:t>
        <w:tab/>
        <w:t>Either Lonza or Licensee may terminate this Agreement forthwith by notice in writing to the other upon the occurrence of any of the following events:</w:t>
      </w:r>
    </w:p>
    <w:p>
      <w:pPr>
        <w:spacing w:after="0" w:line="184" w:lineRule="exact"/>
        <w:rPr>
          <w:sz w:val="20"/>
          <w:szCs w:val="20"/>
          <w:color w:val="auto"/>
        </w:rPr>
      </w:pPr>
    </w:p>
    <w:p>
      <w:pPr>
        <w:ind w:left="1260" w:right="140" w:hanging="745"/>
        <w:spacing w:after="0" w:line="273" w:lineRule="auto"/>
        <w:tabs>
          <w:tab w:leader="none" w:pos="1240" w:val="left"/>
        </w:tabs>
        <w:rPr>
          <w:sz w:val="20"/>
          <w:szCs w:val="20"/>
          <w:color w:val="auto"/>
        </w:rPr>
      </w:pPr>
      <w:r>
        <w:rPr>
          <w:rFonts w:ascii="Arial" w:cs="Arial" w:eastAsia="Arial" w:hAnsi="Arial"/>
          <w:sz w:val="17"/>
          <w:szCs w:val="17"/>
          <w:color w:val="auto"/>
        </w:rPr>
        <w:t>10.3.1</w:t>
      </w:r>
      <w:r>
        <w:rPr>
          <w:sz w:val="20"/>
          <w:szCs w:val="20"/>
          <w:color w:val="auto"/>
        </w:rPr>
        <w:tab/>
      </w:r>
      <w:r>
        <w:rPr>
          <w:rFonts w:ascii="Arial" w:cs="Arial" w:eastAsia="Arial" w:hAnsi="Arial"/>
          <w:sz w:val="17"/>
          <w:szCs w:val="17"/>
          <w:color w:val="auto"/>
        </w:rPr>
        <w:t>if the other commits a material breach of this Agreement which in the case of a breach capable of remedy shall not have been remedied within [*] days of the receipt by the other of a notice identifying the breach and requiring its remedy. Failure to pay a bona fide disputed amount shall not constitute a material breach of this Agreement.</w:t>
      </w:r>
    </w:p>
    <w:p>
      <w:pPr>
        <w:spacing w:after="0" w:line="197" w:lineRule="exact"/>
        <w:rPr>
          <w:sz w:val="20"/>
          <w:szCs w:val="20"/>
          <w:color w:val="auto"/>
        </w:rPr>
      </w:pPr>
    </w:p>
    <w:p>
      <w:pPr>
        <w:ind w:left="1260" w:right="20" w:hanging="745"/>
        <w:spacing w:after="0" w:line="297" w:lineRule="auto"/>
        <w:tabs>
          <w:tab w:leader="none" w:pos="1240" w:val="left"/>
        </w:tabs>
        <w:rPr>
          <w:sz w:val="20"/>
          <w:szCs w:val="20"/>
          <w:color w:val="auto"/>
        </w:rPr>
      </w:pPr>
      <w:r>
        <w:rPr>
          <w:rFonts w:ascii="Arial" w:cs="Arial" w:eastAsia="Arial" w:hAnsi="Arial"/>
          <w:sz w:val="17"/>
          <w:szCs w:val="17"/>
          <w:color w:val="auto"/>
        </w:rPr>
        <w:t>10.3.2</w:t>
      </w:r>
      <w:r>
        <w:rPr>
          <w:sz w:val="20"/>
          <w:szCs w:val="20"/>
          <w:color w:val="auto"/>
        </w:rPr>
        <w:tab/>
      </w:r>
      <w:r>
        <w:rPr>
          <w:rFonts w:ascii="Arial" w:cs="Arial" w:eastAsia="Arial" w:hAnsi="Arial"/>
          <w:sz w:val="16"/>
          <w:szCs w:val="16"/>
          <w:color w:val="auto"/>
        </w:rPr>
        <w:t>if the other enters into compulsory or voluntary liquidation (other than for the purpose of effecting a reconstruction or amalgamation in such manner that the company resulting from such reconstruction or amalgamation if a different legal entity shall agree to be bound by and assume the obligations of the relevant Party under this Agreement), or ceases for any reason to carry on business.</w:t>
      </w:r>
    </w:p>
    <w:p>
      <w:pPr>
        <w:spacing w:after="0" w:line="181" w:lineRule="exact"/>
        <w:rPr>
          <w:sz w:val="20"/>
          <w:szCs w:val="20"/>
          <w:color w:val="auto"/>
        </w:rPr>
      </w:pPr>
    </w:p>
    <w:p>
      <w:pPr>
        <w:ind w:left="1260" w:right="20" w:hanging="745"/>
        <w:spacing w:after="0" w:line="297" w:lineRule="auto"/>
        <w:tabs>
          <w:tab w:leader="none" w:pos="1240" w:val="left"/>
        </w:tabs>
        <w:rPr>
          <w:sz w:val="20"/>
          <w:szCs w:val="20"/>
          <w:color w:val="auto"/>
        </w:rPr>
      </w:pPr>
      <w:r>
        <w:rPr>
          <w:rFonts w:ascii="Arial" w:cs="Arial" w:eastAsia="Arial" w:hAnsi="Arial"/>
          <w:sz w:val="17"/>
          <w:szCs w:val="17"/>
          <w:color w:val="auto"/>
        </w:rPr>
        <w:t>10.3.3</w:t>
      </w:r>
      <w:r>
        <w:rPr>
          <w:sz w:val="20"/>
          <w:szCs w:val="20"/>
          <w:color w:val="auto"/>
        </w:rPr>
        <w:tab/>
      </w:r>
      <w:r>
        <w:rPr>
          <w:rFonts w:ascii="Arial" w:cs="Arial" w:eastAsia="Arial" w:hAnsi="Arial"/>
          <w:sz w:val="16"/>
          <w:szCs w:val="16"/>
          <w:color w:val="auto"/>
        </w:rPr>
        <w:t>Notwithstanding the foregoing, if such uncured material breach by Licensee involves only a specific Product, Sublicensee, Affiliate or Strategic Partner, then Lonza may terminate this Agreement only with respect to Licensee’s rights relating, respectively, to such Product, Sublicensee, Affiliate or Strategic Partner, and the Agreement shall otherwise remain in full force and effect.</w:t>
      </w:r>
    </w:p>
    <w:p>
      <w:pPr>
        <w:spacing w:after="0" w:line="181" w:lineRule="exact"/>
        <w:rPr>
          <w:sz w:val="20"/>
          <w:szCs w:val="20"/>
          <w:color w:val="auto"/>
        </w:rPr>
      </w:pPr>
    </w:p>
    <w:p>
      <w:pPr>
        <w:ind w:left="520" w:hanging="523"/>
        <w:spacing w:after="0" w:line="265" w:lineRule="auto"/>
        <w:tabs>
          <w:tab w:leader="none" w:pos="500" w:val="left"/>
        </w:tabs>
        <w:rPr>
          <w:sz w:val="20"/>
          <w:szCs w:val="20"/>
          <w:color w:val="auto"/>
        </w:rPr>
      </w:pPr>
      <w:r>
        <w:rPr>
          <w:rFonts w:ascii="Arial" w:cs="Arial" w:eastAsia="Arial" w:hAnsi="Arial"/>
          <w:sz w:val="17"/>
          <w:szCs w:val="17"/>
          <w:color w:val="auto"/>
        </w:rPr>
        <w:t>10.4</w:t>
        <w:tab/>
        <w:t>If at any time during this Agreement Licensee, with the actual knowledge of its Chief Executive Officer or any member of its Board of Directors or senior management, directly, opposes or assists any Third Party to oppose the grant of letters patent or any patent application within any of the Patent Rights (Lonza) or disputes or knowingly, directly, assists any Third Party to dispute the validity of any patent within any of the Patent Rights (Lonza) or any of the claims thereof, Lonza shall be entitled at any time thereafter to terminate all or any of the licences granted hereunder forthwith by notice to Licensee.</w:t>
      </w:r>
    </w:p>
    <w:p>
      <w:pPr>
        <w:spacing w:after="0" w:line="204" w:lineRule="exact"/>
        <w:rPr>
          <w:sz w:val="20"/>
          <w:szCs w:val="20"/>
          <w:color w:val="auto"/>
        </w:rPr>
      </w:pPr>
    </w:p>
    <w:p>
      <w:pPr>
        <w:ind w:left="520" w:hanging="523"/>
        <w:spacing w:after="0" w:line="278" w:lineRule="auto"/>
        <w:tabs>
          <w:tab w:leader="none" w:pos="500" w:val="left"/>
        </w:tabs>
        <w:rPr>
          <w:sz w:val="20"/>
          <w:szCs w:val="20"/>
          <w:color w:val="auto"/>
        </w:rPr>
      </w:pPr>
      <w:r>
        <w:rPr>
          <w:rFonts w:ascii="Arial" w:cs="Arial" w:eastAsia="Arial" w:hAnsi="Arial"/>
          <w:sz w:val="17"/>
          <w:szCs w:val="17"/>
          <w:color w:val="auto"/>
        </w:rPr>
        <w:t>10.5</w:t>
      </w:r>
      <w:r>
        <w:rPr>
          <w:sz w:val="20"/>
          <w:szCs w:val="20"/>
          <w:color w:val="auto"/>
        </w:rPr>
        <w:tab/>
      </w:r>
      <w:r>
        <w:rPr>
          <w:rFonts w:ascii="Arial" w:cs="Arial" w:eastAsia="Arial" w:hAnsi="Arial"/>
          <w:sz w:val="16"/>
          <w:szCs w:val="16"/>
          <w:color w:val="auto"/>
        </w:rPr>
        <w:t>If this Agreement expires in accordance with Clause 10.1, all licenses granted to Licensee under this Agreement shall survive and shall convert as of the expiration date to fully paid-up, royalty-free licenses. If this Agreement is terminated by Licensee in accordance with Clause 10.3.1, all licenses granted to Licensee under this Agreement shall survive, subject to the continued payment of royalties under the terms of this Agreement. If this Agreement is terminated in its entirety by Lonza for any reason listed in Clause 10.3, any and all licences granted hereunder shall terminate with effect from the date of termination (subject to the last proviso in this paragraph), and, unless Clause 10.7 applies, then Licensee shall destroy all Vectors, Cell Lines and Product and all Confidential Information which is provided by Lonza (including all Know-How, all System Know-How and all CDACF Version 8 System Know-How) forthwith and shall certify such destruction immediately thereafter in writing to Lonza; provided however that the Licensee and Sublicensees shall have the right to complete any production batches of Product in process at the date of such termination and sell or otherwise dispose of all Product then on hand or in process and the licenses granted under this Agreement shall survive for that purpose, subject to the payment of royalties and the other terms of this Agreement.</w:t>
      </w:r>
    </w:p>
    <w:p>
      <w:pPr>
        <w:spacing w:after="0" w:line="200" w:lineRule="exact"/>
        <w:rPr>
          <w:sz w:val="20"/>
          <w:szCs w:val="20"/>
          <w:color w:val="auto"/>
        </w:rPr>
      </w:pPr>
    </w:p>
    <w:p>
      <w:pPr>
        <w:jc w:val="center"/>
        <w:ind w:right="40"/>
        <w:spacing w:after="0"/>
        <w:tabs>
          <w:tab w:leader="none" w:pos="200" w:val="left"/>
        </w:tabs>
        <w:rPr>
          <w:sz w:val="20"/>
          <w:szCs w:val="20"/>
          <w:color w:val="auto"/>
        </w:rPr>
      </w:pPr>
      <w:r>
        <w:rPr>
          <w:rFonts w:ascii="Arial" w:cs="Arial" w:eastAsia="Arial" w:hAnsi="Arial"/>
          <w:sz w:val="17"/>
          <w:szCs w:val="17"/>
          <w:color w:val="auto"/>
        </w:rPr>
        <w:t>10.6</w:t>
      </w:r>
      <w:r>
        <w:rPr>
          <w:sz w:val="20"/>
          <w:szCs w:val="20"/>
          <w:color w:val="auto"/>
        </w:rPr>
        <w:tab/>
      </w:r>
      <w:r>
        <w:rPr>
          <w:rFonts w:ascii="Arial" w:cs="Arial" w:eastAsia="Arial" w:hAnsi="Arial"/>
          <w:sz w:val="16"/>
          <w:szCs w:val="16"/>
          <w:color w:val="auto"/>
        </w:rPr>
        <w:t>Upon termination or expiration of this Agreement, Licensee (unless Clause 10.7 applies) and Lonza shall destroy all Confidential Information of</w:t>
      </w:r>
    </w:p>
    <w:p>
      <w:pPr>
        <w:spacing w:after="0" w:line="26" w:lineRule="exact"/>
        <w:rPr>
          <w:sz w:val="20"/>
          <w:szCs w:val="20"/>
          <w:color w:val="auto"/>
        </w:rPr>
      </w:pPr>
    </w:p>
    <w:p>
      <w:pPr>
        <w:ind w:left="520" w:right="20"/>
        <w:spacing w:after="0" w:line="261" w:lineRule="auto"/>
        <w:rPr>
          <w:sz w:val="20"/>
          <w:szCs w:val="20"/>
          <w:color w:val="auto"/>
        </w:rPr>
      </w:pPr>
      <w:r>
        <w:rPr>
          <w:rFonts w:ascii="Arial" w:cs="Arial" w:eastAsia="Arial" w:hAnsi="Arial"/>
          <w:sz w:val="17"/>
          <w:szCs w:val="17"/>
          <w:color w:val="auto"/>
        </w:rPr>
        <w:t>the other Party or the other Party’s Representatives, including all copies and extracts thereof and all tangible items comprising, bearing or containing any such Confidential Information and provide a written certification of such destruction; provided, however, that if Licensee has any surviving license rights, Licensee may retain Lonza’s Confidential Information to the extent required for exercising such surviving license rights, and each Party may retain one (1) copy of such Confidential Information in its secure archival files for archival purposes and for ensuring compliance with Clause 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6" w:lineRule="exact"/>
        <w:rPr>
          <w:sz w:val="20"/>
          <w:szCs w:val="20"/>
          <w:color w:val="auto"/>
        </w:rPr>
      </w:pPr>
    </w:p>
    <w:p>
      <w:pPr>
        <w:ind w:left="1460" w:right="980" w:hanging="481"/>
        <w:spacing w:after="0" w:line="343" w:lineRule="auto"/>
        <w:tabs>
          <w:tab w:leader="none" w:pos="1232" w:val="left"/>
        </w:tabs>
        <w:numPr>
          <w:ilvl w:val="0"/>
          <w:numId w:val="349"/>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60"/>
          </w:cols>
          <w:pgMar w:left="620" w:top="455" w:right="619" w:bottom="1440" w:gutter="0" w:footer="0" w:header="0"/>
        </w:sectPr>
      </w:pPr>
    </w:p>
    <w:bookmarkStart w:id="411" w:name="page412"/>
    <w:bookmarkEnd w:id="411"/>
    <w:p>
      <w:pPr>
        <w:ind w:left="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2">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85" w:lineRule="exact"/>
        <w:rPr>
          <w:sz w:val="20"/>
          <w:szCs w:val="20"/>
          <w:color w:val="auto"/>
        </w:rPr>
      </w:pPr>
    </w:p>
    <w:p>
      <w:pPr>
        <w:ind w:left="9"/>
        <w:spacing w:after="0"/>
        <w:tabs>
          <w:tab w:leader="none" w:pos="508" w:val="left"/>
        </w:tabs>
        <w:rPr>
          <w:sz w:val="20"/>
          <w:szCs w:val="20"/>
          <w:color w:val="auto"/>
        </w:rPr>
      </w:pPr>
      <w:r>
        <w:rPr>
          <w:rFonts w:ascii="Arial" w:cs="Arial" w:eastAsia="Arial" w:hAnsi="Arial"/>
          <w:sz w:val="17"/>
          <w:szCs w:val="17"/>
          <w:color w:val="auto"/>
        </w:rPr>
        <w:t>10.7</w:t>
      </w:r>
      <w:r>
        <w:rPr>
          <w:sz w:val="20"/>
          <w:szCs w:val="20"/>
          <w:color w:val="auto"/>
        </w:rPr>
        <w:tab/>
      </w:r>
      <w:r>
        <w:rPr>
          <w:rFonts w:ascii="Arial" w:cs="Arial" w:eastAsia="Arial" w:hAnsi="Arial"/>
          <w:sz w:val="15"/>
          <w:szCs w:val="15"/>
          <w:color w:val="auto"/>
        </w:rPr>
        <w:t>If this Agreement expires or is terminated and either (a) a Product has been or is being transferred to a separate Lonza license agreement, or</w:t>
      </w:r>
    </w:p>
    <w:p>
      <w:pPr>
        <w:spacing w:after="0" w:line="26" w:lineRule="exact"/>
        <w:rPr>
          <w:sz w:val="20"/>
          <w:szCs w:val="20"/>
          <w:color w:val="auto"/>
        </w:rPr>
      </w:pPr>
    </w:p>
    <w:p>
      <w:pPr>
        <w:jc w:val="both"/>
        <w:ind w:left="529" w:right="40" w:hanging="5"/>
        <w:spacing w:after="0" w:line="261" w:lineRule="auto"/>
        <w:tabs>
          <w:tab w:leader="none" w:pos="776" w:val="left"/>
        </w:tabs>
        <w:numPr>
          <w:ilvl w:val="0"/>
          <w:numId w:val="350"/>
        </w:numPr>
        <w:rPr>
          <w:rFonts w:ascii="Arial" w:cs="Arial" w:eastAsia="Arial" w:hAnsi="Arial"/>
          <w:sz w:val="17"/>
          <w:szCs w:val="17"/>
          <w:color w:val="auto"/>
        </w:rPr>
      </w:pPr>
      <w:r>
        <w:rPr>
          <w:rFonts w:ascii="Arial" w:cs="Arial" w:eastAsia="Arial" w:hAnsi="Arial"/>
          <w:sz w:val="17"/>
          <w:szCs w:val="17"/>
          <w:color w:val="auto"/>
        </w:rPr>
        <w:t>Lonza otherwise agrees that it will not require destruction, then, in the case of (a) Licensee shall either, with Lonza’s consent, transfer to the party that is the named licensee under the related separate Lonza license agreement, or destroy, the related Vectors, Cell Lines and Product and Confidential Information provided by Lonza (including Know-How and System Know-How, including CDACF Version 8 System Know-How), and, in the case of (b) Licensee may request specific retention rights and if both Parties agree on retention terms they will enter into a short letter agreement setting forth their mutual agreement with respect thereto.</w:t>
      </w:r>
    </w:p>
    <w:p>
      <w:pPr>
        <w:spacing w:after="0" w:line="208" w:lineRule="exact"/>
        <w:rPr>
          <w:sz w:val="20"/>
          <w:szCs w:val="20"/>
          <w:color w:val="auto"/>
        </w:rPr>
      </w:pPr>
    </w:p>
    <w:p>
      <w:pPr>
        <w:ind w:left="529" w:hanging="523"/>
        <w:spacing w:after="0" w:line="267" w:lineRule="auto"/>
        <w:tabs>
          <w:tab w:leader="none" w:pos="508" w:val="left"/>
        </w:tabs>
        <w:rPr>
          <w:sz w:val="20"/>
          <w:szCs w:val="20"/>
          <w:color w:val="auto"/>
        </w:rPr>
      </w:pPr>
      <w:r>
        <w:rPr>
          <w:rFonts w:ascii="Arial" w:cs="Arial" w:eastAsia="Arial" w:hAnsi="Arial"/>
          <w:sz w:val="17"/>
          <w:szCs w:val="17"/>
          <w:color w:val="auto"/>
        </w:rPr>
        <w:t>10.8</w:t>
        <w:tab/>
        <w:t>Termination for whatever reason or expiration of this Agreement shall not affect the accrued rights of the Parties arising in any way out of this Agreement as at the date of termination or expiration. The right to recover damages against the other and all provisions which are expressed to or which by their nature are understood to survive this Agreement shall remain in full force and effect, including without limitation Clauses 3, 7, 8, 10.5, 10.6, 10.7, 10.8, 11.2, 12, 14, 15 and 16, and, as appropriate, the clauses in Clause 1.</w:t>
      </w:r>
    </w:p>
    <w:p>
      <w:pPr>
        <w:spacing w:after="0" w:line="198" w:lineRule="exact"/>
        <w:rPr>
          <w:sz w:val="20"/>
          <w:szCs w:val="20"/>
          <w:color w:val="auto"/>
        </w:rPr>
      </w:pPr>
    </w:p>
    <w:p>
      <w:pPr>
        <w:ind w:left="529" w:hanging="529"/>
        <w:spacing w:after="0"/>
        <w:tabs>
          <w:tab w:leader="none" w:pos="529" w:val="left"/>
        </w:tabs>
        <w:numPr>
          <w:ilvl w:val="0"/>
          <w:numId w:val="351"/>
        </w:numPr>
        <w:rPr>
          <w:rFonts w:ascii="Arial" w:cs="Arial" w:eastAsia="Arial" w:hAnsi="Arial"/>
          <w:sz w:val="17"/>
          <w:szCs w:val="17"/>
          <w:b w:val="1"/>
          <w:bCs w:val="1"/>
          <w:color w:val="auto"/>
        </w:rPr>
      </w:pPr>
      <w:r>
        <w:rPr>
          <w:rFonts w:ascii="Arial" w:cs="Arial" w:eastAsia="Arial" w:hAnsi="Arial"/>
          <w:sz w:val="17"/>
          <w:szCs w:val="17"/>
          <w:b w:val="1"/>
          <w:bCs w:val="1"/>
          <w:color w:val="auto"/>
        </w:rPr>
        <w:t>Assignment</w:t>
      </w:r>
    </w:p>
    <w:p>
      <w:pPr>
        <w:spacing w:after="0" w:line="256" w:lineRule="exact"/>
        <w:rPr>
          <w:sz w:val="20"/>
          <w:szCs w:val="20"/>
          <w:color w:val="auto"/>
        </w:rPr>
      </w:pPr>
    </w:p>
    <w:p>
      <w:pPr>
        <w:ind w:left="529" w:hanging="523"/>
        <w:spacing w:after="0" w:line="278" w:lineRule="auto"/>
        <w:tabs>
          <w:tab w:leader="none" w:pos="508"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6"/>
          <w:szCs w:val="16"/>
          <w:color w:val="auto"/>
        </w:rPr>
        <w:t>Save as expressly provided by Clause 4, neither Party shall be entitled to assign, transfer, charge or in any way make over the benefit and/or the burden of this Agreement without the prior written consent of the other which consent shall not be unreasonably withheld, conditioned or delayed, save that Lonza shall be entitled without the prior written consent of the Licensee to assign, transfer, charge, sub-contract, deal with or in any other manner make over the benefit and/or burden of this Agreement (i) to an Affiliate or (ii) to any joint venture company of which Lonza is the beneficial owner of at least fifty percent (50%) of the issued share capital thereof or (iii) to any company with which Lonza may merge or (iv) to any company to which that Lonza may transfer its assets and undertaking. In addition, Licensee shall be entitled subject to the prior written consent of Lonza (such consent not to be unreasonably withheld, conditioned or delayed) to assign this Agreement in part, from time to time, to its Strategic Partner(s) with respect to the related Product(s). Licensee may also assign this Agreement subject to the prior written consent of Lonza (such consent not to be unreasonably withheld, conditioned or delayed) to a Third Party that acquires substantially all of Licensee’s business (whether via merger or purchase of assets or similar undertaking).</w:t>
      </w:r>
    </w:p>
    <w:p>
      <w:pPr>
        <w:spacing w:after="0" w:line="200" w:lineRule="exact"/>
        <w:rPr>
          <w:sz w:val="20"/>
          <w:szCs w:val="20"/>
          <w:color w:val="auto"/>
        </w:rPr>
      </w:pPr>
    </w:p>
    <w:p>
      <w:pPr>
        <w:ind w:left="529" w:right="380" w:hanging="523"/>
        <w:spacing w:after="0" w:line="273" w:lineRule="auto"/>
        <w:tabs>
          <w:tab w:leader="none" w:pos="508" w:val="left"/>
        </w:tabs>
        <w:rPr>
          <w:sz w:val="20"/>
          <w:szCs w:val="20"/>
          <w:color w:val="auto"/>
        </w:rPr>
      </w:pPr>
      <w:r>
        <w:rPr>
          <w:rFonts w:ascii="Arial" w:cs="Arial" w:eastAsia="Arial" w:hAnsi="Arial"/>
          <w:sz w:val="17"/>
          <w:szCs w:val="17"/>
          <w:color w:val="auto"/>
        </w:rPr>
        <w:t>11.2</w:t>
        <w:tab/>
        <w:t>This Agreement shall be binding upon the successors and assigns of the parties and the name of a Party appearing herein shall be deemed to include the names of its successors and assigns provided always that nothing herein shall permit any assignment by either Party except as expressly provided herein.</w:t>
      </w:r>
    </w:p>
    <w:p>
      <w:pPr>
        <w:spacing w:after="0" w:line="191" w:lineRule="exact"/>
        <w:rPr>
          <w:sz w:val="20"/>
          <w:szCs w:val="20"/>
          <w:color w:val="auto"/>
        </w:rPr>
      </w:pPr>
    </w:p>
    <w:p>
      <w:pPr>
        <w:ind w:left="529" w:hanging="529"/>
        <w:spacing w:after="0"/>
        <w:tabs>
          <w:tab w:leader="none" w:pos="529" w:val="left"/>
        </w:tabs>
        <w:numPr>
          <w:ilvl w:val="0"/>
          <w:numId w:val="352"/>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 and Dispute Resolution</w:t>
      </w:r>
    </w:p>
    <w:p>
      <w:pPr>
        <w:spacing w:after="0" w:line="256" w:lineRule="exact"/>
        <w:rPr>
          <w:sz w:val="20"/>
          <w:szCs w:val="20"/>
          <w:color w:val="auto"/>
        </w:rPr>
      </w:pPr>
    </w:p>
    <w:p>
      <w:pPr>
        <w:ind w:left="9"/>
        <w:spacing w:after="0"/>
        <w:tabs>
          <w:tab w:leader="none" w:pos="508"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5"/>
          <w:szCs w:val="15"/>
          <w:color w:val="auto"/>
        </w:rPr>
        <w:t>The validity, construction and performance of this Agreement shall be governed by New York law to which the Parties submit.</w:t>
      </w:r>
    </w:p>
    <w:p>
      <w:pPr>
        <w:spacing w:after="0" w:line="158" w:lineRule="exact"/>
        <w:rPr>
          <w:sz w:val="20"/>
          <w:szCs w:val="20"/>
          <w:color w:val="auto"/>
        </w:rPr>
      </w:pPr>
    </w:p>
    <w:p>
      <w:pPr>
        <w:ind w:left="5249"/>
        <w:spacing w:after="0"/>
        <w:rPr>
          <w:sz w:val="20"/>
          <w:szCs w:val="20"/>
          <w:color w:val="auto"/>
        </w:rPr>
      </w:pPr>
      <w:r>
        <w:rPr>
          <w:rFonts w:ascii="Arial" w:cs="Arial" w:eastAsia="Arial" w:hAnsi="Arial"/>
          <w:sz w:val="17"/>
          <w:szCs w:val="17"/>
          <w:color w:val="auto"/>
        </w:rPr>
        <w:t>22</w:t>
      </w:r>
    </w:p>
    <w:p>
      <w:pPr>
        <w:spacing w:after="0" w:line="26" w:lineRule="exact"/>
        <w:rPr>
          <w:sz w:val="20"/>
          <w:szCs w:val="20"/>
          <w:color w:val="auto"/>
        </w:rPr>
      </w:pPr>
    </w:p>
    <w:p>
      <w:pPr>
        <w:ind w:left="1469" w:right="980" w:hanging="481"/>
        <w:spacing w:after="0" w:line="343" w:lineRule="auto"/>
        <w:tabs>
          <w:tab w:leader="none" w:pos="1241" w:val="left"/>
        </w:tabs>
        <w:numPr>
          <w:ilvl w:val="0"/>
          <w:numId w:val="353"/>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69"/>
          </w:cols>
          <w:pgMar w:left="611" w:top="455" w:right="619" w:bottom="1440" w:gutter="0" w:footer="0" w:header="0"/>
        </w:sectPr>
      </w:pPr>
    </w:p>
    <w:bookmarkStart w:id="412" w:name="page413"/>
    <w:bookmarkEnd w:id="412"/>
    <w:p>
      <w:pPr>
        <w:ind w:left="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4">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85" w:lineRule="exact"/>
        <w:rPr>
          <w:sz w:val="20"/>
          <w:szCs w:val="20"/>
          <w:color w:val="auto"/>
        </w:rPr>
      </w:pPr>
    </w:p>
    <w:p>
      <w:pPr>
        <w:ind w:left="529" w:right="300" w:hanging="523"/>
        <w:spacing w:after="0" w:line="289" w:lineRule="auto"/>
        <w:tabs>
          <w:tab w:leader="none" w:pos="508" w:val="left"/>
        </w:tabs>
        <w:rPr>
          <w:sz w:val="20"/>
          <w:szCs w:val="20"/>
          <w:color w:val="auto"/>
        </w:rPr>
      </w:pPr>
      <w:r>
        <w:rPr>
          <w:rFonts w:ascii="Arial" w:cs="Arial" w:eastAsia="Arial" w:hAnsi="Arial"/>
          <w:sz w:val="17"/>
          <w:szCs w:val="17"/>
          <w:color w:val="auto"/>
        </w:rPr>
        <w:t>12.2</w:t>
        <w:tab/>
        <w:t>Subject to Clause 12.3, the Parties shall have the right to proceed to a suitable jurisdiction for the purpose of enforcing a judgment, award, or order (including without limitation seeking specific performance) and injunctive reliefs.</w:t>
      </w:r>
    </w:p>
    <w:p>
      <w:pPr>
        <w:spacing w:after="0" w:line="184" w:lineRule="exact"/>
        <w:rPr>
          <w:sz w:val="20"/>
          <w:szCs w:val="20"/>
          <w:color w:val="auto"/>
        </w:rPr>
      </w:pPr>
    </w:p>
    <w:p>
      <w:pPr>
        <w:ind w:left="529" w:hanging="523"/>
        <w:spacing w:after="0" w:line="262" w:lineRule="auto"/>
        <w:tabs>
          <w:tab w:leader="none" w:pos="508" w:val="left"/>
        </w:tabs>
        <w:rPr>
          <w:sz w:val="20"/>
          <w:szCs w:val="20"/>
          <w:color w:val="auto"/>
        </w:rPr>
      </w:pPr>
      <w:r>
        <w:rPr>
          <w:rFonts w:ascii="Arial" w:cs="Arial" w:eastAsia="Arial" w:hAnsi="Arial"/>
          <w:sz w:val="17"/>
          <w:szCs w:val="17"/>
          <w:color w:val="auto"/>
        </w:rPr>
        <w:t>12.3</w:t>
        <w:tab/>
        <w:t>Any dispute arising between the Parties under this Agreement shall be referred to and finally settled by arbitration under the Rules of Arbitration of the International Chamber of Commerce by a single arbitrator knowledgeable in intellectual property matters and familiar with the biopharmaceutical industry, appointed in accordance with the said Rules. The place of arbitration shall be New York, New York, and the arbitration shall be conducted in the English language. The arbitrator’s award shall be final and binding. The Parties covenant and agree that they will participate in the arbitration in good faith and that they will share equally the costs of the arbitration, except as otherwise provided herein. Any Party refusing to comply with an order of the arbitrator will be liable for costs and expenses, including attorney’s fees, incurred by the other Party in enforcing an award.</w:t>
      </w:r>
    </w:p>
    <w:p>
      <w:pPr>
        <w:spacing w:after="0" w:line="203" w:lineRule="exact"/>
        <w:rPr>
          <w:sz w:val="20"/>
          <w:szCs w:val="20"/>
          <w:color w:val="auto"/>
        </w:rPr>
      </w:pPr>
    </w:p>
    <w:p>
      <w:pPr>
        <w:ind w:left="529" w:hanging="529"/>
        <w:spacing w:after="0"/>
        <w:tabs>
          <w:tab w:leader="none" w:pos="529" w:val="left"/>
        </w:tabs>
        <w:numPr>
          <w:ilvl w:val="0"/>
          <w:numId w:val="354"/>
        </w:numPr>
        <w:rPr>
          <w:rFonts w:ascii="Arial" w:cs="Arial" w:eastAsia="Arial" w:hAnsi="Arial"/>
          <w:sz w:val="17"/>
          <w:szCs w:val="17"/>
          <w:b w:val="1"/>
          <w:bCs w:val="1"/>
          <w:color w:val="auto"/>
        </w:rPr>
      </w:pPr>
      <w:r>
        <w:rPr>
          <w:rFonts w:ascii="Arial" w:cs="Arial" w:eastAsia="Arial" w:hAnsi="Arial"/>
          <w:sz w:val="17"/>
          <w:szCs w:val="17"/>
          <w:b w:val="1"/>
          <w:bCs w:val="1"/>
          <w:color w:val="auto"/>
        </w:rPr>
        <w:t>Force Majeure</w:t>
      </w:r>
    </w:p>
    <w:p>
      <w:pPr>
        <w:spacing w:after="0" w:line="229" w:lineRule="exact"/>
        <w:rPr>
          <w:rFonts w:ascii="Arial" w:cs="Arial" w:eastAsia="Arial" w:hAnsi="Arial"/>
          <w:sz w:val="17"/>
          <w:szCs w:val="17"/>
          <w:b w:val="1"/>
          <w:bCs w:val="1"/>
          <w:color w:val="auto"/>
        </w:rPr>
      </w:pPr>
    </w:p>
    <w:p>
      <w:pPr>
        <w:ind w:left="529"/>
        <w:spacing w:after="0" w:line="260" w:lineRule="auto"/>
        <w:rPr>
          <w:rFonts w:ascii="Arial" w:cs="Arial" w:eastAsia="Arial" w:hAnsi="Arial"/>
          <w:sz w:val="17"/>
          <w:szCs w:val="17"/>
          <w:b w:val="1"/>
          <w:bCs w:val="1"/>
          <w:color w:val="auto"/>
        </w:rPr>
      </w:pPr>
      <w:r>
        <w:rPr>
          <w:rFonts w:ascii="Arial" w:cs="Arial" w:eastAsia="Arial" w:hAnsi="Arial"/>
          <w:sz w:val="17"/>
          <w:szCs w:val="17"/>
          <w:color w:val="auto"/>
        </w:rPr>
        <w:t>Neither Party shall be in breach of this Agreement if there is any total or partial failure of performance by it of its duties and obligations under this Agreement occasioned by any act of God (including without limitation, fire), act of government or state, war, civil commotion, insurrection, embargo, epidemic, terrorism or earthquake, prevention from or hindrance in obtaining any raw materials, energy or other supplies, labour disputes of whatever nature and any other reason without the fault of and beyond the reasonable control of either Party. If either Party is unable to perform its duties and obligations under this Agreement as a direct result of the effect of one of the reasons set out in this Clause 13 such Party shall give written notice to the other of such inability stating the reason in question. The operation of this Agreement shall be suspended during the period (and only during the period) in which the reason continues. Forthwith upon the reason ceasing to exist the Party relying upon it shall give written notice to the other of this fact. If the reason continues for a period of more than [*] days and substantially affects the commercial basis of this Agreement, the Party not claiming under this Clause 13 shall have the right to terminate this Agreement by giving written notice of such termination to the other Party.</w:t>
      </w:r>
    </w:p>
    <w:p>
      <w:pPr>
        <w:spacing w:after="0" w:line="207" w:lineRule="exact"/>
        <w:rPr>
          <w:rFonts w:ascii="Arial" w:cs="Arial" w:eastAsia="Arial" w:hAnsi="Arial"/>
          <w:sz w:val="17"/>
          <w:szCs w:val="17"/>
          <w:b w:val="1"/>
          <w:bCs w:val="1"/>
          <w:color w:val="auto"/>
        </w:rPr>
      </w:pPr>
    </w:p>
    <w:p>
      <w:pPr>
        <w:ind w:left="529" w:hanging="529"/>
        <w:spacing w:after="0"/>
        <w:tabs>
          <w:tab w:leader="none" w:pos="529" w:val="left"/>
        </w:tabs>
        <w:numPr>
          <w:ilvl w:val="0"/>
          <w:numId w:val="354"/>
        </w:numPr>
        <w:rPr>
          <w:rFonts w:ascii="Arial" w:cs="Arial" w:eastAsia="Arial" w:hAnsi="Arial"/>
          <w:sz w:val="17"/>
          <w:szCs w:val="17"/>
          <w:b w:val="1"/>
          <w:bCs w:val="1"/>
          <w:color w:val="auto"/>
        </w:rPr>
      </w:pPr>
      <w:r>
        <w:rPr>
          <w:rFonts w:ascii="Arial" w:cs="Arial" w:eastAsia="Arial" w:hAnsi="Arial"/>
          <w:sz w:val="17"/>
          <w:szCs w:val="17"/>
          <w:b w:val="1"/>
          <w:bCs w:val="1"/>
          <w:color w:val="auto"/>
        </w:rPr>
        <w:t>Illegality</w:t>
      </w:r>
    </w:p>
    <w:p>
      <w:pPr>
        <w:spacing w:after="0" w:line="229" w:lineRule="exact"/>
        <w:rPr>
          <w:rFonts w:ascii="Arial" w:cs="Arial" w:eastAsia="Arial" w:hAnsi="Arial"/>
          <w:sz w:val="17"/>
          <w:szCs w:val="17"/>
          <w:b w:val="1"/>
          <w:bCs w:val="1"/>
          <w:color w:val="auto"/>
        </w:rPr>
      </w:pPr>
    </w:p>
    <w:p>
      <w:pPr>
        <w:ind w:left="529" w:right="30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If any provision or term of this Agreement or any part thereof shall become or be declared illegal, invalid or unenforceable for any reason whatsoever including but without limitation by reason of the provisions of any legislation or other provisions having the force of law or by reason of any decision of any Court or other body or authority having jurisdiction over the parties hereto or this Agreement including the EC Commission or the European Court of Justice:</w:t>
      </w:r>
    </w:p>
    <w:p>
      <w:pPr>
        <w:spacing w:after="0" w:line="203" w:lineRule="exact"/>
        <w:rPr>
          <w:rFonts w:ascii="Arial" w:cs="Arial" w:eastAsia="Arial" w:hAnsi="Arial"/>
          <w:sz w:val="17"/>
          <w:szCs w:val="17"/>
          <w:b w:val="1"/>
          <w:bCs w:val="1"/>
          <w:color w:val="auto"/>
        </w:rPr>
      </w:pPr>
    </w:p>
    <w:p>
      <w:pPr>
        <w:ind w:left="1269" w:right="280" w:hanging="745"/>
        <w:spacing w:after="0" w:line="289" w:lineRule="auto"/>
        <w:tabs>
          <w:tab w:leader="none" w:pos="1269" w:val="left"/>
        </w:tabs>
        <w:numPr>
          <w:ilvl w:val="1"/>
          <w:numId w:val="354"/>
        </w:numPr>
        <w:rPr>
          <w:rFonts w:ascii="Arial" w:cs="Arial" w:eastAsia="Arial" w:hAnsi="Arial"/>
          <w:sz w:val="17"/>
          <w:szCs w:val="17"/>
          <w:color w:val="auto"/>
        </w:rPr>
      </w:pPr>
      <w:r>
        <w:rPr>
          <w:rFonts w:ascii="Arial" w:cs="Arial" w:eastAsia="Arial" w:hAnsi="Arial"/>
          <w:sz w:val="17"/>
          <w:szCs w:val="17"/>
          <w:color w:val="auto"/>
        </w:rPr>
        <w:t>Such provision shall, so far as it is illegal, invalid or unenforceable, be given no effect by the Parties and shall be deemed not to be included in this Agreement;</w:t>
      </w:r>
    </w:p>
    <w:p>
      <w:pPr>
        <w:spacing w:after="0" w:line="183" w:lineRule="exact"/>
        <w:rPr>
          <w:rFonts w:ascii="Arial" w:cs="Arial" w:eastAsia="Arial" w:hAnsi="Arial"/>
          <w:sz w:val="17"/>
          <w:szCs w:val="17"/>
          <w:color w:val="auto"/>
        </w:rPr>
      </w:pPr>
    </w:p>
    <w:p>
      <w:pPr>
        <w:ind w:left="1269" w:hanging="745"/>
        <w:spacing w:after="0"/>
        <w:tabs>
          <w:tab w:leader="none" w:pos="1269" w:val="left"/>
        </w:tabs>
        <w:numPr>
          <w:ilvl w:val="1"/>
          <w:numId w:val="354"/>
        </w:numPr>
        <w:rPr>
          <w:rFonts w:ascii="Arial" w:cs="Arial" w:eastAsia="Arial" w:hAnsi="Arial"/>
          <w:sz w:val="17"/>
          <w:szCs w:val="17"/>
          <w:color w:val="auto"/>
        </w:rPr>
      </w:pPr>
      <w:r>
        <w:rPr>
          <w:rFonts w:ascii="Arial" w:cs="Arial" w:eastAsia="Arial" w:hAnsi="Arial"/>
          <w:sz w:val="17"/>
          <w:szCs w:val="17"/>
          <w:color w:val="auto"/>
        </w:rPr>
        <w:t>The other provisions of this Agreement shall be binding on the Parties as if such provision was not included therein; and</w:t>
      </w:r>
    </w:p>
    <w:p>
      <w:pPr>
        <w:spacing w:after="0" w:line="158"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23</w:t>
      </w:r>
    </w:p>
    <w:p>
      <w:pPr>
        <w:spacing w:after="0" w:line="26" w:lineRule="exact"/>
        <w:rPr>
          <w:sz w:val="20"/>
          <w:szCs w:val="20"/>
          <w:color w:val="auto"/>
        </w:rPr>
      </w:pPr>
    </w:p>
    <w:p>
      <w:pPr>
        <w:ind w:left="1469" w:right="980" w:hanging="481"/>
        <w:spacing w:after="0" w:line="343" w:lineRule="auto"/>
        <w:tabs>
          <w:tab w:leader="none" w:pos="1241" w:val="left"/>
        </w:tabs>
        <w:numPr>
          <w:ilvl w:val="0"/>
          <w:numId w:val="355"/>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69"/>
          </w:cols>
          <w:pgMar w:left="611" w:top="455" w:right="619" w:bottom="1440" w:gutter="0" w:footer="0" w:header="0"/>
        </w:sectPr>
      </w:pPr>
    </w:p>
    <w:bookmarkStart w:id="413" w:name="page414"/>
    <w:bookmarkEnd w:id="413"/>
    <w:p>
      <w:pPr>
        <w:ind w:left="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6">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85" w:lineRule="exact"/>
        <w:rPr>
          <w:sz w:val="20"/>
          <w:szCs w:val="20"/>
          <w:color w:val="auto"/>
        </w:rPr>
      </w:pPr>
    </w:p>
    <w:p>
      <w:pPr>
        <w:ind w:left="1269" w:hanging="745"/>
        <w:spacing w:after="0" w:line="322" w:lineRule="auto"/>
        <w:tabs>
          <w:tab w:leader="none" w:pos="1269" w:val="left"/>
        </w:tabs>
        <w:numPr>
          <w:ilvl w:val="1"/>
          <w:numId w:val="356"/>
        </w:numPr>
        <w:rPr>
          <w:rFonts w:ascii="Arial" w:cs="Arial" w:eastAsia="Arial" w:hAnsi="Arial"/>
          <w:sz w:val="16"/>
          <w:szCs w:val="16"/>
          <w:color w:val="auto"/>
        </w:rPr>
      </w:pPr>
      <w:r>
        <w:rPr>
          <w:rFonts w:ascii="Arial" w:cs="Arial" w:eastAsia="Arial" w:hAnsi="Arial"/>
          <w:sz w:val="16"/>
          <w:szCs w:val="16"/>
          <w:color w:val="auto"/>
        </w:rPr>
        <w:t>The Parties agree to negotiate in good faith to amend such provision to the extent possible for incorporation herein in such reasonable manner as most closely achieves the intention of the Parties without rendering such provision invalid or unenforceable.</w:t>
      </w:r>
    </w:p>
    <w:p>
      <w:pPr>
        <w:spacing w:after="0" w:line="155" w:lineRule="exact"/>
        <w:rPr>
          <w:rFonts w:ascii="Arial" w:cs="Arial" w:eastAsia="Arial" w:hAnsi="Arial"/>
          <w:sz w:val="16"/>
          <w:szCs w:val="16"/>
          <w:color w:val="auto"/>
        </w:rPr>
      </w:pPr>
    </w:p>
    <w:p>
      <w:pPr>
        <w:ind w:left="529" w:hanging="529"/>
        <w:spacing w:after="0"/>
        <w:tabs>
          <w:tab w:leader="none" w:pos="529" w:val="left"/>
        </w:tabs>
        <w:numPr>
          <w:ilvl w:val="0"/>
          <w:numId w:val="357"/>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256" w:lineRule="exact"/>
        <w:rPr>
          <w:sz w:val="20"/>
          <w:szCs w:val="20"/>
          <w:color w:val="auto"/>
        </w:rPr>
      </w:pPr>
    </w:p>
    <w:p>
      <w:pPr>
        <w:ind w:left="529" w:right="20" w:hanging="523"/>
        <w:spacing w:after="0" w:line="267" w:lineRule="auto"/>
        <w:tabs>
          <w:tab w:leader="none" w:pos="508" w:val="left"/>
        </w:tabs>
        <w:rPr>
          <w:sz w:val="20"/>
          <w:szCs w:val="20"/>
          <w:color w:val="auto"/>
        </w:rPr>
      </w:pPr>
      <w:r>
        <w:rPr>
          <w:rFonts w:ascii="Arial" w:cs="Arial" w:eastAsia="Arial" w:hAnsi="Arial"/>
          <w:sz w:val="17"/>
          <w:szCs w:val="17"/>
          <w:color w:val="auto"/>
        </w:rPr>
        <w:t>15.1</w:t>
        <w:tab/>
        <w:t>This Agreement embodies and sets forth the entire agreement and understanding of the parties and supersedes all prior oral and written agreements, representations, misrepresentations (where innocently or negligently made), understandings or arrangements relating to the subject matter of this Agreement (“</w:t>
      </w:r>
      <w:r>
        <w:rPr>
          <w:rFonts w:ascii="Arial" w:cs="Arial" w:eastAsia="Arial" w:hAnsi="Arial"/>
          <w:sz w:val="17"/>
          <w:szCs w:val="17"/>
          <w:b w:val="1"/>
          <w:bCs w:val="1"/>
          <w:color w:val="auto"/>
        </w:rPr>
        <w:t>Understandings</w:t>
      </w:r>
      <w:r>
        <w:rPr>
          <w:rFonts w:ascii="Arial" w:cs="Arial" w:eastAsia="Arial" w:hAnsi="Arial"/>
          <w:sz w:val="17"/>
          <w:szCs w:val="17"/>
          <w:color w:val="auto"/>
        </w:rPr>
        <w:t>”). Neither Party shall be entitled to rely on any Understandings which are not expressly set forth in this Agreement. For clarity, the REA is not superseded by this Agreement.</w:t>
      </w:r>
    </w:p>
    <w:p>
      <w:pPr>
        <w:spacing w:after="0" w:line="204" w:lineRule="exact"/>
        <w:rPr>
          <w:sz w:val="20"/>
          <w:szCs w:val="20"/>
          <w:color w:val="auto"/>
        </w:rPr>
      </w:pPr>
    </w:p>
    <w:p>
      <w:pPr>
        <w:ind w:left="529" w:right="380" w:hanging="523"/>
        <w:spacing w:after="0" w:line="289" w:lineRule="auto"/>
        <w:tabs>
          <w:tab w:leader="none" w:pos="508" w:val="left"/>
        </w:tabs>
        <w:rPr>
          <w:sz w:val="20"/>
          <w:szCs w:val="20"/>
          <w:color w:val="auto"/>
        </w:rPr>
      </w:pPr>
      <w:r>
        <w:rPr>
          <w:rFonts w:ascii="Arial" w:cs="Arial" w:eastAsia="Arial" w:hAnsi="Arial"/>
          <w:sz w:val="17"/>
          <w:szCs w:val="17"/>
          <w:color w:val="auto"/>
        </w:rPr>
        <w:t>15.2</w:t>
        <w:tab/>
        <w:t>This Agreement shall not be amended, modified, varied or supplemented except in writing signed by duly authorised representatives of the Parties.</w:t>
      </w:r>
    </w:p>
    <w:p>
      <w:pPr>
        <w:spacing w:after="0" w:line="184" w:lineRule="exact"/>
        <w:rPr>
          <w:sz w:val="20"/>
          <w:szCs w:val="20"/>
          <w:color w:val="auto"/>
        </w:rPr>
      </w:pPr>
    </w:p>
    <w:p>
      <w:pPr>
        <w:ind w:left="529" w:right="220" w:hanging="523"/>
        <w:spacing w:after="0" w:line="267" w:lineRule="auto"/>
        <w:tabs>
          <w:tab w:leader="none" w:pos="508" w:val="left"/>
        </w:tabs>
        <w:rPr>
          <w:sz w:val="20"/>
          <w:szCs w:val="20"/>
          <w:color w:val="auto"/>
        </w:rPr>
      </w:pPr>
      <w:r>
        <w:rPr>
          <w:rFonts w:ascii="Arial" w:cs="Arial" w:eastAsia="Arial" w:hAnsi="Arial"/>
          <w:sz w:val="17"/>
          <w:szCs w:val="17"/>
          <w:color w:val="auto"/>
        </w:rPr>
        <w:t>15.3</w:t>
        <w:tab/>
        <w:t>No failure or delay on the part of either Party hereto to exercise any right or remedy under this Agreement shall be construed or operated as a waiver thereof nor shall any single or partial exercise of any right or remedy under this Agreement preclude the exercise of any other right or remedy or preclude the further exercise of such right or remedy as the case may be. The rights and remedies provided in this Agreement are cumulative and are not exclusive of any rights or remedies provided by law.</w:t>
      </w:r>
    </w:p>
    <w:p>
      <w:pPr>
        <w:spacing w:after="0" w:line="204" w:lineRule="exact"/>
        <w:rPr>
          <w:sz w:val="20"/>
          <w:szCs w:val="20"/>
          <w:color w:val="auto"/>
        </w:rPr>
      </w:pPr>
    </w:p>
    <w:p>
      <w:pPr>
        <w:ind w:left="529" w:right="40" w:hanging="523"/>
        <w:spacing w:after="0" w:line="273" w:lineRule="auto"/>
        <w:tabs>
          <w:tab w:leader="none" w:pos="508" w:val="left"/>
        </w:tabs>
        <w:rPr>
          <w:sz w:val="20"/>
          <w:szCs w:val="20"/>
          <w:color w:val="auto"/>
        </w:rPr>
      </w:pPr>
      <w:r>
        <w:rPr>
          <w:rFonts w:ascii="Arial" w:cs="Arial" w:eastAsia="Arial" w:hAnsi="Arial"/>
          <w:sz w:val="17"/>
          <w:szCs w:val="17"/>
          <w:color w:val="auto"/>
        </w:rPr>
        <w:t>15.4</w:t>
        <w:tab/>
        <w:t>Except as required by law, the text of any press release or other communication to be published by or in the media whether of a scientific nature or otherwise and concerning this Agreement shall require the prior written approval of Lonza and Licensee, which approval shall not to be unreasonably withheld, conditioned or delayed.</w:t>
      </w:r>
    </w:p>
    <w:p>
      <w:pPr>
        <w:spacing w:after="0" w:line="197" w:lineRule="exact"/>
        <w:rPr>
          <w:sz w:val="20"/>
          <w:szCs w:val="20"/>
          <w:color w:val="auto"/>
        </w:rPr>
      </w:pPr>
    </w:p>
    <w:p>
      <w:pPr>
        <w:ind w:left="9"/>
        <w:spacing w:after="0"/>
        <w:tabs>
          <w:tab w:leader="none" w:pos="508" w:val="left"/>
        </w:tabs>
        <w:rPr>
          <w:sz w:val="20"/>
          <w:szCs w:val="20"/>
          <w:color w:val="auto"/>
        </w:rPr>
      </w:pPr>
      <w:r>
        <w:rPr>
          <w:rFonts w:ascii="Arial" w:cs="Arial" w:eastAsia="Arial" w:hAnsi="Arial"/>
          <w:sz w:val="17"/>
          <w:szCs w:val="17"/>
          <w:color w:val="auto"/>
        </w:rPr>
        <w:t>15.5</w:t>
      </w:r>
      <w:r>
        <w:rPr>
          <w:sz w:val="20"/>
          <w:szCs w:val="20"/>
          <w:color w:val="auto"/>
        </w:rPr>
        <w:tab/>
      </w:r>
      <w:r>
        <w:rPr>
          <w:rFonts w:ascii="Arial" w:cs="Arial" w:eastAsia="Arial" w:hAnsi="Arial"/>
          <w:sz w:val="15"/>
          <w:szCs w:val="15"/>
          <w:color w:val="auto"/>
        </w:rPr>
        <w:t>Each of the Parties shall be responsible for its respective legal and other costs incurred in relation to the preparation of this Agreement.</w:t>
      </w:r>
    </w:p>
    <w:p>
      <w:pPr>
        <w:spacing w:after="0" w:line="250" w:lineRule="exact"/>
        <w:rPr>
          <w:sz w:val="20"/>
          <w:szCs w:val="20"/>
          <w:color w:val="auto"/>
        </w:rPr>
      </w:pPr>
    </w:p>
    <w:p>
      <w:pPr>
        <w:ind w:left="529" w:right="280" w:hanging="523"/>
        <w:spacing w:after="0" w:line="289" w:lineRule="auto"/>
        <w:tabs>
          <w:tab w:leader="none" w:pos="508" w:val="left"/>
        </w:tabs>
        <w:rPr>
          <w:sz w:val="20"/>
          <w:szCs w:val="20"/>
          <w:color w:val="auto"/>
        </w:rPr>
      </w:pPr>
      <w:r>
        <w:rPr>
          <w:rFonts w:ascii="Arial" w:cs="Arial" w:eastAsia="Arial" w:hAnsi="Arial"/>
          <w:sz w:val="17"/>
          <w:szCs w:val="17"/>
          <w:color w:val="auto"/>
        </w:rPr>
        <w:t>15.6</w:t>
        <w:tab/>
        <w:t>The Parties do not intend that any term hereof should be enforceable by virtue of the Contracts (Rights of Third Parties) Act 1999, or by any other statute or common-law principle, by any person who is not a party to this Agreement.</w:t>
      </w:r>
    </w:p>
    <w:p>
      <w:pPr>
        <w:spacing w:after="0" w:line="178" w:lineRule="exact"/>
        <w:rPr>
          <w:sz w:val="20"/>
          <w:szCs w:val="20"/>
          <w:color w:val="auto"/>
        </w:rPr>
      </w:pPr>
    </w:p>
    <w:p>
      <w:pPr>
        <w:ind w:left="529" w:hanging="529"/>
        <w:spacing w:after="0"/>
        <w:tabs>
          <w:tab w:leader="none" w:pos="529" w:val="left"/>
        </w:tabs>
        <w:numPr>
          <w:ilvl w:val="0"/>
          <w:numId w:val="358"/>
        </w:numPr>
        <w:rPr>
          <w:rFonts w:ascii="Arial" w:cs="Arial" w:eastAsia="Arial" w:hAnsi="Arial"/>
          <w:sz w:val="17"/>
          <w:szCs w:val="17"/>
          <w:b w:val="1"/>
          <w:bCs w:val="1"/>
          <w:color w:val="auto"/>
        </w:rPr>
      </w:pPr>
      <w:r>
        <w:rPr>
          <w:rFonts w:ascii="Arial" w:cs="Arial" w:eastAsia="Arial" w:hAnsi="Arial"/>
          <w:sz w:val="17"/>
          <w:szCs w:val="17"/>
          <w:b w:val="1"/>
          <w:bCs w:val="1"/>
          <w:color w:val="auto"/>
        </w:rPr>
        <w:t>Notice</w:t>
      </w:r>
    </w:p>
    <w:p>
      <w:pPr>
        <w:spacing w:after="0" w:line="256" w:lineRule="exact"/>
        <w:rPr>
          <w:sz w:val="20"/>
          <w:szCs w:val="20"/>
          <w:color w:val="auto"/>
        </w:rPr>
      </w:pPr>
    </w:p>
    <w:p>
      <w:pPr>
        <w:jc w:val="both"/>
        <w:ind w:left="529" w:right="240" w:hanging="523"/>
        <w:spacing w:after="0" w:line="273" w:lineRule="auto"/>
        <w:tabs>
          <w:tab w:leader="none" w:pos="508" w:val="left"/>
        </w:tabs>
        <w:rPr>
          <w:sz w:val="20"/>
          <w:szCs w:val="20"/>
          <w:color w:val="auto"/>
        </w:rPr>
      </w:pPr>
      <w:r>
        <w:rPr>
          <w:rFonts w:ascii="Arial" w:cs="Arial" w:eastAsia="Arial" w:hAnsi="Arial"/>
          <w:sz w:val="17"/>
          <w:szCs w:val="17"/>
          <w:color w:val="auto"/>
        </w:rPr>
        <w:t>16.1</w:t>
        <w:tab/>
        <w:t>Any notice or other document to be given under this Agreement shall be in writing and shall be deemed to have been duly given if sent by a reputable overnight courier to a Party or delivered in person to a Party at the address set out below for such Party or such other address as the Party may from time to time designate by written notice to the other(s):</w:t>
      </w:r>
    </w:p>
    <w:p>
      <w:pPr>
        <w:spacing w:after="0" w:line="165" w:lineRule="exact"/>
        <w:rPr>
          <w:sz w:val="20"/>
          <w:szCs w:val="20"/>
          <w:color w:val="auto"/>
        </w:rPr>
      </w:pPr>
    </w:p>
    <w:p>
      <w:pPr>
        <w:ind w:left="849"/>
        <w:spacing w:after="0"/>
        <w:rPr>
          <w:sz w:val="20"/>
          <w:szCs w:val="20"/>
          <w:color w:val="auto"/>
        </w:rPr>
      </w:pPr>
      <w:r>
        <w:rPr>
          <w:rFonts w:ascii="Arial" w:cs="Arial" w:eastAsia="Arial" w:hAnsi="Arial"/>
          <w:sz w:val="17"/>
          <w:szCs w:val="17"/>
          <w:b w:val="1"/>
          <w:bCs w:val="1"/>
          <w:color w:val="auto"/>
        </w:rPr>
        <w:t>Address of Lonza</w:t>
      </w:r>
    </w:p>
    <w:p>
      <w:pPr>
        <w:spacing w:after="0" w:line="125" w:lineRule="exact"/>
        <w:rPr>
          <w:sz w:val="20"/>
          <w:szCs w:val="20"/>
          <w:color w:val="auto"/>
        </w:rPr>
      </w:pPr>
    </w:p>
    <w:p>
      <w:pPr>
        <w:ind w:left="849"/>
        <w:spacing w:after="0"/>
        <w:rPr>
          <w:sz w:val="20"/>
          <w:szCs w:val="20"/>
          <w:color w:val="auto"/>
        </w:rPr>
      </w:pPr>
      <w:r>
        <w:rPr>
          <w:rFonts w:ascii="Arial" w:cs="Arial" w:eastAsia="Arial" w:hAnsi="Arial"/>
          <w:sz w:val="17"/>
          <w:szCs w:val="17"/>
          <w:color w:val="auto"/>
        </w:rPr>
        <w:t>Lonza Sales AG, Muenchensteinerstrasse 38 CH-4402, Basel, Switzerland</w:t>
      </w:r>
    </w:p>
    <w:p>
      <w:pPr>
        <w:sectPr>
          <w:pgSz w:w="11900" w:h="16838" w:orient="portrait"/>
          <w:cols w:equalWidth="0" w:num="1">
            <w:col w:w="10609"/>
          </w:cols>
          <w:pgMar w:left="611" w:top="454" w:right="679" w:bottom="1440" w:gutter="0" w:footer="0" w:header="0"/>
        </w:sectPr>
      </w:pPr>
    </w:p>
    <w:p>
      <w:pPr>
        <w:spacing w:after="0" w:line="250" w:lineRule="exact"/>
        <w:rPr>
          <w:sz w:val="20"/>
          <w:szCs w:val="20"/>
          <w:color w:val="auto"/>
        </w:rPr>
      </w:pPr>
    </w:p>
    <w:p>
      <w:pPr>
        <w:ind w:left="849"/>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Lonza Biologics Plc</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228 Bath Road, Slough, Berkshire SL1 4DX</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Facsimile: 01753 777001</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For the attention of the Head of Legal Services</w:t>
      </w:r>
    </w:p>
    <w:p>
      <w:pPr>
        <w:spacing w:after="0" w:line="169" w:lineRule="exact"/>
        <w:rPr>
          <w:sz w:val="20"/>
          <w:szCs w:val="20"/>
          <w:color w:val="auto"/>
        </w:rPr>
      </w:pPr>
    </w:p>
    <w:p>
      <w:pPr>
        <w:sectPr>
          <w:pgSz w:w="11900" w:h="16838" w:orient="portrait"/>
          <w:cols w:equalWidth="0" w:num="2">
            <w:col w:w="1929" w:space="320"/>
            <w:col w:w="8360"/>
          </w:cols>
          <w:pgMar w:left="611" w:top="454" w:right="679" w:bottom="1440" w:gutter="0" w:footer="0" w:header="0"/>
          <w:type w:val="continuous"/>
        </w:sectPr>
      </w:pPr>
    </w:p>
    <w:p>
      <w:pPr>
        <w:jc w:val="center"/>
        <w:ind w:right="-68"/>
        <w:spacing w:after="0"/>
        <w:rPr>
          <w:sz w:val="20"/>
          <w:szCs w:val="20"/>
          <w:color w:val="auto"/>
        </w:rPr>
      </w:pPr>
      <w:r>
        <w:rPr>
          <w:rFonts w:ascii="Arial" w:cs="Arial" w:eastAsia="Arial" w:hAnsi="Arial"/>
          <w:sz w:val="17"/>
          <w:szCs w:val="17"/>
          <w:color w:val="auto"/>
        </w:rPr>
        <w:t>24</w:t>
      </w:r>
    </w:p>
    <w:p>
      <w:pPr>
        <w:spacing w:after="0" w:line="26" w:lineRule="exact"/>
        <w:rPr>
          <w:sz w:val="20"/>
          <w:szCs w:val="20"/>
          <w:color w:val="auto"/>
        </w:rPr>
      </w:pPr>
    </w:p>
    <w:p>
      <w:pPr>
        <w:ind w:left="1469" w:right="920" w:hanging="481"/>
        <w:spacing w:after="0" w:line="343" w:lineRule="auto"/>
        <w:tabs>
          <w:tab w:leader="none" w:pos="1241" w:val="left"/>
        </w:tabs>
        <w:numPr>
          <w:ilvl w:val="0"/>
          <w:numId w:val="359"/>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09"/>
          </w:cols>
          <w:pgMar w:left="611" w:top="454" w:right="679" w:bottom="1440" w:gutter="0" w:footer="0" w:header="0"/>
          <w:type w:val="continuous"/>
        </w:sectPr>
      </w:pPr>
    </w:p>
    <w:bookmarkStart w:id="414" w:name="page415"/>
    <w:bookmarkEnd w:id="41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8">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79"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Address of Licensee</w:t>
      </w:r>
    </w:p>
    <w:p>
      <w:pPr>
        <w:spacing w:after="0" w:line="125" w:lineRule="exact"/>
        <w:rPr>
          <w:sz w:val="20"/>
          <w:szCs w:val="20"/>
          <w:color w:val="auto"/>
        </w:rPr>
      </w:pPr>
    </w:p>
    <w:p>
      <w:pPr>
        <w:ind w:left="840"/>
        <w:spacing w:after="0"/>
        <w:rPr>
          <w:sz w:val="20"/>
          <w:szCs w:val="20"/>
          <w:color w:val="auto"/>
        </w:rPr>
      </w:pPr>
      <w:r>
        <w:rPr>
          <w:rFonts w:ascii="Arial" w:cs="Arial" w:eastAsia="Arial" w:hAnsi="Arial"/>
          <w:sz w:val="17"/>
          <w:szCs w:val="17"/>
          <w:color w:val="auto"/>
        </w:rPr>
        <w:t>NGM BIOPHARMACEUTICALS, INC., of 630 Gateway Blvd., South San Francisco, CA 94080, USA</w:t>
      </w:r>
    </w:p>
    <w:p>
      <w:pPr>
        <w:spacing w:after="0" w:line="11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For the attention of Business Development, with a copy to Head of Biologics</w:t>
      </w:r>
    </w:p>
    <w:p>
      <w:pPr>
        <w:spacing w:after="0" w:line="250" w:lineRule="exact"/>
        <w:rPr>
          <w:sz w:val="20"/>
          <w:szCs w:val="20"/>
          <w:color w:val="auto"/>
        </w:rPr>
      </w:pPr>
    </w:p>
    <w:p>
      <w:pPr>
        <w:jc w:val="both"/>
        <w:ind w:left="520" w:right="160" w:hanging="523"/>
        <w:spacing w:after="0" w:line="273" w:lineRule="auto"/>
        <w:tabs>
          <w:tab w:leader="none" w:pos="500" w:val="left"/>
        </w:tabs>
        <w:rPr>
          <w:sz w:val="20"/>
          <w:szCs w:val="20"/>
          <w:color w:val="auto"/>
        </w:rPr>
      </w:pPr>
      <w:r>
        <w:rPr>
          <w:rFonts w:ascii="Arial" w:cs="Arial" w:eastAsia="Arial" w:hAnsi="Arial"/>
          <w:sz w:val="17"/>
          <w:szCs w:val="17"/>
          <w:color w:val="auto"/>
        </w:rPr>
        <w:t>16.2</w:t>
        <w:tab/>
        <w:t>All such notices and documents shall be in the English language. Any such notice or other document shall be deemed to have been received by the addressee at the time of such delivery. To prove the giving of a notice or other document it shall be sufficient to show that it was dispatched and that the recipient signed at delivery.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AS WITNESS the hands of the duly authorised representatives of the parties hereto</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20" w:type="dxa"/>
            <w:vAlign w:val="bottom"/>
          </w:tcPr>
          <w:p>
            <w:pPr>
              <w:spacing w:after="0"/>
              <w:rPr>
                <w:sz w:val="20"/>
                <w:szCs w:val="20"/>
                <w:color w:val="auto"/>
              </w:rPr>
            </w:pPr>
            <w:r>
              <w:rPr>
                <w:rFonts w:ascii="Arial" w:cs="Arial" w:eastAsia="Arial" w:hAnsi="Arial"/>
                <w:sz w:val="17"/>
                <w:szCs w:val="17"/>
                <w:color w:val="auto"/>
              </w:rPr>
              <w:t>Signed for and on behalf of</w:t>
            </w:r>
          </w:p>
        </w:tc>
        <w:tc>
          <w:tcPr>
            <w:tcW w:w="16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Daniel Blättler</w:t>
            </w:r>
          </w:p>
        </w:tc>
        <w:tc>
          <w:tcPr>
            <w:tcW w:w="326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120" w:type="dxa"/>
            <w:vAlign w:val="bottom"/>
          </w:tcPr>
          <w:p>
            <w:pPr>
              <w:spacing w:after="0"/>
              <w:rPr>
                <w:sz w:val="20"/>
                <w:szCs w:val="20"/>
                <w:color w:val="auto"/>
              </w:rPr>
            </w:pPr>
            <w:r>
              <w:rPr>
                <w:rFonts w:ascii="Arial" w:cs="Arial" w:eastAsia="Arial" w:hAnsi="Arial"/>
                <w:sz w:val="17"/>
                <w:szCs w:val="17"/>
                <w:color w:val="auto"/>
              </w:rPr>
              <w:t>LONZA SALES AG</w:t>
            </w:r>
          </w:p>
        </w:tc>
        <w:tc>
          <w:tcPr>
            <w:tcW w:w="4920" w:type="dxa"/>
            <w:vAlign w:val="bottom"/>
            <w:gridSpan w:val="2"/>
            <w:vMerge w:val="restart"/>
          </w:tcPr>
          <w:p>
            <w:pPr>
              <w:ind w:left="120"/>
              <w:spacing w:after="0"/>
              <w:rPr>
                <w:sz w:val="20"/>
                <w:szCs w:val="20"/>
                <w:color w:val="auto"/>
              </w:rPr>
            </w:pPr>
            <w:r>
              <w:rPr>
                <w:rFonts w:ascii="Arial" w:cs="Arial" w:eastAsia="Arial" w:hAnsi="Arial"/>
                <w:sz w:val="17"/>
                <w:szCs w:val="17"/>
                <w:color w:val="auto"/>
              </w:rPr>
              <w:t>General Counsel, Head of Legal Team Basel</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auto"/>
                <w:w w:val="99"/>
              </w:rPr>
              <w:t>TITLE</w:t>
            </w:r>
          </w:p>
        </w:tc>
        <w:tc>
          <w:tcPr>
            <w:tcW w:w="0" w:type="dxa"/>
            <w:vAlign w:val="bottom"/>
          </w:tcPr>
          <w:p>
            <w:pPr>
              <w:spacing w:after="0"/>
              <w:rPr>
                <w:sz w:val="1"/>
                <w:szCs w:val="1"/>
                <w:color w:val="auto"/>
              </w:rPr>
            </w:pPr>
          </w:p>
        </w:tc>
      </w:tr>
      <w:tr>
        <w:trPr>
          <w:trHeight w:val="425"/>
        </w:trPr>
        <w:tc>
          <w:tcPr>
            <w:tcW w:w="5120" w:type="dxa"/>
            <w:vAlign w:val="bottom"/>
          </w:tcPr>
          <w:p>
            <w:pPr>
              <w:spacing w:after="0"/>
              <w:rPr>
                <w:sz w:val="24"/>
                <w:szCs w:val="24"/>
                <w:color w:val="auto"/>
              </w:rPr>
            </w:pPr>
          </w:p>
        </w:tc>
        <w:tc>
          <w:tcPr>
            <w:tcW w:w="4920" w:type="dxa"/>
            <w:vAlign w:val="bottom"/>
            <w:tcBorders>
              <w:bottom w:val="single" w:sz="8" w:color="auto"/>
            </w:tcBorders>
            <w:gridSpan w:val="2"/>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5120" w:type="dxa"/>
            <w:vAlign w:val="bottom"/>
          </w:tcPr>
          <w:p>
            <w:pPr>
              <w:spacing w:after="0"/>
              <w:rPr>
                <w:sz w:val="20"/>
                <w:szCs w:val="20"/>
                <w:color w:val="auto"/>
              </w:rPr>
            </w:pPr>
            <w:r>
              <w:rPr>
                <w:rFonts w:ascii="Arial" w:cs="Arial" w:eastAsia="Arial" w:hAnsi="Arial"/>
                <w:sz w:val="17"/>
                <w:szCs w:val="17"/>
                <w:color w:val="auto"/>
              </w:rPr>
              <w:t>Signed for and on behalf of</w:t>
            </w:r>
          </w:p>
        </w:tc>
        <w:tc>
          <w:tcPr>
            <w:tcW w:w="16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Daniel Bourgin</w:t>
            </w:r>
          </w:p>
        </w:tc>
        <w:tc>
          <w:tcPr>
            <w:tcW w:w="326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120" w:type="dxa"/>
            <w:vAlign w:val="bottom"/>
          </w:tcPr>
          <w:p>
            <w:pPr>
              <w:spacing w:after="0"/>
              <w:rPr>
                <w:sz w:val="20"/>
                <w:szCs w:val="20"/>
                <w:color w:val="auto"/>
              </w:rPr>
            </w:pPr>
            <w:r>
              <w:rPr>
                <w:rFonts w:ascii="Arial" w:cs="Arial" w:eastAsia="Arial" w:hAnsi="Arial"/>
                <w:sz w:val="17"/>
                <w:szCs w:val="17"/>
                <w:color w:val="auto"/>
              </w:rPr>
              <w:t>LONZA SALES AG</w:t>
            </w:r>
          </w:p>
        </w:tc>
        <w:tc>
          <w:tcPr>
            <w:tcW w:w="1660" w:type="dxa"/>
            <w:vAlign w:val="bottom"/>
            <w:vMerge w:val="restart"/>
          </w:tcPr>
          <w:p>
            <w:pPr>
              <w:ind w:left="120"/>
              <w:spacing w:after="0"/>
              <w:rPr>
                <w:sz w:val="20"/>
                <w:szCs w:val="20"/>
                <w:color w:val="auto"/>
              </w:rPr>
            </w:pPr>
            <w:r>
              <w:rPr>
                <w:rFonts w:ascii="Arial" w:cs="Arial" w:eastAsia="Arial" w:hAnsi="Arial"/>
                <w:sz w:val="17"/>
                <w:szCs w:val="17"/>
                <w:color w:val="auto"/>
              </w:rPr>
              <w:t>Director Sales</w:t>
            </w:r>
          </w:p>
        </w:tc>
        <w:tc>
          <w:tcPr>
            <w:tcW w:w="3260" w:type="dxa"/>
            <w:vAlign w:val="bottom"/>
            <w:vMerge w:val="restart"/>
          </w:tcPr>
          <w:p>
            <w:pPr>
              <w:ind w:left="60"/>
              <w:spacing w:after="0"/>
              <w:rPr>
                <w:sz w:val="20"/>
                <w:szCs w:val="20"/>
                <w:color w:val="auto"/>
              </w:rPr>
            </w:pPr>
            <w:r>
              <w:rPr>
                <w:rFonts w:ascii="Arial" w:cs="Arial" w:eastAsia="Arial" w:hAnsi="Arial"/>
                <w:sz w:val="17"/>
                <w:szCs w:val="17"/>
                <w:color w:val="auto"/>
              </w:rPr>
              <w:t>Pharma</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auto"/>
                <w:w w:val="99"/>
              </w:rPr>
              <w:t>TITLE</w:t>
            </w:r>
          </w:p>
        </w:tc>
        <w:tc>
          <w:tcPr>
            <w:tcW w:w="0" w:type="dxa"/>
            <w:vAlign w:val="bottom"/>
          </w:tcPr>
          <w:p>
            <w:pPr>
              <w:spacing w:after="0"/>
              <w:rPr>
                <w:sz w:val="1"/>
                <w:szCs w:val="1"/>
                <w:color w:val="auto"/>
              </w:rPr>
            </w:pPr>
          </w:p>
        </w:tc>
      </w:tr>
      <w:tr>
        <w:trPr>
          <w:trHeight w:val="425"/>
        </w:trPr>
        <w:tc>
          <w:tcPr>
            <w:tcW w:w="5120" w:type="dxa"/>
            <w:vAlign w:val="bottom"/>
          </w:tcPr>
          <w:p>
            <w:pPr>
              <w:spacing w:after="0"/>
              <w:rPr>
                <w:sz w:val="24"/>
                <w:szCs w:val="24"/>
                <w:color w:val="auto"/>
              </w:rPr>
            </w:pPr>
          </w:p>
        </w:tc>
        <w:tc>
          <w:tcPr>
            <w:tcW w:w="1660" w:type="dxa"/>
            <w:vAlign w:val="bottom"/>
            <w:tcBorders>
              <w:bottom w:val="single" w:sz="8" w:color="auto"/>
            </w:tcBorders>
            <w:vMerge w:val="continue"/>
          </w:tcPr>
          <w:p>
            <w:pPr>
              <w:spacing w:after="0"/>
              <w:rPr>
                <w:sz w:val="24"/>
                <w:szCs w:val="24"/>
                <w:color w:val="auto"/>
              </w:rPr>
            </w:pPr>
          </w:p>
        </w:tc>
        <w:tc>
          <w:tcPr>
            <w:tcW w:w="3260" w:type="dxa"/>
            <w:vAlign w:val="bottom"/>
            <w:tcBorders>
              <w:bottom w:val="single" w:sz="8" w:color="auto"/>
            </w:tcBorders>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5120" w:type="dxa"/>
            <w:vAlign w:val="bottom"/>
          </w:tcPr>
          <w:p>
            <w:pPr>
              <w:spacing w:after="0"/>
              <w:rPr>
                <w:sz w:val="20"/>
                <w:szCs w:val="20"/>
                <w:color w:val="auto"/>
              </w:rPr>
            </w:pPr>
            <w:r>
              <w:rPr>
                <w:rFonts w:ascii="Arial" w:cs="Arial" w:eastAsia="Arial" w:hAnsi="Arial"/>
                <w:sz w:val="17"/>
                <w:szCs w:val="17"/>
                <w:color w:val="auto"/>
              </w:rPr>
              <w:t>Signed for and on behalf of</w:t>
            </w:r>
          </w:p>
        </w:tc>
        <w:tc>
          <w:tcPr>
            <w:tcW w:w="16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William J. Rieflin</w:t>
            </w:r>
          </w:p>
        </w:tc>
        <w:tc>
          <w:tcPr>
            <w:tcW w:w="326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120" w:type="dxa"/>
            <w:vAlign w:val="bottom"/>
          </w:tcPr>
          <w:p>
            <w:pPr>
              <w:spacing w:after="0"/>
              <w:rPr>
                <w:sz w:val="20"/>
                <w:szCs w:val="20"/>
                <w:color w:val="auto"/>
              </w:rPr>
            </w:pPr>
            <w:r>
              <w:rPr>
                <w:rFonts w:ascii="Arial" w:cs="Arial" w:eastAsia="Arial" w:hAnsi="Arial"/>
                <w:sz w:val="17"/>
                <w:szCs w:val="17"/>
                <w:color w:val="auto"/>
              </w:rPr>
              <w:t>NGM BIOPHARMACEUTICALS, INC.</w:t>
            </w:r>
          </w:p>
        </w:tc>
        <w:tc>
          <w:tcPr>
            <w:tcW w:w="1660" w:type="dxa"/>
            <w:vAlign w:val="bottom"/>
            <w:vMerge w:val="restart"/>
          </w:tcPr>
          <w:p>
            <w:pPr>
              <w:ind w:left="120"/>
              <w:spacing w:after="0"/>
              <w:rPr>
                <w:sz w:val="20"/>
                <w:szCs w:val="20"/>
                <w:color w:val="auto"/>
              </w:rPr>
            </w:pPr>
            <w:r>
              <w:rPr>
                <w:rFonts w:ascii="Arial" w:cs="Arial" w:eastAsia="Arial" w:hAnsi="Arial"/>
                <w:sz w:val="17"/>
                <w:szCs w:val="17"/>
                <w:color w:val="auto"/>
              </w:rPr>
              <w:t>CEO</w:t>
            </w:r>
          </w:p>
        </w:tc>
        <w:tc>
          <w:tcPr>
            <w:tcW w:w="3260" w:type="dxa"/>
            <w:vAlign w:val="bottom"/>
          </w:tcPr>
          <w:p>
            <w:pPr>
              <w:spacing w:after="0"/>
              <w:rPr>
                <w:sz w:val="17"/>
                <w:szCs w:val="17"/>
                <w:color w:val="auto"/>
              </w:rPr>
            </w:pPr>
          </w:p>
        </w:tc>
        <w:tc>
          <w:tcPr>
            <w:tcW w:w="640" w:type="dxa"/>
            <w:vAlign w:val="bottom"/>
            <w:vMerge w:val="restart"/>
          </w:tcPr>
          <w:p>
            <w:pPr>
              <w:ind w:left="160"/>
              <w:spacing w:after="0"/>
              <w:rPr>
                <w:sz w:val="20"/>
                <w:szCs w:val="20"/>
                <w:color w:val="auto"/>
              </w:rPr>
            </w:pPr>
            <w:r>
              <w:rPr>
                <w:rFonts w:ascii="Arial" w:cs="Arial" w:eastAsia="Arial" w:hAnsi="Arial"/>
                <w:sz w:val="17"/>
                <w:szCs w:val="17"/>
                <w:color w:val="auto"/>
                <w:w w:val="99"/>
              </w:rPr>
              <w:t>TITLE</w:t>
            </w:r>
          </w:p>
        </w:tc>
        <w:tc>
          <w:tcPr>
            <w:tcW w:w="0" w:type="dxa"/>
            <w:vAlign w:val="bottom"/>
          </w:tcPr>
          <w:p>
            <w:pPr>
              <w:spacing w:after="0"/>
              <w:rPr>
                <w:sz w:val="1"/>
                <w:szCs w:val="1"/>
                <w:color w:val="auto"/>
              </w:rPr>
            </w:pPr>
          </w:p>
        </w:tc>
      </w:tr>
      <w:tr>
        <w:trPr>
          <w:trHeight w:val="420"/>
        </w:trPr>
        <w:tc>
          <w:tcPr>
            <w:tcW w:w="5120" w:type="dxa"/>
            <w:vAlign w:val="bottom"/>
          </w:tcPr>
          <w:p>
            <w:pPr>
              <w:spacing w:after="0"/>
              <w:rPr>
                <w:sz w:val="24"/>
                <w:szCs w:val="24"/>
                <w:color w:val="auto"/>
              </w:rPr>
            </w:pPr>
          </w:p>
        </w:tc>
        <w:tc>
          <w:tcPr>
            <w:tcW w:w="1660" w:type="dxa"/>
            <w:vAlign w:val="bottom"/>
            <w:tcBorders>
              <w:bottom w:val="single" w:sz="8" w:color="auto"/>
            </w:tcBorders>
            <w:vMerge w:val="continue"/>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6" w:lineRule="exact"/>
        <w:rPr>
          <w:sz w:val="20"/>
          <w:szCs w:val="20"/>
          <w:color w:val="auto"/>
        </w:rPr>
      </w:pPr>
    </w:p>
    <w:p>
      <w:pPr>
        <w:ind w:left="1460" w:right="1000" w:hanging="481"/>
        <w:spacing w:after="0" w:line="343" w:lineRule="auto"/>
        <w:tabs>
          <w:tab w:leader="none" w:pos="1232" w:val="left"/>
        </w:tabs>
        <w:numPr>
          <w:ilvl w:val="0"/>
          <w:numId w:val="360"/>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80"/>
          </w:cols>
          <w:pgMar w:left="620" w:top="455" w:right="599" w:bottom="1440" w:gutter="0" w:footer="0" w:header="0"/>
        </w:sectPr>
      </w:pPr>
    </w:p>
    <w:bookmarkStart w:id="415" w:name="page416"/>
    <w:bookmarkEnd w:id="41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0">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79" w:lineRule="exact"/>
        <w:rPr>
          <w:sz w:val="20"/>
          <w:szCs w:val="20"/>
          <w:color w:val="auto"/>
        </w:rPr>
      </w:pPr>
    </w:p>
    <w:p>
      <w:pPr>
        <w:jc w:val="center"/>
        <w:ind w:right="-820"/>
        <w:spacing w:after="0"/>
        <w:rPr>
          <w:sz w:val="20"/>
          <w:szCs w:val="20"/>
          <w:color w:val="auto"/>
        </w:rPr>
      </w:pPr>
      <w:r>
        <w:rPr>
          <w:rFonts w:ascii="Arial" w:cs="Arial" w:eastAsia="Arial" w:hAnsi="Arial"/>
          <w:sz w:val="17"/>
          <w:szCs w:val="17"/>
          <w:b w:val="1"/>
          <w:bCs w:val="1"/>
          <w:u w:val="single" w:color="auto"/>
          <w:color w:val="auto"/>
        </w:rPr>
        <w:t>APPENDIX 1A</w:t>
      </w:r>
    </w:p>
    <w:p>
      <w:pPr>
        <w:spacing w:after="0" w:line="224" w:lineRule="exact"/>
        <w:rPr>
          <w:sz w:val="20"/>
          <w:szCs w:val="20"/>
          <w:color w:val="auto"/>
        </w:rPr>
      </w:pPr>
    </w:p>
    <w:p>
      <w:pPr>
        <w:ind w:left="4240"/>
        <w:spacing w:after="0"/>
        <w:rPr>
          <w:sz w:val="20"/>
          <w:szCs w:val="20"/>
          <w:color w:val="auto"/>
        </w:rPr>
      </w:pPr>
      <w:r>
        <w:rPr>
          <w:rFonts w:ascii="Arial" w:cs="Arial" w:eastAsia="Arial" w:hAnsi="Arial"/>
          <w:sz w:val="17"/>
          <w:szCs w:val="17"/>
          <w:b w:val="1"/>
          <w:bCs w:val="1"/>
          <w:u w:val="single" w:color="auto"/>
          <w:color w:val="auto"/>
        </w:rPr>
        <w:t>PATENT RIGHTS (LONZA)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6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6" w:lineRule="exact"/>
        <w:rPr>
          <w:sz w:val="20"/>
          <w:szCs w:val="20"/>
          <w:color w:val="auto"/>
        </w:rPr>
      </w:pPr>
    </w:p>
    <w:p>
      <w:pPr>
        <w:ind w:left="1460" w:right="159" w:hanging="481"/>
        <w:spacing w:after="0" w:line="343" w:lineRule="auto"/>
        <w:tabs>
          <w:tab w:leader="none" w:pos="1232" w:val="left"/>
        </w:tabs>
        <w:numPr>
          <w:ilvl w:val="0"/>
          <w:numId w:val="361"/>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839"/>
          </w:cols>
          <w:pgMar w:left="620" w:top="455" w:right="1440" w:bottom="1440" w:gutter="0" w:footer="0" w:header="0"/>
        </w:sectPr>
      </w:pPr>
    </w:p>
    <w:bookmarkStart w:id="416" w:name="page417"/>
    <w:bookmarkEnd w:id="41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2">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79" w:lineRule="exact"/>
        <w:rPr>
          <w:sz w:val="20"/>
          <w:szCs w:val="20"/>
          <w:color w:val="auto"/>
        </w:rPr>
      </w:pPr>
    </w:p>
    <w:p>
      <w:pPr>
        <w:jc w:val="center"/>
        <w:ind w:right="-820"/>
        <w:spacing w:after="0"/>
        <w:rPr>
          <w:sz w:val="20"/>
          <w:szCs w:val="20"/>
          <w:color w:val="auto"/>
        </w:rPr>
      </w:pPr>
      <w:r>
        <w:rPr>
          <w:rFonts w:ascii="Arial" w:cs="Arial" w:eastAsia="Arial" w:hAnsi="Arial"/>
          <w:sz w:val="17"/>
          <w:szCs w:val="17"/>
          <w:b w:val="1"/>
          <w:bCs w:val="1"/>
          <w:u w:val="single" w:color="auto"/>
          <w:color w:val="auto"/>
        </w:rPr>
        <w:t>APPENDIX 1B</w:t>
      </w:r>
    </w:p>
    <w:p>
      <w:pPr>
        <w:spacing w:after="0" w:line="224" w:lineRule="exact"/>
        <w:rPr>
          <w:sz w:val="20"/>
          <w:szCs w:val="20"/>
          <w:color w:val="auto"/>
        </w:rPr>
      </w:pPr>
    </w:p>
    <w:p>
      <w:pPr>
        <w:ind w:left="3960"/>
        <w:spacing w:after="0"/>
        <w:rPr>
          <w:sz w:val="20"/>
          <w:szCs w:val="20"/>
          <w:color w:val="auto"/>
        </w:rPr>
      </w:pPr>
      <w:r>
        <w:rPr>
          <w:rFonts w:ascii="Arial" w:cs="Arial" w:eastAsia="Arial" w:hAnsi="Arial"/>
          <w:sz w:val="17"/>
          <w:szCs w:val="17"/>
          <w:b w:val="1"/>
          <w:bCs w:val="1"/>
          <w:u w:val="single" w:color="auto"/>
          <w:color w:val="auto"/>
        </w:rPr>
        <w:t>PATENT RIGHTS (THIRD PARTY)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6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6" w:lineRule="exact"/>
        <w:rPr>
          <w:sz w:val="20"/>
          <w:szCs w:val="20"/>
          <w:color w:val="auto"/>
        </w:rPr>
      </w:pPr>
    </w:p>
    <w:p>
      <w:pPr>
        <w:ind w:left="1460" w:right="159" w:hanging="481"/>
        <w:spacing w:after="0" w:line="343" w:lineRule="auto"/>
        <w:tabs>
          <w:tab w:leader="none" w:pos="1232" w:val="left"/>
        </w:tabs>
        <w:numPr>
          <w:ilvl w:val="0"/>
          <w:numId w:val="362"/>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839"/>
          </w:cols>
          <w:pgMar w:left="620" w:top="454" w:right="1440" w:bottom="1440" w:gutter="0" w:footer="0" w:header="0"/>
        </w:sectPr>
      </w:pPr>
    </w:p>
    <w:bookmarkStart w:id="417" w:name="page418"/>
    <w:bookmarkEnd w:id="41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4">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79" w:lineRule="exact"/>
        <w:rPr>
          <w:sz w:val="20"/>
          <w:szCs w:val="20"/>
          <w:color w:val="auto"/>
        </w:rPr>
      </w:pPr>
    </w:p>
    <w:p>
      <w:pPr>
        <w:jc w:val="center"/>
        <w:ind w:right="-820"/>
        <w:spacing w:after="0"/>
        <w:rPr>
          <w:sz w:val="20"/>
          <w:szCs w:val="20"/>
          <w:color w:val="auto"/>
        </w:rPr>
      </w:pPr>
      <w:r>
        <w:rPr>
          <w:rFonts w:ascii="Arial" w:cs="Arial" w:eastAsia="Arial" w:hAnsi="Arial"/>
          <w:sz w:val="17"/>
          <w:szCs w:val="17"/>
          <w:b w:val="1"/>
          <w:bCs w:val="1"/>
          <w:u w:val="single" w:color="auto"/>
          <w:color w:val="auto"/>
        </w:rPr>
        <w:t>APPENDIX 2</w:t>
      </w:r>
    </w:p>
    <w:p>
      <w:pPr>
        <w:spacing w:after="0" w:line="224" w:lineRule="exact"/>
        <w:rPr>
          <w:sz w:val="20"/>
          <w:szCs w:val="20"/>
          <w:color w:val="auto"/>
        </w:rPr>
      </w:pPr>
    </w:p>
    <w:p>
      <w:pPr>
        <w:ind w:left="3840"/>
        <w:spacing w:after="0"/>
        <w:rPr>
          <w:sz w:val="20"/>
          <w:szCs w:val="20"/>
          <w:color w:val="auto"/>
        </w:rPr>
      </w:pPr>
      <w:r>
        <w:rPr>
          <w:rFonts w:ascii="Arial" w:cs="Arial" w:eastAsia="Arial" w:hAnsi="Arial"/>
          <w:sz w:val="17"/>
          <w:szCs w:val="17"/>
          <w:b w:val="1"/>
          <w:bCs w:val="1"/>
          <w:u w:val="single" w:color="auto"/>
          <w:color w:val="auto"/>
        </w:rPr>
        <w:t>CDACF VERSION 8 BASE POWDERS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6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28</w:t>
      </w:r>
    </w:p>
    <w:p>
      <w:pPr>
        <w:spacing w:after="0" w:line="26" w:lineRule="exact"/>
        <w:rPr>
          <w:sz w:val="20"/>
          <w:szCs w:val="20"/>
          <w:color w:val="auto"/>
        </w:rPr>
      </w:pPr>
    </w:p>
    <w:p>
      <w:pPr>
        <w:ind w:left="1460" w:right="159" w:hanging="481"/>
        <w:spacing w:after="0" w:line="343" w:lineRule="auto"/>
        <w:tabs>
          <w:tab w:leader="none" w:pos="1232" w:val="left"/>
        </w:tabs>
        <w:numPr>
          <w:ilvl w:val="0"/>
          <w:numId w:val="363"/>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839"/>
          </w:cols>
          <w:pgMar w:left="620" w:top="454" w:right="1440" w:bottom="1440" w:gutter="0" w:footer="0" w:header="0"/>
        </w:sectPr>
      </w:pPr>
    </w:p>
    <w:bookmarkStart w:id="418" w:name="page419"/>
    <w:bookmarkEnd w:id="41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6">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79" w:lineRule="exact"/>
        <w:rPr>
          <w:sz w:val="20"/>
          <w:szCs w:val="20"/>
          <w:color w:val="auto"/>
        </w:rPr>
      </w:pPr>
    </w:p>
    <w:p>
      <w:pPr>
        <w:jc w:val="center"/>
        <w:ind w:right="-820"/>
        <w:spacing w:after="0"/>
        <w:rPr>
          <w:sz w:val="20"/>
          <w:szCs w:val="20"/>
          <w:color w:val="auto"/>
        </w:rPr>
      </w:pPr>
      <w:r>
        <w:rPr>
          <w:rFonts w:ascii="Arial" w:cs="Arial" w:eastAsia="Arial" w:hAnsi="Arial"/>
          <w:sz w:val="17"/>
          <w:szCs w:val="17"/>
          <w:b w:val="1"/>
          <w:bCs w:val="1"/>
          <w:u w:val="single" w:color="auto"/>
          <w:color w:val="auto"/>
        </w:rPr>
        <w:t>APPENDIX 3</w:t>
      </w:r>
    </w:p>
    <w:p>
      <w:pPr>
        <w:spacing w:after="0" w:line="224" w:lineRule="exact"/>
        <w:rPr>
          <w:sz w:val="20"/>
          <w:szCs w:val="20"/>
          <w:color w:val="auto"/>
        </w:rPr>
      </w:pPr>
    </w:p>
    <w:p>
      <w:pPr>
        <w:ind w:left="3020"/>
        <w:spacing w:after="0"/>
        <w:rPr>
          <w:sz w:val="20"/>
          <w:szCs w:val="20"/>
          <w:color w:val="auto"/>
        </w:rPr>
      </w:pPr>
      <w:r>
        <w:rPr>
          <w:rFonts w:ascii="Arial" w:cs="Arial" w:eastAsia="Arial" w:hAnsi="Arial"/>
          <w:sz w:val="17"/>
          <w:szCs w:val="17"/>
          <w:b w:val="1"/>
          <w:bCs w:val="1"/>
          <w:u w:val="single" w:color="auto"/>
          <w:color w:val="auto"/>
        </w:rPr>
        <w:t>CDACF VERSION 8 SUPPLEMENTS, MEDIA AND FEEDS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6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29</w:t>
      </w:r>
    </w:p>
    <w:p>
      <w:pPr>
        <w:spacing w:after="0" w:line="26" w:lineRule="exact"/>
        <w:rPr>
          <w:sz w:val="20"/>
          <w:szCs w:val="20"/>
          <w:color w:val="auto"/>
        </w:rPr>
      </w:pPr>
    </w:p>
    <w:p>
      <w:pPr>
        <w:ind w:left="1460" w:right="159" w:hanging="481"/>
        <w:spacing w:after="0" w:line="343" w:lineRule="auto"/>
        <w:tabs>
          <w:tab w:leader="none" w:pos="1232" w:val="left"/>
        </w:tabs>
        <w:numPr>
          <w:ilvl w:val="0"/>
          <w:numId w:val="364"/>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839"/>
          </w:cols>
          <w:pgMar w:left="620" w:top="454" w:right="1440" w:bottom="1440" w:gutter="0" w:footer="0" w:header="0"/>
        </w:sectPr>
      </w:pPr>
    </w:p>
    <w:bookmarkStart w:id="419" w:name="page420"/>
    <w:bookmarkEnd w:id="41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8">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79" w:lineRule="exact"/>
        <w:rPr>
          <w:sz w:val="20"/>
          <w:szCs w:val="20"/>
          <w:color w:val="auto"/>
        </w:rPr>
      </w:pPr>
    </w:p>
    <w:p>
      <w:pPr>
        <w:jc w:val="center"/>
        <w:ind w:right="-820"/>
        <w:spacing w:after="0"/>
        <w:rPr>
          <w:sz w:val="20"/>
          <w:szCs w:val="20"/>
          <w:color w:val="auto"/>
        </w:rPr>
      </w:pPr>
      <w:r>
        <w:rPr>
          <w:rFonts w:ascii="Arial" w:cs="Arial" w:eastAsia="Arial" w:hAnsi="Arial"/>
          <w:sz w:val="17"/>
          <w:szCs w:val="17"/>
          <w:b w:val="1"/>
          <w:bCs w:val="1"/>
          <w:u w:val="single" w:color="auto"/>
          <w:color w:val="auto"/>
        </w:rPr>
        <w:t>APPENDIX 4</w:t>
      </w:r>
    </w:p>
    <w:p>
      <w:pPr>
        <w:spacing w:after="0" w:line="224" w:lineRule="exact"/>
        <w:rPr>
          <w:sz w:val="20"/>
          <w:szCs w:val="20"/>
          <w:color w:val="auto"/>
        </w:rPr>
      </w:pPr>
    </w:p>
    <w:p>
      <w:pPr>
        <w:ind w:left="3980"/>
        <w:spacing w:after="0"/>
        <w:rPr>
          <w:sz w:val="20"/>
          <w:szCs w:val="20"/>
          <w:color w:val="auto"/>
        </w:rPr>
      </w:pPr>
      <w:r>
        <w:rPr>
          <w:rFonts w:ascii="Arial" w:cs="Arial" w:eastAsia="Arial" w:hAnsi="Arial"/>
          <w:sz w:val="17"/>
          <w:szCs w:val="17"/>
          <w:b w:val="1"/>
          <w:bCs w:val="1"/>
          <w:u w:val="single" w:color="auto"/>
          <w:color w:val="auto"/>
        </w:rPr>
        <w:t>CDACF VERSION 8 KNOW-HOW</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6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30</w:t>
      </w:r>
    </w:p>
    <w:p>
      <w:pPr>
        <w:spacing w:after="0" w:line="26" w:lineRule="exact"/>
        <w:rPr>
          <w:sz w:val="20"/>
          <w:szCs w:val="20"/>
          <w:color w:val="auto"/>
        </w:rPr>
      </w:pPr>
    </w:p>
    <w:p>
      <w:pPr>
        <w:ind w:left="1460" w:right="159" w:hanging="481"/>
        <w:spacing w:after="0" w:line="343" w:lineRule="auto"/>
        <w:tabs>
          <w:tab w:leader="none" w:pos="1232" w:val="left"/>
        </w:tabs>
        <w:numPr>
          <w:ilvl w:val="0"/>
          <w:numId w:val="365"/>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839"/>
          </w:cols>
          <w:pgMar w:left="620" w:top="454" w:right="1440" w:bottom="1440" w:gutter="0" w:footer="0" w:header="0"/>
        </w:sectPr>
      </w:pPr>
    </w:p>
    <w:bookmarkStart w:id="420" w:name="page421"/>
    <w:bookmarkEnd w:id="42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179705</wp:posOffset>
            </wp:positionV>
            <wp:extent cx="1180465" cy="2495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0">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ectPr>
          <w:pgSz w:w="11900" w:h="16838" w:orient="portrait"/>
          <w:cols w:equalWidth="0" w:num="1">
            <w:col w:w="9839"/>
          </w:cols>
          <w:pgMar w:left="620" w:top="454" w:right="1440" w:bottom="1440" w:gutter="0" w:footer="0" w:header="0"/>
        </w:sectPr>
      </w:pPr>
    </w:p>
    <w:p>
      <w:pPr>
        <w:spacing w:after="0" w:line="200" w:lineRule="exact"/>
        <w:rPr>
          <w:sz w:val="20"/>
          <w:szCs w:val="20"/>
          <w:color w:val="auto"/>
        </w:rPr>
      </w:pPr>
    </w:p>
    <w:p>
      <w:pPr>
        <w:spacing w:after="0" w:line="273" w:lineRule="exact"/>
        <w:rPr>
          <w:sz w:val="20"/>
          <w:szCs w:val="20"/>
          <w:color w:val="auto"/>
        </w:rPr>
      </w:pPr>
    </w:p>
    <w:tbl>
      <w:tblPr>
        <w:tblLayout w:type="fixed"/>
        <w:tblInd w:w="2660"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rPr>
              <w:t>APPENDIX 5</w:t>
            </w:r>
          </w:p>
        </w:tc>
        <w:tc>
          <w:tcPr>
            <w:tcW w:w="2140" w:type="dxa"/>
            <w:vAlign w:val="bottom"/>
            <w:gridSpan w:val="2"/>
          </w:tcPr>
          <w:p>
            <w:pPr>
              <w:spacing w:after="0"/>
              <w:rPr>
                <w:sz w:val="16"/>
                <w:szCs w:val="16"/>
                <w:color w:val="auto"/>
              </w:rPr>
            </w:pPr>
          </w:p>
        </w:tc>
      </w:tr>
      <w:tr>
        <w:trPr>
          <w:trHeight w:val="399"/>
        </w:trPr>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180" w:type="dxa"/>
            <w:vAlign w:val="bottom"/>
            <w:gridSpan w:val="5"/>
          </w:tcPr>
          <w:p>
            <w:pPr>
              <w:jc w:val="center"/>
              <w:ind w:right="2053"/>
              <w:spacing w:after="0"/>
              <w:rPr>
                <w:sz w:val="20"/>
                <w:szCs w:val="20"/>
                <w:color w:val="auto"/>
              </w:rPr>
            </w:pPr>
            <w:r>
              <w:rPr>
                <w:rFonts w:ascii="Arial" w:cs="Arial" w:eastAsia="Arial" w:hAnsi="Arial"/>
                <w:sz w:val="17"/>
                <w:szCs w:val="17"/>
                <w:b w:val="1"/>
                <w:bCs w:val="1"/>
                <w:color w:val="auto"/>
              </w:rPr>
              <w:t>PRODUCTS</w:t>
            </w:r>
          </w:p>
        </w:tc>
      </w:tr>
      <w:tr>
        <w:trPr>
          <w:trHeight w:val="517"/>
        </w:trPr>
        <w:tc>
          <w:tcPr>
            <w:tcW w:w="480" w:type="dxa"/>
            <w:vAlign w:val="bottom"/>
          </w:tcPr>
          <w:p>
            <w:pPr>
              <w:spacing w:after="0"/>
              <w:rPr>
                <w:sz w:val="20"/>
                <w:szCs w:val="20"/>
                <w:color w:val="auto"/>
              </w:rPr>
            </w:pPr>
            <w:r>
              <w:rPr>
                <w:rFonts w:ascii="Arial" w:cs="Arial" w:eastAsia="Arial" w:hAnsi="Arial"/>
                <w:sz w:val="14"/>
                <w:szCs w:val="14"/>
                <w:b w:val="1"/>
                <w:bCs w:val="1"/>
                <w:color w:val="auto"/>
                <w:w w:val="86"/>
              </w:rPr>
              <w:t>Product</w:t>
            </w: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gridSpan w:val="2"/>
          </w:tcPr>
          <w:p>
            <w:pPr>
              <w:ind w:left="1280"/>
              <w:spacing w:after="0"/>
              <w:rPr>
                <w:sz w:val="20"/>
                <w:szCs w:val="20"/>
                <w:color w:val="auto"/>
              </w:rPr>
            </w:pPr>
            <w:r>
              <w:rPr>
                <w:rFonts w:ascii="Arial" w:cs="Arial" w:eastAsia="Arial" w:hAnsi="Arial"/>
                <w:sz w:val="14"/>
                <w:szCs w:val="14"/>
                <w:b w:val="1"/>
                <w:bCs w:val="1"/>
                <w:color w:val="auto"/>
                <w:w w:val="88"/>
              </w:rPr>
              <w:t>Product Name</w:t>
            </w:r>
          </w:p>
        </w:tc>
      </w:tr>
      <w:tr>
        <w:trPr>
          <w:trHeight w:val="215"/>
        </w:trPr>
        <w:tc>
          <w:tcPr>
            <w:tcW w:w="4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1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6" w:lineRule="exact"/>
        <w:rPr>
          <w:sz w:val="20"/>
          <w:szCs w:val="20"/>
          <w:color w:val="auto"/>
        </w:rPr>
      </w:pPr>
    </w:p>
    <w:p>
      <w:pPr>
        <w:ind w:left="1460" w:right="159" w:hanging="481"/>
        <w:spacing w:after="0" w:line="343" w:lineRule="auto"/>
        <w:tabs>
          <w:tab w:leader="none" w:pos="1232" w:val="left"/>
        </w:tabs>
        <w:numPr>
          <w:ilvl w:val="0"/>
          <w:numId w:val="366"/>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839"/>
          </w:cols>
          <w:pgMar w:left="620" w:top="454" w:right="1440" w:bottom="1440" w:gutter="0" w:footer="0" w:header="0"/>
          <w:type w:val="continuous"/>
        </w:sectPr>
      </w:pPr>
    </w:p>
    <w:bookmarkStart w:id="421" w:name="page422"/>
    <w:bookmarkEnd w:id="42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2">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ectPr>
          <w:pgSz w:w="11900" w:h="16838" w:orient="portrait"/>
          <w:cols w:equalWidth="0" w:num="1">
            <w:col w:w="9839"/>
          </w:cols>
          <w:pgMar w:left="620" w:top="4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AMENDMENT No. 1</w:t>
      </w:r>
    </w:p>
    <w:p>
      <w:pPr>
        <w:spacing w:after="0" w:line="200" w:lineRule="exact"/>
        <w:rPr>
          <w:sz w:val="20"/>
          <w:szCs w:val="20"/>
          <w:color w:val="auto"/>
        </w:rPr>
      </w:pPr>
    </w:p>
    <w:p>
      <w:pPr>
        <w:spacing w:after="0" w:line="233"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to</w:t>
      </w:r>
    </w:p>
    <w:p>
      <w:pPr>
        <w:spacing w:after="0" w:line="200" w:lineRule="exact"/>
        <w:rPr>
          <w:sz w:val="20"/>
          <w:szCs w:val="20"/>
          <w:color w:val="auto"/>
        </w:rPr>
      </w:pPr>
    </w:p>
    <w:p>
      <w:pPr>
        <w:spacing w:after="0" w:line="233"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MULTI-PRODUCT LICENCE AGREEMENT</w:t>
      </w:r>
    </w:p>
    <w:p>
      <w:pPr>
        <w:spacing w:after="0" w:line="200" w:lineRule="exact"/>
        <w:rPr>
          <w:sz w:val="20"/>
          <w:szCs w:val="20"/>
          <w:color w:val="auto"/>
        </w:rPr>
      </w:pPr>
    </w:p>
    <w:p>
      <w:pPr>
        <w:spacing w:after="0" w:line="233"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dated</w:t>
      </w:r>
    </w:p>
    <w:p>
      <w:pPr>
        <w:spacing w:after="0" w:line="200" w:lineRule="exact"/>
        <w:rPr>
          <w:sz w:val="20"/>
          <w:szCs w:val="20"/>
          <w:color w:val="auto"/>
        </w:rPr>
      </w:pPr>
    </w:p>
    <w:p>
      <w:pPr>
        <w:spacing w:after="0" w:line="23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31 October 2014</w:t>
      </w:r>
    </w:p>
    <w:p>
      <w:pPr>
        <w:spacing w:after="0" w:line="200" w:lineRule="exact"/>
        <w:rPr>
          <w:sz w:val="20"/>
          <w:szCs w:val="20"/>
          <w:color w:val="auto"/>
        </w:rPr>
      </w:pPr>
    </w:p>
    <w:p>
      <w:pPr>
        <w:spacing w:after="0" w:line="233"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between</w:t>
      </w:r>
    </w:p>
    <w:p>
      <w:pPr>
        <w:spacing w:after="0" w:line="200" w:lineRule="exact"/>
        <w:rPr>
          <w:sz w:val="20"/>
          <w:szCs w:val="20"/>
          <w:color w:val="auto"/>
        </w:rPr>
      </w:pPr>
    </w:p>
    <w:p>
      <w:pPr>
        <w:spacing w:after="0" w:line="233"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LONZA SALES AG</w:t>
      </w:r>
    </w:p>
    <w:p>
      <w:pPr>
        <w:spacing w:after="0" w:line="200" w:lineRule="exact"/>
        <w:rPr>
          <w:sz w:val="20"/>
          <w:szCs w:val="20"/>
          <w:color w:val="auto"/>
        </w:rPr>
      </w:pPr>
    </w:p>
    <w:p>
      <w:pPr>
        <w:spacing w:after="0" w:line="233"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and</w:t>
      </w:r>
    </w:p>
    <w:p>
      <w:pPr>
        <w:spacing w:after="0" w:line="200" w:lineRule="exact"/>
        <w:rPr>
          <w:sz w:val="20"/>
          <w:szCs w:val="20"/>
          <w:color w:val="auto"/>
        </w:rPr>
      </w:pPr>
    </w:p>
    <w:p>
      <w:pPr>
        <w:spacing w:after="0" w:line="233"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NGM BIOPHARMACEUTICALS, INC.</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460" w:right="159" w:hanging="481"/>
        <w:spacing w:after="0" w:line="359" w:lineRule="auto"/>
        <w:tabs>
          <w:tab w:leader="none" w:pos="1232" w:val="left"/>
        </w:tabs>
        <w:numPr>
          <w:ilvl w:val="0"/>
          <w:numId w:val="367"/>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839"/>
          </w:cols>
          <w:pgMar w:left="620" w:top="454" w:right="1440" w:bottom="1440" w:gutter="0" w:footer="0" w:header="0"/>
          <w:type w:val="continuous"/>
        </w:sectPr>
      </w:pPr>
    </w:p>
    <w:bookmarkStart w:id="422" w:name="page423"/>
    <w:bookmarkEnd w:id="422"/>
    <w:p>
      <w:pPr>
        <w:ind w:left="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4">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85" w:lineRule="exact"/>
        <w:rPr>
          <w:sz w:val="20"/>
          <w:szCs w:val="20"/>
          <w:color w:val="auto"/>
        </w:rPr>
      </w:pPr>
    </w:p>
    <w:p>
      <w:pPr>
        <w:ind w:left="9"/>
        <w:spacing w:after="0"/>
        <w:rPr>
          <w:sz w:val="20"/>
          <w:szCs w:val="20"/>
          <w:color w:val="auto"/>
        </w:rPr>
      </w:pPr>
      <w:r>
        <w:rPr>
          <w:rFonts w:ascii="Arial" w:cs="Arial" w:eastAsia="Arial" w:hAnsi="Arial"/>
          <w:sz w:val="17"/>
          <w:szCs w:val="17"/>
          <w:color w:val="auto"/>
        </w:rPr>
        <w:t>THIS AMENDMENT No. 1 is made on the 28</w:t>
      </w:r>
      <w:r>
        <w:rPr>
          <w:rFonts w:ascii="Arial" w:cs="Arial" w:eastAsia="Arial" w:hAnsi="Arial"/>
          <w:sz w:val="14"/>
          <w:szCs w:val="14"/>
          <w:color w:val="auto"/>
        </w:rPr>
        <w:t>th</w:t>
      </w:r>
      <w:r>
        <w:rPr>
          <w:rFonts w:ascii="Arial" w:cs="Arial" w:eastAsia="Arial" w:hAnsi="Arial"/>
          <w:sz w:val="17"/>
          <w:szCs w:val="17"/>
          <w:color w:val="auto"/>
        </w:rPr>
        <w:t xml:space="preserve"> day of July 2015</w:t>
      </w:r>
    </w:p>
    <w:p>
      <w:pPr>
        <w:spacing w:after="0" w:line="224" w:lineRule="exact"/>
        <w:rPr>
          <w:sz w:val="20"/>
          <w:szCs w:val="20"/>
          <w:color w:val="auto"/>
        </w:rPr>
      </w:pPr>
    </w:p>
    <w:p>
      <w:pPr>
        <w:ind w:left="9"/>
        <w:spacing w:after="0"/>
        <w:rPr>
          <w:sz w:val="20"/>
          <w:szCs w:val="20"/>
          <w:color w:val="auto"/>
        </w:rPr>
      </w:pPr>
      <w:r>
        <w:rPr>
          <w:rFonts w:ascii="Arial" w:cs="Arial" w:eastAsia="Arial" w:hAnsi="Arial"/>
          <w:sz w:val="17"/>
          <w:szCs w:val="17"/>
          <w:color w:val="auto"/>
        </w:rPr>
        <w:t>Between</w:t>
      </w:r>
    </w:p>
    <w:p>
      <w:pPr>
        <w:spacing w:after="0" w:line="218" w:lineRule="exact"/>
        <w:rPr>
          <w:sz w:val="20"/>
          <w:szCs w:val="20"/>
          <w:color w:val="auto"/>
        </w:rPr>
      </w:pPr>
    </w:p>
    <w:p>
      <w:pPr>
        <w:ind w:left="9"/>
        <w:spacing w:after="0" w:line="296" w:lineRule="auto"/>
        <w:rPr>
          <w:sz w:val="20"/>
          <w:szCs w:val="20"/>
          <w:color w:val="auto"/>
        </w:rPr>
      </w:pPr>
      <w:r>
        <w:rPr>
          <w:rFonts w:ascii="Arial" w:cs="Arial" w:eastAsia="Arial" w:hAnsi="Arial"/>
          <w:sz w:val="17"/>
          <w:szCs w:val="17"/>
          <w:b w:val="1"/>
          <w:bCs w:val="1"/>
          <w:color w:val="auto"/>
        </w:rPr>
        <w:t xml:space="preserve">LONZA SALES AG </w:t>
      </w:r>
      <w:r>
        <w:rPr>
          <w:rFonts w:ascii="Arial" w:cs="Arial" w:eastAsia="Arial" w:hAnsi="Arial"/>
          <w:sz w:val="17"/>
          <w:szCs w:val="17"/>
          <w:color w:val="auto"/>
        </w:rPr>
        <w:t>incorporated and registered in Switzerland whose registered office is at Muenchensteinerstrasse 38, CH-4002, Basel, Switzerland</w:t>
      </w:r>
      <w:r>
        <w:rPr>
          <w:rFonts w:ascii="Arial" w:cs="Arial" w:eastAsia="Arial" w:hAnsi="Arial"/>
          <w:sz w:val="17"/>
          <w:szCs w:val="17"/>
          <w:b w:val="1"/>
          <w:bCs w:val="1"/>
          <w:color w:val="auto"/>
        </w:rPr>
        <w:t xml:space="preserve"> </w:t>
      </w:r>
      <w:r>
        <w:rPr>
          <w:rFonts w:ascii="Arial" w:cs="Arial" w:eastAsia="Arial" w:hAnsi="Arial"/>
          <w:sz w:val="17"/>
          <w:szCs w:val="17"/>
          <w:color w:val="auto"/>
        </w:rPr>
        <w:t>(hereinafter referred to as “Lonza”), and</w:t>
      </w:r>
    </w:p>
    <w:p>
      <w:pPr>
        <w:spacing w:after="0" w:line="146"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 xml:space="preserve">NGM BIOPHARMACEUTICALS, INC., </w:t>
      </w:r>
      <w:r>
        <w:rPr>
          <w:rFonts w:ascii="Arial" w:cs="Arial" w:eastAsia="Arial" w:hAnsi="Arial"/>
          <w:sz w:val="17"/>
          <w:szCs w:val="17"/>
          <w:color w:val="auto"/>
        </w:rPr>
        <w:t>of 630 Gateway Blvd., South San Francisco, CA 94080, USA, (hereinafter referred to as “Licensee”)</w:t>
      </w:r>
    </w:p>
    <w:p>
      <w:pPr>
        <w:spacing w:after="0" w:line="230" w:lineRule="exact"/>
        <w:rPr>
          <w:sz w:val="20"/>
          <w:szCs w:val="20"/>
          <w:color w:val="auto"/>
        </w:rPr>
      </w:pPr>
    </w:p>
    <w:p>
      <w:pPr>
        <w:ind w:left="9"/>
        <w:spacing w:after="0"/>
        <w:rPr>
          <w:sz w:val="20"/>
          <w:szCs w:val="20"/>
          <w:color w:val="auto"/>
        </w:rPr>
      </w:pPr>
      <w:r>
        <w:rPr>
          <w:rFonts w:ascii="Arial" w:cs="Arial" w:eastAsia="Arial" w:hAnsi="Arial"/>
          <w:sz w:val="17"/>
          <w:szCs w:val="17"/>
          <w:color w:val="auto"/>
        </w:rPr>
        <w:t>WHEREAS</w:t>
      </w:r>
    </w:p>
    <w:p>
      <w:pPr>
        <w:spacing w:after="0" w:line="250" w:lineRule="exact"/>
        <w:rPr>
          <w:sz w:val="20"/>
          <w:szCs w:val="20"/>
          <w:color w:val="auto"/>
        </w:rPr>
      </w:pPr>
    </w:p>
    <w:p>
      <w:pPr>
        <w:ind w:left="829" w:right="60" w:hanging="410"/>
        <w:spacing w:after="0" w:line="289" w:lineRule="auto"/>
        <w:tabs>
          <w:tab w:leader="none" w:pos="829" w:val="left"/>
        </w:tabs>
        <w:numPr>
          <w:ilvl w:val="0"/>
          <w:numId w:val="368"/>
        </w:numPr>
        <w:rPr>
          <w:rFonts w:ascii="Arial" w:cs="Arial" w:eastAsia="Arial" w:hAnsi="Arial"/>
          <w:sz w:val="17"/>
          <w:szCs w:val="17"/>
          <w:color w:val="auto"/>
        </w:rPr>
      </w:pPr>
      <w:r>
        <w:rPr>
          <w:rFonts w:ascii="Arial" w:cs="Arial" w:eastAsia="Arial" w:hAnsi="Arial"/>
          <w:sz w:val="17"/>
          <w:szCs w:val="17"/>
          <w:color w:val="auto"/>
        </w:rPr>
        <w:t>Lonza and the Licensee entered into a Multi-Product Licence Agreement dated 31 October 2014, pursuant to which Lonza licensed certain Intellectual Property Rights (as therein defined) to the Licensee (“Agreement”), and</w:t>
      </w:r>
    </w:p>
    <w:p>
      <w:pPr>
        <w:spacing w:after="0" w:line="183" w:lineRule="exact"/>
        <w:rPr>
          <w:rFonts w:ascii="Arial" w:cs="Arial" w:eastAsia="Arial" w:hAnsi="Arial"/>
          <w:sz w:val="17"/>
          <w:szCs w:val="17"/>
          <w:color w:val="auto"/>
        </w:rPr>
      </w:pPr>
    </w:p>
    <w:p>
      <w:pPr>
        <w:ind w:left="829" w:hanging="410"/>
        <w:spacing w:after="0"/>
        <w:tabs>
          <w:tab w:leader="none" w:pos="829" w:val="left"/>
        </w:tabs>
        <w:numPr>
          <w:ilvl w:val="0"/>
          <w:numId w:val="368"/>
        </w:numPr>
        <w:rPr>
          <w:rFonts w:ascii="Arial" w:cs="Arial" w:eastAsia="Arial" w:hAnsi="Arial"/>
          <w:sz w:val="17"/>
          <w:szCs w:val="17"/>
          <w:color w:val="auto"/>
        </w:rPr>
      </w:pPr>
      <w:r>
        <w:rPr>
          <w:rFonts w:ascii="Arial" w:cs="Arial" w:eastAsia="Arial" w:hAnsi="Arial"/>
          <w:sz w:val="17"/>
          <w:szCs w:val="17"/>
          <w:color w:val="auto"/>
        </w:rPr>
        <w:t>The parties now wish to amend the terms of the Agreement</w:t>
      </w:r>
    </w:p>
    <w:p>
      <w:pPr>
        <w:spacing w:after="0" w:line="224" w:lineRule="exact"/>
        <w:rPr>
          <w:sz w:val="20"/>
          <w:szCs w:val="20"/>
          <w:color w:val="auto"/>
        </w:rPr>
      </w:pPr>
    </w:p>
    <w:p>
      <w:pPr>
        <w:ind w:left="9"/>
        <w:spacing w:after="0"/>
        <w:rPr>
          <w:sz w:val="20"/>
          <w:szCs w:val="20"/>
          <w:color w:val="auto"/>
        </w:rPr>
      </w:pPr>
      <w:r>
        <w:rPr>
          <w:rFonts w:ascii="Arial" w:cs="Arial" w:eastAsia="Arial" w:hAnsi="Arial"/>
          <w:sz w:val="17"/>
          <w:szCs w:val="17"/>
          <w:color w:val="auto"/>
        </w:rPr>
        <w:t>NOW THEREFORE IT IS HEREBY AGREED to amend the Agreement as follows:</w:t>
      </w:r>
    </w:p>
    <w:p>
      <w:pPr>
        <w:spacing w:after="0" w:line="250" w:lineRule="exact"/>
        <w:rPr>
          <w:sz w:val="20"/>
          <w:szCs w:val="20"/>
          <w:color w:val="auto"/>
        </w:rPr>
      </w:pPr>
    </w:p>
    <w:p>
      <w:pPr>
        <w:ind w:left="429" w:hanging="429"/>
        <w:spacing w:after="0"/>
        <w:tabs>
          <w:tab w:leader="none" w:pos="429" w:val="left"/>
        </w:tabs>
        <w:numPr>
          <w:ilvl w:val="0"/>
          <w:numId w:val="369"/>
        </w:numPr>
        <w:rPr>
          <w:rFonts w:ascii="Arial" w:cs="Arial" w:eastAsia="Arial" w:hAnsi="Arial"/>
          <w:sz w:val="17"/>
          <w:szCs w:val="17"/>
          <w:color w:val="auto"/>
        </w:rPr>
      </w:pPr>
      <w:r>
        <w:rPr>
          <w:rFonts w:ascii="Arial" w:cs="Arial" w:eastAsia="Arial" w:hAnsi="Arial"/>
          <w:sz w:val="17"/>
          <w:szCs w:val="17"/>
          <w:color w:val="auto"/>
        </w:rPr>
        <w:t>Clause 4.3.6 to the Agreement shall be deleted in its entirety and replaced with the following:</w:t>
      </w:r>
    </w:p>
    <w:p>
      <w:pPr>
        <w:spacing w:after="0" w:line="249" w:lineRule="exact"/>
        <w:rPr>
          <w:rFonts w:ascii="Arial" w:cs="Arial" w:eastAsia="Arial" w:hAnsi="Arial"/>
          <w:sz w:val="17"/>
          <w:szCs w:val="17"/>
          <w:color w:val="auto"/>
        </w:rPr>
      </w:pPr>
    </w:p>
    <w:p>
      <w:pPr>
        <w:ind w:left="829" w:right="340" w:hanging="410"/>
        <w:spacing w:after="0" w:line="289" w:lineRule="auto"/>
        <w:tabs>
          <w:tab w:leader="none" w:pos="829" w:val="left"/>
        </w:tabs>
        <w:numPr>
          <w:ilvl w:val="1"/>
          <w:numId w:val="369"/>
        </w:numPr>
        <w:rPr>
          <w:rFonts w:ascii="Arial" w:cs="Arial" w:eastAsia="Arial" w:hAnsi="Arial"/>
          <w:sz w:val="17"/>
          <w:szCs w:val="17"/>
          <w:color w:val="auto"/>
        </w:rPr>
      </w:pPr>
      <w:r>
        <w:rPr>
          <w:rFonts w:ascii="Arial" w:cs="Arial" w:eastAsia="Arial" w:hAnsi="Arial"/>
          <w:sz w:val="17"/>
          <w:szCs w:val="17"/>
          <w:color w:val="auto"/>
        </w:rPr>
        <w:t>Lonza hereby consents to the grant of a sublicence by Licensee to its Affiliate NGM Biopharmaceuticals Australia Pty Ltd, The Rialto, Level 30, 525 Collins St., Melbourne, Victoria 3000, Australia.</w:t>
      </w:r>
    </w:p>
    <w:p>
      <w:pPr>
        <w:spacing w:after="0" w:line="183" w:lineRule="exact"/>
        <w:rPr>
          <w:rFonts w:ascii="Arial" w:cs="Arial" w:eastAsia="Arial" w:hAnsi="Arial"/>
          <w:sz w:val="17"/>
          <w:szCs w:val="17"/>
          <w:color w:val="auto"/>
        </w:rPr>
      </w:pPr>
    </w:p>
    <w:p>
      <w:pPr>
        <w:ind w:left="829" w:hanging="410"/>
        <w:spacing w:after="0"/>
        <w:tabs>
          <w:tab w:leader="none" w:pos="829" w:val="left"/>
        </w:tabs>
        <w:numPr>
          <w:ilvl w:val="1"/>
          <w:numId w:val="369"/>
        </w:numPr>
        <w:rPr>
          <w:rFonts w:ascii="Arial" w:cs="Arial" w:eastAsia="Arial" w:hAnsi="Arial"/>
          <w:sz w:val="17"/>
          <w:szCs w:val="17"/>
          <w:color w:val="auto"/>
        </w:rPr>
      </w:pPr>
      <w:r>
        <w:rPr>
          <w:rFonts w:ascii="Arial" w:cs="Arial" w:eastAsia="Arial" w:hAnsi="Arial"/>
          <w:sz w:val="17"/>
          <w:szCs w:val="17"/>
          <w:color w:val="auto"/>
        </w:rPr>
        <w:t>Lonza hereby consents to the grant of a sublicence [*] for the purpose of:</w:t>
      </w:r>
    </w:p>
    <w:p>
      <w:pPr>
        <w:spacing w:after="0" w:line="249" w:lineRule="exact"/>
        <w:rPr>
          <w:rFonts w:ascii="Arial" w:cs="Arial" w:eastAsia="Arial" w:hAnsi="Arial"/>
          <w:sz w:val="17"/>
          <w:szCs w:val="17"/>
          <w:color w:val="auto"/>
        </w:rPr>
      </w:pPr>
    </w:p>
    <w:p>
      <w:pPr>
        <w:ind w:left="1369" w:hanging="517"/>
        <w:spacing w:after="0"/>
        <w:tabs>
          <w:tab w:leader="none" w:pos="1369" w:val="left"/>
        </w:tabs>
        <w:numPr>
          <w:ilvl w:val="2"/>
          <w:numId w:val="369"/>
        </w:numPr>
        <w:rPr>
          <w:rFonts w:ascii="Arial" w:cs="Arial" w:eastAsia="Arial" w:hAnsi="Arial"/>
          <w:sz w:val="17"/>
          <w:szCs w:val="17"/>
          <w:color w:val="auto"/>
        </w:rPr>
      </w:pPr>
      <w:r>
        <w:rPr>
          <w:rFonts w:ascii="Arial" w:cs="Arial" w:eastAsia="Arial" w:hAnsi="Arial"/>
          <w:sz w:val="17"/>
          <w:szCs w:val="17"/>
          <w:color w:val="auto"/>
        </w:rPr>
        <w:t>[*]; and</w:t>
      </w:r>
    </w:p>
    <w:p>
      <w:pPr>
        <w:spacing w:after="0" w:line="249" w:lineRule="exact"/>
        <w:rPr>
          <w:rFonts w:ascii="Arial" w:cs="Arial" w:eastAsia="Arial" w:hAnsi="Arial"/>
          <w:sz w:val="17"/>
          <w:szCs w:val="17"/>
          <w:color w:val="auto"/>
        </w:rPr>
      </w:pPr>
    </w:p>
    <w:p>
      <w:pPr>
        <w:ind w:left="1369" w:hanging="517"/>
        <w:spacing w:after="0"/>
        <w:tabs>
          <w:tab w:leader="none" w:pos="1369" w:val="left"/>
        </w:tabs>
        <w:numPr>
          <w:ilvl w:val="2"/>
          <w:numId w:val="369"/>
        </w:numPr>
        <w:rPr>
          <w:rFonts w:ascii="Arial" w:cs="Arial" w:eastAsia="Arial" w:hAnsi="Arial"/>
          <w:sz w:val="17"/>
          <w:szCs w:val="17"/>
          <w:color w:val="auto"/>
        </w:rPr>
      </w:pPr>
      <w:r>
        <w:rPr>
          <w:rFonts w:ascii="Arial" w:cs="Arial" w:eastAsia="Arial" w:hAnsi="Arial"/>
          <w:sz w:val="17"/>
          <w:szCs w:val="17"/>
          <w:color w:val="auto"/>
        </w:rPr>
        <w:t>[*].</w:t>
      </w:r>
    </w:p>
    <w:p>
      <w:pPr>
        <w:spacing w:after="0" w:line="158" w:lineRule="exact"/>
        <w:rPr>
          <w:sz w:val="20"/>
          <w:szCs w:val="20"/>
          <w:color w:val="auto"/>
        </w:rPr>
      </w:pPr>
    </w:p>
    <w:p>
      <w:pPr>
        <w:ind w:left="1469" w:right="900" w:hanging="481"/>
        <w:spacing w:after="0" w:line="359" w:lineRule="auto"/>
        <w:tabs>
          <w:tab w:leader="none" w:pos="1241" w:val="left"/>
        </w:tabs>
        <w:numPr>
          <w:ilvl w:val="0"/>
          <w:numId w:val="370"/>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589"/>
          </w:cols>
          <w:pgMar w:left="611" w:top="454" w:right="699" w:bottom="1440" w:gutter="0" w:footer="0" w:header="0"/>
        </w:sectPr>
      </w:pPr>
    </w:p>
    <w:bookmarkStart w:id="423" w:name="page424"/>
    <w:bookmarkEnd w:id="423"/>
    <w:p>
      <w:pPr>
        <w:ind w:left="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6">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85" w:lineRule="exact"/>
        <w:rPr>
          <w:sz w:val="20"/>
          <w:szCs w:val="20"/>
          <w:color w:val="auto"/>
        </w:rPr>
      </w:pPr>
    </w:p>
    <w:p>
      <w:pPr>
        <w:ind w:left="829" w:hanging="410"/>
        <w:spacing w:after="0" w:line="273" w:lineRule="auto"/>
        <w:tabs>
          <w:tab w:leader="none" w:pos="829" w:val="left"/>
        </w:tabs>
        <w:numPr>
          <w:ilvl w:val="1"/>
          <w:numId w:val="371"/>
        </w:numPr>
        <w:rPr>
          <w:rFonts w:ascii="Arial" w:cs="Arial" w:eastAsia="Arial" w:hAnsi="Arial"/>
          <w:sz w:val="17"/>
          <w:szCs w:val="17"/>
          <w:color w:val="auto"/>
        </w:rPr>
      </w:pPr>
      <w:r>
        <w:rPr>
          <w:rFonts w:ascii="Arial" w:cs="Arial" w:eastAsia="Arial" w:hAnsi="Arial"/>
          <w:sz w:val="17"/>
          <w:szCs w:val="17"/>
          <w:color w:val="auto"/>
        </w:rPr>
        <w:t>Lonza hereby consents to the grant of a sublicence by Licensee to its Strategic Partner Merck Sharp &amp; Dohme Corp (“Merck”) of One Merck Drive, Whitehouse Station, NJ 08889, USA to undertake Commercial Activities consisting of continued research and development of [*] including [*], as well as [*].</w:t>
      </w:r>
    </w:p>
    <w:p>
      <w:pPr>
        <w:spacing w:after="0" w:line="197" w:lineRule="exact"/>
        <w:rPr>
          <w:rFonts w:ascii="Arial" w:cs="Arial" w:eastAsia="Arial" w:hAnsi="Arial"/>
          <w:sz w:val="17"/>
          <w:szCs w:val="17"/>
          <w:color w:val="auto"/>
        </w:rPr>
      </w:pPr>
    </w:p>
    <w:p>
      <w:pPr>
        <w:ind w:left="429" w:hanging="429"/>
        <w:spacing w:after="0"/>
        <w:tabs>
          <w:tab w:leader="none" w:pos="429" w:val="left"/>
        </w:tabs>
        <w:numPr>
          <w:ilvl w:val="0"/>
          <w:numId w:val="372"/>
        </w:numPr>
        <w:rPr>
          <w:rFonts w:ascii="Arial" w:cs="Arial" w:eastAsia="Arial" w:hAnsi="Arial"/>
          <w:sz w:val="17"/>
          <w:szCs w:val="17"/>
          <w:color w:val="auto"/>
        </w:rPr>
      </w:pPr>
      <w:r>
        <w:rPr>
          <w:rFonts w:ascii="Arial" w:cs="Arial" w:eastAsia="Arial" w:hAnsi="Arial"/>
          <w:sz w:val="17"/>
          <w:szCs w:val="17"/>
          <w:color w:val="auto"/>
        </w:rPr>
        <w:t>Appendix 5 of the Agreement is hereby deleted in its entirety and replaced by the Appendix 5 annexed hereto.</w:t>
      </w:r>
    </w:p>
    <w:p>
      <w:pPr>
        <w:spacing w:after="0" w:line="224" w:lineRule="exact"/>
        <w:rPr>
          <w:sz w:val="20"/>
          <w:szCs w:val="20"/>
          <w:color w:val="auto"/>
        </w:rPr>
      </w:pPr>
    </w:p>
    <w:p>
      <w:pPr>
        <w:ind w:left="9"/>
        <w:spacing w:after="0"/>
        <w:rPr>
          <w:sz w:val="20"/>
          <w:szCs w:val="20"/>
          <w:color w:val="auto"/>
        </w:rPr>
      </w:pPr>
      <w:r>
        <w:rPr>
          <w:rFonts w:ascii="Arial" w:cs="Arial" w:eastAsia="Arial" w:hAnsi="Arial"/>
          <w:sz w:val="17"/>
          <w:szCs w:val="17"/>
          <w:color w:val="auto"/>
        </w:rPr>
        <w:t>Save as herein provided all other terms and conditions of the Agreement shall remain in full force and effect.</w:t>
      </w:r>
    </w:p>
    <w:p>
      <w:pPr>
        <w:spacing w:after="0" w:line="158" w:lineRule="exact"/>
        <w:rPr>
          <w:sz w:val="20"/>
          <w:szCs w:val="20"/>
          <w:color w:val="auto"/>
        </w:rPr>
      </w:pPr>
    </w:p>
    <w:p>
      <w:pPr>
        <w:ind w:left="1469" w:right="960" w:hanging="481"/>
        <w:spacing w:after="0" w:line="359" w:lineRule="auto"/>
        <w:tabs>
          <w:tab w:leader="none" w:pos="1241" w:val="left"/>
        </w:tabs>
        <w:numPr>
          <w:ilvl w:val="0"/>
          <w:numId w:val="373"/>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49"/>
          </w:cols>
          <w:pgMar w:left="611" w:top="454" w:right="639" w:bottom="1440" w:gutter="0" w:footer="0" w:header="0"/>
        </w:sectPr>
      </w:pPr>
    </w:p>
    <w:bookmarkStart w:id="424" w:name="page425"/>
    <w:bookmarkEnd w:id="42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8">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AS WITNESS the hands of the duly authorized representatives of the parties hereto the day and year first before written.</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40" w:type="dxa"/>
            <w:vAlign w:val="bottom"/>
          </w:tcPr>
          <w:p>
            <w:pPr>
              <w:spacing w:after="0"/>
              <w:rPr>
                <w:sz w:val="20"/>
                <w:szCs w:val="20"/>
                <w:color w:val="auto"/>
              </w:rPr>
            </w:pPr>
            <w:r>
              <w:rPr>
                <w:rFonts w:ascii="Arial" w:cs="Arial" w:eastAsia="Arial" w:hAnsi="Arial"/>
                <w:sz w:val="17"/>
                <w:szCs w:val="17"/>
                <w:color w:val="auto"/>
              </w:rPr>
              <w:t>SIGNED BY:</w:t>
            </w:r>
          </w:p>
        </w:tc>
        <w:tc>
          <w:tcPr>
            <w:tcW w:w="39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Nadia Zieger</w:t>
            </w:r>
          </w:p>
        </w:tc>
      </w:tr>
      <w:tr>
        <w:trPr>
          <w:trHeight w:val="191"/>
        </w:trPr>
        <w:tc>
          <w:tcPr>
            <w:tcW w:w="3740" w:type="dxa"/>
            <w:vAlign w:val="bottom"/>
          </w:tcPr>
          <w:p>
            <w:pPr>
              <w:spacing w:after="0" w:line="191" w:lineRule="exact"/>
              <w:rPr>
                <w:sz w:val="20"/>
                <w:szCs w:val="20"/>
                <w:color w:val="auto"/>
              </w:rPr>
            </w:pPr>
            <w:r>
              <w:rPr>
                <w:rFonts w:ascii="Arial" w:cs="Arial" w:eastAsia="Arial" w:hAnsi="Arial"/>
                <w:sz w:val="17"/>
                <w:szCs w:val="17"/>
                <w:color w:val="auto"/>
              </w:rPr>
              <w:t>For and on behalf of</w:t>
            </w:r>
          </w:p>
        </w:tc>
        <w:tc>
          <w:tcPr>
            <w:tcW w:w="3960" w:type="dxa"/>
            <w:vAlign w:val="bottom"/>
          </w:tcPr>
          <w:p>
            <w:pPr>
              <w:spacing w:after="0"/>
              <w:rPr>
                <w:sz w:val="16"/>
                <w:szCs w:val="16"/>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7"/>
                <w:szCs w:val="17"/>
                <w:color w:val="auto"/>
              </w:rPr>
              <w:t>LONZA SALES AG</w:t>
            </w:r>
          </w:p>
        </w:tc>
        <w:tc>
          <w:tcPr>
            <w:tcW w:w="3960" w:type="dxa"/>
            <w:vAlign w:val="bottom"/>
          </w:tcPr>
          <w:p>
            <w:pPr>
              <w:spacing w:after="0"/>
              <w:rPr>
                <w:sz w:val="19"/>
                <w:szCs w:val="19"/>
                <w:color w:val="auto"/>
              </w:rPr>
            </w:pPr>
          </w:p>
        </w:tc>
      </w:tr>
      <w:tr>
        <w:trPr>
          <w:trHeight w:val="419"/>
        </w:trPr>
        <w:tc>
          <w:tcPr>
            <w:tcW w:w="3740" w:type="dxa"/>
            <w:vAlign w:val="bottom"/>
          </w:tcPr>
          <w:p>
            <w:pPr>
              <w:spacing w:after="0"/>
              <w:rPr>
                <w:sz w:val="24"/>
                <w:szCs w:val="24"/>
                <w:color w:val="auto"/>
              </w:rPr>
            </w:pPr>
          </w:p>
        </w:tc>
        <w:tc>
          <w:tcPr>
            <w:tcW w:w="39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Associate Director, Key Account Management</w:t>
            </w:r>
          </w:p>
        </w:tc>
      </w:tr>
      <w:tr>
        <w:trPr>
          <w:trHeight w:val="215"/>
        </w:trPr>
        <w:tc>
          <w:tcPr>
            <w:tcW w:w="3740" w:type="dxa"/>
            <w:vAlign w:val="bottom"/>
          </w:tcPr>
          <w:p>
            <w:pPr>
              <w:spacing w:after="0"/>
              <w:rPr>
                <w:sz w:val="18"/>
                <w:szCs w:val="18"/>
                <w:color w:val="auto"/>
              </w:rPr>
            </w:pPr>
          </w:p>
        </w:tc>
        <w:tc>
          <w:tcPr>
            <w:tcW w:w="3960" w:type="dxa"/>
            <w:vAlign w:val="bottom"/>
          </w:tcPr>
          <w:p>
            <w:pPr>
              <w:ind w:left="3280"/>
              <w:spacing w:after="0"/>
              <w:rPr>
                <w:sz w:val="20"/>
                <w:szCs w:val="20"/>
                <w:color w:val="auto"/>
              </w:rPr>
            </w:pPr>
            <w:r>
              <w:rPr>
                <w:rFonts w:ascii="Arial" w:cs="Arial" w:eastAsia="Arial" w:hAnsi="Arial"/>
                <w:sz w:val="17"/>
                <w:szCs w:val="17"/>
                <w:color w:val="auto"/>
              </w:rPr>
              <w:t>Title</w:t>
            </w:r>
          </w:p>
        </w:tc>
      </w:tr>
      <w:tr>
        <w:trPr>
          <w:trHeight w:val="616"/>
        </w:trPr>
        <w:tc>
          <w:tcPr>
            <w:tcW w:w="3740" w:type="dxa"/>
            <w:vAlign w:val="bottom"/>
          </w:tcPr>
          <w:p>
            <w:pPr>
              <w:spacing w:after="0"/>
              <w:rPr>
                <w:sz w:val="20"/>
                <w:szCs w:val="20"/>
                <w:color w:val="auto"/>
              </w:rPr>
            </w:pPr>
            <w:r>
              <w:rPr>
                <w:rFonts w:ascii="Arial" w:cs="Arial" w:eastAsia="Arial" w:hAnsi="Arial"/>
                <w:sz w:val="17"/>
                <w:szCs w:val="17"/>
                <w:color w:val="auto"/>
              </w:rPr>
              <w:t>SIGNED BY:</w:t>
            </w:r>
          </w:p>
        </w:tc>
        <w:tc>
          <w:tcPr>
            <w:tcW w:w="39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Jacov Wirtz</w:t>
            </w:r>
          </w:p>
        </w:tc>
      </w:tr>
      <w:tr>
        <w:trPr>
          <w:trHeight w:val="191"/>
        </w:trPr>
        <w:tc>
          <w:tcPr>
            <w:tcW w:w="3740" w:type="dxa"/>
            <w:vAlign w:val="bottom"/>
          </w:tcPr>
          <w:p>
            <w:pPr>
              <w:spacing w:after="0" w:line="191" w:lineRule="exact"/>
              <w:rPr>
                <w:sz w:val="20"/>
                <w:szCs w:val="20"/>
                <w:color w:val="auto"/>
              </w:rPr>
            </w:pPr>
            <w:r>
              <w:rPr>
                <w:rFonts w:ascii="Arial" w:cs="Arial" w:eastAsia="Arial" w:hAnsi="Arial"/>
                <w:sz w:val="17"/>
                <w:szCs w:val="17"/>
                <w:color w:val="auto"/>
              </w:rPr>
              <w:t>For and on behalf of</w:t>
            </w:r>
          </w:p>
        </w:tc>
        <w:tc>
          <w:tcPr>
            <w:tcW w:w="3960" w:type="dxa"/>
            <w:vAlign w:val="bottom"/>
          </w:tcPr>
          <w:p>
            <w:pPr>
              <w:spacing w:after="0"/>
              <w:rPr>
                <w:sz w:val="16"/>
                <w:szCs w:val="16"/>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7"/>
                <w:szCs w:val="17"/>
                <w:color w:val="auto"/>
              </w:rPr>
              <w:t>LONZA SALES AG</w:t>
            </w:r>
          </w:p>
        </w:tc>
        <w:tc>
          <w:tcPr>
            <w:tcW w:w="3960" w:type="dxa"/>
            <w:vAlign w:val="bottom"/>
          </w:tcPr>
          <w:p>
            <w:pPr>
              <w:spacing w:after="0"/>
              <w:rPr>
                <w:sz w:val="19"/>
                <w:szCs w:val="19"/>
                <w:color w:val="auto"/>
              </w:rPr>
            </w:pPr>
          </w:p>
        </w:tc>
      </w:tr>
      <w:tr>
        <w:trPr>
          <w:trHeight w:val="419"/>
        </w:trPr>
        <w:tc>
          <w:tcPr>
            <w:tcW w:w="3740" w:type="dxa"/>
            <w:vAlign w:val="bottom"/>
          </w:tcPr>
          <w:p>
            <w:pPr>
              <w:spacing w:after="0"/>
              <w:rPr>
                <w:sz w:val="24"/>
                <w:szCs w:val="24"/>
                <w:color w:val="auto"/>
              </w:rPr>
            </w:pPr>
          </w:p>
        </w:tc>
        <w:tc>
          <w:tcPr>
            <w:tcW w:w="39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Senior Legal Counsel</w:t>
            </w:r>
          </w:p>
        </w:tc>
      </w:tr>
      <w:tr>
        <w:trPr>
          <w:trHeight w:val="215"/>
        </w:trPr>
        <w:tc>
          <w:tcPr>
            <w:tcW w:w="3740" w:type="dxa"/>
            <w:vAlign w:val="bottom"/>
          </w:tcPr>
          <w:p>
            <w:pPr>
              <w:spacing w:after="0"/>
              <w:rPr>
                <w:sz w:val="18"/>
                <w:szCs w:val="18"/>
                <w:color w:val="auto"/>
              </w:rPr>
            </w:pPr>
          </w:p>
        </w:tc>
        <w:tc>
          <w:tcPr>
            <w:tcW w:w="3960" w:type="dxa"/>
            <w:vAlign w:val="bottom"/>
          </w:tcPr>
          <w:p>
            <w:pPr>
              <w:ind w:left="3280"/>
              <w:spacing w:after="0"/>
              <w:rPr>
                <w:sz w:val="20"/>
                <w:szCs w:val="20"/>
                <w:color w:val="auto"/>
              </w:rPr>
            </w:pPr>
            <w:r>
              <w:rPr>
                <w:rFonts w:ascii="Arial" w:cs="Arial" w:eastAsia="Arial" w:hAnsi="Arial"/>
                <w:sz w:val="17"/>
                <w:szCs w:val="17"/>
                <w:color w:val="auto"/>
              </w:rPr>
              <w:t>Title</w:t>
            </w:r>
          </w:p>
        </w:tc>
      </w:tr>
      <w:tr>
        <w:trPr>
          <w:trHeight w:val="616"/>
        </w:trPr>
        <w:tc>
          <w:tcPr>
            <w:tcW w:w="3740" w:type="dxa"/>
            <w:vAlign w:val="bottom"/>
          </w:tcPr>
          <w:p>
            <w:pPr>
              <w:spacing w:after="0"/>
              <w:rPr>
                <w:sz w:val="20"/>
                <w:szCs w:val="20"/>
                <w:color w:val="auto"/>
              </w:rPr>
            </w:pPr>
            <w:r>
              <w:rPr>
                <w:rFonts w:ascii="Arial" w:cs="Arial" w:eastAsia="Arial" w:hAnsi="Arial"/>
                <w:sz w:val="17"/>
                <w:szCs w:val="17"/>
                <w:color w:val="auto"/>
              </w:rPr>
              <w:t>SIGNED BY:</w:t>
            </w:r>
          </w:p>
        </w:tc>
        <w:tc>
          <w:tcPr>
            <w:tcW w:w="39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Aetna Wun Trombley</w:t>
            </w:r>
          </w:p>
        </w:tc>
      </w:tr>
      <w:tr>
        <w:trPr>
          <w:trHeight w:val="191"/>
        </w:trPr>
        <w:tc>
          <w:tcPr>
            <w:tcW w:w="3740" w:type="dxa"/>
            <w:vAlign w:val="bottom"/>
          </w:tcPr>
          <w:p>
            <w:pPr>
              <w:spacing w:after="0" w:line="191" w:lineRule="exact"/>
              <w:rPr>
                <w:sz w:val="20"/>
                <w:szCs w:val="20"/>
                <w:color w:val="auto"/>
              </w:rPr>
            </w:pPr>
            <w:r>
              <w:rPr>
                <w:rFonts w:ascii="Arial" w:cs="Arial" w:eastAsia="Arial" w:hAnsi="Arial"/>
                <w:sz w:val="17"/>
                <w:szCs w:val="17"/>
                <w:color w:val="auto"/>
              </w:rPr>
              <w:t>For and on behalf of</w:t>
            </w:r>
          </w:p>
        </w:tc>
        <w:tc>
          <w:tcPr>
            <w:tcW w:w="3960" w:type="dxa"/>
            <w:vAlign w:val="bottom"/>
          </w:tcPr>
          <w:p>
            <w:pPr>
              <w:spacing w:after="0"/>
              <w:rPr>
                <w:sz w:val="16"/>
                <w:szCs w:val="16"/>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7"/>
                <w:szCs w:val="17"/>
                <w:color w:val="auto"/>
              </w:rPr>
              <w:t>NGM BIOPHARMACEUTICALS, INC.</w:t>
            </w:r>
          </w:p>
        </w:tc>
        <w:tc>
          <w:tcPr>
            <w:tcW w:w="3960" w:type="dxa"/>
            <w:vAlign w:val="bottom"/>
          </w:tcPr>
          <w:p>
            <w:pPr>
              <w:spacing w:after="0"/>
              <w:rPr>
                <w:sz w:val="19"/>
                <w:szCs w:val="19"/>
                <w:color w:val="auto"/>
              </w:rPr>
            </w:pPr>
          </w:p>
        </w:tc>
      </w:tr>
      <w:tr>
        <w:trPr>
          <w:trHeight w:val="419"/>
        </w:trPr>
        <w:tc>
          <w:tcPr>
            <w:tcW w:w="3740" w:type="dxa"/>
            <w:vAlign w:val="bottom"/>
          </w:tcPr>
          <w:p>
            <w:pPr>
              <w:spacing w:after="0"/>
              <w:rPr>
                <w:sz w:val="24"/>
                <w:szCs w:val="24"/>
                <w:color w:val="auto"/>
              </w:rPr>
            </w:pPr>
          </w:p>
        </w:tc>
        <w:tc>
          <w:tcPr>
            <w:tcW w:w="39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COO</w:t>
            </w:r>
          </w:p>
        </w:tc>
      </w:tr>
      <w:tr>
        <w:trPr>
          <w:trHeight w:val="215"/>
        </w:trPr>
        <w:tc>
          <w:tcPr>
            <w:tcW w:w="3740" w:type="dxa"/>
            <w:vAlign w:val="bottom"/>
          </w:tcPr>
          <w:p>
            <w:pPr>
              <w:spacing w:after="0"/>
              <w:rPr>
                <w:sz w:val="18"/>
                <w:szCs w:val="18"/>
                <w:color w:val="auto"/>
              </w:rPr>
            </w:pPr>
          </w:p>
        </w:tc>
        <w:tc>
          <w:tcPr>
            <w:tcW w:w="3960" w:type="dxa"/>
            <w:vAlign w:val="bottom"/>
          </w:tcPr>
          <w:p>
            <w:pPr>
              <w:ind w:left="3280"/>
              <w:spacing w:after="0"/>
              <w:rPr>
                <w:sz w:val="20"/>
                <w:szCs w:val="20"/>
                <w:color w:val="auto"/>
              </w:rPr>
            </w:pPr>
            <w:r>
              <w:rPr>
                <w:rFonts w:ascii="Arial" w:cs="Arial" w:eastAsia="Arial" w:hAnsi="Arial"/>
                <w:sz w:val="17"/>
                <w:szCs w:val="17"/>
                <w:color w:val="auto"/>
              </w:rPr>
              <w:t>Title</w:t>
            </w:r>
          </w:p>
        </w:tc>
      </w:tr>
    </w:tbl>
    <w:p>
      <w:pPr>
        <w:spacing w:after="0" w:line="120" w:lineRule="exact"/>
        <w:rPr>
          <w:sz w:val="20"/>
          <w:szCs w:val="20"/>
          <w:color w:val="auto"/>
        </w:rPr>
      </w:pPr>
    </w:p>
    <w:p>
      <w:pPr>
        <w:ind w:left="1460" w:right="159" w:hanging="481"/>
        <w:spacing w:after="0" w:line="359" w:lineRule="auto"/>
        <w:tabs>
          <w:tab w:leader="none" w:pos="1232" w:val="left"/>
        </w:tabs>
        <w:numPr>
          <w:ilvl w:val="0"/>
          <w:numId w:val="374"/>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839"/>
          </w:cols>
          <w:pgMar w:left="620" w:top="454" w:right="1440" w:bottom="1440" w:gutter="0" w:footer="0" w:header="0"/>
        </w:sectPr>
      </w:pPr>
    </w:p>
    <w:bookmarkStart w:id="425" w:name="page426"/>
    <w:bookmarkEnd w:id="42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0">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ectPr>
          <w:pgSz w:w="11900" w:h="16838" w:orient="portrait"/>
          <w:cols w:equalWidth="0" w:num="1">
            <w:col w:w="9839"/>
          </w:cols>
          <w:pgMar w:left="620" w:top="455" w:right="1440" w:bottom="1440" w:gutter="0" w:footer="0" w:header="0"/>
        </w:sectPr>
      </w:pPr>
    </w:p>
    <w:p>
      <w:pPr>
        <w:spacing w:after="0" w:line="200" w:lineRule="exact"/>
        <w:rPr>
          <w:sz w:val="20"/>
          <w:szCs w:val="20"/>
          <w:color w:val="auto"/>
        </w:rPr>
      </w:pPr>
    </w:p>
    <w:p>
      <w:pPr>
        <w:spacing w:after="0" w:line="273" w:lineRule="exact"/>
        <w:rPr>
          <w:sz w:val="20"/>
          <w:szCs w:val="20"/>
          <w:color w:val="auto"/>
        </w:rPr>
      </w:pPr>
    </w:p>
    <w:tbl>
      <w:tblPr>
        <w:tblLayout w:type="fixed"/>
        <w:tblInd w:w="2660"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rPr>
              <w:t>APPENDIX 5</w:t>
            </w:r>
          </w:p>
        </w:tc>
        <w:tc>
          <w:tcPr>
            <w:tcW w:w="2140" w:type="dxa"/>
            <w:vAlign w:val="bottom"/>
            <w:gridSpan w:val="2"/>
          </w:tcPr>
          <w:p>
            <w:pPr>
              <w:spacing w:after="0"/>
              <w:rPr>
                <w:sz w:val="16"/>
                <w:szCs w:val="16"/>
                <w:color w:val="auto"/>
              </w:rPr>
            </w:pPr>
          </w:p>
        </w:tc>
      </w:tr>
      <w:tr>
        <w:trPr>
          <w:trHeight w:val="399"/>
        </w:trPr>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180" w:type="dxa"/>
            <w:vAlign w:val="bottom"/>
            <w:gridSpan w:val="5"/>
          </w:tcPr>
          <w:p>
            <w:pPr>
              <w:jc w:val="center"/>
              <w:ind w:right="2053"/>
              <w:spacing w:after="0"/>
              <w:rPr>
                <w:sz w:val="20"/>
                <w:szCs w:val="20"/>
                <w:color w:val="auto"/>
              </w:rPr>
            </w:pPr>
            <w:r>
              <w:rPr>
                <w:rFonts w:ascii="Arial" w:cs="Arial" w:eastAsia="Arial" w:hAnsi="Arial"/>
                <w:sz w:val="17"/>
                <w:szCs w:val="17"/>
                <w:b w:val="1"/>
                <w:bCs w:val="1"/>
                <w:color w:val="auto"/>
              </w:rPr>
              <w:t>PRODUCTS</w:t>
            </w:r>
          </w:p>
        </w:tc>
      </w:tr>
      <w:tr>
        <w:trPr>
          <w:trHeight w:val="517"/>
        </w:trPr>
        <w:tc>
          <w:tcPr>
            <w:tcW w:w="480" w:type="dxa"/>
            <w:vAlign w:val="bottom"/>
          </w:tcPr>
          <w:p>
            <w:pPr>
              <w:spacing w:after="0"/>
              <w:rPr>
                <w:sz w:val="20"/>
                <w:szCs w:val="20"/>
                <w:color w:val="auto"/>
              </w:rPr>
            </w:pPr>
            <w:r>
              <w:rPr>
                <w:rFonts w:ascii="Arial" w:cs="Arial" w:eastAsia="Arial" w:hAnsi="Arial"/>
                <w:sz w:val="14"/>
                <w:szCs w:val="14"/>
                <w:b w:val="1"/>
                <w:bCs w:val="1"/>
                <w:color w:val="auto"/>
                <w:w w:val="86"/>
              </w:rPr>
              <w:t>Product</w:t>
            </w: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gridSpan w:val="2"/>
          </w:tcPr>
          <w:p>
            <w:pPr>
              <w:ind w:left="1280"/>
              <w:spacing w:after="0"/>
              <w:rPr>
                <w:sz w:val="20"/>
                <w:szCs w:val="20"/>
                <w:color w:val="auto"/>
              </w:rPr>
            </w:pPr>
            <w:r>
              <w:rPr>
                <w:rFonts w:ascii="Arial" w:cs="Arial" w:eastAsia="Arial" w:hAnsi="Arial"/>
                <w:sz w:val="14"/>
                <w:szCs w:val="14"/>
                <w:b w:val="1"/>
                <w:bCs w:val="1"/>
                <w:color w:val="auto"/>
                <w:w w:val="88"/>
              </w:rPr>
              <w:t>Product Name</w:t>
            </w:r>
          </w:p>
        </w:tc>
      </w:tr>
      <w:tr>
        <w:trPr>
          <w:trHeight w:val="215"/>
        </w:trPr>
        <w:tc>
          <w:tcPr>
            <w:tcW w:w="4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1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460" w:right="159" w:hanging="481"/>
        <w:spacing w:after="0" w:line="359" w:lineRule="auto"/>
        <w:tabs>
          <w:tab w:leader="none" w:pos="1232" w:val="left"/>
        </w:tabs>
        <w:numPr>
          <w:ilvl w:val="0"/>
          <w:numId w:val="375"/>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839"/>
          </w:cols>
          <w:pgMar w:left="620" w:top="455" w:right="1440" w:bottom="1440" w:gutter="0" w:footer="0" w:header="0"/>
          <w:type w:val="continuous"/>
        </w:sectPr>
      </w:pPr>
    </w:p>
    <w:bookmarkStart w:id="426" w:name="page427"/>
    <w:bookmarkEnd w:id="42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2">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ectPr>
          <w:pgSz w:w="11900" w:h="16838" w:orient="portrait"/>
          <w:cols w:equalWidth="0" w:num="1">
            <w:col w:w="9839"/>
          </w:cols>
          <w:pgMar w:left="620" w:top="4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AMENDMENT No. 2</w:t>
      </w:r>
    </w:p>
    <w:p>
      <w:pPr>
        <w:spacing w:after="0" w:line="200" w:lineRule="exact"/>
        <w:rPr>
          <w:sz w:val="20"/>
          <w:szCs w:val="20"/>
          <w:color w:val="auto"/>
        </w:rPr>
      </w:pPr>
    </w:p>
    <w:p>
      <w:pPr>
        <w:spacing w:after="0" w:line="233"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to</w:t>
      </w:r>
    </w:p>
    <w:p>
      <w:pPr>
        <w:spacing w:after="0" w:line="200" w:lineRule="exact"/>
        <w:rPr>
          <w:sz w:val="20"/>
          <w:szCs w:val="20"/>
          <w:color w:val="auto"/>
        </w:rPr>
      </w:pPr>
    </w:p>
    <w:p>
      <w:pPr>
        <w:spacing w:after="0" w:line="233"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MULTI-PRODUCT LICENCE AGREEMENT</w:t>
      </w:r>
    </w:p>
    <w:p>
      <w:pPr>
        <w:spacing w:after="0" w:line="200" w:lineRule="exact"/>
        <w:rPr>
          <w:sz w:val="20"/>
          <w:szCs w:val="20"/>
          <w:color w:val="auto"/>
        </w:rPr>
      </w:pPr>
    </w:p>
    <w:p>
      <w:pPr>
        <w:spacing w:after="0" w:line="233"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dated</w:t>
      </w:r>
    </w:p>
    <w:p>
      <w:pPr>
        <w:spacing w:after="0" w:line="200" w:lineRule="exact"/>
        <w:rPr>
          <w:sz w:val="20"/>
          <w:szCs w:val="20"/>
          <w:color w:val="auto"/>
        </w:rPr>
      </w:pPr>
    </w:p>
    <w:p>
      <w:pPr>
        <w:spacing w:after="0" w:line="23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31 October 2014</w:t>
      </w:r>
    </w:p>
    <w:p>
      <w:pPr>
        <w:spacing w:after="0" w:line="200" w:lineRule="exact"/>
        <w:rPr>
          <w:sz w:val="20"/>
          <w:szCs w:val="20"/>
          <w:color w:val="auto"/>
        </w:rPr>
      </w:pPr>
    </w:p>
    <w:p>
      <w:pPr>
        <w:spacing w:after="0" w:line="233"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between</w:t>
      </w:r>
    </w:p>
    <w:p>
      <w:pPr>
        <w:spacing w:after="0" w:line="200" w:lineRule="exact"/>
        <w:rPr>
          <w:sz w:val="20"/>
          <w:szCs w:val="20"/>
          <w:color w:val="auto"/>
        </w:rPr>
      </w:pPr>
    </w:p>
    <w:p>
      <w:pPr>
        <w:spacing w:after="0" w:line="233"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LONZA SALES AG</w:t>
      </w:r>
    </w:p>
    <w:p>
      <w:pPr>
        <w:spacing w:after="0" w:line="200" w:lineRule="exact"/>
        <w:rPr>
          <w:sz w:val="20"/>
          <w:szCs w:val="20"/>
          <w:color w:val="auto"/>
        </w:rPr>
      </w:pPr>
    </w:p>
    <w:p>
      <w:pPr>
        <w:spacing w:after="0" w:line="233"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and</w:t>
      </w:r>
    </w:p>
    <w:p>
      <w:pPr>
        <w:spacing w:after="0" w:line="200" w:lineRule="exact"/>
        <w:rPr>
          <w:sz w:val="20"/>
          <w:szCs w:val="20"/>
          <w:color w:val="auto"/>
        </w:rPr>
      </w:pPr>
    </w:p>
    <w:p>
      <w:pPr>
        <w:spacing w:after="0" w:line="233"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NGM BIOPHARMACEUTICALS, INC.</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460" w:right="159" w:hanging="481"/>
        <w:spacing w:after="0" w:line="359" w:lineRule="auto"/>
        <w:tabs>
          <w:tab w:leader="none" w:pos="1232" w:val="left"/>
        </w:tabs>
        <w:numPr>
          <w:ilvl w:val="0"/>
          <w:numId w:val="376"/>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839"/>
          </w:cols>
          <w:pgMar w:left="620" w:top="454" w:right="1440" w:bottom="1440" w:gutter="0" w:footer="0" w:header="0"/>
          <w:type w:val="continuous"/>
        </w:sectPr>
      </w:pPr>
    </w:p>
    <w:bookmarkStart w:id="427" w:name="page428"/>
    <w:bookmarkEnd w:id="427"/>
    <w:p>
      <w:pPr>
        <w:ind w:left="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4">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85" w:lineRule="exact"/>
        <w:rPr>
          <w:sz w:val="20"/>
          <w:szCs w:val="20"/>
          <w:color w:val="auto"/>
        </w:rPr>
      </w:pPr>
    </w:p>
    <w:p>
      <w:pPr>
        <w:ind w:left="9"/>
        <w:spacing w:after="0"/>
        <w:rPr>
          <w:sz w:val="20"/>
          <w:szCs w:val="20"/>
          <w:color w:val="auto"/>
        </w:rPr>
      </w:pPr>
      <w:r>
        <w:rPr>
          <w:rFonts w:ascii="Arial" w:cs="Arial" w:eastAsia="Arial" w:hAnsi="Arial"/>
          <w:sz w:val="17"/>
          <w:szCs w:val="17"/>
          <w:color w:val="auto"/>
        </w:rPr>
        <w:t>THIS AMENDMENT No. 2 is made on the 7</w:t>
      </w:r>
      <w:r>
        <w:rPr>
          <w:rFonts w:ascii="Arial" w:cs="Arial" w:eastAsia="Arial" w:hAnsi="Arial"/>
          <w:sz w:val="14"/>
          <w:szCs w:val="14"/>
          <w:color w:val="auto"/>
        </w:rPr>
        <w:t>th</w:t>
      </w:r>
      <w:r>
        <w:rPr>
          <w:rFonts w:ascii="Arial" w:cs="Arial" w:eastAsia="Arial" w:hAnsi="Arial"/>
          <w:sz w:val="17"/>
          <w:szCs w:val="17"/>
          <w:color w:val="auto"/>
        </w:rPr>
        <w:t xml:space="preserve"> day of October 2015</w:t>
      </w:r>
    </w:p>
    <w:p>
      <w:pPr>
        <w:spacing w:after="0" w:line="224" w:lineRule="exact"/>
        <w:rPr>
          <w:sz w:val="20"/>
          <w:szCs w:val="20"/>
          <w:color w:val="auto"/>
        </w:rPr>
      </w:pPr>
    </w:p>
    <w:p>
      <w:pPr>
        <w:ind w:left="9"/>
        <w:spacing w:after="0"/>
        <w:rPr>
          <w:sz w:val="20"/>
          <w:szCs w:val="20"/>
          <w:color w:val="auto"/>
        </w:rPr>
      </w:pPr>
      <w:r>
        <w:rPr>
          <w:rFonts w:ascii="Arial" w:cs="Arial" w:eastAsia="Arial" w:hAnsi="Arial"/>
          <w:sz w:val="17"/>
          <w:szCs w:val="17"/>
          <w:color w:val="auto"/>
        </w:rPr>
        <w:t>Between</w:t>
      </w:r>
    </w:p>
    <w:p>
      <w:pPr>
        <w:spacing w:after="0" w:line="218" w:lineRule="exact"/>
        <w:rPr>
          <w:sz w:val="20"/>
          <w:szCs w:val="20"/>
          <w:color w:val="auto"/>
        </w:rPr>
      </w:pPr>
    </w:p>
    <w:p>
      <w:pPr>
        <w:ind w:left="9"/>
        <w:spacing w:after="0" w:line="296" w:lineRule="auto"/>
        <w:rPr>
          <w:sz w:val="20"/>
          <w:szCs w:val="20"/>
          <w:color w:val="auto"/>
        </w:rPr>
      </w:pPr>
      <w:r>
        <w:rPr>
          <w:rFonts w:ascii="Arial" w:cs="Arial" w:eastAsia="Arial" w:hAnsi="Arial"/>
          <w:sz w:val="17"/>
          <w:szCs w:val="17"/>
          <w:b w:val="1"/>
          <w:bCs w:val="1"/>
          <w:color w:val="auto"/>
        </w:rPr>
        <w:t xml:space="preserve">LONZA SALES AG </w:t>
      </w:r>
      <w:r>
        <w:rPr>
          <w:rFonts w:ascii="Arial" w:cs="Arial" w:eastAsia="Arial" w:hAnsi="Arial"/>
          <w:sz w:val="17"/>
          <w:szCs w:val="17"/>
          <w:color w:val="auto"/>
        </w:rPr>
        <w:t>incorporated and registered in Switzerland whose registered office is at Muenchensteinerstrasse 38, CH-4002, Basel, Switzerland</w:t>
      </w:r>
      <w:r>
        <w:rPr>
          <w:rFonts w:ascii="Arial" w:cs="Arial" w:eastAsia="Arial" w:hAnsi="Arial"/>
          <w:sz w:val="17"/>
          <w:szCs w:val="17"/>
          <w:b w:val="1"/>
          <w:bCs w:val="1"/>
          <w:color w:val="auto"/>
        </w:rPr>
        <w:t xml:space="preserve"> </w:t>
      </w:r>
      <w:r>
        <w:rPr>
          <w:rFonts w:ascii="Arial" w:cs="Arial" w:eastAsia="Arial" w:hAnsi="Arial"/>
          <w:sz w:val="17"/>
          <w:szCs w:val="17"/>
          <w:color w:val="auto"/>
        </w:rPr>
        <w:t>(hereinafter referred to as “Lonza”), and</w:t>
      </w:r>
    </w:p>
    <w:p>
      <w:pPr>
        <w:spacing w:after="0" w:line="146"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 xml:space="preserve">NGM BIOPHARMACEUTICALS, INC., </w:t>
      </w:r>
      <w:r>
        <w:rPr>
          <w:rFonts w:ascii="Arial" w:cs="Arial" w:eastAsia="Arial" w:hAnsi="Arial"/>
          <w:sz w:val="17"/>
          <w:szCs w:val="17"/>
          <w:color w:val="auto"/>
        </w:rPr>
        <w:t>of 630 Gateway Blvd., South San Francisco, CA 94080, USA, (hereinafter referred to as “Licensee”)</w:t>
      </w:r>
    </w:p>
    <w:p>
      <w:pPr>
        <w:spacing w:after="0" w:line="230" w:lineRule="exact"/>
        <w:rPr>
          <w:sz w:val="20"/>
          <w:szCs w:val="20"/>
          <w:color w:val="auto"/>
        </w:rPr>
      </w:pPr>
    </w:p>
    <w:p>
      <w:pPr>
        <w:ind w:left="9"/>
        <w:spacing w:after="0"/>
        <w:rPr>
          <w:sz w:val="20"/>
          <w:szCs w:val="20"/>
          <w:color w:val="auto"/>
        </w:rPr>
      </w:pPr>
      <w:r>
        <w:rPr>
          <w:rFonts w:ascii="Arial" w:cs="Arial" w:eastAsia="Arial" w:hAnsi="Arial"/>
          <w:sz w:val="17"/>
          <w:szCs w:val="17"/>
          <w:color w:val="auto"/>
        </w:rPr>
        <w:t>WHEREAS</w:t>
      </w:r>
    </w:p>
    <w:p>
      <w:pPr>
        <w:spacing w:after="0" w:line="250" w:lineRule="exact"/>
        <w:rPr>
          <w:sz w:val="20"/>
          <w:szCs w:val="20"/>
          <w:color w:val="auto"/>
        </w:rPr>
      </w:pPr>
    </w:p>
    <w:p>
      <w:pPr>
        <w:ind w:left="829" w:right="60" w:hanging="410"/>
        <w:spacing w:after="0" w:line="289" w:lineRule="auto"/>
        <w:tabs>
          <w:tab w:leader="none" w:pos="829" w:val="left"/>
        </w:tabs>
        <w:numPr>
          <w:ilvl w:val="0"/>
          <w:numId w:val="377"/>
        </w:numPr>
        <w:rPr>
          <w:rFonts w:ascii="Arial" w:cs="Arial" w:eastAsia="Arial" w:hAnsi="Arial"/>
          <w:sz w:val="17"/>
          <w:szCs w:val="17"/>
          <w:color w:val="auto"/>
        </w:rPr>
      </w:pPr>
      <w:r>
        <w:rPr>
          <w:rFonts w:ascii="Arial" w:cs="Arial" w:eastAsia="Arial" w:hAnsi="Arial"/>
          <w:sz w:val="17"/>
          <w:szCs w:val="17"/>
          <w:color w:val="auto"/>
        </w:rPr>
        <w:t>Lonza and the Licensee entered into a Multi-Product Licence Agreement dated 31 October 2014, pursuant to which Lonza licensed certain Intellectual Property Rights (as therein defined) to the Licensee (“Agreement”);</w:t>
      </w:r>
    </w:p>
    <w:p>
      <w:pPr>
        <w:spacing w:after="0" w:line="183" w:lineRule="exact"/>
        <w:rPr>
          <w:rFonts w:ascii="Arial" w:cs="Arial" w:eastAsia="Arial" w:hAnsi="Arial"/>
          <w:sz w:val="17"/>
          <w:szCs w:val="17"/>
          <w:color w:val="auto"/>
        </w:rPr>
      </w:pPr>
    </w:p>
    <w:p>
      <w:pPr>
        <w:ind w:left="829" w:hanging="410"/>
        <w:spacing w:after="0"/>
        <w:tabs>
          <w:tab w:leader="none" w:pos="829" w:val="left"/>
        </w:tabs>
        <w:numPr>
          <w:ilvl w:val="0"/>
          <w:numId w:val="377"/>
        </w:numPr>
        <w:rPr>
          <w:rFonts w:ascii="Arial" w:cs="Arial" w:eastAsia="Arial" w:hAnsi="Arial"/>
          <w:sz w:val="17"/>
          <w:szCs w:val="17"/>
          <w:color w:val="auto"/>
        </w:rPr>
      </w:pPr>
      <w:r>
        <w:rPr>
          <w:rFonts w:ascii="Arial" w:cs="Arial" w:eastAsia="Arial" w:hAnsi="Arial"/>
          <w:sz w:val="17"/>
          <w:szCs w:val="17"/>
          <w:color w:val="auto"/>
        </w:rPr>
        <w:t>The parties executed an Amendment No. 1 to the Agreement on the 28</w:t>
      </w:r>
      <w:r>
        <w:rPr>
          <w:rFonts w:ascii="Arial" w:cs="Arial" w:eastAsia="Arial" w:hAnsi="Arial"/>
          <w:sz w:val="14"/>
          <w:szCs w:val="14"/>
          <w:color w:val="auto"/>
        </w:rPr>
        <w:t>th</w:t>
      </w:r>
      <w:r>
        <w:rPr>
          <w:rFonts w:ascii="Arial" w:cs="Arial" w:eastAsia="Arial" w:hAnsi="Arial"/>
          <w:sz w:val="17"/>
          <w:szCs w:val="17"/>
          <w:color w:val="auto"/>
        </w:rPr>
        <w:t xml:space="preserve"> of July 2015; and</w:t>
      </w:r>
    </w:p>
    <w:p>
      <w:pPr>
        <w:spacing w:after="0" w:line="250" w:lineRule="exact"/>
        <w:rPr>
          <w:rFonts w:ascii="Arial" w:cs="Arial" w:eastAsia="Arial" w:hAnsi="Arial"/>
          <w:sz w:val="17"/>
          <w:szCs w:val="17"/>
          <w:color w:val="auto"/>
        </w:rPr>
      </w:pPr>
    </w:p>
    <w:p>
      <w:pPr>
        <w:ind w:left="829" w:hanging="410"/>
        <w:spacing w:after="0"/>
        <w:tabs>
          <w:tab w:leader="none" w:pos="829" w:val="left"/>
        </w:tabs>
        <w:numPr>
          <w:ilvl w:val="0"/>
          <w:numId w:val="377"/>
        </w:numPr>
        <w:rPr>
          <w:rFonts w:ascii="Arial" w:cs="Arial" w:eastAsia="Arial" w:hAnsi="Arial"/>
          <w:sz w:val="17"/>
          <w:szCs w:val="17"/>
          <w:color w:val="auto"/>
        </w:rPr>
      </w:pPr>
      <w:r>
        <w:rPr>
          <w:rFonts w:ascii="Arial" w:cs="Arial" w:eastAsia="Arial" w:hAnsi="Arial"/>
          <w:sz w:val="17"/>
          <w:szCs w:val="17"/>
          <w:color w:val="auto"/>
        </w:rPr>
        <w:t>The parties now wish to further amend the terms of the Agreement</w:t>
      </w:r>
    </w:p>
    <w:p>
      <w:pPr>
        <w:spacing w:after="0" w:line="224" w:lineRule="exact"/>
        <w:rPr>
          <w:sz w:val="20"/>
          <w:szCs w:val="20"/>
          <w:color w:val="auto"/>
        </w:rPr>
      </w:pPr>
    </w:p>
    <w:p>
      <w:pPr>
        <w:ind w:left="9"/>
        <w:spacing w:after="0"/>
        <w:rPr>
          <w:sz w:val="20"/>
          <w:szCs w:val="20"/>
          <w:color w:val="auto"/>
        </w:rPr>
      </w:pPr>
      <w:r>
        <w:rPr>
          <w:rFonts w:ascii="Arial" w:cs="Arial" w:eastAsia="Arial" w:hAnsi="Arial"/>
          <w:sz w:val="17"/>
          <w:szCs w:val="17"/>
          <w:color w:val="auto"/>
        </w:rPr>
        <w:t>NOW THEREFORE IT IS HEREBY AGREED to amend the Agreement as follows:</w:t>
      </w:r>
    </w:p>
    <w:p>
      <w:pPr>
        <w:spacing w:after="0" w:line="250" w:lineRule="exact"/>
        <w:rPr>
          <w:sz w:val="20"/>
          <w:szCs w:val="20"/>
          <w:color w:val="auto"/>
        </w:rPr>
      </w:pPr>
    </w:p>
    <w:p>
      <w:pPr>
        <w:ind w:left="429" w:hanging="429"/>
        <w:spacing w:after="0"/>
        <w:tabs>
          <w:tab w:leader="none" w:pos="429" w:val="left"/>
        </w:tabs>
        <w:numPr>
          <w:ilvl w:val="0"/>
          <w:numId w:val="378"/>
        </w:numPr>
        <w:rPr>
          <w:rFonts w:ascii="Arial" w:cs="Arial" w:eastAsia="Arial" w:hAnsi="Arial"/>
          <w:sz w:val="17"/>
          <w:szCs w:val="17"/>
          <w:color w:val="auto"/>
        </w:rPr>
      </w:pPr>
      <w:r>
        <w:rPr>
          <w:rFonts w:ascii="Arial" w:cs="Arial" w:eastAsia="Arial" w:hAnsi="Arial"/>
          <w:sz w:val="17"/>
          <w:szCs w:val="17"/>
          <w:color w:val="auto"/>
        </w:rPr>
        <w:t>Clause 4.3.6 of the Agreement shall be deleted in its entirety and replaced with the following:</w:t>
      </w:r>
    </w:p>
    <w:p>
      <w:pPr>
        <w:spacing w:after="0" w:line="249" w:lineRule="exact"/>
        <w:rPr>
          <w:rFonts w:ascii="Arial" w:cs="Arial" w:eastAsia="Arial" w:hAnsi="Arial"/>
          <w:sz w:val="17"/>
          <w:szCs w:val="17"/>
          <w:color w:val="auto"/>
        </w:rPr>
      </w:pPr>
    </w:p>
    <w:p>
      <w:pPr>
        <w:ind w:left="829" w:right="340" w:hanging="410"/>
        <w:spacing w:after="0" w:line="289" w:lineRule="auto"/>
        <w:tabs>
          <w:tab w:leader="none" w:pos="829" w:val="left"/>
        </w:tabs>
        <w:numPr>
          <w:ilvl w:val="1"/>
          <w:numId w:val="378"/>
        </w:numPr>
        <w:rPr>
          <w:rFonts w:ascii="Arial" w:cs="Arial" w:eastAsia="Arial" w:hAnsi="Arial"/>
          <w:sz w:val="17"/>
          <w:szCs w:val="17"/>
          <w:color w:val="auto"/>
        </w:rPr>
      </w:pPr>
      <w:r>
        <w:rPr>
          <w:rFonts w:ascii="Arial" w:cs="Arial" w:eastAsia="Arial" w:hAnsi="Arial"/>
          <w:sz w:val="17"/>
          <w:szCs w:val="17"/>
          <w:color w:val="auto"/>
        </w:rPr>
        <w:t>Lonza hereby consents to the grant of a sublicence by Licensee to its Affiliate NGM Biopharmaceuticals Australia Pty Ltd, The Rialto, Level 30, 525 Collins St., Melbourne, Victoria 3000, Australia.</w:t>
      </w:r>
    </w:p>
    <w:p>
      <w:pPr>
        <w:spacing w:after="0" w:line="183" w:lineRule="exact"/>
        <w:rPr>
          <w:rFonts w:ascii="Arial" w:cs="Arial" w:eastAsia="Arial" w:hAnsi="Arial"/>
          <w:sz w:val="17"/>
          <w:szCs w:val="17"/>
          <w:color w:val="auto"/>
        </w:rPr>
      </w:pPr>
    </w:p>
    <w:p>
      <w:pPr>
        <w:ind w:left="829" w:hanging="410"/>
        <w:spacing w:after="0"/>
        <w:tabs>
          <w:tab w:leader="none" w:pos="829" w:val="left"/>
        </w:tabs>
        <w:numPr>
          <w:ilvl w:val="1"/>
          <w:numId w:val="378"/>
        </w:numPr>
        <w:rPr>
          <w:rFonts w:ascii="Arial" w:cs="Arial" w:eastAsia="Arial" w:hAnsi="Arial"/>
          <w:sz w:val="17"/>
          <w:szCs w:val="17"/>
          <w:color w:val="auto"/>
        </w:rPr>
      </w:pPr>
      <w:r>
        <w:rPr>
          <w:rFonts w:ascii="Arial" w:cs="Arial" w:eastAsia="Arial" w:hAnsi="Arial"/>
          <w:sz w:val="17"/>
          <w:szCs w:val="17"/>
          <w:color w:val="auto"/>
        </w:rPr>
        <w:t>Lonza hereby consents to the grant of a sublicence [*] for the purpose of:</w:t>
      </w:r>
    </w:p>
    <w:p>
      <w:pPr>
        <w:spacing w:after="0" w:line="249" w:lineRule="exact"/>
        <w:rPr>
          <w:rFonts w:ascii="Arial" w:cs="Arial" w:eastAsia="Arial" w:hAnsi="Arial"/>
          <w:sz w:val="17"/>
          <w:szCs w:val="17"/>
          <w:color w:val="auto"/>
        </w:rPr>
      </w:pPr>
    </w:p>
    <w:p>
      <w:pPr>
        <w:ind w:left="1369" w:hanging="517"/>
        <w:spacing w:after="0"/>
        <w:tabs>
          <w:tab w:leader="none" w:pos="1369" w:val="left"/>
        </w:tabs>
        <w:numPr>
          <w:ilvl w:val="2"/>
          <w:numId w:val="378"/>
        </w:numPr>
        <w:rPr>
          <w:rFonts w:ascii="Arial" w:cs="Arial" w:eastAsia="Arial" w:hAnsi="Arial"/>
          <w:sz w:val="17"/>
          <w:szCs w:val="17"/>
          <w:color w:val="auto"/>
        </w:rPr>
      </w:pPr>
      <w:r>
        <w:rPr>
          <w:rFonts w:ascii="Arial" w:cs="Arial" w:eastAsia="Arial" w:hAnsi="Arial"/>
          <w:sz w:val="17"/>
          <w:szCs w:val="17"/>
          <w:color w:val="auto"/>
        </w:rPr>
        <w:t>[*]; and</w:t>
      </w:r>
    </w:p>
    <w:p>
      <w:pPr>
        <w:spacing w:after="0" w:line="158" w:lineRule="exact"/>
        <w:rPr>
          <w:sz w:val="20"/>
          <w:szCs w:val="20"/>
          <w:color w:val="auto"/>
        </w:rPr>
      </w:pPr>
    </w:p>
    <w:p>
      <w:pPr>
        <w:ind w:left="1469" w:right="900" w:hanging="481"/>
        <w:spacing w:after="0" w:line="359" w:lineRule="auto"/>
        <w:tabs>
          <w:tab w:leader="none" w:pos="1241" w:val="left"/>
        </w:tabs>
        <w:numPr>
          <w:ilvl w:val="0"/>
          <w:numId w:val="379"/>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589"/>
          </w:cols>
          <w:pgMar w:left="611" w:top="454" w:right="699" w:bottom="1440" w:gutter="0" w:footer="0" w:header="0"/>
        </w:sectPr>
      </w:pPr>
    </w:p>
    <w:bookmarkStart w:id="428" w:name="page429"/>
    <w:bookmarkEnd w:id="428"/>
    <w:p>
      <w:pPr>
        <w:ind w:left="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6">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85" w:lineRule="exact"/>
        <w:rPr>
          <w:sz w:val="20"/>
          <w:szCs w:val="20"/>
          <w:color w:val="auto"/>
        </w:rPr>
      </w:pPr>
    </w:p>
    <w:p>
      <w:pPr>
        <w:ind w:left="1369" w:hanging="517"/>
        <w:spacing w:after="0"/>
        <w:tabs>
          <w:tab w:leader="none" w:pos="1369" w:val="left"/>
        </w:tabs>
        <w:numPr>
          <w:ilvl w:val="3"/>
          <w:numId w:val="380"/>
        </w:numPr>
        <w:rPr>
          <w:rFonts w:ascii="Arial" w:cs="Arial" w:eastAsia="Arial" w:hAnsi="Arial"/>
          <w:sz w:val="17"/>
          <w:szCs w:val="17"/>
          <w:color w:val="auto"/>
        </w:rPr>
      </w:pPr>
      <w:r>
        <w:rPr>
          <w:rFonts w:ascii="Arial" w:cs="Arial" w:eastAsia="Arial" w:hAnsi="Arial"/>
          <w:sz w:val="17"/>
          <w:szCs w:val="17"/>
          <w:color w:val="auto"/>
        </w:rPr>
        <w:t>[*].</w:t>
      </w:r>
    </w:p>
    <w:p>
      <w:pPr>
        <w:spacing w:after="0" w:line="249" w:lineRule="exact"/>
        <w:rPr>
          <w:rFonts w:ascii="Arial" w:cs="Arial" w:eastAsia="Arial" w:hAnsi="Arial"/>
          <w:sz w:val="17"/>
          <w:szCs w:val="17"/>
          <w:color w:val="auto"/>
        </w:rPr>
      </w:pPr>
    </w:p>
    <w:p>
      <w:pPr>
        <w:ind w:left="829" w:hanging="410"/>
        <w:spacing w:after="0" w:line="281" w:lineRule="auto"/>
        <w:tabs>
          <w:tab w:leader="none" w:pos="829" w:val="left"/>
        </w:tabs>
        <w:numPr>
          <w:ilvl w:val="1"/>
          <w:numId w:val="381"/>
        </w:numPr>
        <w:rPr>
          <w:rFonts w:ascii="Arial" w:cs="Arial" w:eastAsia="Arial" w:hAnsi="Arial"/>
          <w:sz w:val="16"/>
          <w:szCs w:val="16"/>
          <w:color w:val="auto"/>
        </w:rPr>
      </w:pPr>
      <w:r>
        <w:rPr>
          <w:rFonts w:ascii="Arial" w:cs="Arial" w:eastAsia="Arial" w:hAnsi="Arial"/>
          <w:sz w:val="16"/>
          <w:szCs w:val="16"/>
          <w:color w:val="auto"/>
        </w:rPr>
        <w:t>Lonza hereby consents to the grant of a sublicence by Licensee to its Strategic Partner Merck Sharp &amp; Dohme Corp (“Merck”) of One Merck Drive, Whitehouse Station, NJ 08889, USA to undertake Commercial Activities consisting of continued research and development of</w:t>
      </w:r>
    </w:p>
    <w:p>
      <w:pPr>
        <w:ind w:left="1089" w:hanging="251"/>
        <w:spacing w:after="0"/>
        <w:tabs>
          <w:tab w:leader="none" w:pos="1089" w:val="left"/>
        </w:tabs>
        <w:numPr>
          <w:ilvl w:val="2"/>
          <w:numId w:val="381"/>
        </w:numPr>
        <w:rPr>
          <w:rFonts w:ascii="Arial" w:cs="Arial" w:eastAsia="Arial" w:hAnsi="Arial"/>
          <w:sz w:val="17"/>
          <w:szCs w:val="17"/>
          <w:color w:val="auto"/>
        </w:rPr>
      </w:pPr>
      <w:r>
        <w:rPr>
          <w:rFonts w:ascii="Arial" w:cs="Arial" w:eastAsia="Arial" w:hAnsi="Arial"/>
          <w:sz w:val="17"/>
          <w:szCs w:val="17"/>
          <w:color w:val="auto"/>
        </w:rPr>
        <w:t>including [*], as well as [*].</w:t>
      </w:r>
    </w:p>
    <w:p>
      <w:pPr>
        <w:spacing w:after="0" w:line="237" w:lineRule="exact"/>
        <w:rPr>
          <w:rFonts w:ascii="Arial" w:cs="Arial" w:eastAsia="Arial" w:hAnsi="Arial"/>
          <w:sz w:val="17"/>
          <w:szCs w:val="17"/>
          <w:color w:val="auto"/>
        </w:rPr>
      </w:pPr>
    </w:p>
    <w:p>
      <w:pPr>
        <w:ind w:left="429" w:hanging="429"/>
        <w:spacing w:after="0"/>
        <w:tabs>
          <w:tab w:leader="none" w:pos="429" w:val="left"/>
        </w:tabs>
        <w:numPr>
          <w:ilvl w:val="0"/>
          <w:numId w:val="382"/>
        </w:numPr>
        <w:rPr>
          <w:rFonts w:ascii="Arial" w:cs="Arial" w:eastAsia="Arial" w:hAnsi="Arial"/>
          <w:sz w:val="17"/>
          <w:szCs w:val="17"/>
          <w:color w:val="auto"/>
        </w:rPr>
      </w:pPr>
      <w:r>
        <w:rPr>
          <w:rFonts w:ascii="Arial" w:cs="Arial" w:eastAsia="Arial" w:hAnsi="Arial"/>
          <w:sz w:val="17"/>
          <w:szCs w:val="17"/>
          <w:color w:val="auto"/>
        </w:rPr>
        <w:t>Clause 5.3.2 of the Agreement shall be deleted in its entirety and replaced with the following:</w:t>
      </w:r>
    </w:p>
    <w:p>
      <w:pPr>
        <w:spacing w:after="0" w:line="249" w:lineRule="exact"/>
        <w:rPr>
          <w:rFonts w:ascii="Arial" w:cs="Arial" w:eastAsia="Arial" w:hAnsi="Arial"/>
          <w:sz w:val="17"/>
          <w:szCs w:val="17"/>
          <w:color w:val="auto"/>
        </w:rPr>
      </w:pPr>
    </w:p>
    <w:p>
      <w:pPr>
        <w:ind w:left="1049" w:right="80" w:hanging="629"/>
        <w:spacing w:after="0" w:line="267" w:lineRule="auto"/>
        <w:rPr>
          <w:rFonts w:ascii="Arial" w:cs="Arial" w:eastAsia="Arial" w:hAnsi="Arial"/>
          <w:sz w:val="17"/>
          <w:szCs w:val="17"/>
          <w:color w:val="auto"/>
        </w:rPr>
      </w:pPr>
      <w:r>
        <w:rPr>
          <w:rFonts w:ascii="Arial" w:cs="Arial" w:eastAsia="Arial" w:hAnsi="Arial"/>
          <w:sz w:val="17"/>
          <w:szCs w:val="17"/>
          <w:color w:val="auto"/>
        </w:rPr>
        <w:t>5.3.2 Where any Product is manufactured for Commercial Activities by a party other than Lonza, Licensee, Licensee’s Affiliate, or Licensee’s Strategic Partner, then Licensee shall pay to Lonza an annual fee of [*] in respect of each such Product, such fee being payable annually during the course of such sublicence (irrespective as to the years of manufacture) and being first payable on the commencement date of the relevant sublicence. For the avoidance of doubt:</w:t>
      </w:r>
    </w:p>
    <w:p>
      <w:pPr>
        <w:spacing w:after="0" w:line="203" w:lineRule="exact"/>
        <w:rPr>
          <w:rFonts w:ascii="Arial" w:cs="Arial" w:eastAsia="Arial" w:hAnsi="Arial"/>
          <w:sz w:val="17"/>
          <w:szCs w:val="17"/>
          <w:color w:val="auto"/>
        </w:rPr>
      </w:pPr>
    </w:p>
    <w:p>
      <w:pPr>
        <w:ind w:left="1589" w:hanging="528"/>
        <w:spacing w:after="0"/>
        <w:tabs>
          <w:tab w:leader="none" w:pos="1589" w:val="left"/>
        </w:tabs>
        <w:numPr>
          <w:ilvl w:val="4"/>
          <w:numId w:val="382"/>
        </w:numPr>
        <w:rPr>
          <w:rFonts w:ascii="Arial" w:cs="Arial" w:eastAsia="Arial" w:hAnsi="Arial"/>
          <w:sz w:val="16"/>
          <w:szCs w:val="16"/>
          <w:color w:val="auto"/>
        </w:rPr>
      </w:pPr>
      <w:r>
        <w:rPr>
          <w:rFonts w:ascii="Arial" w:cs="Arial" w:eastAsia="Arial" w:hAnsi="Arial"/>
          <w:sz w:val="16"/>
          <w:szCs w:val="16"/>
          <w:color w:val="auto"/>
        </w:rPr>
        <w:t>such payments are on a per-Product basis, irrespective of whether the same third party manufactures more than one Product;</w:t>
      </w:r>
    </w:p>
    <w:p>
      <w:pPr>
        <w:spacing w:after="0" w:line="261" w:lineRule="exact"/>
        <w:rPr>
          <w:rFonts w:ascii="Arial" w:cs="Arial" w:eastAsia="Arial" w:hAnsi="Arial"/>
          <w:sz w:val="16"/>
          <w:szCs w:val="16"/>
          <w:color w:val="auto"/>
        </w:rPr>
      </w:pPr>
    </w:p>
    <w:p>
      <w:pPr>
        <w:ind w:left="1589" w:right="140" w:hanging="528"/>
        <w:spacing w:after="0" w:line="289" w:lineRule="auto"/>
        <w:tabs>
          <w:tab w:leader="none" w:pos="1589" w:val="left"/>
        </w:tabs>
        <w:numPr>
          <w:ilvl w:val="4"/>
          <w:numId w:val="382"/>
        </w:numPr>
        <w:rPr>
          <w:rFonts w:ascii="Arial" w:cs="Arial" w:eastAsia="Arial" w:hAnsi="Arial"/>
          <w:sz w:val="17"/>
          <w:szCs w:val="17"/>
          <w:color w:val="auto"/>
        </w:rPr>
      </w:pPr>
      <w:r>
        <w:rPr>
          <w:rFonts w:ascii="Arial" w:cs="Arial" w:eastAsia="Arial" w:hAnsi="Arial"/>
          <w:sz w:val="17"/>
          <w:szCs w:val="17"/>
          <w:color w:val="auto"/>
        </w:rPr>
        <w:t>in relation to the activities set out in [*], in respect of each of Products [*], as set out in Appendix 5, be first payable upon [*] of the relevant Product, and</w:t>
      </w:r>
    </w:p>
    <w:p>
      <w:pPr>
        <w:spacing w:after="0" w:line="183" w:lineRule="exact"/>
        <w:rPr>
          <w:rFonts w:ascii="Arial" w:cs="Arial" w:eastAsia="Arial" w:hAnsi="Arial"/>
          <w:sz w:val="17"/>
          <w:szCs w:val="17"/>
          <w:color w:val="auto"/>
        </w:rPr>
      </w:pPr>
    </w:p>
    <w:p>
      <w:pPr>
        <w:ind w:left="1589" w:right="220" w:hanging="528"/>
        <w:spacing w:after="0" w:line="289" w:lineRule="auto"/>
        <w:tabs>
          <w:tab w:leader="none" w:pos="1589" w:val="left"/>
        </w:tabs>
        <w:numPr>
          <w:ilvl w:val="4"/>
          <w:numId w:val="382"/>
        </w:numPr>
        <w:rPr>
          <w:rFonts w:ascii="Arial" w:cs="Arial" w:eastAsia="Arial" w:hAnsi="Arial"/>
          <w:sz w:val="17"/>
          <w:szCs w:val="17"/>
          <w:color w:val="auto"/>
        </w:rPr>
      </w:pPr>
      <w:r>
        <w:rPr>
          <w:rFonts w:ascii="Arial" w:cs="Arial" w:eastAsia="Arial" w:hAnsi="Arial"/>
          <w:sz w:val="17"/>
          <w:szCs w:val="17"/>
          <w:color w:val="auto"/>
        </w:rPr>
        <w:t>in relation to the activities set out in [*] in respect of each of Products [*], as set out in Appendix 5, be first payable at the time when [*].</w:t>
      </w:r>
    </w:p>
    <w:p>
      <w:pPr>
        <w:spacing w:after="0" w:line="183" w:lineRule="exact"/>
        <w:rPr>
          <w:rFonts w:ascii="Arial" w:cs="Arial" w:eastAsia="Arial" w:hAnsi="Arial"/>
          <w:sz w:val="17"/>
          <w:szCs w:val="17"/>
          <w:color w:val="auto"/>
        </w:rPr>
      </w:pPr>
    </w:p>
    <w:p>
      <w:pPr>
        <w:ind w:left="429" w:hanging="429"/>
        <w:spacing w:after="0"/>
        <w:tabs>
          <w:tab w:leader="none" w:pos="429" w:val="left"/>
        </w:tabs>
        <w:numPr>
          <w:ilvl w:val="0"/>
          <w:numId w:val="382"/>
        </w:numPr>
        <w:rPr>
          <w:rFonts w:ascii="Arial" w:cs="Arial" w:eastAsia="Arial" w:hAnsi="Arial"/>
          <w:sz w:val="17"/>
          <w:szCs w:val="17"/>
          <w:color w:val="auto"/>
        </w:rPr>
      </w:pPr>
      <w:r>
        <w:rPr>
          <w:rFonts w:ascii="Arial" w:cs="Arial" w:eastAsia="Arial" w:hAnsi="Arial"/>
          <w:sz w:val="17"/>
          <w:szCs w:val="17"/>
          <w:color w:val="auto"/>
        </w:rPr>
        <w:t>Appendix 5 of the Agreement is hereby deleted in its entirety and replaced by the Appendix 5 annexed hereto.</w:t>
      </w:r>
    </w:p>
    <w:p>
      <w:pPr>
        <w:spacing w:after="0" w:line="224" w:lineRule="exact"/>
        <w:rPr>
          <w:sz w:val="20"/>
          <w:szCs w:val="20"/>
          <w:color w:val="auto"/>
        </w:rPr>
      </w:pPr>
    </w:p>
    <w:p>
      <w:pPr>
        <w:ind w:left="9"/>
        <w:spacing w:after="0"/>
        <w:rPr>
          <w:sz w:val="20"/>
          <w:szCs w:val="20"/>
          <w:color w:val="auto"/>
        </w:rPr>
      </w:pPr>
      <w:r>
        <w:rPr>
          <w:rFonts w:ascii="Arial" w:cs="Arial" w:eastAsia="Arial" w:hAnsi="Arial"/>
          <w:sz w:val="17"/>
          <w:szCs w:val="17"/>
          <w:color w:val="auto"/>
        </w:rPr>
        <w:t>Save as herein provided all other terms and conditions of the Agreement shall remain in full force and effect.</w:t>
      </w:r>
    </w:p>
    <w:p>
      <w:pPr>
        <w:spacing w:after="0" w:line="158" w:lineRule="exact"/>
        <w:rPr>
          <w:sz w:val="20"/>
          <w:szCs w:val="20"/>
          <w:color w:val="auto"/>
        </w:rPr>
      </w:pPr>
    </w:p>
    <w:p>
      <w:pPr>
        <w:ind w:left="1469" w:right="960" w:hanging="481"/>
        <w:spacing w:after="0" w:line="359" w:lineRule="auto"/>
        <w:tabs>
          <w:tab w:leader="none" w:pos="1241" w:val="left"/>
        </w:tabs>
        <w:numPr>
          <w:ilvl w:val="0"/>
          <w:numId w:val="383"/>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49"/>
          </w:cols>
          <w:pgMar w:left="611" w:top="454" w:right="639" w:bottom="1440" w:gutter="0" w:footer="0" w:header="0"/>
        </w:sectPr>
      </w:pPr>
    </w:p>
    <w:bookmarkStart w:id="429" w:name="page430"/>
    <w:bookmarkEnd w:id="42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7">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8">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AS WITNESS the hands of the duly authorized representatives of the parties hereto the day and year first before written.</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40" w:type="dxa"/>
            <w:vAlign w:val="bottom"/>
          </w:tcPr>
          <w:p>
            <w:pPr>
              <w:spacing w:after="0"/>
              <w:rPr>
                <w:sz w:val="20"/>
                <w:szCs w:val="20"/>
                <w:color w:val="auto"/>
              </w:rPr>
            </w:pPr>
            <w:r>
              <w:rPr>
                <w:rFonts w:ascii="Arial" w:cs="Arial" w:eastAsia="Arial" w:hAnsi="Arial"/>
                <w:sz w:val="17"/>
                <w:szCs w:val="17"/>
                <w:color w:val="auto"/>
              </w:rPr>
              <w:t>SIGNED BY:</w:t>
            </w:r>
          </w:p>
        </w:tc>
        <w:tc>
          <w:tcPr>
            <w:tcW w:w="39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Marie Leblanc</w:t>
            </w:r>
          </w:p>
        </w:tc>
      </w:tr>
      <w:tr>
        <w:trPr>
          <w:trHeight w:val="191"/>
        </w:trPr>
        <w:tc>
          <w:tcPr>
            <w:tcW w:w="3740" w:type="dxa"/>
            <w:vAlign w:val="bottom"/>
          </w:tcPr>
          <w:p>
            <w:pPr>
              <w:spacing w:after="0" w:line="191" w:lineRule="exact"/>
              <w:rPr>
                <w:sz w:val="20"/>
                <w:szCs w:val="20"/>
                <w:color w:val="auto"/>
              </w:rPr>
            </w:pPr>
            <w:r>
              <w:rPr>
                <w:rFonts w:ascii="Arial" w:cs="Arial" w:eastAsia="Arial" w:hAnsi="Arial"/>
                <w:sz w:val="17"/>
                <w:szCs w:val="17"/>
                <w:color w:val="auto"/>
              </w:rPr>
              <w:t>For and on behalf of</w:t>
            </w:r>
          </w:p>
        </w:tc>
        <w:tc>
          <w:tcPr>
            <w:tcW w:w="3960" w:type="dxa"/>
            <w:vAlign w:val="bottom"/>
          </w:tcPr>
          <w:p>
            <w:pPr>
              <w:spacing w:after="0"/>
              <w:rPr>
                <w:sz w:val="16"/>
                <w:szCs w:val="16"/>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7"/>
                <w:szCs w:val="17"/>
                <w:color w:val="auto"/>
              </w:rPr>
              <w:t>LONZA SALES AG</w:t>
            </w:r>
          </w:p>
        </w:tc>
        <w:tc>
          <w:tcPr>
            <w:tcW w:w="3960" w:type="dxa"/>
            <w:vAlign w:val="bottom"/>
          </w:tcPr>
          <w:p>
            <w:pPr>
              <w:spacing w:after="0"/>
              <w:rPr>
                <w:sz w:val="19"/>
                <w:szCs w:val="19"/>
                <w:color w:val="auto"/>
              </w:rPr>
            </w:pPr>
          </w:p>
        </w:tc>
      </w:tr>
      <w:tr>
        <w:trPr>
          <w:trHeight w:val="419"/>
        </w:trPr>
        <w:tc>
          <w:tcPr>
            <w:tcW w:w="3740" w:type="dxa"/>
            <w:vAlign w:val="bottom"/>
          </w:tcPr>
          <w:p>
            <w:pPr>
              <w:spacing w:after="0"/>
              <w:rPr>
                <w:sz w:val="24"/>
                <w:szCs w:val="24"/>
                <w:color w:val="auto"/>
              </w:rPr>
            </w:pPr>
          </w:p>
        </w:tc>
        <w:tc>
          <w:tcPr>
            <w:tcW w:w="39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Director, Commercial Development</w:t>
            </w:r>
          </w:p>
        </w:tc>
      </w:tr>
      <w:tr>
        <w:trPr>
          <w:trHeight w:val="215"/>
        </w:trPr>
        <w:tc>
          <w:tcPr>
            <w:tcW w:w="3740" w:type="dxa"/>
            <w:vAlign w:val="bottom"/>
          </w:tcPr>
          <w:p>
            <w:pPr>
              <w:spacing w:after="0"/>
              <w:rPr>
                <w:sz w:val="18"/>
                <w:szCs w:val="18"/>
                <w:color w:val="auto"/>
              </w:rPr>
            </w:pPr>
          </w:p>
        </w:tc>
        <w:tc>
          <w:tcPr>
            <w:tcW w:w="3960" w:type="dxa"/>
            <w:vAlign w:val="bottom"/>
          </w:tcPr>
          <w:p>
            <w:pPr>
              <w:ind w:left="3280"/>
              <w:spacing w:after="0"/>
              <w:rPr>
                <w:sz w:val="20"/>
                <w:szCs w:val="20"/>
                <w:color w:val="auto"/>
              </w:rPr>
            </w:pPr>
            <w:r>
              <w:rPr>
                <w:rFonts w:ascii="Arial" w:cs="Arial" w:eastAsia="Arial" w:hAnsi="Arial"/>
                <w:sz w:val="17"/>
                <w:szCs w:val="17"/>
                <w:color w:val="auto"/>
              </w:rPr>
              <w:t>Title</w:t>
            </w:r>
          </w:p>
        </w:tc>
      </w:tr>
      <w:tr>
        <w:trPr>
          <w:trHeight w:val="616"/>
        </w:trPr>
        <w:tc>
          <w:tcPr>
            <w:tcW w:w="3740" w:type="dxa"/>
            <w:vAlign w:val="bottom"/>
          </w:tcPr>
          <w:p>
            <w:pPr>
              <w:spacing w:after="0"/>
              <w:rPr>
                <w:sz w:val="20"/>
                <w:szCs w:val="20"/>
                <w:color w:val="auto"/>
              </w:rPr>
            </w:pPr>
            <w:r>
              <w:rPr>
                <w:rFonts w:ascii="Arial" w:cs="Arial" w:eastAsia="Arial" w:hAnsi="Arial"/>
                <w:sz w:val="17"/>
                <w:szCs w:val="17"/>
                <w:color w:val="auto"/>
              </w:rPr>
              <w:t>SIGNED BY:</w:t>
            </w:r>
          </w:p>
        </w:tc>
        <w:tc>
          <w:tcPr>
            <w:tcW w:w="39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Raffael Beck</w:t>
            </w:r>
          </w:p>
        </w:tc>
      </w:tr>
      <w:tr>
        <w:trPr>
          <w:trHeight w:val="191"/>
        </w:trPr>
        <w:tc>
          <w:tcPr>
            <w:tcW w:w="3740" w:type="dxa"/>
            <w:vAlign w:val="bottom"/>
          </w:tcPr>
          <w:p>
            <w:pPr>
              <w:spacing w:after="0" w:line="191" w:lineRule="exact"/>
              <w:rPr>
                <w:sz w:val="20"/>
                <w:szCs w:val="20"/>
                <w:color w:val="auto"/>
              </w:rPr>
            </w:pPr>
            <w:r>
              <w:rPr>
                <w:rFonts w:ascii="Arial" w:cs="Arial" w:eastAsia="Arial" w:hAnsi="Arial"/>
                <w:sz w:val="17"/>
                <w:szCs w:val="17"/>
                <w:color w:val="auto"/>
              </w:rPr>
              <w:t>For and on behalf of</w:t>
            </w:r>
          </w:p>
        </w:tc>
        <w:tc>
          <w:tcPr>
            <w:tcW w:w="3960" w:type="dxa"/>
            <w:vAlign w:val="bottom"/>
          </w:tcPr>
          <w:p>
            <w:pPr>
              <w:spacing w:after="0"/>
              <w:rPr>
                <w:sz w:val="16"/>
                <w:szCs w:val="16"/>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7"/>
                <w:szCs w:val="17"/>
                <w:color w:val="auto"/>
              </w:rPr>
              <w:t>LONZA SALES AG</w:t>
            </w:r>
          </w:p>
        </w:tc>
        <w:tc>
          <w:tcPr>
            <w:tcW w:w="3960" w:type="dxa"/>
            <w:vAlign w:val="bottom"/>
          </w:tcPr>
          <w:p>
            <w:pPr>
              <w:spacing w:after="0"/>
              <w:rPr>
                <w:sz w:val="19"/>
                <w:szCs w:val="19"/>
                <w:color w:val="auto"/>
              </w:rPr>
            </w:pPr>
          </w:p>
        </w:tc>
      </w:tr>
      <w:tr>
        <w:trPr>
          <w:trHeight w:val="419"/>
        </w:trPr>
        <w:tc>
          <w:tcPr>
            <w:tcW w:w="3740" w:type="dxa"/>
            <w:vAlign w:val="bottom"/>
          </w:tcPr>
          <w:p>
            <w:pPr>
              <w:spacing w:after="0"/>
              <w:rPr>
                <w:sz w:val="24"/>
                <w:szCs w:val="24"/>
                <w:color w:val="auto"/>
              </w:rPr>
            </w:pPr>
          </w:p>
        </w:tc>
        <w:tc>
          <w:tcPr>
            <w:tcW w:w="39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Legal Counsel</w:t>
            </w:r>
          </w:p>
        </w:tc>
      </w:tr>
      <w:tr>
        <w:trPr>
          <w:trHeight w:val="215"/>
        </w:trPr>
        <w:tc>
          <w:tcPr>
            <w:tcW w:w="3740" w:type="dxa"/>
            <w:vAlign w:val="bottom"/>
          </w:tcPr>
          <w:p>
            <w:pPr>
              <w:spacing w:after="0"/>
              <w:rPr>
                <w:sz w:val="18"/>
                <w:szCs w:val="18"/>
                <w:color w:val="auto"/>
              </w:rPr>
            </w:pPr>
          </w:p>
        </w:tc>
        <w:tc>
          <w:tcPr>
            <w:tcW w:w="3960" w:type="dxa"/>
            <w:vAlign w:val="bottom"/>
          </w:tcPr>
          <w:p>
            <w:pPr>
              <w:ind w:left="3280"/>
              <w:spacing w:after="0"/>
              <w:rPr>
                <w:sz w:val="20"/>
                <w:szCs w:val="20"/>
                <w:color w:val="auto"/>
              </w:rPr>
            </w:pPr>
            <w:r>
              <w:rPr>
                <w:rFonts w:ascii="Arial" w:cs="Arial" w:eastAsia="Arial" w:hAnsi="Arial"/>
                <w:sz w:val="17"/>
                <w:szCs w:val="17"/>
                <w:color w:val="auto"/>
              </w:rPr>
              <w:t>Title</w:t>
            </w:r>
          </w:p>
        </w:tc>
      </w:tr>
      <w:tr>
        <w:trPr>
          <w:trHeight w:val="616"/>
        </w:trPr>
        <w:tc>
          <w:tcPr>
            <w:tcW w:w="3740" w:type="dxa"/>
            <w:vAlign w:val="bottom"/>
          </w:tcPr>
          <w:p>
            <w:pPr>
              <w:spacing w:after="0"/>
              <w:rPr>
                <w:sz w:val="20"/>
                <w:szCs w:val="20"/>
                <w:color w:val="auto"/>
              </w:rPr>
            </w:pPr>
            <w:r>
              <w:rPr>
                <w:rFonts w:ascii="Arial" w:cs="Arial" w:eastAsia="Arial" w:hAnsi="Arial"/>
                <w:sz w:val="17"/>
                <w:szCs w:val="17"/>
                <w:color w:val="auto"/>
              </w:rPr>
              <w:t>SIGNED BY:</w:t>
            </w:r>
          </w:p>
        </w:tc>
        <w:tc>
          <w:tcPr>
            <w:tcW w:w="39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William J. Rieflin</w:t>
            </w:r>
          </w:p>
        </w:tc>
      </w:tr>
      <w:tr>
        <w:trPr>
          <w:trHeight w:val="191"/>
        </w:trPr>
        <w:tc>
          <w:tcPr>
            <w:tcW w:w="3740" w:type="dxa"/>
            <w:vAlign w:val="bottom"/>
          </w:tcPr>
          <w:p>
            <w:pPr>
              <w:spacing w:after="0" w:line="191" w:lineRule="exact"/>
              <w:rPr>
                <w:sz w:val="20"/>
                <w:szCs w:val="20"/>
                <w:color w:val="auto"/>
              </w:rPr>
            </w:pPr>
            <w:r>
              <w:rPr>
                <w:rFonts w:ascii="Arial" w:cs="Arial" w:eastAsia="Arial" w:hAnsi="Arial"/>
                <w:sz w:val="17"/>
                <w:szCs w:val="17"/>
                <w:color w:val="auto"/>
              </w:rPr>
              <w:t>For and on behalf of</w:t>
            </w:r>
          </w:p>
        </w:tc>
        <w:tc>
          <w:tcPr>
            <w:tcW w:w="3960" w:type="dxa"/>
            <w:vAlign w:val="bottom"/>
          </w:tcPr>
          <w:p>
            <w:pPr>
              <w:spacing w:after="0"/>
              <w:rPr>
                <w:sz w:val="16"/>
                <w:szCs w:val="16"/>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7"/>
                <w:szCs w:val="17"/>
                <w:color w:val="auto"/>
              </w:rPr>
              <w:t>NGM BIOPHARMACEUTICALS, INC.</w:t>
            </w:r>
          </w:p>
        </w:tc>
        <w:tc>
          <w:tcPr>
            <w:tcW w:w="3960" w:type="dxa"/>
            <w:vAlign w:val="bottom"/>
          </w:tcPr>
          <w:p>
            <w:pPr>
              <w:spacing w:after="0"/>
              <w:rPr>
                <w:sz w:val="19"/>
                <w:szCs w:val="19"/>
                <w:color w:val="auto"/>
              </w:rPr>
            </w:pPr>
          </w:p>
        </w:tc>
      </w:tr>
      <w:tr>
        <w:trPr>
          <w:trHeight w:val="419"/>
        </w:trPr>
        <w:tc>
          <w:tcPr>
            <w:tcW w:w="3740" w:type="dxa"/>
            <w:vAlign w:val="bottom"/>
          </w:tcPr>
          <w:p>
            <w:pPr>
              <w:spacing w:after="0"/>
              <w:rPr>
                <w:sz w:val="24"/>
                <w:szCs w:val="24"/>
                <w:color w:val="auto"/>
              </w:rPr>
            </w:pPr>
          </w:p>
        </w:tc>
        <w:tc>
          <w:tcPr>
            <w:tcW w:w="39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Chief Executive Officer</w:t>
            </w:r>
          </w:p>
        </w:tc>
      </w:tr>
      <w:tr>
        <w:trPr>
          <w:trHeight w:val="215"/>
        </w:trPr>
        <w:tc>
          <w:tcPr>
            <w:tcW w:w="3740" w:type="dxa"/>
            <w:vAlign w:val="bottom"/>
          </w:tcPr>
          <w:p>
            <w:pPr>
              <w:spacing w:after="0"/>
              <w:rPr>
                <w:sz w:val="18"/>
                <w:szCs w:val="18"/>
                <w:color w:val="auto"/>
              </w:rPr>
            </w:pPr>
          </w:p>
        </w:tc>
        <w:tc>
          <w:tcPr>
            <w:tcW w:w="3960" w:type="dxa"/>
            <w:vAlign w:val="bottom"/>
          </w:tcPr>
          <w:p>
            <w:pPr>
              <w:ind w:left="3280"/>
              <w:spacing w:after="0"/>
              <w:rPr>
                <w:sz w:val="20"/>
                <w:szCs w:val="20"/>
                <w:color w:val="auto"/>
              </w:rPr>
            </w:pPr>
            <w:r>
              <w:rPr>
                <w:rFonts w:ascii="Arial" w:cs="Arial" w:eastAsia="Arial" w:hAnsi="Arial"/>
                <w:sz w:val="17"/>
                <w:szCs w:val="17"/>
                <w:color w:val="auto"/>
              </w:rPr>
              <w:t>Title</w:t>
            </w:r>
          </w:p>
        </w:tc>
      </w:tr>
    </w:tbl>
    <w:p>
      <w:pPr>
        <w:spacing w:after="0" w:line="120" w:lineRule="exact"/>
        <w:rPr>
          <w:sz w:val="20"/>
          <w:szCs w:val="20"/>
          <w:color w:val="auto"/>
        </w:rPr>
      </w:pPr>
    </w:p>
    <w:p>
      <w:pPr>
        <w:ind w:left="1460" w:right="159" w:hanging="481"/>
        <w:spacing w:after="0" w:line="359" w:lineRule="auto"/>
        <w:tabs>
          <w:tab w:leader="none" w:pos="1232" w:val="left"/>
        </w:tabs>
        <w:numPr>
          <w:ilvl w:val="0"/>
          <w:numId w:val="384"/>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839"/>
          </w:cols>
          <w:pgMar w:left="620" w:top="454" w:right="1440" w:bottom="1440" w:gutter="0" w:footer="0" w:header="0"/>
        </w:sectPr>
      </w:pPr>
    </w:p>
    <w:bookmarkStart w:id="430" w:name="page431"/>
    <w:bookmarkEnd w:id="43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0">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ectPr>
          <w:pgSz w:w="11900" w:h="16838" w:orient="portrait"/>
          <w:cols w:equalWidth="0" w:num="1">
            <w:col w:w="9839"/>
          </w:cols>
          <w:pgMar w:left="620" w:top="455" w:right="1440" w:bottom="1440" w:gutter="0" w:footer="0" w:header="0"/>
        </w:sectPr>
      </w:pPr>
    </w:p>
    <w:p>
      <w:pPr>
        <w:spacing w:after="0" w:line="200" w:lineRule="exact"/>
        <w:rPr>
          <w:sz w:val="20"/>
          <w:szCs w:val="20"/>
          <w:color w:val="auto"/>
        </w:rPr>
      </w:pPr>
    </w:p>
    <w:p>
      <w:pPr>
        <w:spacing w:after="0" w:line="273" w:lineRule="exact"/>
        <w:rPr>
          <w:sz w:val="20"/>
          <w:szCs w:val="20"/>
          <w:color w:val="auto"/>
        </w:rPr>
      </w:pPr>
    </w:p>
    <w:tbl>
      <w:tblPr>
        <w:tblLayout w:type="fixed"/>
        <w:tblInd w:w="2660"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rPr>
              <w:t>APPENDIX 5</w:t>
            </w:r>
          </w:p>
        </w:tc>
        <w:tc>
          <w:tcPr>
            <w:tcW w:w="2140" w:type="dxa"/>
            <w:vAlign w:val="bottom"/>
            <w:gridSpan w:val="2"/>
          </w:tcPr>
          <w:p>
            <w:pPr>
              <w:spacing w:after="0"/>
              <w:rPr>
                <w:sz w:val="16"/>
                <w:szCs w:val="16"/>
                <w:color w:val="auto"/>
              </w:rPr>
            </w:pPr>
          </w:p>
        </w:tc>
      </w:tr>
      <w:tr>
        <w:trPr>
          <w:trHeight w:val="399"/>
        </w:trPr>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180" w:type="dxa"/>
            <w:vAlign w:val="bottom"/>
            <w:gridSpan w:val="5"/>
          </w:tcPr>
          <w:p>
            <w:pPr>
              <w:jc w:val="center"/>
              <w:ind w:right="2053"/>
              <w:spacing w:after="0"/>
              <w:rPr>
                <w:sz w:val="20"/>
                <w:szCs w:val="20"/>
                <w:color w:val="auto"/>
              </w:rPr>
            </w:pPr>
            <w:r>
              <w:rPr>
                <w:rFonts w:ascii="Arial" w:cs="Arial" w:eastAsia="Arial" w:hAnsi="Arial"/>
                <w:sz w:val="17"/>
                <w:szCs w:val="17"/>
                <w:b w:val="1"/>
                <w:bCs w:val="1"/>
                <w:color w:val="auto"/>
              </w:rPr>
              <w:t>PRODUCTS</w:t>
            </w:r>
          </w:p>
        </w:tc>
      </w:tr>
      <w:tr>
        <w:trPr>
          <w:trHeight w:val="517"/>
        </w:trPr>
        <w:tc>
          <w:tcPr>
            <w:tcW w:w="480" w:type="dxa"/>
            <w:vAlign w:val="bottom"/>
          </w:tcPr>
          <w:p>
            <w:pPr>
              <w:spacing w:after="0"/>
              <w:rPr>
                <w:sz w:val="20"/>
                <w:szCs w:val="20"/>
                <w:color w:val="auto"/>
              </w:rPr>
            </w:pPr>
            <w:r>
              <w:rPr>
                <w:rFonts w:ascii="Arial" w:cs="Arial" w:eastAsia="Arial" w:hAnsi="Arial"/>
                <w:sz w:val="14"/>
                <w:szCs w:val="14"/>
                <w:b w:val="1"/>
                <w:bCs w:val="1"/>
                <w:color w:val="auto"/>
                <w:w w:val="86"/>
              </w:rPr>
              <w:t>Product</w:t>
            </w: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gridSpan w:val="2"/>
          </w:tcPr>
          <w:p>
            <w:pPr>
              <w:ind w:left="1280"/>
              <w:spacing w:after="0"/>
              <w:rPr>
                <w:sz w:val="20"/>
                <w:szCs w:val="20"/>
                <w:color w:val="auto"/>
              </w:rPr>
            </w:pPr>
            <w:r>
              <w:rPr>
                <w:rFonts w:ascii="Arial" w:cs="Arial" w:eastAsia="Arial" w:hAnsi="Arial"/>
                <w:sz w:val="14"/>
                <w:szCs w:val="14"/>
                <w:b w:val="1"/>
                <w:bCs w:val="1"/>
                <w:color w:val="auto"/>
                <w:w w:val="88"/>
              </w:rPr>
              <w:t>Product Name</w:t>
            </w:r>
          </w:p>
        </w:tc>
      </w:tr>
      <w:tr>
        <w:trPr>
          <w:trHeight w:val="215"/>
        </w:trPr>
        <w:tc>
          <w:tcPr>
            <w:tcW w:w="4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1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460" w:right="159" w:hanging="481"/>
        <w:spacing w:after="0" w:line="359" w:lineRule="auto"/>
        <w:tabs>
          <w:tab w:leader="none" w:pos="1232" w:val="left"/>
        </w:tabs>
        <w:numPr>
          <w:ilvl w:val="0"/>
          <w:numId w:val="385"/>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839"/>
          </w:cols>
          <w:pgMar w:left="620" w:top="455" w:right="1440" w:bottom="1440" w:gutter="0" w:footer="0" w:header="0"/>
          <w:type w:val="continuous"/>
        </w:sectPr>
      </w:pPr>
    </w:p>
    <w:bookmarkStart w:id="431" w:name="page432"/>
    <w:bookmarkEnd w:id="43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2">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ectPr>
          <w:pgSz w:w="11900" w:h="16838" w:orient="portrait"/>
          <w:cols w:equalWidth="0" w:num="1">
            <w:col w:w="9839"/>
          </w:cols>
          <w:pgMar w:left="620" w:top="4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AMENDMENT No. 3</w:t>
      </w:r>
    </w:p>
    <w:p>
      <w:pPr>
        <w:spacing w:after="0" w:line="200" w:lineRule="exact"/>
        <w:rPr>
          <w:sz w:val="20"/>
          <w:szCs w:val="20"/>
          <w:color w:val="auto"/>
        </w:rPr>
      </w:pPr>
    </w:p>
    <w:p>
      <w:pPr>
        <w:spacing w:after="0" w:line="233"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to</w:t>
      </w:r>
    </w:p>
    <w:p>
      <w:pPr>
        <w:spacing w:after="0" w:line="200" w:lineRule="exact"/>
        <w:rPr>
          <w:sz w:val="20"/>
          <w:szCs w:val="20"/>
          <w:color w:val="auto"/>
        </w:rPr>
      </w:pPr>
    </w:p>
    <w:p>
      <w:pPr>
        <w:spacing w:after="0" w:line="233"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MULTI-PRODUCT LICENCE AGREEMENT</w:t>
      </w:r>
    </w:p>
    <w:p>
      <w:pPr>
        <w:spacing w:after="0" w:line="200" w:lineRule="exact"/>
        <w:rPr>
          <w:sz w:val="20"/>
          <w:szCs w:val="20"/>
          <w:color w:val="auto"/>
        </w:rPr>
      </w:pPr>
    </w:p>
    <w:p>
      <w:pPr>
        <w:spacing w:after="0" w:line="233"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dated</w:t>
      </w:r>
    </w:p>
    <w:p>
      <w:pPr>
        <w:spacing w:after="0" w:line="200" w:lineRule="exact"/>
        <w:rPr>
          <w:sz w:val="20"/>
          <w:szCs w:val="20"/>
          <w:color w:val="auto"/>
        </w:rPr>
      </w:pPr>
    </w:p>
    <w:p>
      <w:pPr>
        <w:spacing w:after="0" w:line="23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31 October 2014</w:t>
      </w:r>
    </w:p>
    <w:p>
      <w:pPr>
        <w:spacing w:after="0" w:line="200" w:lineRule="exact"/>
        <w:rPr>
          <w:sz w:val="20"/>
          <w:szCs w:val="20"/>
          <w:color w:val="auto"/>
        </w:rPr>
      </w:pPr>
    </w:p>
    <w:p>
      <w:pPr>
        <w:spacing w:after="0" w:line="233"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between</w:t>
      </w:r>
    </w:p>
    <w:p>
      <w:pPr>
        <w:spacing w:after="0" w:line="200" w:lineRule="exact"/>
        <w:rPr>
          <w:sz w:val="20"/>
          <w:szCs w:val="20"/>
          <w:color w:val="auto"/>
        </w:rPr>
      </w:pPr>
    </w:p>
    <w:p>
      <w:pPr>
        <w:spacing w:after="0" w:line="233"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LONZA SALES AG</w:t>
      </w:r>
    </w:p>
    <w:p>
      <w:pPr>
        <w:spacing w:after="0" w:line="200" w:lineRule="exact"/>
        <w:rPr>
          <w:sz w:val="20"/>
          <w:szCs w:val="20"/>
          <w:color w:val="auto"/>
        </w:rPr>
      </w:pPr>
    </w:p>
    <w:p>
      <w:pPr>
        <w:spacing w:after="0" w:line="233"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and</w:t>
      </w:r>
    </w:p>
    <w:p>
      <w:pPr>
        <w:spacing w:after="0" w:line="200" w:lineRule="exact"/>
        <w:rPr>
          <w:sz w:val="20"/>
          <w:szCs w:val="20"/>
          <w:color w:val="auto"/>
        </w:rPr>
      </w:pPr>
    </w:p>
    <w:p>
      <w:pPr>
        <w:spacing w:after="0" w:line="233"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NGM BIOPHARMACEUTICALS, INC.</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460" w:right="159" w:hanging="481"/>
        <w:spacing w:after="0" w:line="359" w:lineRule="auto"/>
        <w:tabs>
          <w:tab w:leader="none" w:pos="1232" w:val="left"/>
        </w:tabs>
        <w:numPr>
          <w:ilvl w:val="0"/>
          <w:numId w:val="386"/>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839"/>
          </w:cols>
          <w:pgMar w:left="620" w:top="454" w:right="1440" w:bottom="1440" w:gutter="0" w:footer="0" w:header="0"/>
          <w:type w:val="continuous"/>
        </w:sectPr>
      </w:pPr>
    </w:p>
    <w:bookmarkStart w:id="432" w:name="page433"/>
    <w:bookmarkEnd w:id="432"/>
    <w:p>
      <w:pPr>
        <w:ind w:left="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3">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4">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85" w:lineRule="exact"/>
        <w:rPr>
          <w:sz w:val="20"/>
          <w:szCs w:val="20"/>
          <w:color w:val="auto"/>
        </w:rPr>
      </w:pPr>
    </w:p>
    <w:p>
      <w:pPr>
        <w:ind w:left="9"/>
        <w:spacing w:after="0"/>
        <w:rPr>
          <w:sz w:val="20"/>
          <w:szCs w:val="20"/>
          <w:color w:val="auto"/>
        </w:rPr>
      </w:pPr>
      <w:r>
        <w:rPr>
          <w:rFonts w:ascii="Arial" w:cs="Arial" w:eastAsia="Arial" w:hAnsi="Arial"/>
          <w:sz w:val="17"/>
          <w:szCs w:val="17"/>
          <w:color w:val="auto"/>
        </w:rPr>
        <w:t>THIS AMENDMENT No. 3 is made on the 26</w:t>
      </w:r>
      <w:r>
        <w:rPr>
          <w:rFonts w:ascii="Arial" w:cs="Arial" w:eastAsia="Arial" w:hAnsi="Arial"/>
          <w:sz w:val="14"/>
          <w:szCs w:val="14"/>
          <w:color w:val="auto"/>
        </w:rPr>
        <w:t>th</w:t>
      </w:r>
      <w:r>
        <w:rPr>
          <w:rFonts w:ascii="Arial" w:cs="Arial" w:eastAsia="Arial" w:hAnsi="Arial"/>
          <w:sz w:val="17"/>
          <w:szCs w:val="17"/>
          <w:color w:val="auto"/>
        </w:rPr>
        <w:t xml:space="preserve"> day of April 2016</w:t>
      </w:r>
    </w:p>
    <w:p>
      <w:pPr>
        <w:spacing w:after="0" w:line="224" w:lineRule="exact"/>
        <w:rPr>
          <w:sz w:val="20"/>
          <w:szCs w:val="20"/>
          <w:color w:val="auto"/>
        </w:rPr>
      </w:pPr>
    </w:p>
    <w:p>
      <w:pPr>
        <w:ind w:left="9"/>
        <w:spacing w:after="0"/>
        <w:rPr>
          <w:sz w:val="20"/>
          <w:szCs w:val="20"/>
          <w:color w:val="auto"/>
        </w:rPr>
      </w:pPr>
      <w:r>
        <w:rPr>
          <w:rFonts w:ascii="Arial" w:cs="Arial" w:eastAsia="Arial" w:hAnsi="Arial"/>
          <w:sz w:val="17"/>
          <w:szCs w:val="17"/>
          <w:color w:val="auto"/>
        </w:rPr>
        <w:t>Between</w:t>
      </w:r>
    </w:p>
    <w:p>
      <w:pPr>
        <w:spacing w:after="0" w:line="218" w:lineRule="exact"/>
        <w:rPr>
          <w:sz w:val="20"/>
          <w:szCs w:val="20"/>
          <w:color w:val="auto"/>
        </w:rPr>
      </w:pPr>
    </w:p>
    <w:p>
      <w:pPr>
        <w:ind w:left="9" w:right="40"/>
        <w:spacing w:after="0" w:line="296" w:lineRule="auto"/>
        <w:rPr>
          <w:sz w:val="20"/>
          <w:szCs w:val="20"/>
          <w:color w:val="auto"/>
        </w:rPr>
      </w:pPr>
      <w:r>
        <w:rPr>
          <w:rFonts w:ascii="Arial" w:cs="Arial" w:eastAsia="Arial" w:hAnsi="Arial"/>
          <w:sz w:val="17"/>
          <w:szCs w:val="17"/>
          <w:b w:val="1"/>
          <w:bCs w:val="1"/>
          <w:color w:val="auto"/>
        </w:rPr>
        <w:t xml:space="preserve">LONZA SALES AG </w:t>
      </w:r>
      <w:r>
        <w:rPr>
          <w:rFonts w:ascii="Arial" w:cs="Arial" w:eastAsia="Arial" w:hAnsi="Arial"/>
          <w:sz w:val="17"/>
          <w:szCs w:val="17"/>
          <w:color w:val="auto"/>
        </w:rPr>
        <w:t>incorporated and registered in Switzerland whose registered office is at Muenchensteinerstrasse 38, CH-4002, Basel, Switzerland</w:t>
      </w:r>
      <w:r>
        <w:rPr>
          <w:rFonts w:ascii="Arial" w:cs="Arial" w:eastAsia="Arial" w:hAnsi="Arial"/>
          <w:sz w:val="17"/>
          <w:szCs w:val="17"/>
          <w:b w:val="1"/>
          <w:bCs w:val="1"/>
          <w:color w:val="auto"/>
        </w:rPr>
        <w:t xml:space="preserve"> </w:t>
      </w:r>
      <w:r>
        <w:rPr>
          <w:rFonts w:ascii="Arial" w:cs="Arial" w:eastAsia="Arial" w:hAnsi="Arial"/>
          <w:sz w:val="17"/>
          <w:szCs w:val="17"/>
          <w:color w:val="auto"/>
        </w:rPr>
        <w:t>(hereinafter referred to as “Lonza”), and</w:t>
      </w:r>
    </w:p>
    <w:p>
      <w:pPr>
        <w:spacing w:after="0" w:line="146"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 xml:space="preserve">NGM BIOPHARMACEUTICALS, INC., </w:t>
      </w:r>
      <w:r>
        <w:rPr>
          <w:rFonts w:ascii="Arial" w:cs="Arial" w:eastAsia="Arial" w:hAnsi="Arial"/>
          <w:sz w:val="17"/>
          <w:szCs w:val="17"/>
          <w:color w:val="auto"/>
        </w:rPr>
        <w:t>of 630 Gateway Blvd., South San Francisco, CA 94080, USA, (hereinafter referred to as “Licensee”)</w:t>
      </w:r>
    </w:p>
    <w:p>
      <w:pPr>
        <w:spacing w:after="0" w:line="230" w:lineRule="exact"/>
        <w:rPr>
          <w:sz w:val="20"/>
          <w:szCs w:val="20"/>
          <w:color w:val="auto"/>
        </w:rPr>
      </w:pPr>
    </w:p>
    <w:p>
      <w:pPr>
        <w:ind w:left="9"/>
        <w:spacing w:after="0"/>
        <w:rPr>
          <w:sz w:val="20"/>
          <w:szCs w:val="20"/>
          <w:color w:val="auto"/>
        </w:rPr>
      </w:pPr>
      <w:r>
        <w:rPr>
          <w:rFonts w:ascii="Arial" w:cs="Arial" w:eastAsia="Arial" w:hAnsi="Arial"/>
          <w:sz w:val="17"/>
          <w:szCs w:val="17"/>
          <w:color w:val="auto"/>
        </w:rPr>
        <w:t>WHEREAS</w:t>
      </w:r>
    </w:p>
    <w:p>
      <w:pPr>
        <w:spacing w:after="0" w:line="250" w:lineRule="exact"/>
        <w:rPr>
          <w:sz w:val="20"/>
          <w:szCs w:val="20"/>
          <w:color w:val="auto"/>
        </w:rPr>
      </w:pPr>
    </w:p>
    <w:p>
      <w:pPr>
        <w:ind w:left="829" w:right="100" w:hanging="410"/>
        <w:spacing w:after="0" w:line="289" w:lineRule="auto"/>
        <w:tabs>
          <w:tab w:leader="none" w:pos="829" w:val="left"/>
        </w:tabs>
        <w:numPr>
          <w:ilvl w:val="0"/>
          <w:numId w:val="387"/>
        </w:numPr>
        <w:rPr>
          <w:rFonts w:ascii="Arial" w:cs="Arial" w:eastAsia="Arial" w:hAnsi="Arial"/>
          <w:sz w:val="17"/>
          <w:szCs w:val="17"/>
          <w:color w:val="auto"/>
        </w:rPr>
      </w:pPr>
      <w:r>
        <w:rPr>
          <w:rFonts w:ascii="Arial" w:cs="Arial" w:eastAsia="Arial" w:hAnsi="Arial"/>
          <w:sz w:val="17"/>
          <w:szCs w:val="17"/>
          <w:color w:val="auto"/>
        </w:rPr>
        <w:t>Lonza and the Licensee entered into a Multi-Product Licence Agreement dated 31 October 2014, pursuant to which Lonza licensed certain Intellectual Property Rights (as therein defined) to the Licensee (“Agreement”);</w:t>
      </w:r>
    </w:p>
    <w:p>
      <w:pPr>
        <w:spacing w:after="0" w:line="183" w:lineRule="exact"/>
        <w:rPr>
          <w:rFonts w:ascii="Arial" w:cs="Arial" w:eastAsia="Arial" w:hAnsi="Arial"/>
          <w:sz w:val="17"/>
          <w:szCs w:val="17"/>
          <w:color w:val="auto"/>
        </w:rPr>
      </w:pPr>
    </w:p>
    <w:p>
      <w:pPr>
        <w:ind w:left="829" w:hanging="410"/>
        <w:spacing w:after="0" w:line="290" w:lineRule="auto"/>
        <w:tabs>
          <w:tab w:leader="none" w:pos="829" w:val="left"/>
        </w:tabs>
        <w:numPr>
          <w:ilvl w:val="0"/>
          <w:numId w:val="387"/>
        </w:numPr>
        <w:rPr>
          <w:rFonts w:ascii="Arial" w:cs="Arial" w:eastAsia="Arial" w:hAnsi="Arial"/>
          <w:sz w:val="17"/>
          <w:szCs w:val="17"/>
          <w:color w:val="auto"/>
        </w:rPr>
      </w:pPr>
      <w:r>
        <w:rPr>
          <w:rFonts w:ascii="Arial" w:cs="Arial" w:eastAsia="Arial" w:hAnsi="Arial"/>
          <w:sz w:val="17"/>
          <w:szCs w:val="17"/>
          <w:color w:val="auto"/>
        </w:rPr>
        <w:t>The parties executed an Amendment No. 1 to the Agreement on the 28</w:t>
      </w:r>
      <w:r>
        <w:rPr>
          <w:rFonts w:ascii="Arial" w:cs="Arial" w:eastAsia="Arial" w:hAnsi="Arial"/>
          <w:sz w:val="14"/>
          <w:szCs w:val="14"/>
          <w:color w:val="auto"/>
        </w:rPr>
        <w:t>th</w:t>
      </w:r>
      <w:r>
        <w:rPr>
          <w:rFonts w:ascii="Arial" w:cs="Arial" w:eastAsia="Arial" w:hAnsi="Arial"/>
          <w:sz w:val="17"/>
          <w:szCs w:val="17"/>
          <w:color w:val="auto"/>
        </w:rPr>
        <w:t xml:space="preserve"> of July 2015 and an Amendment No. 2 to the Agreement on the 7</w:t>
      </w:r>
      <w:r>
        <w:rPr>
          <w:rFonts w:ascii="Arial" w:cs="Arial" w:eastAsia="Arial" w:hAnsi="Arial"/>
          <w:sz w:val="14"/>
          <w:szCs w:val="14"/>
          <w:color w:val="auto"/>
        </w:rPr>
        <w:t>th</w:t>
      </w:r>
      <w:r>
        <w:rPr>
          <w:rFonts w:ascii="Arial" w:cs="Arial" w:eastAsia="Arial" w:hAnsi="Arial"/>
          <w:sz w:val="17"/>
          <w:szCs w:val="17"/>
          <w:color w:val="auto"/>
        </w:rPr>
        <w:t xml:space="preserve"> of October 2015; and</w:t>
      </w:r>
    </w:p>
    <w:p>
      <w:pPr>
        <w:spacing w:after="0" w:line="183" w:lineRule="exact"/>
        <w:rPr>
          <w:rFonts w:ascii="Arial" w:cs="Arial" w:eastAsia="Arial" w:hAnsi="Arial"/>
          <w:sz w:val="17"/>
          <w:szCs w:val="17"/>
          <w:color w:val="auto"/>
        </w:rPr>
      </w:pPr>
    </w:p>
    <w:p>
      <w:pPr>
        <w:ind w:left="829" w:hanging="410"/>
        <w:spacing w:after="0"/>
        <w:tabs>
          <w:tab w:leader="none" w:pos="829" w:val="left"/>
        </w:tabs>
        <w:numPr>
          <w:ilvl w:val="0"/>
          <w:numId w:val="387"/>
        </w:numPr>
        <w:rPr>
          <w:rFonts w:ascii="Arial" w:cs="Arial" w:eastAsia="Arial" w:hAnsi="Arial"/>
          <w:sz w:val="17"/>
          <w:szCs w:val="17"/>
          <w:color w:val="auto"/>
        </w:rPr>
      </w:pPr>
      <w:r>
        <w:rPr>
          <w:rFonts w:ascii="Arial" w:cs="Arial" w:eastAsia="Arial" w:hAnsi="Arial"/>
          <w:sz w:val="17"/>
          <w:szCs w:val="17"/>
          <w:color w:val="auto"/>
        </w:rPr>
        <w:t>The parties now wish to further amend the terms of the Agreement</w:t>
      </w:r>
    </w:p>
    <w:p>
      <w:pPr>
        <w:spacing w:after="0" w:line="224" w:lineRule="exact"/>
        <w:rPr>
          <w:sz w:val="20"/>
          <w:szCs w:val="20"/>
          <w:color w:val="auto"/>
        </w:rPr>
      </w:pPr>
    </w:p>
    <w:p>
      <w:pPr>
        <w:ind w:left="9"/>
        <w:spacing w:after="0"/>
        <w:rPr>
          <w:sz w:val="20"/>
          <w:szCs w:val="20"/>
          <w:color w:val="auto"/>
        </w:rPr>
      </w:pPr>
      <w:r>
        <w:rPr>
          <w:rFonts w:ascii="Arial" w:cs="Arial" w:eastAsia="Arial" w:hAnsi="Arial"/>
          <w:sz w:val="17"/>
          <w:szCs w:val="17"/>
          <w:color w:val="auto"/>
        </w:rPr>
        <w:t>NOW THEREFORE IT IS HEREBY AGREED to amend the Agreement as follows:</w:t>
      </w:r>
    </w:p>
    <w:p>
      <w:pPr>
        <w:spacing w:after="0" w:line="250" w:lineRule="exact"/>
        <w:rPr>
          <w:sz w:val="20"/>
          <w:szCs w:val="20"/>
          <w:color w:val="auto"/>
        </w:rPr>
      </w:pPr>
    </w:p>
    <w:p>
      <w:pPr>
        <w:ind w:left="429" w:hanging="429"/>
        <w:spacing w:after="0"/>
        <w:tabs>
          <w:tab w:leader="none" w:pos="429" w:val="left"/>
        </w:tabs>
        <w:numPr>
          <w:ilvl w:val="0"/>
          <w:numId w:val="388"/>
        </w:numPr>
        <w:rPr>
          <w:rFonts w:ascii="Arial" w:cs="Arial" w:eastAsia="Arial" w:hAnsi="Arial"/>
          <w:sz w:val="17"/>
          <w:szCs w:val="17"/>
          <w:color w:val="auto"/>
        </w:rPr>
      </w:pPr>
      <w:r>
        <w:rPr>
          <w:rFonts w:ascii="Arial" w:cs="Arial" w:eastAsia="Arial" w:hAnsi="Arial"/>
          <w:sz w:val="17"/>
          <w:szCs w:val="17"/>
          <w:color w:val="auto"/>
        </w:rPr>
        <w:t>Clause 4.3.6 of the Agreement shall be deleted in its entirety and replaced with the following:</w:t>
      </w:r>
    </w:p>
    <w:p>
      <w:pPr>
        <w:spacing w:after="0" w:line="249" w:lineRule="exact"/>
        <w:rPr>
          <w:rFonts w:ascii="Arial" w:cs="Arial" w:eastAsia="Arial" w:hAnsi="Arial"/>
          <w:sz w:val="17"/>
          <w:szCs w:val="17"/>
          <w:color w:val="auto"/>
        </w:rPr>
      </w:pPr>
    </w:p>
    <w:p>
      <w:pPr>
        <w:ind w:left="829" w:right="380" w:hanging="410"/>
        <w:spacing w:after="0" w:line="289" w:lineRule="auto"/>
        <w:tabs>
          <w:tab w:leader="none" w:pos="829" w:val="left"/>
        </w:tabs>
        <w:numPr>
          <w:ilvl w:val="1"/>
          <w:numId w:val="388"/>
        </w:numPr>
        <w:rPr>
          <w:rFonts w:ascii="Arial" w:cs="Arial" w:eastAsia="Arial" w:hAnsi="Arial"/>
          <w:sz w:val="17"/>
          <w:szCs w:val="17"/>
          <w:color w:val="auto"/>
        </w:rPr>
      </w:pPr>
      <w:r>
        <w:rPr>
          <w:rFonts w:ascii="Arial" w:cs="Arial" w:eastAsia="Arial" w:hAnsi="Arial"/>
          <w:sz w:val="17"/>
          <w:szCs w:val="17"/>
          <w:color w:val="auto"/>
        </w:rPr>
        <w:t>Lonza hereby consents to the grant of a sublicence by Licensee to its Affiliate NGM Biopharmaceuticals Australia Pty Ltd, The Rialto, Level 30, 525 Collins St., Melbourne, Victoria 3000, Australia.</w:t>
      </w:r>
    </w:p>
    <w:p>
      <w:pPr>
        <w:spacing w:after="0" w:line="183" w:lineRule="exact"/>
        <w:rPr>
          <w:rFonts w:ascii="Arial" w:cs="Arial" w:eastAsia="Arial" w:hAnsi="Arial"/>
          <w:sz w:val="17"/>
          <w:szCs w:val="17"/>
          <w:color w:val="auto"/>
        </w:rPr>
      </w:pPr>
    </w:p>
    <w:p>
      <w:pPr>
        <w:ind w:left="829" w:hanging="410"/>
        <w:spacing w:after="0"/>
        <w:tabs>
          <w:tab w:leader="none" w:pos="829" w:val="left"/>
        </w:tabs>
        <w:numPr>
          <w:ilvl w:val="1"/>
          <w:numId w:val="388"/>
        </w:numPr>
        <w:rPr>
          <w:rFonts w:ascii="Arial" w:cs="Arial" w:eastAsia="Arial" w:hAnsi="Arial"/>
          <w:sz w:val="17"/>
          <w:szCs w:val="17"/>
          <w:color w:val="auto"/>
        </w:rPr>
      </w:pPr>
      <w:r>
        <w:rPr>
          <w:rFonts w:ascii="Arial" w:cs="Arial" w:eastAsia="Arial" w:hAnsi="Arial"/>
          <w:sz w:val="17"/>
          <w:szCs w:val="17"/>
          <w:color w:val="auto"/>
        </w:rPr>
        <w:t>Lonza hereby consents to the grant of a sublicence [*] for the purpose of:</w:t>
      </w:r>
    </w:p>
    <w:p>
      <w:pPr>
        <w:spacing w:after="0" w:line="249" w:lineRule="exact"/>
        <w:rPr>
          <w:rFonts w:ascii="Arial" w:cs="Arial" w:eastAsia="Arial" w:hAnsi="Arial"/>
          <w:sz w:val="17"/>
          <w:szCs w:val="17"/>
          <w:color w:val="auto"/>
        </w:rPr>
      </w:pPr>
    </w:p>
    <w:p>
      <w:pPr>
        <w:ind w:left="1369" w:hanging="517"/>
        <w:spacing w:after="0"/>
        <w:tabs>
          <w:tab w:leader="none" w:pos="1369" w:val="left"/>
        </w:tabs>
        <w:numPr>
          <w:ilvl w:val="2"/>
          <w:numId w:val="388"/>
        </w:numPr>
        <w:rPr>
          <w:rFonts w:ascii="Arial" w:cs="Arial" w:eastAsia="Arial" w:hAnsi="Arial"/>
          <w:sz w:val="17"/>
          <w:szCs w:val="17"/>
          <w:color w:val="auto"/>
        </w:rPr>
      </w:pPr>
      <w:r>
        <w:rPr>
          <w:rFonts w:ascii="Arial" w:cs="Arial" w:eastAsia="Arial" w:hAnsi="Arial"/>
          <w:sz w:val="17"/>
          <w:szCs w:val="17"/>
          <w:color w:val="auto"/>
        </w:rPr>
        <w:t>[*]; and</w:t>
      </w:r>
    </w:p>
    <w:p>
      <w:pPr>
        <w:spacing w:after="0" w:line="158" w:lineRule="exact"/>
        <w:rPr>
          <w:sz w:val="20"/>
          <w:szCs w:val="20"/>
          <w:color w:val="auto"/>
        </w:rPr>
      </w:pPr>
    </w:p>
    <w:p>
      <w:pPr>
        <w:ind w:left="1469" w:right="940" w:hanging="481"/>
        <w:spacing w:after="0" w:line="359" w:lineRule="auto"/>
        <w:tabs>
          <w:tab w:leader="none" w:pos="1241" w:val="left"/>
        </w:tabs>
        <w:numPr>
          <w:ilvl w:val="0"/>
          <w:numId w:val="389"/>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29"/>
          </w:cols>
          <w:pgMar w:left="611" w:top="455" w:right="659" w:bottom="1440" w:gutter="0" w:footer="0" w:header="0"/>
        </w:sectPr>
      </w:pPr>
    </w:p>
    <w:bookmarkStart w:id="433" w:name="page434"/>
    <w:bookmarkEnd w:id="433"/>
    <w:p>
      <w:pPr>
        <w:ind w:left="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5">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6">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85" w:lineRule="exact"/>
        <w:rPr>
          <w:sz w:val="20"/>
          <w:szCs w:val="20"/>
          <w:color w:val="auto"/>
        </w:rPr>
      </w:pPr>
    </w:p>
    <w:p>
      <w:pPr>
        <w:ind w:left="1369" w:hanging="517"/>
        <w:spacing w:after="0"/>
        <w:tabs>
          <w:tab w:leader="none" w:pos="1369" w:val="left"/>
        </w:tabs>
        <w:numPr>
          <w:ilvl w:val="3"/>
          <w:numId w:val="390"/>
        </w:numPr>
        <w:rPr>
          <w:rFonts w:ascii="Arial" w:cs="Arial" w:eastAsia="Arial" w:hAnsi="Arial"/>
          <w:sz w:val="17"/>
          <w:szCs w:val="17"/>
          <w:color w:val="auto"/>
        </w:rPr>
      </w:pPr>
      <w:r>
        <w:rPr>
          <w:rFonts w:ascii="Arial" w:cs="Arial" w:eastAsia="Arial" w:hAnsi="Arial"/>
          <w:sz w:val="17"/>
          <w:szCs w:val="17"/>
          <w:color w:val="auto"/>
        </w:rPr>
        <w:t>[*].</w:t>
      </w:r>
    </w:p>
    <w:p>
      <w:pPr>
        <w:spacing w:after="0" w:line="249" w:lineRule="exact"/>
        <w:rPr>
          <w:rFonts w:ascii="Arial" w:cs="Arial" w:eastAsia="Arial" w:hAnsi="Arial"/>
          <w:sz w:val="17"/>
          <w:szCs w:val="17"/>
          <w:color w:val="auto"/>
        </w:rPr>
      </w:pPr>
    </w:p>
    <w:p>
      <w:pPr>
        <w:ind w:left="829" w:hanging="410"/>
        <w:spacing w:after="0" w:line="281" w:lineRule="auto"/>
        <w:tabs>
          <w:tab w:leader="none" w:pos="829" w:val="left"/>
        </w:tabs>
        <w:numPr>
          <w:ilvl w:val="1"/>
          <w:numId w:val="391"/>
        </w:numPr>
        <w:rPr>
          <w:rFonts w:ascii="Arial" w:cs="Arial" w:eastAsia="Arial" w:hAnsi="Arial"/>
          <w:sz w:val="16"/>
          <w:szCs w:val="16"/>
          <w:color w:val="auto"/>
        </w:rPr>
      </w:pPr>
      <w:r>
        <w:rPr>
          <w:rFonts w:ascii="Arial" w:cs="Arial" w:eastAsia="Arial" w:hAnsi="Arial"/>
          <w:sz w:val="16"/>
          <w:szCs w:val="16"/>
          <w:color w:val="auto"/>
        </w:rPr>
        <w:t>Lonza hereby consents to the grant of a sublicence by Licensee to its Strategic Partner Merck Sharp &amp; Dohme Corp (“Merck”) of One Merck Drive, Whitehouse Station, NJ 08889, USA to undertake Commercial Activities consisting of continued research and development of</w:t>
      </w:r>
    </w:p>
    <w:p>
      <w:pPr>
        <w:ind w:left="1089" w:hanging="251"/>
        <w:spacing w:after="0"/>
        <w:tabs>
          <w:tab w:leader="none" w:pos="1089" w:val="left"/>
        </w:tabs>
        <w:numPr>
          <w:ilvl w:val="2"/>
          <w:numId w:val="391"/>
        </w:numPr>
        <w:rPr>
          <w:rFonts w:ascii="Arial" w:cs="Arial" w:eastAsia="Arial" w:hAnsi="Arial"/>
          <w:sz w:val="17"/>
          <w:szCs w:val="17"/>
          <w:color w:val="auto"/>
        </w:rPr>
      </w:pPr>
      <w:r>
        <w:rPr>
          <w:rFonts w:ascii="Arial" w:cs="Arial" w:eastAsia="Arial" w:hAnsi="Arial"/>
          <w:sz w:val="17"/>
          <w:szCs w:val="17"/>
          <w:color w:val="auto"/>
        </w:rPr>
        <w:t>including [*], as well as [*].</w:t>
      </w:r>
    </w:p>
    <w:p>
      <w:pPr>
        <w:spacing w:after="0" w:line="237" w:lineRule="exact"/>
        <w:rPr>
          <w:rFonts w:ascii="Arial" w:cs="Arial" w:eastAsia="Arial" w:hAnsi="Arial"/>
          <w:sz w:val="17"/>
          <w:szCs w:val="17"/>
          <w:color w:val="auto"/>
        </w:rPr>
      </w:pPr>
    </w:p>
    <w:p>
      <w:pPr>
        <w:ind w:left="429" w:hanging="429"/>
        <w:spacing w:after="0"/>
        <w:tabs>
          <w:tab w:leader="none" w:pos="429" w:val="left"/>
        </w:tabs>
        <w:numPr>
          <w:ilvl w:val="0"/>
          <w:numId w:val="392"/>
        </w:numPr>
        <w:rPr>
          <w:rFonts w:ascii="Arial" w:cs="Arial" w:eastAsia="Arial" w:hAnsi="Arial"/>
          <w:sz w:val="17"/>
          <w:szCs w:val="17"/>
          <w:color w:val="auto"/>
        </w:rPr>
      </w:pPr>
      <w:r>
        <w:rPr>
          <w:rFonts w:ascii="Arial" w:cs="Arial" w:eastAsia="Arial" w:hAnsi="Arial"/>
          <w:sz w:val="17"/>
          <w:szCs w:val="17"/>
          <w:color w:val="auto"/>
        </w:rPr>
        <w:t>Clause 5.3.2 of the Agreement shall be deleted in its entirety and replaced with the following:</w:t>
      </w:r>
    </w:p>
    <w:p>
      <w:pPr>
        <w:spacing w:after="0" w:line="249" w:lineRule="exact"/>
        <w:rPr>
          <w:rFonts w:ascii="Arial" w:cs="Arial" w:eastAsia="Arial" w:hAnsi="Arial"/>
          <w:sz w:val="17"/>
          <w:szCs w:val="17"/>
          <w:color w:val="auto"/>
        </w:rPr>
      </w:pPr>
    </w:p>
    <w:p>
      <w:pPr>
        <w:ind w:left="1049" w:right="80" w:hanging="629"/>
        <w:spacing w:after="0" w:line="267" w:lineRule="auto"/>
        <w:rPr>
          <w:rFonts w:ascii="Arial" w:cs="Arial" w:eastAsia="Arial" w:hAnsi="Arial"/>
          <w:sz w:val="17"/>
          <w:szCs w:val="17"/>
          <w:color w:val="auto"/>
        </w:rPr>
      </w:pPr>
      <w:r>
        <w:rPr>
          <w:rFonts w:ascii="Arial" w:cs="Arial" w:eastAsia="Arial" w:hAnsi="Arial"/>
          <w:sz w:val="17"/>
          <w:szCs w:val="17"/>
          <w:color w:val="auto"/>
        </w:rPr>
        <w:t>5.3.2 Where any Product is manufactured for Commercial Activities by a party other than Lonza, Licensee, Licensee’s Affiliate, or Licensee’s Strategic Partner, then Licensee shall pay to Lonza an annual fee of [*] in respect of each such Product, such fee being payable annually during the course of such sublicence (irrespective as to the years of manufacture) and being first payable on the commencement date of the relevant sublicence. For the avoidance of doubt:</w:t>
      </w:r>
    </w:p>
    <w:p>
      <w:pPr>
        <w:spacing w:after="0" w:line="203" w:lineRule="exact"/>
        <w:rPr>
          <w:rFonts w:ascii="Arial" w:cs="Arial" w:eastAsia="Arial" w:hAnsi="Arial"/>
          <w:sz w:val="17"/>
          <w:szCs w:val="17"/>
          <w:color w:val="auto"/>
        </w:rPr>
      </w:pPr>
    </w:p>
    <w:p>
      <w:pPr>
        <w:ind w:left="1589" w:hanging="528"/>
        <w:spacing w:after="0"/>
        <w:tabs>
          <w:tab w:leader="none" w:pos="1589" w:val="left"/>
        </w:tabs>
        <w:numPr>
          <w:ilvl w:val="4"/>
          <w:numId w:val="392"/>
        </w:numPr>
        <w:rPr>
          <w:rFonts w:ascii="Arial" w:cs="Arial" w:eastAsia="Arial" w:hAnsi="Arial"/>
          <w:sz w:val="16"/>
          <w:szCs w:val="16"/>
          <w:color w:val="auto"/>
        </w:rPr>
      </w:pPr>
      <w:r>
        <w:rPr>
          <w:rFonts w:ascii="Arial" w:cs="Arial" w:eastAsia="Arial" w:hAnsi="Arial"/>
          <w:sz w:val="16"/>
          <w:szCs w:val="16"/>
          <w:color w:val="auto"/>
        </w:rPr>
        <w:t>such payments are on a per-Product basis, irrespective of whether the same third party manufactures more than one Product;</w:t>
      </w:r>
    </w:p>
    <w:p>
      <w:pPr>
        <w:spacing w:after="0" w:line="261" w:lineRule="exact"/>
        <w:rPr>
          <w:rFonts w:ascii="Arial" w:cs="Arial" w:eastAsia="Arial" w:hAnsi="Arial"/>
          <w:sz w:val="16"/>
          <w:szCs w:val="16"/>
          <w:color w:val="auto"/>
        </w:rPr>
      </w:pPr>
    </w:p>
    <w:p>
      <w:pPr>
        <w:ind w:left="1589" w:right="140" w:hanging="528"/>
        <w:spacing w:after="0" w:line="289" w:lineRule="auto"/>
        <w:tabs>
          <w:tab w:leader="none" w:pos="1589" w:val="left"/>
        </w:tabs>
        <w:numPr>
          <w:ilvl w:val="4"/>
          <w:numId w:val="392"/>
        </w:numPr>
        <w:rPr>
          <w:rFonts w:ascii="Arial" w:cs="Arial" w:eastAsia="Arial" w:hAnsi="Arial"/>
          <w:sz w:val="17"/>
          <w:szCs w:val="17"/>
          <w:color w:val="auto"/>
        </w:rPr>
      </w:pPr>
      <w:r>
        <w:rPr>
          <w:rFonts w:ascii="Arial" w:cs="Arial" w:eastAsia="Arial" w:hAnsi="Arial"/>
          <w:sz w:val="17"/>
          <w:szCs w:val="17"/>
          <w:color w:val="auto"/>
        </w:rPr>
        <w:t>in relation to the activities set out in [*], in respect of each of Products [*], as set out in Appendix 5, be first payable upon [*] of the relevant Product, and</w:t>
      </w:r>
    </w:p>
    <w:p>
      <w:pPr>
        <w:spacing w:after="0" w:line="183" w:lineRule="exact"/>
        <w:rPr>
          <w:rFonts w:ascii="Arial" w:cs="Arial" w:eastAsia="Arial" w:hAnsi="Arial"/>
          <w:sz w:val="17"/>
          <w:szCs w:val="17"/>
          <w:color w:val="auto"/>
        </w:rPr>
      </w:pPr>
    </w:p>
    <w:p>
      <w:pPr>
        <w:ind w:left="1589" w:right="220" w:hanging="528"/>
        <w:spacing w:after="0" w:line="289" w:lineRule="auto"/>
        <w:tabs>
          <w:tab w:leader="none" w:pos="1589" w:val="left"/>
        </w:tabs>
        <w:numPr>
          <w:ilvl w:val="4"/>
          <w:numId w:val="392"/>
        </w:numPr>
        <w:rPr>
          <w:rFonts w:ascii="Arial" w:cs="Arial" w:eastAsia="Arial" w:hAnsi="Arial"/>
          <w:sz w:val="17"/>
          <w:szCs w:val="17"/>
          <w:color w:val="auto"/>
        </w:rPr>
      </w:pPr>
      <w:r>
        <w:rPr>
          <w:rFonts w:ascii="Arial" w:cs="Arial" w:eastAsia="Arial" w:hAnsi="Arial"/>
          <w:sz w:val="17"/>
          <w:szCs w:val="17"/>
          <w:color w:val="auto"/>
        </w:rPr>
        <w:t>in relation to the activities set out in [*] in respect of each of Products [*], as set out in Appendix 5, be first payable at the time when [*].</w:t>
      </w:r>
    </w:p>
    <w:p>
      <w:pPr>
        <w:spacing w:after="0" w:line="183" w:lineRule="exact"/>
        <w:rPr>
          <w:rFonts w:ascii="Arial" w:cs="Arial" w:eastAsia="Arial" w:hAnsi="Arial"/>
          <w:sz w:val="17"/>
          <w:szCs w:val="17"/>
          <w:color w:val="auto"/>
        </w:rPr>
      </w:pPr>
    </w:p>
    <w:p>
      <w:pPr>
        <w:ind w:left="429" w:hanging="429"/>
        <w:spacing w:after="0"/>
        <w:tabs>
          <w:tab w:leader="none" w:pos="429" w:val="left"/>
        </w:tabs>
        <w:numPr>
          <w:ilvl w:val="0"/>
          <w:numId w:val="392"/>
        </w:numPr>
        <w:rPr>
          <w:rFonts w:ascii="Arial" w:cs="Arial" w:eastAsia="Arial" w:hAnsi="Arial"/>
          <w:sz w:val="17"/>
          <w:szCs w:val="17"/>
          <w:color w:val="auto"/>
        </w:rPr>
      </w:pPr>
      <w:r>
        <w:rPr>
          <w:rFonts w:ascii="Arial" w:cs="Arial" w:eastAsia="Arial" w:hAnsi="Arial"/>
          <w:sz w:val="17"/>
          <w:szCs w:val="17"/>
          <w:color w:val="auto"/>
        </w:rPr>
        <w:t>Appendix 5 of the Agreement is hereby deleted in its entirety and replaced by the Appendix 5 annexed hereto.</w:t>
      </w:r>
    </w:p>
    <w:p>
      <w:pPr>
        <w:spacing w:after="0" w:line="224" w:lineRule="exact"/>
        <w:rPr>
          <w:sz w:val="20"/>
          <w:szCs w:val="20"/>
          <w:color w:val="auto"/>
        </w:rPr>
      </w:pPr>
    </w:p>
    <w:p>
      <w:pPr>
        <w:ind w:left="9"/>
        <w:spacing w:after="0"/>
        <w:rPr>
          <w:sz w:val="20"/>
          <w:szCs w:val="20"/>
          <w:color w:val="auto"/>
        </w:rPr>
      </w:pPr>
      <w:r>
        <w:rPr>
          <w:rFonts w:ascii="Arial" w:cs="Arial" w:eastAsia="Arial" w:hAnsi="Arial"/>
          <w:sz w:val="17"/>
          <w:szCs w:val="17"/>
          <w:color w:val="auto"/>
        </w:rPr>
        <w:t>Save as herein provided all other terms and conditions of the Agreement shall remain in full force and effect.</w:t>
      </w:r>
    </w:p>
    <w:p>
      <w:pPr>
        <w:spacing w:after="0" w:line="158" w:lineRule="exact"/>
        <w:rPr>
          <w:sz w:val="20"/>
          <w:szCs w:val="20"/>
          <w:color w:val="auto"/>
        </w:rPr>
      </w:pPr>
    </w:p>
    <w:p>
      <w:pPr>
        <w:ind w:left="1469" w:right="960" w:hanging="481"/>
        <w:spacing w:after="0" w:line="359" w:lineRule="auto"/>
        <w:tabs>
          <w:tab w:leader="none" w:pos="1241" w:val="left"/>
        </w:tabs>
        <w:numPr>
          <w:ilvl w:val="0"/>
          <w:numId w:val="393"/>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49"/>
          </w:cols>
          <w:pgMar w:left="611" w:top="454" w:right="639" w:bottom="1440" w:gutter="0" w:footer="0" w:header="0"/>
        </w:sectPr>
      </w:pPr>
    </w:p>
    <w:bookmarkStart w:id="434" w:name="page435"/>
    <w:bookmarkEnd w:id="43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8">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AS WITNESS the hands of the duly authorized representatives of the parties hereto the day and year first before written.</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40" w:type="dxa"/>
            <w:vAlign w:val="bottom"/>
          </w:tcPr>
          <w:p>
            <w:pPr>
              <w:spacing w:after="0"/>
              <w:rPr>
                <w:sz w:val="20"/>
                <w:szCs w:val="20"/>
                <w:color w:val="auto"/>
              </w:rPr>
            </w:pPr>
            <w:r>
              <w:rPr>
                <w:rFonts w:ascii="Arial" w:cs="Arial" w:eastAsia="Arial" w:hAnsi="Arial"/>
                <w:sz w:val="17"/>
                <w:szCs w:val="17"/>
                <w:color w:val="auto"/>
              </w:rPr>
              <w:t>SIGNED BY:</w:t>
            </w:r>
          </w:p>
        </w:tc>
        <w:tc>
          <w:tcPr>
            <w:tcW w:w="39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Marie Leblanc</w:t>
            </w:r>
          </w:p>
        </w:tc>
      </w:tr>
      <w:tr>
        <w:trPr>
          <w:trHeight w:val="191"/>
        </w:trPr>
        <w:tc>
          <w:tcPr>
            <w:tcW w:w="3740" w:type="dxa"/>
            <w:vAlign w:val="bottom"/>
          </w:tcPr>
          <w:p>
            <w:pPr>
              <w:spacing w:after="0" w:line="191" w:lineRule="exact"/>
              <w:rPr>
                <w:sz w:val="20"/>
                <w:szCs w:val="20"/>
                <w:color w:val="auto"/>
              </w:rPr>
            </w:pPr>
            <w:r>
              <w:rPr>
                <w:rFonts w:ascii="Arial" w:cs="Arial" w:eastAsia="Arial" w:hAnsi="Arial"/>
                <w:sz w:val="17"/>
                <w:szCs w:val="17"/>
                <w:color w:val="auto"/>
              </w:rPr>
              <w:t>For and on behalf of</w:t>
            </w:r>
          </w:p>
        </w:tc>
        <w:tc>
          <w:tcPr>
            <w:tcW w:w="3960" w:type="dxa"/>
            <w:vAlign w:val="bottom"/>
          </w:tcPr>
          <w:p>
            <w:pPr>
              <w:spacing w:after="0"/>
              <w:rPr>
                <w:sz w:val="16"/>
                <w:szCs w:val="16"/>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7"/>
                <w:szCs w:val="17"/>
                <w:color w:val="auto"/>
              </w:rPr>
              <w:t>LONZA SALES AG</w:t>
            </w:r>
          </w:p>
        </w:tc>
        <w:tc>
          <w:tcPr>
            <w:tcW w:w="3960" w:type="dxa"/>
            <w:vAlign w:val="bottom"/>
          </w:tcPr>
          <w:p>
            <w:pPr>
              <w:spacing w:after="0"/>
              <w:rPr>
                <w:sz w:val="19"/>
                <w:szCs w:val="19"/>
                <w:color w:val="auto"/>
              </w:rPr>
            </w:pPr>
          </w:p>
        </w:tc>
      </w:tr>
      <w:tr>
        <w:trPr>
          <w:trHeight w:val="419"/>
        </w:trPr>
        <w:tc>
          <w:tcPr>
            <w:tcW w:w="3740" w:type="dxa"/>
            <w:vAlign w:val="bottom"/>
          </w:tcPr>
          <w:p>
            <w:pPr>
              <w:spacing w:after="0"/>
              <w:rPr>
                <w:sz w:val="24"/>
                <w:szCs w:val="24"/>
                <w:color w:val="auto"/>
              </w:rPr>
            </w:pPr>
          </w:p>
        </w:tc>
        <w:tc>
          <w:tcPr>
            <w:tcW w:w="39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Associate Director, Key Account Management</w:t>
            </w:r>
          </w:p>
        </w:tc>
      </w:tr>
      <w:tr>
        <w:trPr>
          <w:trHeight w:val="215"/>
        </w:trPr>
        <w:tc>
          <w:tcPr>
            <w:tcW w:w="3740" w:type="dxa"/>
            <w:vAlign w:val="bottom"/>
          </w:tcPr>
          <w:p>
            <w:pPr>
              <w:spacing w:after="0"/>
              <w:rPr>
                <w:sz w:val="18"/>
                <w:szCs w:val="18"/>
                <w:color w:val="auto"/>
              </w:rPr>
            </w:pPr>
          </w:p>
        </w:tc>
        <w:tc>
          <w:tcPr>
            <w:tcW w:w="3960" w:type="dxa"/>
            <w:vAlign w:val="bottom"/>
          </w:tcPr>
          <w:p>
            <w:pPr>
              <w:ind w:left="3280"/>
              <w:spacing w:after="0"/>
              <w:rPr>
                <w:sz w:val="20"/>
                <w:szCs w:val="20"/>
                <w:color w:val="auto"/>
              </w:rPr>
            </w:pPr>
            <w:r>
              <w:rPr>
                <w:rFonts w:ascii="Arial" w:cs="Arial" w:eastAsia="Arial" w:hAnsi="Arial"/>
                <w:sz w:val="17"/>
                <w:szCs w:val="17"/>
                <w:color w:val="auto"/>
              </w:rPr>
              <w:t>Title</w:t>
            </w:r>
          </w:p>
        </w:tc>
      </w:tr>
      <w:tr>
        <w:trPr>
          <w:trHeight w:val="616"/>
        </w:trPr>
        <w:tc>
          <w:tcPr>
            <w:tcW w:w="3740" w:type="dxa"/>
            <w:vAlign w:val="bottom"/>
          </w:tcPr>
          <w:p>
            <w:pPr>
              <w:spacing w:after="0"/>
              <w:rPr>
                <w:sz w:val="20"/>
                <w:szCs w:val="20"/>
                <w:color w:val="auto"/>
              </w:rPr>
            </w:pPr>
            <w:r>
              <w:rPr>
                <w:rFonts w:ascii="Arial" w:cs="Arial" w:eastAsia="Arial" w:hAnsi="Arial"/>
                <w:sz w:val="17"/>
                <w:szCs w:val="17"/>
                <w:color w:val="auto"/>
              </w:rPr>
              <w:t>SIGNED BY:</w:t>
            </w:r>
          </w:p>
        </w:tc>
        <w:tc>
          <w:tcPr>
            <w:tcW w:w="39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Jacov Wirtz</w:t>
            </w:r>
          </w:p>
        </w:tc>
      </w:tr>
      <w:tr>
        <w:trPr>
          <w:trHeight w:val="191"/>
        </w:trPr>
        <w:tc>
          <w:tcPr>
            <w:tcW w:w="3740" w:type="dxa"/>
            <w:vAlign w:val="bottom"/>
          </w:tcPr>
          <w:p>
            <w:pPr>
              <w:spacing w:after="0" w:line="191" w:lineRule="exact"/>
              <w:rPr>
                <w:sz w:val="20"/>
                <w:szCs w:val="20"/>
                <w:color w:val="auto"/>
              </w:rPr>
            </w:pPr>
            <w:r>
              <w:rPr>
                <w:rFonts w:ascii="Arial" w:cs="Arial" w:eastAsia="Arial" w:hAnsi="Arial"/>
                <w:sz w:val="17"/>
                <w:szCs w:val="17"/>
                <w:color w:val="auto"/>
              </w:rPr>
              <w:t>For and on behalf of</w:t>
            </w:r>
          </w:p>
        </w:tc>
        <w:tc>
          <w:tcPr>
            <w:tcW w:w="3960" w:type="dxa"/>
            <w:vAlign w:val="bottom"/>
          </w:tcPr>
          <w:p>
            <w:pPr>
              <w:spacing w:after="0"/>
              <w:rPr>
                <w:sz w:val="16"/>
                <w:szCs w:val="16"/>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7"/>
                <w:szCs w:val="17"/>
                <w:color w:val="auto"/>
              </w:rPr>
              <w:t>LONZA SALES AG</w:t>
            </w:r>
          </w:p>
        </w:tc>
        <w:tc>
          <w:tcPr>
            <w:tcW w:w="3960" w:type="dxa"/>
            <w:vAlign w:val="bottom"/>
          </w:tcPr>
          <w:p>
            <w:pPr>
              <w:spacing w:after="0"/>
              <w:rPr>
                <w:sz w:val="19"/>
                <w:szCs w:val="19"/>
                <w:color w:val="auto"/>
              </w:rPr>
            </w:pPr>
          </w:p>
        </w:tc>
      </w:tr>
      <w:tr>
        <w:trPr>
          <w:trHeight w:val="419"/>
        </w:trPr>
        <w:tc>
          <w:tcPr>
            <w:tcW w:w="3740" w:type="dxa"/>
            <w:vAlign w:val="bottom"/>
          </w:tcPr>
          <w:p>
            <w:pPr>
              <w:spacing w:after="0"/>
              <w:rPr>
                <w:sz w:val="24"/>
                <w:szCs w:val="24"/>
                <w:color w:val="auto"/>
              </w:rPr>
            </w:pPr>
          </w:p>
        </w:tc>
        <w:tc>
          <w:tcPr>
            <w:tcW w:w="39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Senior Legal Counsel</w:t>
            </w:r>
          </w:p>
        </w:tc>
      </w:tr>
      <w:tr>
        <w:trPr>
          <w:trHeight w:val="215"/>
        </w:trPr>
        <w:tc>
          <w:tcPr>
            <w:tcW w:w="3740" w:type="dxa"/>
            <w:vAlign w:val="bottom"/>
          </w:tcPr>
          <w:p>
            <w:pPr>
              <w:spacing w:after="0"/>
              <w:rPr>
                <w:sz w:val="18"/>
                <w:szCs w:val="18"/>
                <w:color w:val="auto"/>
              </w:rPr>
            </w:pPr>
          </w:p>
        </w:tc>
        <w:tc>
          <w:tcPr>
            <w:tcW w:w="3960" w:type="dxa"/>
            <w:vAlign w:val="bottom"/>
          </w:tcPr>
          <w:p>
            <w:pPr>
              <w:ind w:left="3280"/>
              <w:spacing w:after="0"/>
              <w:rPr>
                <w:sz w:val="20"/>
                <w:szCs w:val="20"/>
                <w:color w:val="auto"/>
              </w:rPr>
            </w:pPr>
            <w:r>
              <w:rPr>
                <w:rFonts w:ascii="Arial" w:cs="Arial" w:eastAsia="Arial" w:hAnsi="Arial"/>
                <w:sz w:val="17"/>
                <w:szCs w:val="17"/>
                <w:color w:val="auto"/>
              </w:rPr>
              <w:t>Title</w:t>
            </w:r>
          </w:p>
        </w:tc>
      </w:tr>
      <w:tr>
        <w:trPr>
          <w:trHeight w:val="616"/>
        </w:trPr>
        <w:tc>
          <w:tcPr>
            <w:tcW w:w="3740" w:type="dxa"/>
            <w:vAlign w:val="bottom"/>
          </w:tcPr>
          <w:p>
            <w:pPr>
              <w:spacing w:after="0"/>
              <w:rPr>
                <w:sz w:val="20"/>
                <w:szCs w:val="20"/>
                <w:color w:val="auto"/>
              </w:rPr>
            </w:pPr>
            <w:r>
              <w:rPr>
                <w:rFonts w:ascii="Arial" w:cs="Arial" w:eastAsia="Arial" w:hAnsi="Arial"/>
                <w:sz w:val="17"/>
                <w:szCs w:val="17"/>
                <w:color w:val="auto"/>
              </w:rPr>
              <w:t>SIGNED BY:</w:t>
            </w:r>
          </w:p>
        </w:tc>
        <w:tc>
          <w:tcPr>
            <w:tcW w:w="39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Aetna Wun Trombley</w:t>
            </w:r>
          </w:p>
        </w:tc>
      </w:tr>
      <w:tr>
        <w:trPr>
          <w:trHeight w:val="191"/>
        </w:trPr>
        <w:tc>
          <w:tcPr>
            <w:tcW w:w="3740" w:type="dxa"/>
            <w:vAlign w:val="bottom"/>
          </w:tcPr>
          <w:p>
            <w:pPr>
              <w:spacing w:after="0" w:line="191" w:lineRule="exact"/>
              <w:rPr>
                <w:sz w:val="20"/>
                <w:szCs w:val="20"/>
                <w:color w:val="auto"/>
              </w:rPr>
            </w:pPr>
            <w:r>
              <w:rPr>
                <w:rFonts w:ascii="Arial" w:cs="Arial" w:eastAsia="Arial" w:hAnsi="Arial"/>
                <w:sz w:val="17"/>
                <w:szCs w:val="17"/>
                <w:color w:val="auto"/>
              </w:rPr>
              <w:t>For and on behalf of</w:t>
            </w:r>
          </w:p>
        </w:tc>
        <w:tc>
          <w:tcPr>
            <w:tcW w:w="3960" w:type="dxa"/>
            <w:vAlign w:val="bottom"/>
          </w:tcPr>
          <w:p>
            <w:pPr>
              <w:spacing w:after="0"/>
              <w:rPr>
                <w:sz w:val="16"/>
                <w:szCs w:val="16"/>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7"/>
                <w:szCs w:val="17"/>
                <w:color w:val="auto"/>
              </w:rPr>
              <w:t>NGM BIOPHARMACEUTICALS, INC.</w:t>
            </w:r>
          </w:p>
        </w:tc>
        <w:tc>
          <w:tcPr>
            <w:tcW w:w="3960" w:type="dxa"/>
            <w:vAlign w:val="bottom"/>
          </w:tcPr>
          <w:p>
            <w:pPr>
              <w:spacing w:after="0"/>
              <w:rPr>
                <w:sz w:val="19"/>
                <w:szCs w:val="19"/>
                <w:color w:val="auto"/>
              </w:rPr>
            </w:pPr>
          </w:p>
        </w:tc>
      </w:tr>
      <w:tr>
        <w:trPr>
          <w:trHeight w:val="419"/>
        </w:trPr>
        <w:tc>
          <w:tcPr>
            <w:tcW w:w="3740" w:type="dxa"/>
            <w:vAlign w:val="bottom"/>
          </w:tcPr>
          <w:p>
            <w:pPr>
              <w:spacing w:after="0"/>
              <w:rPr>
                <w:sz w:val="24"/>
                <w:szCs w:val="24"/>
                <w:color w:val="auto"/>
              </w:rPr>
            </w:pPr>
          </w:p>
        </w:tc>
        <w:tc>
          <w:tcPr>
            <w:tcW w:w="39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COO</w:t>
            </w:r>
          </w:p>
        </w:tc>
      </w:tr>
      <w:tr>
        <w:trPr>
          <w:trHeight w:val="215"/>
        </w:trPr>
        <w:tc>
          <w:tcPr>
            <w:tcW w:w="3740" w:type="dxa"/>
            <w:vAlign w:val="bottom"/>
          </w:tcPr>
          <w:p>
            <w:pPr>
              <w:spacing w:after="0"/>
              <w:rPr>
                <w:sz w:val="18"/>
                <w:szCs w:val="18"/>
                <w:color w:val="auto"/>
              </w:rPr>
            </w:pPr>
          </w:p>
        </w:tc>
        <w:tc>
          <w:tcPr>
            <w:tcW w:w="3960" w:type="dxa"/>
            <w:vAlign w:val="bottom"/>
          </w:tcPr>
          <w:p>
            <w:pPr>
              <w:ind w:left="3280"/>
              <w:spacing w:after="0"/>
              <w:rPr>
                <w:sz w:val="20"/>
                <w:szCs w:val="20"/>
                <w:color w:val="auto"/>
              </w:rPr>
            </w:pPr>
            <w:r>
              <w:rPr>
                <w:rFonts w:ascii="Arial" w:cs="Arial" w:eastAsia="Arial" w:hAnsi="Arial"/>
                <w:sz w:val="17"/>
                <w:szCs w:val="17"/>
                <w:color w:val="auto"/>
              </w:rPr>
              <w:t>Title</w:t>
            </w:r>
          </w:p>
        </w:tc>
      </w:tr>
    </w:tbl>
    <w:p>
      <w:pPr>
        <w:spacing w:after="0" w:line="120" w:lineRule="exact"/>
        <w:rPr>
          <w:sz w:val="20"/>
          <w:szCs w:val="20"/>
          <w:color w:val="auto"/>
        </w:rPr>
      </w:pPr>
    </w:p>
    <w:p>
      <w:pPr>
        <w:ind w:left="1460" w:right="159" w:hanging="481"/>
        <w:spacing w:after="0" w:line="359" w:lineRule="auto"/>
        <w:tabs>
          <w:tab w:leader="none" w:pos="1232" w:val="left"/>
        </w:tabs>
        <w:numPr>
          <w:ilvl w:val="0"/>
          <w:numId w:val="394"/>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839"/>
          </w:cols>
          <w:pgMar w:left="620" w:top="454" w:right="1440" w:bottom="1440" w:gutter="0" w:footer="0" w:header="0"/>
        </w:sectPr>
      </w:pPr>
    </w:p>
    <w:bookmarkStart w:id="435" w:name="page436"/>
    <w:bookmarkEnd w:id="43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9">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0">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ectPr>
          <w:pgSz w:w="11900" w:h="16838" w:orient="portrait"/>
          <w:cols w:equalWidth="0" w:num="1">
            <w:col w:w="9839"/>
          </w:cols>
          <w:pgMar w:left="620" w:top="455" w:right="1440" w:bottom="1440" w:gutter="0" w:footer="0" w:header="0"/>
        </w:sectPr>
      </w:pPr>
    </w:p>
    <w:p>
      <w:pPr>
        <w:spacing w:after="0" w:line="200" w:lineRule="exact"/>
        <w:rPr>
          <w:sz w:val="20"/>
          <w:szCs w:val="20"/>
          <w:color w:val="auto"/>
        </w:rPr>
      </w:pPr>
    </w:p>
    <w:p>
      <w:pPr>
        <w:spacing w:after="0" w:line="273" w:lineRule="exact"/>
        <w:rPr>
          <w:sz w:val="20"/>
          <w:szCs w:val="20"/>
          <w:color w:val="auto"/>
        </w:rPr>
      </w:pPr>
    </w:p>
    <w:tbl>
      <w:tblPr>
        <w:tblLayout w:type="fixed"/>
        <w:tblInd w:w="2660"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rPr>
              <w:t>APPENDIX 5</w:t>
            </w:r>
          </w:p>
        </w:tc>
        <w:tc>
          <w:tcPr>
            <w:tcW w:w="2140" w:type="dxa"/>
            <w:vAlign w:val="bottom"/>
            <w:gridSpan w:val="2"/>
          </w:tcPr>
          <w:p>
            <w:pPr>
              <w:spacing w:after="0"/>
              <w:rPr>
                <w:sz w:val="16"/>
                <w:szCs w:val="16"/>
                <w:color w:val="auto"/>
              </w:rPr>
            </w:pPr>
          </w:p>
        </w:tc>
      </w:tr>
      <w:tr>
        <w:trPr>
          <w:trHeight w:val="399"/>
        </w:trPr>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180" w:type="dxa"/>
            <w:vAlign w:val="bottom"/>
            <w:gridSpan w:val="5"/>
          </w:tcPr>
          <w:p>
            <w:pPr>
              <w:jc w:val="center"/>
              <w:ind w:right="2053"/>
              <w:spacing w:after="0"/>
              <w:rPr>
                <w:sz w:val="20"/>
                <w:szCs w:val="20"/>
                <w:color w:val="auto"/>
              </w:rPr>
            </w:pPr>
            <w:r>
              <w:rPr>
                <w:rFonts w:ascii="Arial" w:cs="Arial" w:eastAsia="Arial" w:hAnsi="Arial"/>
                <w:sz w:val="17"/>
                <w:szCs w:val="17"/>
                <w:b w:val="1"/>
                <w:bCs w:val="1"/>
                <w:color w:val="auto"/>
              </w:rPr>
              <w:t>PRODUCTS</w:t>
            </w:r>
          </w:p>
        </w:tc>
      </w:tr>
      <w:tr>
        <w:trPr>
          <w:trHeight w:val="517"/>
        </w:trPr>
        <w:tc>
          <w:tcPr>
            <w:tcW w:w="480" w:type="dxa"/>
            <w:vAlign w:val="bottom"/>
          </w:tcPr>
          <w:p>
            <w:pPr>
              <w:spacing w:after="0"/>
              <w:rPr>
                <w:sz w:val="20"/>
                <w:szCs w:val="20"/>
                <w:color w:val="auto"/>
              </w:rPr>
            </w:pPr>
            <w:r>
              <w:rPr>
                <w:rFonts w:ascii="Arial" w:cs="Arial" w:eastAsia="Arial" w:hAnsi="Arial"/>
                <w:sz w:val="14"/>
                <w:szCs w:val="14"/>
                <w:b w:val="1"/>
                <w:bCs w:val="1"/>
                <w:color w:val="auto"/>
                <w:w w:val="86"/>
              </w:rPr>
              <w:t>Product</w:t>
            </w: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gridSpan w:val="2"/>
          </w:tcPr>
          <w:p>
            <w:pPr>
              <w:ind w:left="1280"/>
              <w:spacing w:after="0"/>
              <w:rPr>
                <w:sz w:val="20"/>
                <w:szCs w:val="20"/>
                <w:color w:val="auto"/>
              </w:rPr>
            </w:pPr>
            <w:r>
              <w:rPr>
                <w:rFonts w:ascii="Arial" w:cs="Arial" w:eastAsia="Arial" w:hAnsi="Arial"/>
                <w:sz w:val="14"/>
                <w:szCs w:val="14"/>
                <w:b w:val="1"/>
                <w:bCs w:val="1"/>
                <w:color w:val="auto"/>
                <w:w w:val="88"/>
              </w:rPr>
              <w:t>Product Name</w:t>
            </w:r>
          </w:p>
        </w:tc>
      </w:tr>
      <w:tr>
        <w:trPr>
          <w:trHeight w:val="215"/>
        </w:trPr>
        <w:tc>
          <w:tcPr>
            <w:tcW w:w="4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1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460" w:right="159" w:hanging="481"/>
        <w:spacing w:after="0" w:line="359" w:lineRule="auto"/>
        <w:tabs>
          <w:tab w:leader="none" w:pos="1232" w:val="left"/>
        </w:tabs>
        <w:numPr>
          <w:ilvl w:val="0"/>
          <w:numId w:val="395"/>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839"/>
          </w:cols>
          <w:pgMar w:left="620" w:top="455" w:right="1440" w:bottom="1440" w:gutter="0" w:footer="0" w:header="0"/>
          <w:type w:val="continuous"/>
        </w:sectPr>
      </w:pPr>
    </w:p>
    <w:bookmarkStart w:id="436" w:name="page437"/>
    <w:bookmarkEnd w:id="43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2">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ectPr>
          <w:pgSz w:w="11900" w:h="16838" w:orient="portrait"/>
          <w:cols w:equalWidth="0" w:num="1">
            <w:col w:w="9839"/>
          </w:cols>
          <w:pgMar w:left="620" w:top="4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AMENDMENT No. 4</w:t>
      </w:r>
    </w:p>
    <w:p>
      <w:pPr>
        <w:spacing w:after="0" w:line="200" w:lineRule="exact"/>
        <w:rPr>
          <w:sz w:val="20"/>
          <w:szCs w:val="20"/>
          <w:color w:val="auto"/>
        </w:rPr>
      </w:pPr>
    </w:p>
    <w:p>
      <w:pPr>
        <w:spacing w:after="0" w:line="233"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to</w:t>
      </w:r>
    </w:p>
    <w:p>
      <w:pPr>
        <w:spacing w:after="0" w:line="200" w:lineRule="exact"/>
        <w:rPr>
          <w:sz w:val="20"/>
          <w:szCs w:val="20"/>
          <w:color w:val="auto"/>
        </w:rPr>
      </w:pPr>
    </w:p>
    <w:p>
      <w:pPr>
        <w:spacing w:after="0" w:line="233"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MULTI-PRODUCT LICENCE AGREEMENT</w:t>
      </w:r>
    </w:p>
    <w:p>
      <w:pPr>
        <w:spacing w:after="0" w:line="200" w:lineRule="exact"/>
        <w:rPr>
          <w:sz w:val="20"/>
          <w:szCs w:val="20"/>
          <w:color w:val="auto"/>
        </w:rPr>
      </w:pPr>
    </w:p>
    <w:p>
      <w:pPr>
        <w:spacing w:after="0" w:line="233"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dated</w:t>
      </w:r>
    </w:p>
    <w:p>
      <w:pPr>
        <w:spacing w:after="0" w:line="200" w:lineRule="exact"/>
        <w:rPr>
          <w:sz w:val="20"/>
          <w:szCs w:val="20"/>
          <w:color w:val="auto"/>
        </w:rPr>
      </w:pPr>
    </w:p>
    <w:p>
      <w:pPr>
        <w:spacing w:after="0" w:line="23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31 October 2014</w:t>
      </w:r>
    </w:p>
    <w:p>
      <w:pPr>
        <w:spacing w:after="0" w:line="200" w:lineRule="exact"/>
        <w:rPr>
          <w:sz w:val="20"/>
          <w:szCs w:val="20"/>
          <w:color w:val="auto"/>
        </w:rPr>
      </w:pPr>
    </w:p>
    <w:p>
      <w:pPr>
        <w:spacing w:after="0" w:line="233"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between</w:t>
      </w:r>
    </w:p>
    <w:p>
      <w:pPr>
        <w:spacing w:after="0" w:line="200" w:lineRule="exact"/>
        <w:rPr>
          <w:sz w:val="20"/>
          <w:szCs w:val="20"/>
          <w:color w:val="auto"/>
        </w:rPr>
      </w:pPr>
    </w:p>
    <w:p>
      <w:pPr>
        <w:spacing w:after="0" w:line="233"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LONZA SALES AG</w:t>
      </w:r>
    </w:p>
    <w:p>
      <w:pPr>
        <w:spacing w:after="0" w:line="200" w:lineRule="exact"/>
        <w:rPr>
          <w:sz w:val="20"/>
          <w:szCs w:val="20"/>
          <w:color w:val="auto"/>
        </w:rPr>
      </w:pPr>
    </w:p>
    <w:p>
      <w:pPr>
        <w:spacing w:after="0" w:line="233"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and</w:t>
      </w:r>
    </w:p>
    <w:p>
      <w:pPr>
        <w:spacing w:after="0" w:line="200" w:lineRule="exact"/>
        <w:rPr>
          <w:sz w:val="20"/>
          <w:szCs w:val="20"/>
          <w:color w:val="auto"/>
        </w:rPr>
      </w:pPr>
    </w:p>
    <w:p>
      <w:pPr>
        <w:spacing w:after="0" w:line="233"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NGM BIOPHARMACEUTICALS, INC.</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460" w:right="159" w:hanging="481"/>
        <w:spacing w:after="0" w:line="359" w:lineRule="auto"/>
        <w:tabs>
          <w:tab w:leader="none" w:pos="1232" w:val="left"/>
        </w:tabs>
        <w:numPr>
          <w:ilvl w:val="0"/>
          <w:numId w:val="396"/>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839"/>
          </w:cols>
          <w:pgMar w:left="620" w:top="454" w:right="1440" w:bottom="1440" w:gutter="0" w:footer="0" w:header="0"/>
          <w:type w:val="continuous"/>
        </w:sectPr>
      </w:pPr>
    </w:p>
    <w:bookmarkStart w:id="437" w:name="page438"/>
    <w:bookmarkEnd w:id="437"/>
    <w:p>
      <w:pPr>
        <w:ind w:left="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4">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85" w:lineRule="exact"/>
        <w:rPr>
          <w:sz w:val="20"/>
          <w:szCs w:val="20"/>
          <w:color w:val="auto"/>
        </w:rPr>
      </w:pPr>
    </w:p>
    <w:p>
      <w:pPr>
        <w:ind w:left="9"/>
        <w:spacing w:after="0"/>
        <w:rPr>
          <w:sz w:val="20"/>
          <w:szCs w:val="20"/>
          <w:color w:val="auto"/>
        </w:rPr>
      </w:pPr>
      <w:r>
        <w:rPr>
          <w:rFonts w:ascii="Arial" w:cs="Arial" w:eastAsia="Arial" w:hAnsi="Arial"/>
          <w:sz w:val="17"/>
          <w:szCs w:val="17"/>
          <w:color w:val="auto"/>
        </w:rPr>
        <w:t>THIS AMENDMENT No. 4 is made on the 3</w:t>
      </w:r>
      <w:r>
        <w:rPr>
          <w:rFonts w:ascii="Arial" w:cs="Arial" w:eastAsia="Arial" w:hAnsi="Arial"/>
          <w:sz w:val="14"/>
          <w:szCs w:val="14"/>
          <w:color w:val="auto"/>
        </w:rPr>
        <w:t>rd</w:t>
      </w:r>
      <w:r>
        <w:rPr>
          <w:rFonts w:ascii="Arial" w:cs="Arial" w:eastAsia="Arial" w:hAnsi="Arial"/>
          <w:sz w:val="17"/>
          <w:szCs w:val="17"/>
          <w:color w:val="auto"/>
        </w:rPr>
        <w:t xml:space="preserve"> day October 2017</w:t>
      </w:r>
    </w:p>
    <w:p>
      <w:pPr>
        <w:spacing w:after="0" w:line="224" w:lineRule="exact"/>
        <w:rPr>
          <w:sz w:val="20"/>
          <w:szCs w:val="20"/>
          <w:color w:val="auto"/>
        </w:rPr>
      </w:pPr>
    </w:p>
    <w:p>
      <w:pPr>
        <w:ind w:left="9"/>
        <w:spacing w:after="0"/>
        <w:rPr>
          <w:sz w:val="20"/>
          <w:szCs w:val="20"/>
          <w:color w:val="auto"/>
        </w:rPr>
      </w:pPr>
      <w:r>
        <w:rPr>
          <w:rFonts w:ascii="Arial" w:cs="Arial" w:eastAsia="Arial" w:hAnsi="Arial"/>
          <w:sz w:val="17"/>
          <w:szCs w:val="17"/>
          <w:color w:val="auto"/>
        </w:rPr>
        <w:t>Between</w:t>
      </w:r>
    </w:p>
    <w:p>
      <w:pPr>
        <w:spacing w:after="0" w:line="218" w:lineRule="exact"/>
        <w:rPr>
          <w:sz w:val="20"/>
          <w:szCs w:val="20"/>
          <w:color w:val="auto"/>
        </w:rPr>
      </w:pPr>
    </w:p>
    <w:p>
      <w:pPr>
        <w:ind w:left="9" w:right="100"/>
        <w:spacing w:after="0" w:line="296" w:lineRule="auto"/>
        <w:rPr>
          <w:sz w:val="20"/>
          <w:szCs w:val="20"/>
          <w:color w:val="auto"/>
        </w:rPr>
      </w:pPr>
      <w:r>
        <w:rPr>
          <w:rFonts w:ascii="Arial" w:cs="Arial" w:eastAsia="Arial" w:hAnsi="Arial"/>
          <w:sz w:val="17"/>
          <w:szCs w:val="17"/>
          <w:b w:val="1"/>
          <w:bCs w:val="1"/>
          <w:color w:val="auto"/>
        </w:rPr>
        <w:t xml:space="preserve">LONZA SALES AG </w:t>
      </w:r>
      <w:r>
        <w:rPr>
          <w:rFonts w:ascii="Arial" w:cs="Arial" w:eastAsia="Arial" w:hAnsi="Arial"/>
          <w:sz w:val="17"/>
          <w:szCs w:val="17"/>
          <w:color w:val="auto"/>
        </w:rPr>
        <w:t>incorporated and registered in Switzerland whose registered office is at Muenchensteinerstrasse 38, CH-4002, Basel, Switzerland</w:t>
      </w:r>
      <w:r>
        <w:rPr>
          <w:rFonts w:ascii="Arial" w:cs="Arial" w:eastAsia="Arial" w:hAnsi="Arial"/>
          <w:sz w:val="17"/>
          <w:szCs w:val="17"/>
          <w:b w:val="1"/>
          <w:bCs w:val="1"/>
          <w:color w:val="auto"/>
        </w:rPr>
        <w:t xml:space="preserve"> </w:t>
      </w:r>
      <w:r>
        <w:rPr>
          <w:rFonts w:ascii="Arial" w:cs="Arial" w:eastAsia="Arial" w:hAnsi="Arial"/>
          <w:sz w:val="17"/>
          <w:szCs w:val="17"/>
          <w:color w:val="auto"/>
        </w:rPr>
        <w:t>(hereinafter referred to as “Lonza”), and</w:t>
      </w:r>
    </w:p>
    <w:p>
      <w:pPr>
        <w:spacing w:after="0" w:line="146"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 xml:space="preserve">NGM BIOPHARMACEUTICALS, INC., </w:t>
      </w:r>
      <w:r>
        <w:rPr>
          <w:rFonts w:ascii="Arial" w:cs="Arial" w:eastAsia="Arial" w:hAnsi="Arial"/>
          <w:sz w:val="16"/>
          <w:szCs w:val="16"/>
          <w:color w:val="auto"/>
        </w:rPr>
        <w:t>of 333 Oyster Point Blvd., South San Francisco, CA 94080, USA, (hereinafter referred to as “Licensee”)</w:t>
      </w:r>
    </w:p>
    <w:p>
      <w:pPr>
        <w:spacing w:after="0" w:line="241" w:lineRule="exact"/>
        <w:rPr>
          <w:sz w:val="20"/>
          <w:szCs w:val="20"/>
          <w:color w:val="auto"/>
        </w:rPr>
      </w:pPr>
    </w:p>
    <w:p>
      <w:pPr>
        <w:ind w:left="9"/>
        <w:spacing w:after="0"/>
        <w:rPr>
          <w:sz w:val="20"/>
          <w:szCs w:val="20"/>
          <w:color w:val="auto"/>
        </w:rPr>
      </w:pPr>
      <w:r>
        <w:rPr>
          <w:rFonts w:ascii="Arial" w:cs="Arial" w:eastAsia="Arial" w:hAnsi="Arial"/>
          <w:sz w:val="17"/>
          <w:szCs w:val="17"/>
          <w:color w:val="auto"/>
        </w:rPr>
        <w:t>WHEREAS</w:t>
      </w:r>
    </w:p>
    <w:p>
      <w:pPr>
        <w:spacing w:after="0" w:line="250" w:lineRule="exact"/>
        <w:rPr>
          <w:sz w:val="20"/>
          <w:szCs w:val="20"/>
          <w:color w:val="auto"/>
        </w:rPr>
      </w:pPr>
    </w:p>
    <w:p>
      <w:pPr>
        <w:ind w:left="829" w:right="160" w:hanging="410"/>
        <w:spacing w:after="0" w:line="289" w:lineRule="auto"/>
        <w:tabs>
          <w:tab w:leader="none" w:pos="829" w:val="left"/>
        </w:tabs>
        <w:numPr>
          <w:ilvl w:val="0"/>
          <w:numId w:val="397"/>
        </w:numPr>
        <w:rPr>
          <w:rFonts w:ascii="Arial" w:cs="Arial" w:eastAsia="Arial" w:hAnsi="Arial"/>
          <w:sz w:val="17"/>
          <w:szCs w:val="17"/>
          <w:color w:val="auto"/>
        </w:rPr>
      </w:pPr>
      <w:r>
        <w:rPr>
          <w:rFonts w:ascii="Arial" w:cs="Arial" w:eastAsia="Arial" w:hAnsi="Arial"/>
          <w:sz w:val="17"/>
          <w:szCs w:val="17"/>
          <w:color w:val="auto"/>
        </w:rPr>
        <w:t>Lonza and the Licensee entered into a Multi-Product Licence Agreement dated 31 October 2014, pursuant to which Lonza licensed certain Intellectual Property Rights (as therein defined) to the Licensee (“Agreement”);</w:t>
      </w:r>
    </w:p>
    <w:p>
      <w:pPr>
        <w:spacing w:after="0" w:line="183" w:lineRule="exact"/>
        <w:rPr>
          <w:rFonts w:ascii="Arial" w:cs="Arial" w:eastAsia="Arial" w:hAnsi="Arial"/>
          <w:sz w:val="17"/>
          <w:szCs w:val="17"/>
          <w:color w:val="auto"/>
        </w:rPr>
      </w:pPr>
    </w:p>
    <w:p>
      <w:pPr>
        <w:ind w:left="829" w:hanging="410"/>
        <w:spacing w:after="0"/>
        <w:tabs>
          <w:tab w:leader="none" w:pos="829" w:val="left"/>
        </w:tabs>
        <w:numPr>
          <w:ilvl w:val="0"/>
          <w:numId w:val="397"/>
        </w:numPr>
        <w:rPr>
          <w:rFonts w:ascii="Arial" w:cs="Arial" w:eastAsia="Arial" w:hAnsi="Arial"/>
          <w:sz w:val="17"/>
          <w:szCs w:val="17"/>
          <w:color w:val="auto"/>
        </w:rPr>
      </w:pPr>
      <w:r>
        <w:rPr>
          <w:rFonts w:ascii="Arial" w:cs="Arial" w:eastAsia="Arial" w:hAnsi="Arial"/>
          <w:sz w:val="17"/>
          <w:szCs w:val="17"/>
          <w:color w:val="auto"/>
        </w:rPr>
        <w:t>The parties now wish to further amend the terms of the Agreement</w:t>
      </w:r>
    </w:p>
    <w:p>
      <w:pPr>
        <w:spacing w:after="0" w:line="224" w:lineRule="exact"/>
        <w:rPr>
          <w:sz w:val="20"/>
          <w:szCs w:val="20"/>
          <w:color w:val="auto"/>
        </w:rPr>
      </w:pPr>
    </w:p>
    <w:p>
      <w:pPr>
        <w:ind w:left="9"/>
        <w:spacing w:after="0"/>
        <w:rPr>
          <w:sz w:val="20"/>
          <w:szCs w:val="20"/>
          <w:color w:val="auto"/>
        </w:rPr>
      </w:pPr>
      <w:r>
        <w:rPr>
          <w:rFonts w:ascii="Arial" w:cs="Arial" w:eastAsia="Arial" w:hAnsi="Arial"/>
          <w:sz w:val="17"/>
          <w:szCs w:val="17"/>
          <w:color w:val="auto"/>
        </w:rPr>
        <w:t>NOW THEREFORE IT IS HEREBY AGREED to amend the Agreement as follows:</w:t>
      </w:r>
    </w:p>
    <w:p>
      <w:pPr>
        <w:spacing w:after="0" w:line="250" w:lineRule="exact"/>
        <w:rPr>
          <w:sz w:val="20"/>
          <w:szCs w:val="20"/>
          <w:color w:val="auto"/>
        </w:rPr>
      </w:pPr>
    </w:p>
    <w:p>
      <w:pPr>
        <w:ind w:left="429" w:hanging="429"/>
        <w:spacing w:after="0"/>
        <w:tabs>
          <w:tab w:leader="none" w:pos="429" w:val="left"/>
        </w:tabs>
        <w:numPr>
          <w:ilvl w:val="0"/>
          <w:numId w:val="398"/>
        </w:numPr>
        <w:rPr>
          <w:rFonts w:ascii="Arial" w:cs="Arial" w:eastAsia="Arial" w:hAnsi="Arial"/>
          <w:sz w:val="17"/>
          <w:szCs w:val="17"/>
          <w:color w:val="auto"/>
        </w:rPr>
      </w:pPr>
      <w:r>
        <w:rPr>
          <w:rFonts w:ascii="Arial" w:cs="Arial" w:eastAsia="Arial" w:hAnsi="Arial"/>
          <w:sz w:val="17"/>
          <w:szCs w:val="17"/>
          <w:color w:val="auto"/>
        </w:rPr>
        <w:t>The words and phrases defined in the Agreement shall have the same meanings in this Amendment:</w:t>
      </w:r>
    </w:p>
    <w:p>
      <w:pPr>
        <w:spacing w:after="0" w:line="249" w:lineRule="exact"/>
        <w:rPr>
          <w:rFonts w:ascii="Arial" w:cs="Arial" w:eastAsia="Arial" w:hAnsi="Arial"/>
          <w:sz w:val="17"/>
          <w:szCs w:val="17"/>
          <w:color w:val="auto"/>
        </w:rPr>
      </w:pPr>
    </w:p>
    <w:p>
      <w:pPr>
        <w:ind w:left="429" w:hanging="429"/>
        <w:spacing w:after="0"/>
        <w:tabs>
          <w:tab w:leader="none" w:pos="429" w:val="left"/>
        </w:tabs>
        <w:numPr>
          <w:ilvl w:val="0"/>
          <w:numId w:val="398"/>
        </w:numPr>
        <w:rPr>
          <w:rFonts w:ascii="Arial" w:cs="Arial" w:eastAsia="Arial" w:hAnsi="Arial"/>
          <w:sz w:val="17"/>
          <w:szCs w:val="17"/>
          <w:color w:val="auto"/>
        </w:rPr>
      </w:pPr>
      <w:r>
        <w:rPr>
          <w:rFonts w:ascii="Arial" w:cs="Arial" w:eastAsia="Arial" w:hAnsi="Arial"/>
          <w:sz w:val="17"/>
          <w:szCs w:val="17"/>
          <w:color w:val="auto"/>
        </w:rPr>
        <w:t>A new clause 4.9 shall be inserted into the Agreement as follows:</w:t>
      </w:r>
    </w:p>
    <w:p>
      <w:pPr>
        <w:spacing w:after="0" w:line="250" w:lineRule="exact"/>
        <w:rPr>
          <w:sz w:val="20"/>
          <w:szCs w:val="20"/>
          <w:color w:val="auto"/>
        </w:rPr>
      </w:pPr>
    </w:p>
    <w:tbl>
      <w:tblPr>
        <w:tblLayout w:type="fixed"/>
        <w:tblInd w:w="429" w:type="dxa"/>
        <w:tblCellMar>
          <w:top w:w="0" w:type="dxa"/>
          <w:left w:w="0" w:type="dxa"/>
          <w:bottom w:w="0" w:type="dxa"/>
          <w:right w:w="0" w:type="dxa"/>
        </w:tblCellMar>
      </w:tblPr>
      <w:tr>
        <w:trPr>
          <w:trHeight w:val="210"/>
        </w:trPr>
        <w:tc>
          <w:tcPr>
            <w:tcW w:w="460" w:type="dxa"/>
            <w:vAlign w:val="bottom"/>
          </w:tcPr>
          <w:p>
            <w:pPr>
              <w:spacing w:after="0"/>
              <w:rPr>
                <w:sz w:val="20"/>
                <w:szCs w:val="20"/>
                <w:color w:val="auto"/>
              </w:rPr>
            </w:pPr>
            <w:r>
              <w:rPr>
                <w:rFonts w:ascii="Arial" w:cs="Arial" w:eastAsia="Arial" w:hAnsi="Arial"/>
                <w:sz w:val="17"/>
                <w:szCs w:val="17"/>
                <w:color w:val="auto"/>
              </w:rPr>
              <w:t>“4.9</w:t>
            </w:r>
          </w:p>
        </w:tc>
        <w:tc>
          <w:tcPr>
            <w:tcW w:w="540" w:type="dxa"/>
            <w:vAlign w:val="bottom"/>
          </w:tcPr>
          <w:p>
            <w:pPr>
              <w:ind w:left="180"/>
              <w:spacing w:after="0"/>
              <w:rPr>
                <w:sz w:val="20"/>
                <w:szCs w:val="20"/>
                <w:color w:val="auto"/>
              </w:rPr>
            </w:pPr>
            <w:r>
              <w:rPr>
                <w:rFonts w:ascii="Arial" w:cs="Arial" w:eastAsia="Arial" w:hAnsi="Arial"/>
                <w:sz w:val="17"/>
                <w:szCs w:val="17"/>
                <w:color w:val="auto"/>
              </w:rPr>
              <w:t>(a)</w:t>
            </w:r>
          </w:p>
        </w:tc>
        <w:tc>
          <w:tcPr>
            <w:tcW w:w="9140" w:type="dxa"/>
            <w:vAlign w:val="bottom"/>
          </w:tcPr>
          <w:p>
            <w:pPr>
              <w:ind w:left="160"/>
              <w:spacing w:after="0"/>
              <w:rPr>
                <w:sz w:val="20"/>
                <w:szCs w:val="20"/>
                <w:color w:val="auto"/>
              </w:rPr>
            </w:pPr>
            <w:r>
              <w:rPr>
                <w:rFonts w:ascii="Arial" w:cs="Arial" w:eastAsia="Arial" w:hAnsi="Arial"/>
                <w:sz w:val="17"/>
                <w:szCs w:val="17"/>
                <w:color w:val="auto"/>
              </w:rPr>
              <w:t>Licensee shall provide Lonza with updates to Table A of Appendix 5 (including but not limited to the names of any new</w:t>
            </w:r>
          </w:p>
        </w:tc>
      </w:tr>
      <w:tr>
        <w:trPr>
          <w:trHeight w:val="210"/>
        </w:trPr>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140" w:type="dxa"/>
            <w:vAlign w:val="bottom"/>
          </w:tcPr>
          <w:p>
            <w:pPr>
              <w:ind w:left="160"/>
              <w:spacing w:after="0"/>
              <w:rPr>
                <w:sz w:val="20"/>
                <w:szCs w:val="20"/>
                <w:color w:val="auto"/>
              </w:rPr>
            </w:pPr>
            <w:r>
              <w:rPr>
                <w:rFonts w:ascii="Arial" w:cs="Arial" w:eastAsia="Arial" w:hAnsi="Arial"/>
                <w:sz w:val="17"/>
                <w:szCs w:val="17"/>
                <w:color w:val="auto"/>
                <w:w w:val="95"/>
              </w:rPr>
              <w:t>Product(s)) within [*] days of: (i) [*] for any new Product(s); and/or (ii) [*] for any Product that is already scheduled in Table A,</w:t>
            </w:r>
          </w:p>
        </w:tc>
      </w:tr>
      <w:tr>
        <w:trPr>
          <w:trHeight w:val="222"/>
        </w:trPr>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140" w:type="dxa"/>
            <w:vAlign w:val="bottom"/>
          </w:tcPr>
          <w:p>
            <w:pPr>
              <w:ind w:left="160"/>
              <w:spacing w:after="0"/>
              <w:rPr>
                <w:sz w:val="20"/>
                <w:szCs w:val="20"/>
                <w:color w:val="auto"/>
              </w:rPr>
            </w:pPr>
            <w:r>
              <w:rPr>
                <w:rFonts w:ascii="Arial" w:cs="Arial" w:eastAsia="Arial" w:hAnsi="Arial"/>
                <w:sz w:val="17"/>
                <w:szCs w:val="17"/>
                <w:color w:val="auto"/>
              </w:rPr>
              <w:t>and the Parties shall formally update Table A of Appendix 5 by written agreement;</w:t>
            </w:r>
          </w:p>
        </w:tc>
      </w:tr>
    </w:tbl>
    <w:p>
      <w:pPr>
        <w:spacing w:after="0" w:line="224" w:lineRule="exact"/>
        <w:rPr>
          <w:sz w:val="20"/>
          <w:szCs w:val="20"/>
          <w:color w:val="auto"/>
        </w:rPr>
      </w:pPr>
    </w:p>
    <w:p>
      <w:pPr>
        <w:jc w:val="both"/>
        <w:ind w:left="1589" w:hanging="528"/>
        <w:spacing w:after="0" w:line="359" w:lineRule="auto"/>
        <w:tabs>
          <w:tab w:leader="none" w:pos="1589" w:val="left"/>
        </w:tabs>
        <w:numPr>
          <w:ilvl w:val="1"/>
          <w:numId w:val="399"/>
        </w:numPr>
        <w:rPr>
          <w:rFonts w:ascii="Arial" w:cs="Arial" w:eastAsia="Arial" w:hAnsi="Arial"/>
          <w:sz w:val="15"/>
          <w:szCs w:val="15"/>
          <w:color w:val="auto"/>
        </w:rPr>
      </w:pPr>
      <w:r>
        <w:rPr>
          <w:rFonts w:ascii="Arial" w:cs="Arial" w:eastAsia="Arial" w:hAnsi="Arial"/>
          <w:sz w:val="15"/>
          <w:szCs w:val="15"/>
          <w:color w:val="auto"/>
        </w:rPr>
        <w:t>Li\censee shall notify Lonza within [*] days when any Product [*] and the Parties shall formally update Table B of Appendix 5 by written agreement. Product numbers in Table B shall be assigned chronologically according to the date of First Commercial Sale.”</w:t>
      </w:r>
    </w:p>
    <w:p>
      <w:pPr>
        <w:spacing w:after="0" w:line="47" w:lineRule="exact"/>
        <w:rPr>
          <w:rFonts w:ascii="Arial" w:cs="Arial" w:eastAsia="Arial" w:hAnsi="Arial"/>
          <w:sz w:val="15"/>
          <w:szCs w:val="15"/>
          <w:color w:val="auto"/>
        </w:rPr>
      </w:pPr>
    </w:p>
    <w:p>
      <w:pPr>
        <w:ind w:left="1229" w:hanging="241"/>
        <w:spacing w:after="0"/>
        <w:tabs>
          <w:tab w:leader="none" w:pos="1229" w:val="left"/>
        </w:tabs>
        <w:numPr>
          <w:ilvl w:val="0"/>
          <w:numId w:val="399"/>
        </w:numPr>
        <w:rPr>
          <w:rFonts w:ascii="Arial" w:cs="Arial" w:eastAsia="Arial" w:hAnsi="Arial"/>
          <w:sz w:val="17"/>
          <w:szCs w:val="17"/>
          <w:color w:val="auto"/>
        </w:rPr>
      </w:pPr>
      <w:r>
        <w:rPr>
          <w:rFonts w:ascii="Arial" w:cs="Arial" w:eastAsia="Arial" w:hAnsi="Arial"/>
          <w:sz w:val="17"/>
          <w:szCs w:val="17"/>
          <w:color w:val="auto"/>
        </w:rPr>
        <w:t>= Certain confidential information contained in this document, marked by brackets, has been omitted and filed separately</w:t>
      </w:r>
    </w:p>
    <w:p>
      <w:pPr>
        <w:spacing w:after="0" w:line="26"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with the Securities and Exchange Commission pursuant to Rule 406 of the Securities Act of 1933, as amended.</w:t>
      </w:r>
    </w:p>
    <w:p>
      <w:pPr>
        <w:sectPr>
          <w:pgSz w:w="11900" w:h="16838" w:orient="portrait"/>
          <w:cols w:equalWidth="0" w:num="1">
            <w:col w:w="10689"/>
          </w:cols>
          <w:pgMar w:left="611" w:top="455" w:right="599" w:bottom="1440" w:gutter="0" w:footer="0" w:header="0"/>
        </w:sectPr>
      </w:pPr>
    </w:p>
    <w:bookmarkStart w:id="438" w:name="page439"/>
    <w:bookmarkEnd w:id="438"/>
    <w:p>
      <w:pPr>
        <w:ind w:left="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5">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6">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85" w:lineRule="exact"/>
        <w:rPr>
          <w:sz w:val="20"/>
          <w:szCs w:val="20"/>
          <w:color w:val="auto"/>
        </w:rPr>
      </w:pPr>
    </w:p>
    <w:p>
      <w:pPr>
        <w:ind w:left="429" w:hanging="429"/>
        <w:spacing w:after="0"/>
        <w:tabs>
          <w:tab w:leader="none" w:pos="429" w:val="left"/>
        </w:tabs>
        <w:numPr>
          <w:ilvl w:val="0"/>
          <w:numId w:val="400"/>
        </w:numPr>
        <w:rPr>
          <w:rFonts w:ascii="Arial" w:cs="Arial" w:eastAsia="Arial" w:hAnsi="Arial"/>
          <w:sz w:val="17"/>
          <w:szCs w:val="17"/>
          <w:color w:val="auto"/>
        </w:rPr>
      </w:pPr>
      <w:r>
        <w:rPr>
          <w:rFonts w:ascii="Arial" w:cs="Arial" w:eastAsia="Arial" w:hAnsi="Arial"/>
          <w:sz w:val="17"/>
          <w:szCs w:val="17"/>
          <w:color w:val="auto"/>
        </w:rPr>
        <w:t>Appendix 5 of the Agreement is hereby deleted in its entirety and replaced by the Appendix 5 annexed hereto.</w:t>
      </w:r>
    </w:p>
    <w:p>
      <w:pPr>
        <w:spacing w:after="0" w:line="249" w:lineRule="exact"/>
        <w:rPr>
          <w:rFonts w:ascii="Arial" w:cs="Arial" w:eastAsia="Arial" w:hAnsi="Arial"/>
          <w:sz w:val="17"/>
          <w:szCs w:val="17"/>
          <w:color w:val="auto"/>
        </w:rPr>
      </w:pPr>
    </w:p>
    <w:p>
      <w:pPr>
        <w:ind w:left="429" w:hanging="429"/>
        <w:spacing w:after="0"/>
        <w:tabs>
          <w:tab w:leader="none" w:pos="429" w:val="left"/>
        </w:tabs>
        <w:numPr>
          <w:ilvl w:val="0"/>
          <w:numId w:val="400"/>
        </w:numPr>
        <w:rPr>
          <w:rFonts w:ascii="Arial" w:cs="Arial" w:eastAsia="Arial" w:hAnsi="Arial"/>
          <w:sz w:val="17"/>
          <w:szCs w:val="17"/>
          <w:color w:val="auto"/>
        </w:rPr>
      </w:pPr>
      <w:r>
        <w:rPr>
          <w:rFonts w:ascii="Arial" w:cs="Arial" w:eastAsia="Arial" w:hAnsi="Arial"/>
          <w:sz w:val="17"/>
          <w:szCs w:val="17"/>
          <w:color w:val="auto"/>
        </w:rPr>
        <w:t>Save as herein provided all other terms and conditions of the Agreement shall remain in full force and effect.</w:t>
      </w:r>
    </w:p>
    <w:p>
      <w:pPr>
        <w:spacing w:after="0" w:line="158" w:lineRule="exact"/>
        <w:rPr>
          <w:rFonts w:ascii="Arial" w:cs="Arial" w:eastAsia="Arial" w:hAnsi="Arial"/>
          <w:sz w:val="17"/>
          <w:szCs w:val="17"/>
          <w:color w:val="auto"/>
        </w:rPr>
      </w:pPr>
    </w:p>
    <w:p>
      <w:pPr>
        <w:ind w:left="1469" w:right="159" w:hanging="481"/>
        <w:spacing w:after="0" w:line="359" w:lineRule="auto"/>
        <w:tabs>
          <w:tab w:leader="none" w:pos="1241" w:val="left"/>
        </w:tabs>
        <w:numPr>
          <w:ilvl w:val="1"/>
          <w:numId w:val="400"/>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848"/>
          </w:cols>
          <w:pgMar w:left="611" w:top="454" w:right="1440" w:bottom="1440" w:gutter="0" w:footer="0" w:header="0"/>
        </w:sectPr>
      </w:pPr>
    </w:p>
    <w:bookmarkStart w:id="439" w:name="page440"/>
    <w:bookmarkEnd w:id="43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8">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AS WITNESS the hands of the duly authorized representatives of the parties hereto the day and year first before written.</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40" w:type="dxa"/>
            <w:vAlign w:val="bottom"/>
          </w:tcPr>
          <w:p>
            <w:pPr>
              <w:spacing w:after="0"/>
              <w:rPr>
                <w:sz w:val="20"/>
                <w:szCs w:val="20"/>
                <w:color w:val="auto"/>
              </w:rPr>
            </w:pPr>
            <w:r>
              <w:rPr>
                <w:rFonts w:ascii="Arial" w:cs="Arial" w:eastAsia="Arial" w:hAnsi="Arial"/>
                <w:sz w:val="17"/>
                <w:szCs w:val="17"/>
                <w:color w:val="auto"/>
              </w:rPr>
              <w:t>SIGNED BY:</w:t>
            </w:r>
          </w:p>
        </w:tc>
        <w:tc>
          <w:tcPr>
            <w:tcW w:w="39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Nadia Zieger</w:t>
            </w:r>
          </w:p>
        </w:tc>
      </w:tr>
      <w:tr>
        <w:trPr>
          <w:trHeight w:val="191"/>
        </w:trPr>
        <w:tc>
          <w:tcPr>
            <w:tcW w:w="3740" w:type="dxa"/>
            <w:vAlign w:val="bottom"/>
          </w:tcPr>
          <w:p>
            <w:pPr>
              <w:spacing w:after="0" w:line="191" w:lineRule="exact"/>
              <w:rPr>
                <w:sz w:val="20"/>
                <w:szCs w:val="20"/>
                <w:color w:val="auto"/>
              </w:rPr>
            </w:pPr>
            <w:r>
              <w:rPr>
                <w:rFonts w:ascii="Arial" w:cs="Arial" w:eastAsia="Arial" w:hAnsi="Arial"/>
                <w:sz w:val="17"/>
                <w:szCs w:val="17"/>
                <w:color w:val="auto"/>
              </w:rPr>
              <w:t>For and on behalf of</w:t>
            </w:r>
          </w:p>
        </w:tc>
        <w:tc>
          <w:tcPr>
            <w:tcW w:w="3960" w:type="dxa"/>
            <w:vAlign w:val="bottom"/>
          </w:tcPr>
          <w:p>
            <w:pPr>
              <w:spacing w:after="0"/>
              <w:rPr>
                <w:sz w:val="16"/>
                <w:szCs w:val="16"/>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7"/>
                <w:szCs w:val="17"/>
                <w:color w:val="auto"/>
              </w:rPr>
              <w:t>LONZA SALES AG</w:t>
            </w:r>
          </w:p>
        </w:tc>
        <w:tc>
          <w:tcPr>
            <w:tcW w:w="3960" w:type="dxa"/>
            <w:vAlign w:val="bottom"/>
          </w:tcPr>
          <w:p>
            <w:pPr>
              <w:spacing w:after="0"/>
              <w:rPr>
                <w:sz w:val="19"/>
                <w:szCs w:val="19"/>
                <w:color w:val="auto"/>
              </w:rPr>
            </w:pPr>
          </w:p>
        </w:tc>
      </w:tr>
      <w:tr>
        <w:trPr>
          <w:trHeight w:val="419"/>
        </w:trPr>
        <w:tc>
          <w:tcPr>
            <w:tcW w:w="3740" w:type="dxa"/>
            <w:vAlign w:val="bottom"/>
          </w:tcPr>
          <w:p>
            <w:pPr>
              <w:spacing w:after="0"/>
              <w:rPr>
                <w:sz w:val="24"/>
                <w:szCs w:val="24"/>
                <w:color w:val="auto"/>
              </w:rPr>
            </w:pPr>
          </w:p>
        </w:tc>
        <w:tc>
          <w:tcPr>
            <w:tcW w:w="39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Associate Director, Key Account Manager</w:t>
            </w:r>
          </w:p>
        </w:tc>
      </w:tr>
      <w:tr>
        <w:trPr>
          <w:trHeight w:val="215"/>
        </w:trPr>
        <w:tc>
          <w:tcPr>
            <w:tcW w:w="3740" w:type="dxa"/>
            <w:vAlign w:val="bottom"/>
          </w:tcPr>
          <w:p>
            <w:pPr>
              <w:spacing w:after="0"/>
              <w:rPr>
                <w:sz w:val="18"/>
                <w:szCs w:val="18"/>
                <w:color w:val="auto"/>
              </w:rPr>
            </w:pPr>
          </w:p>
        </w:tc>
        <w:tc>
          <w:tcPr>
            <w:tcW w:w="3960" w:type="dxa"/>
            <w:vAlign w:val="bottom"/>
          </w:tcPr>
          <w:p>
            <w:pPr>
              <w:ind w:left="3280"/>
              <w:spacing w:after="0"/>
              <w:rPr>
                <w:sz w:val="20"/>
                <w:szCs w:val="20"/>
                <w:color w:val="auto"/>
              </w:rPr>
            </w:pPr>
            <w:r>
              <w:rPr>
                <w:rFonts w:ascii="Arial" w:cs="Arial" w:eastAsia="Arial" w:hAnsi="Arial"/>
                <w:sz w:val="17"/>
                <w:szCs w:val="17"/>
                <w:color w:val="auto"/>
              </w:rPr>
              <w:t>Title</w:t>
            </w:r>
          </w:p>
        </w:tc>
      </w:tr>
      <w:tr>
        <w:trPr>
          <w:trHeight w:val="616"/>
        </w:trPr>
        <w:tc>
          <w:tcPr>
            <w:tcW w:w="3740" w:type="dxa"/>
            <w:vAlign w:val="bottom"/>
          </w:tcPr>
          <w:p>
            <w:pPr>
              <w:spacing w:after="0"/>
              <w:rPr>
                <w:sz w:val="20"/>
                <w:szCs w:val="20"/>
                <w:color w:val="auto"/>
              </w:rPr>
            </w:pPr>
            <w:r>
              <w:rPr>
                <w:rFonts w:ascii="Arial" w:cs="Arial" w:eastAsia="Arial" w:hAnsi="Arial"/>
                <w:sz w:val="17"/>
                <w:szCs w:val="17"/>
                <w:color w:val="auto"/>
              </w:rPr>
              <w:t>SIGNED BY:</w:t>
            </w:r>
          </w:p>
        </w:tc>
        <w:tc>
          <w:tcPr>
            <w:tcW w:w="39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Jason Wirtz</w:t>
            </w:r>
          </w:p>
        </w:tc>
      </w:tr>
      <w:tr>
        <w:trPr>
          <w:trHeight w:val="191"/>
        </w:trPr>
        <w:tc>
          <w:tcPr>
            <w:tcW w:w="3740" w:type="dxa"/>
            <w:vAlign w:val="bottom"/>
          </w:tcPr>
          <w:p>
            <w:pPr>
              <w:spacing w:after="0" w:line="191" w:lineRule="exact"/>
              <w:rPr>
                <w:sz w:val="20"/>
                <w:szCs w:val="20"/>
                <w:color w:val="auto"/>
              </w:rPr>
            </w:pPr>
            <w:r>
              <w:rPr>
                <w:rFonts w:ascii="Arial" w:cs="Arial" w:eastAsia="Arial" w:hAnsi="Arial"/>
                <w:sz w:val="17"/>
                <w:szCs w:val="17"/>
                <w:color w:val="auto"/>
              </w:rPr>
              <w:t>For and on behalf of</w:t>
            </w:r>
          </w:p>
        </w:tc>
        <w:tc>
          <w:tcPr>
            <w:tcW w:w="3960" w:type="dxa"/>
            <w:vAlign w:val="bottom"/>
          </w:tcPr>
          <w:p>
            <w:pPr>
              <w:spacing w:after="0"/>
              <w:rPr>
                <w:sz w:val="16"/>
                <w:szCs w:val="16"/>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7"/>
                <w:szCs w:val="17"/>
                <w:color w:val="auto"/>
              </w:rPr>
              <w:t>LONZA SALES AG</w:t>
            </w:r>
          </w:p>
        </w:tc>
        <w:tc>
          <w:tcPr>
            <w:tcW w:w="3960" w:type="dxa"/>
            <w:vAlign w:val="bottom"/>
          </w:tcPr>
          <w:p>
            <w:pPr>
              <w:spacing w:after="0"/>
              <w:rPr>
                <w:sz w:val="19"/>
                <w:szCs w:val="19"/>
                <w:color w:val="auto"/>
              </w:rPr>
            </w:pPr>
          </w:p>
        </w:tc>
      </w:tr>
      <w:tr>
        <w:trPr>
          <w:trHeight w:val="419"/>
        </w:trPr>
        <w:tc>
          <w:tcPr>
            <w:tcW w:w="3740" w:type="dxa"/>
            <w:vAlign w:val="bottom"/>
          </w:tcPr>
          <w:p>
            <w:pPr>
              <w:spacing w:after="0"/>
              <w:rPr>
                <w:sz w:val="24"/>
                <w:szCs w:val="24"/>
                <w:color w:val="auto"/>
              </w:rPr>
            </w:pPr>
          </w:p>
        </w:tc>
        <w:tc>
          <w:tcPr>
            <w:tcW w:w="39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Assoc. General Counsel</w:t>
            </w:r>
          </w:p>
        </w:tc>
      </w:tr>
      <w:tr>
        <w:trPr>
          <w:trHeight w:val="215"/>
        </w:trPr>
        <w:tc>
          <w:tcPr>
            <w:tcW w:w="3740" w:type="dxa"/>
            <w:vAlign w:val="bottom"/>
          </w:tcPr>
          <w:p>
            <w:pPr>
              <w:spacing w:after="0"/>
              <w:rPr>
                <w:sz w:val="18"/>
                <w:szCs w:val="18"/>
                <w:color w:val="auto"/>
              </w:rPr>
            </w:pPr>
          </w:p>
        </w:tc>
        <w:tc>
          <w:tcPr>
            <w:tcW w:w="3960" w:type="dxa"/>
            <w:vAlign w:val="bottom"/>
          </w:tcPr>
          <w:p>
            <w:pPr>
              <w:ind w:left="3280"/>
              <w:spacing w:after="0"/>
              <w:rPr>
                <w:sz w:val="20"/>
                <w:szCs w:val="20"/>
                <w:color w:val="auto"/>
              </w:rPr>
            </w:pPr>
            <w:r>
              <w:rPr>
                <w:rFonts w:ascii="Arial" w:cs="Arial" w:eastAsia="Arial" w:hAnsi="Arial"/>
                <w:sz w:val="17"/>
                <w:szCs w:val="17"/>
                <w:color w:val="auto"/>
              </w:rPr>
              <w:t>Title</w:t>
            </w:r>
          </w:p>
        </w:tc>
      </w:tr>
      <w:tr>
        <w:trPr>
          <w:trHeight w:val="616"/>
        </w:trPr>
        <w:tc>
          <w:tcPr>
            <w:tcW w:w="3740" w:type="dxa"/>
            <w:vAlign w:val="bottom"/>
          </w:tcPr>
          <w:p>
            <w:pPr>
              <w:spacing w:after="0"/>
              <w:rPr>
                <w:sz w:val="20"/>
                <w:szCs w:val="20"/>
                <w:color w:val="auto"/>
              </w:rPr>
            </w:pPr>
            <w:r>
              <w:rPr>
                <w:rFonts w:ascii="Arial" w:cs="Arial" w:eastAsia="Arial" w:hAnsi="Arial"/>
                <w:sz w:val="17"/>
                <w:szCs w:val="17"/>
                <w:color w:val="auto"/>
              </w:rPr>
              <w:t>SIGNED BY:</w:t>
            </w:r>
          </w:p>
        </w:tc>
        <w:tc>
          <w:tcPr>
            <w:tcW w:w="39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Aetna Wun Trombley</w:t>
            </w:r>
          </w:p>
        </w:tc>
      </w:tr>
      <w:tr>
        <w:trPr>
          <w:trHeight w:val="191"/>
        </w:trPr>
        <w:tc>
          <w:tcPr>
            <w:tcW w:w="3740" w:type="dxa"/>
            <w:vAlign w:val="bottom"/>
          </w:tcPr>
          <w:p>
            <w:pPr>
              <w:spacing w:after="0" w:line="191" w:lineRule="exact"/>
              <w:rPr>
                <w:sz w:val="20"/>
                <w:szCs w:val="20"/>
                <w:color w:val="auto"/>
              </w:rPr>
            </w:pPr>
            <w:r>
              <w:rPr>
                <w:rFonts w:ascii="Arial" w:cs="Arial" w:eastAsia="Arial" w:hAnsi="Arial"/>
                <w:sz w:val="17"/>
                <w:szCs w:val="17"/>
                <w:color w:val="auto"/>
              </w:rPr>
              <w:t>For and on behalf of</w:t>
            </w:r>
          </w:p>
        </w:tc>
        <w:tc>
          <w:tcPr>
            <w:tcW w:w="3960" w:type="dxa"/>
            <w:vAlign w:val="bottom"/>
          </w:tcPr>
          <w:p>
            <w:pPr>
              <w:spacing w:after="0"/>
              <w:rPr>
                <w:sz w:val="16"/>
                <w:szCs w:val="16"/>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7"/>
                <w:szCs w:val="17"/>
                <w:color w:val="auto"/>
              </w:rPr>
              <w:t>NGM BIOPHARMACEUTICALS, INC.</w:t>
            </w:r>
          </w:p>
        </w:tc>
        <w:tc>
          <w:tcPr>
            <w:tcW w:w="3960" w:type="dxa"/>
            <w:vAlign w:val="bottom"/>
          </w:tcPr>
          <w:p>
            <w:pPr>
              <w:spacing w:after="0"/>
              <w:rPr>
                <w:sz w:val="19"/>
                <w:szCs w:val="19"/>
                <w:color w:val="auto"/>
              </w:rPr>
            </w:pPr>
          </w:p>
        </w:tc>
      </w:tr>
      <w:tr>
        <w:trPr>
          <w:trHeight w:val="419"/>
        </w:trPr>
        <w:tc>
          <w:tcPr>
            <w:tcW w:w="3740" w:type="dxa"/>
            <w:vAlign w:val="bottom"/>
          </w:tcPr>
          <w:p>
            <w:pPr>
              <w:spacing w:after="0"/>
              <w:rPr>
                <w:sz w:val="24"/>
                <w:szCs w:val="24"/>
                <w:color w:val="auto"/>
              </w:rPr>
            </w:pPr>
          </w:p>
        </w:tc>
        <w:tc>
          <w:tcPr>
            <w:tcW w:w="39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COO</w:t>
            </w:r>
          </w:p>
        </w:tc>
      </w:tr>
      <w:tr>
        <w:trPr>
          <w:trHeight w:val="215"/>
        </w:trPr>
        <w:tc>
          <w:tcPr>
            <w:tcW w:w="3740" w:type="dxa"/>
            <w:vAlign w:val="bottom"/>
          </w:tcPr>
          <w:p>
            <w:pPr>
              <w:spacing w:after="0"/>
              <w:rPr>
                <w:sz w:val="18"/>
                <w:szCs w:val="18"/>
                <w:color w:val="auto"/>
              </w:rPr>
            </w:pPr>
          </w:p>
        </w:tc>
        <w:tc>
          <w:tcPr>
            <w:tcW w:w="3960" w:type="dxa"/>
            <w:vAlign w:val="bottom"/>
          </w:tcPr>
          <w:p>
            <w:pPr>
              <w:ind w:left="3280"/>
              <w:spacing w:after="0"/>
              <w:rPr>
                <w:sz w:val="20"/>
                <w:szCs w:val="20"/>
                <w:color w:val="auto"/>
              </w:rPr>
            </w:pPr>
            <w:r>
              <w:rPr>
                <w:rFonts w:ascii="Arial" w:cs="Arial" w:eastAsia="Arial" w:hAnsi="Arial"/>
                <w:sz w:val="17"/>
                <w:szCs w:val="17"/>
                <w:color w:val="auto"/>
              </w:rPr>
              <w:t>Title</w:t>
            </w:r>
          </w:p>
        </w:tc>
      </w:tr>
    </w:tbl>
    <w:p>
      <w:pPr>
        <w:spacing w:after="0" w:line="120" w:lineRule="exact"/>
        <w:rPr>
          <w:sz w:val="20"/>
          <w:szCs w:val="20"/>
          <w:color w:val="auto"/>
        </w:rPr>
      </w:pPr>
    </w:p>
    <w:p>
      <w:pPr>
        <w:ind w:left="1460" w:right="159" w:hanging="481"/>
        <w:spacing w:after="0" w:line="359" w:lineRule="auto"/>
        <w:tabs>
          <w:tab w:leader="none" w:pos="1232" w:val="left"/>
        </w:tabs>
        <w:numPr>
          <w:ilvl w:val="0"/>
          <w:numId w:val="401"/>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839"/>
          </w:cols>
          <w:pgMar w:left="620" w:top="455" w:right="1440" w:bottom="1440" w:gutter="0" w:footer="0" w:header="0"/>
        </w:sectPr>
      </w:pPr>
    </w:p>
    <w:bookmarkStart w:id="440" w:name="page441"/>
    <w:bookmarkEnd w:id="44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0">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73" w:lineRule="exact"/>
        <w:rPr>
          <w:sz w:val="20"/>
          <w:szCs w:val="20"/>
          <w:color w:val="auto"/>
        </w:rPr>
      </w:pPr>
    </w:p>
    <w:tbl>
      <w:tblPr>
        <w:tblLayout w:type="fixed"/>
        <w:tblInd w:w="1700" w:type="dxa"/>
        <w:tblCellMar>
          <w:top w:w="0" w:type="dxa"/>
          <w:left w:w="0" w:type="dxa"/>
          <w:bottom w:w="0" w:type="dxa"/>
          <w:right w:w="0" w:type="dxa"/>
        </w:tblCellMar>
      </w:tblPr>
      <w:tr>
        <w:trPr>
          <w:trHeight w:val="195"/>
        </w:trPr>
        <w:tc>
          <w:tcPr>
            <w:tcW w:w="5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Borders>
              <w:bottom w:val="single" w:sz="8" w:color="auto"/>
            </w:tcBorders>
            <w:gridSpan w:val="6"/>
          </w:tcPr>
          <w:p>
            <w:pPr>
              <w:jc w:val="center"/>
              <w:spacing w:after="0"/>
              <w:rPr>
                <w:sz w:val="20"/>
                <w:szCs w:val="20"/>
                <w:color w:val="auto"/>
              </w:rPr>
            </w:pPr>
            <w:r>
              <w:rPr>
                <w:rFonts w:ascii="Arial" w:cs="Arial" w:eastAsia="Arial" w:hAnsi="Arial"/>
                <w:sz w:val="17"/>
                <w:szCs w:val="17"/>
                <w:b w:val="1"/>
                <w:bCs w:val="1"/>
                <w:color w:val="auto"/>
              </w:rPr>
              <w:t>APPENDIX 5</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399"/>
        </w:trPr>
        <w:tc>
          <w:tcPr>
            <w:tcW w:w="5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gridSpan w:val="7"/>
          </w:tcPr>
          <w:p>
            <w:pPr>
              <w:jc w:val="center"/>
              <w:ind w:right="500"/>
              <w:spacing w:after="0"/>
              <w:rPr>
                <w:sz w:val="20"/>
                <w:szCs w:val="20"/>
                <w:color w:val="auto"/>
              </w:rPr>
            </w:pPr>
            <w:r>
              <w:rPr>
                <w:rFonts w:ascii="Arial" w:cs="Arial" w:eastAsia="Arial" w:hAnsi="Arial"/>
                <w:sz w:val="17"/>
                <w:szCs w:val="17"/>
                <w:b w:val="1"/>
                <w:bCs w:val="1"/>
                <w:color w:val="auto"/>
              </w:rPr>
              <w:t>PRODUCTS</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99"/>
        </w:trPr>
        <w:tc>
          <w:tcPr>
            <w:tcW w:w="5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gridSpan w:val="3"/>
          </w:tcPr>
          <w:p>
            <w:pPr>
              <w:jc w:val="center"/>
              <w:ind w:right="200"/>
              <w:spacing w:after="0"/>
              <w:rPr>
                <w:sz w:val="20"/>
                <w:szCs w:val="20"/>
                <w:color w:val="auto"/>
              </w:rPr>
            </w:pPr>
            <w:r>
              <w:rPr>
                <w:rFonts w:ascii="Arial" w:cs="Arial" w:eastAsia="Arial" w:hAnsi="Arial"/>
                <w:sz w:val="17"/>
                <w:szCs w:val="17"/>
                <w:b w:val="1"/>
                <w:bCs w:val="1"/>
                <w:color w:val="auto"/>
                <w:w w:val="94"/>
              </w:rPr>
              <w:t>Table A</w:t>
            </w:r>
          </w:p>
        </w:tc>
        <w:tc>
          <w:tcPr>
            <w:tcW w:w="54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517"/>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Product</w:t>
            </w:r>
          </w:p>
        </w:tc>
        <w:tc>
          <w:tcPr>
            <w:tcW w:w="2260" w:type="dxa"/>
            <w:vAlign w:val="bottom"/>
          </w:tcPr>
          <w:p>
            <w:pPr>
              <w:spacing w:after="0"/>
              <w:rPr>
                <w:sz w:val="24"/>
                <w:szCs w:val="24"/>
                <w:color w:val="auto"/>
              </w:rPr>
            </w:pPr>
          </w:p>
        </w:tc>
        <w:tc>
          <w:tcPr>
            <w:tcW w:w="1900" w:type="dxa"/>
            <w:vAlign w:val="bottom"/>
            <w:gridSpan w:val="8"/>
          </w:tcPr>
          <w:p>
            <w:pPr>
              <w:spacing w:after="0"/>
              <w:rPr>
                <w:sz w:val="20"/>
                <w:szCs w:val="20"/>
                <w:color w:val="auto"/>
              </w:rPr>
            </w:pPr>
            <w:r>
              <w:rPr>
                <w:rFonts w:ascii="Arial" w:cs="Arial" w:eastAsia="Arial" w:hAnsi="Arial"/>
                <w:sz w:val="14"/>
                <w:szCs w:val="14"/>
                <w:b w:val="1"/>
                <w:bCs w:val="1"/>
                <w:color w:val="auto"/>
              </w:rPr>
              <w:t>Product Name</w:t>
            </w:r>
          </w:p>
        </w:tc>
        <w:tc>
          <w:tcPr>
            <w:tcW w:w="1100" w:type="dxa"/>
            <w:vAlign w:val="bottom"/>
            <w:gridSpan w:val="2"/>
          </w:tcPr>
          <w:p>
            <w:pPr>
              <w:ind w:left="500"/>
              <w:spacing w:after="0"/>
              <w:rPr>
                <w:sz w:val="20"/>
                <w:szCs w:val="20"/>
                <w:color w:val="auto"/>
              </w:rPr>
            </w:pPr>
            <w:r>
              <w:rPr>
                <w:rFonts w:ascii="Arial" w:cs="Arial" w:eastAsia="Arial" w:hAnsi="Arial"/>
                <w:sz w:val="14"/>
                <w:szCs w:val="14"/>
                <w:b w:val="1"/>
                <w:bCs w:val="1"/>
                <w:color w:val="auto"/>
              </w:rPr>
              <w:t>[*]</w:t>
            </w:r>
          </w:p>
        </w:tc>
      </w:tr>
      <w:tr>
        <w:trPr>
          <w:trHeight w:val="215"/>
        </w:trPr>
        <w:tc>
          <w:tcPr>
            <w:tcW w:w="5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2260" w:type="dxa"/>
            <w:vAlign w:val="bottom"/>
          </w:tcPr>
          <w:p>
            <w:pPr>
              <w:spacing w:after="0"/>
              <w:rPr>
                <w:sz w:val="18"/>
                <w:szCs w:val="18"/>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68199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1">
                      <a:extLst>
                        <a:ext uri="{28A0092B-C50C-407E-A947-70E740481C1C}"/>
                      </a:extLst>
                    </a:blip>
                    <a:srcRect/>
                    <a:stretch>
                      <a:fillRect/>
                    </a:stretch>
                  </pic:blipFill>
                  <pic:spPr bwMode="auto">
                    <a:xfrm>
                      <a:off x="0" y="0"/>
                      <a:ext cx="681990" cy="825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  The Licensee shall notify Lonza in writing within a period of [*] days for [*] for each Product.</w:t>
      </w:r>
    </w:p>
    <w:p>
      <w:pPr>
        <w:spacing w:after="0" w:line="283" w:lineRule="exact"/>
        <w:rPr>
          <w:sz w:val="20"/>
          <w:szCs w:val="20"/>
          <w:color w:val="auto"/>
        </w:rPr>
      </w:pPr>
    </w:p>
    <w:p>
      <w:pPr>
        <w:jc w:val="center"/>
        <w:ind w:right="-820"/>
        <w:spacing w:after="0"/>
        <w:rPr>
          <w:sz w:val="20"/>
          <w:szCs w:val="20"/>
          <w:color w:val="auto"/>
        </w:rPr>
      </w:pPr>
      <w:r>
        <w:rPr>
          <w:rFonts w:ascii="Arial" w:cs="Arial" w:eastAsia="Arial" w:hAnsi="Arial"/>
          <w:sz w:val="17"/>
          <w:szCs w:val="17"/>
          <w:b w:val="1"/>
          <w:bCs w:val="1"/>
          <w:u w:val="single" w:color="auto"/>
          <w:color w:val="auto"/>
        </w:rPr>
        <w:t>Table B</w:t>
      </w:r>
    </w:p>
    <w:p>
      <w:pPr>
        <w:spacing w:after="0" w:line="224" w:lineRule="exact"/>
        <w:rPr>
          <w:sz w:val="20"/>
          <w:szCs w:val="20"/>
          <w:color w:val="auto"/>
        </w:rPr>
      </w:pPr>
    </w:p>
    <w:p>
      <w:pPr>
        <w:ind w:left="3460"/>
        <w:spacing w:after="0"/>
        <w:rPr>
          <w:sz w:val="20"/>
          <w:szCs w:val="20"/>
          <w:color w:val="auto"/>
        </w:rPr>
      </w:pPr>
      <w:r>
        <w:rPr>
          <w:rFonts w:ascii="Arial" w:cs="Arial" w:eastAsia="Arial" w:hAnsi="Arial"/>
          <w:sz w:val="17"/>
          <w:szCs w:val="17"/>
          <w:b w:val="1"/>
          <w:bCs w:val="1"/>
          <w:u w:val="single" w:color="auto"/>
          <w:color w:val="auto"/>
        </w:rPr>
        <w:t>COMMERCIAL PRODUCTS AND ROYALTIES</w:t>
      </w:r>
    </w:p>
    <w:p>
      <w:pPr>
        <w:spacing w:after="0" w:line="363" w:lineRule="exact"/>
        <w:rPr>
          <w:sz w:val="20"/>
          <w:szCs w:val="20"/>
          <w:color w:val="auto"/>
        </w:rPr>
      </w:pPr>
    </w:p>
    <w:p>
      <w:pPr>
        <w:ind w:left="840"/>
        <w:spacing w:after="0"/>
        <w:tabs>
          <w:tab w:leader="none" w:pos="3780" w:val="left"/>
          <w:tab w:leader="none" w:pos="5760" w:val="left"/>
          <w:tab w:leader="none" w:pos="7800" w:val="left"/>
        </w:tabs>
        <w:rPr>
          <w:sz w:val="20"/>
          <w:szCs w:val="20"/>
          <w:color w:val="auto"/>
        </w:rPr>
      </w:pPr>
      <w:r>
        <w:rPr>
          <w:rFonts w:ascii="Arial" w:cs="Arial" w:eastAsia="Arial" w:hAnsi="Arial"/>
          <w:sz w:val="14"/>
          <w:szCs w:val="14"/>
          <w:b w:val="1"/>
          <w:bCs w:val="1"/>
          <w:u w:val="single" w:color="auto"/>
          <w:color w:val="auto"/>
        </w:rPr>
        <w:t>Commercial Product</w:t>
      </w:r>
      <w:r>
        <w:rPr>
          <w:sz w:val="20"/>
          <w:szCs w:val="20"/>
          <w:color w:val="auto"/>
        </w:rPr>
        <w:tab/>
      </w:r>
      <w:r>
        <w:rPr>
          <w:rFonts w:ascii="Arial" w:cs="Arial" w:eastAsia="Arial" w:hAnsi="Arial"/>
          <w:sz w:val="14"/>
          <w:szCs w:val="14"/>
          <w:b w:val="1"/>
          <w:bCs w:val="1"/>
          <w:u w:val="single" w:color="auto"/>
          <w:color w:val="auto"/>
        </w:rPr>
        <w:t>Product Name</w:t>
      </w:r>
      <w:r>
        <w:rPr>
          <w:sz w:val="20"/>
          <w:szCs w:val="20"/>
          <w:color w:val="auto"/>
        </w:rPr>
        <w:tab/>
      </w:r>
      <w:r>
        <w:rPr>
          <w:rFonts w:ascii="Arial" w:cs="Arial" w:eastAsia="Arial" w:hAnsi="Arial"/>
          <w:sz w:val="14"/>
          <w:szCs w:val="14"/>
          <w:b w:val="1"/>
          <w:bCs w:val="1"/>
          <w:u w:val="single" w:color="auto"/>
          <w:color w:val="auto"/>
        </w:rPr>
        <w:t>Rate of Royalty</w:t>
      </w:r>
      <w:r>
        <w:rPr>
          <w:sz w:val="20"/>
          <w:szCs w:val="20"/>
          <w:color w:val="auto"/>
        </w:rPr>
        <w:tab/>
      </w:r>
      <w:r>
        <w:rPr>
          <w:rFonts w:ascii="Arial" w:cs="Arial" w:eastAsia="Arial" w:hAnsi="Arial"/>
          <w:sz w:val="12"/>
          <w:szCs w:val="12"/>
          <w:b w:val="1"/>
          <w:bCs w:val="1"/>
          <w:u w:val="single" w:color="auto"/>
          <w:color w:val="auto"/>
        </w:rPr>
        <w:t>Party manufacturing the Product</w:t>
      </w:r>
    </w:p>
    <w:p>
      <w:pPr>
        <w:spacing w:after="0" w:line="2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Product #1</w:t>
      </w:r>
    </w:p>
    <w:p>
      <w:pPr>
        <w:spacing w:after="0" w:line="1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Product #2</w:t>
      </w:r>
    </w:p>
    <w:p>
      <w:pPr>
        <w:spacing w:after="0" w:line="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Product #3</w:t>
      </w:r>
    </w:p>
    <w:p>
      <w:pPr>
        <w:spacing w:after="0" w:line="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Product #4</w:t>
      </w:r>
    </w:p>
    <w:p>
      <w:pPr>
        <w:spacing w:after="0" w:line="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Product #5 etc</w:t>
      </w:r>
    </w:p>
    <w:p>
      <w:pPr>
        <w:spacing w:after="0" w:line="146" w:lineRule="exact"/>
        <w:rPr>
          <w:sz w:val="20"/>
          <w:szCs w:val="20"/>
          <w:color w:val="auto"/>
        </w:rPr>
      </w:pPr>
    </w:p>
    <w:p>
      <w:pPr>
        <w:ind w:left="1460" w:right="159" w:hanging="481"/>
        <w:spacing w:after="0" w:line="359" w:lineRule="auto"/>
        <w:tabs>
          <w:tab w:leader="none" w:pos="1232" w:val="left"/>
        </w:tabs>
        <w:numPr>
          <w:ilvl w:val="0"/>
          <w:numId w:val="402"/>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839"/>
          </w:cols>
          <w:pgMar w:left="620" w:top="455" w:right="1440" w:bottom="1440" w:gutter="0" w:footer="0" w:header="0"/>
        </w:sectPr>
      </w:pPr>
    </w:p>
    <w:bookmarkStart w:id="441" w:name="page442"/>
    <w:bookmarkEnd w:id="44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3">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ectPr>
          <w:pgSz w:w="11900" w:h="16838" w:orient="portrait"/>
          <w:cols w:equalWidth="0" w:num="1">
            <w:col w:w="9839"/>
          </w:cols>
          <w:pgMar w:left="620" w:top="4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AMENDMENT No. 5</w:t>
      </w:r>
    </w:p>
    <w:p>
      <w:pPr>
        <w:spacing w:after="0" w:line="200" w:lineRule="exact"/>
        <w:rPr>
          <w:sz w:val="20"/>
          <w:szCs w:val="20"/>
          <w:color w:val="auto"/>
        </w:rPr>
      </w:pPr>
    </w:p>
    <w:p>
      <w:pPr>
        <w:spacing w:after="0" w:line="233"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to</w:t>
      </w:r>
    </w:p>
    <w:p>
      <w:pPr>
        <w:spacing w:after="0" w:line="200" w:lineRule="exact"/>
        <w:rPr>
          <w:sz w:val="20"/>
          <w:szCs w:val="20"/>
          <w:color w:val="auto"/>
        </w:rPr>
      </w:pPr>
    </w:p>
    <w:p>
      <w:pPr>
        <w:spacing w:after="0" w:line="233"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MULTI-PRODUCT LICENCE AGREEMENT</w:t>
      </w:r>
    </w:p>
    <w:p>
      <w:pPr>
        <w:spacing w:after="0" w:line="200" w:lineRule="exact"/>
        <w:rPr>
          <w:sz w:val="20"/>
          <w:szCs w:val="20"/>
          <w:color w:val="auto"/>
        </w:rPr>
      </w:pPr>
    </w:p>
    <w:p>
      <w:pPr>
        <w:spacing w:after="0" w:line="233"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dated</w:t>
      </w:r>
    </w:p>
    <w:p>
      <w:pPr>
        <w:spacing w:after="0" w:line="200" w:lineRule="exact"/>
        <w:rPr>
          <w:sz w:val="20"/>
          <w:szCs w:val="20"/>
          <w:color w:val="auto"/>
        </w:rPr>
      </w:pPr>
    </w:p>
    <w:p>
      <w:pPr>
        <w:spacing w:after="0" w:line="23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31 October 2014</w:t>
      </w:r>
    </w:p>
    <w:p>
      <w:pPr>
        <w:spacing w:after="0" w:line="200" w:lineRule="exact"/>
        <w:rPr>
          <w:sz w:val="20"/>
          <w:szCs w:val="20"/>
          <w:color w:val="auto"/>
        </w:rPr>
      </w:pPr>
    </w:p>
    <w:p>
      <w:pPr>
        <w:spacing w:after="0" w:line="233"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between</w:t>
      </w:r>
    </w:p>
    <w:p>
      <w:pPr>
        <w:spacing w:after="0" w:line="200" w:lineRule="exact"/>
        <w:rPr>
          <w:sz w:val="20"/>
          <w:szCs w:val="20"/>
          <w:color w:val="auto"/>
        </w:rPr>
      </w:pPr>
    </w:p>
    <w:p>
      <w:pPr>
        <w:spacing w:after="0" w:line="233"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LONZA SALES AG</w:t>
      </w:r>
    </w:p>
    <w:p>
      <w:pPr>
        <w:spacing w:after="0" w:line="200" w:lineRule="exact"/>
        <w:rPr>
          <w:sz w:val="20"/>
          <w:szCs w:val="20"/>
          <w:color w:val="auto"/>
        </w:rPr>
      </w:pPr>
    </w:p>
    <w:p>
      <w:pPr>
        <w:spacing w:after="0" w:line="233"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and</w:t>
      </w:r>
    </w:p>
    <w:p>
      <w:pPr>
        <w:spacing w:after="0" w:line="200" w:lineRule="exact"/>
        <w:rPr>
          <w:sz w:val="20"/>
          <w:szCs w:val="20"/>
          <w:color w:val="auto"/>
        </w:rPr>
      </w:pPr>
    </w:p>
    <w:p>
      <w:pPr>
        <w:spacing w:after="0" w:line="233"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NGM BIOPHARMACEUTICALS, INC.</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460" w:right="159" w:hanging="481"/>
        <w:spacing w:after="0" w:line="359" w:lineRule="auto"/>
        <w:tabs>
          <w:tab w:leader="none" w:pos="1232" w:val="left"/>
        </w:tabs>
        <w:numPr>
          <w:ilvl w:val="0"/>
          <w:numId w:val="403"/>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839"/>
          </w:cols>
          <w:pgMar w:left="620" w:top="454" w:right="1440" w:bottom="1440" w:gutter="0" w:footer="0" w:header="0"/>
          <w:type w:val="continuous"/>
        </w:sectPr>
      </w:pPr>
    </w:p>
    <w:bookmarkStart w:id="442" w:name="page443"/>
    <w:bookmarkEnd w:id="442"/>
    <w:p>
      <w:pPr>
        <w:ind w:left="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5">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85" w:lineRule="exact"/>
        <w:rPr>
          <w:sz w:val="20"/>
          <w:szCs w:val="20"/>
          <w:color w:val="auto"/>
        </w:rPr>
      </w:pPr>
    </w:p>
    <w:p>
      <w:pPr>
        <w:ind w:left="9"/>
        <w:spacing w:after="0"/>
        <w:rPr>
          <w:sz w:val="20"/>
          <w:szCs w:val="20"/>
          <w:color w:val="auto"/>
        </w:rPr>
      </w:pPr>
      <w:r>
        <w:rPr>
          <w:rFonts w:ascii="Arial" w:cs="Arial" w:eastAsia="Arial" w:hAnsi="Arial"/>
          <w:sz w:val="17"/>
          <w:szCs w:val="17"/>
          <w:color w:val="auto"/>
        </w:rPr>
        <w:t>THIS AMENDMENT No. 5 is made effective on the 16</w:t>
      </w:r>
      <w:r>
        <w:rPr>
          <w:rFonts w:ascii="Arial" w:cs="Arial" w:eastAsia="Arial" w:hAnsi="Arial"/>
          <w:sz w:val="14"/>
          <w:szCs w:val="14"/>
          <w:color w:val="auto"/>
        </w:rPr>
        <w:t>th</w:t>
      </w:r>
      <w:r>
        <w:rPr>
          <w:rFonts w:ascii="Arial" w:cs="Arial" w:eastAsia="Arial" w:hAnsi="Arial"/>
          <w:sz w:val="17"/>
          <w:szCs w:val="17"/>
          <w:color w:val="auto"/>
        </w:rPr>
        <w:t xml:space="preserve"> day of March, 2018</w:t>
      </w:r>
    </w:p>
    <w:p>
      <w:pPr>
        <w:spacing w:after="0" w:line="224" w:lineRule="exact"/>
        <w:rPr>
          <w:sz w:val="20"/>
          <w:szCs w:val="20"/>
          <w:color w:val="auto"/>
        </w:rPr>
      </w:pPr>
    </w:p>
    <w:p>
      <w:pPr>
        <w:ind w:left="9"/>
        <w:spacing w:after="0"/>
        <w:rPr>
          <w:sz w:val="20"/>
          <w:szCs w:val="20"/>
          <w:color w:val="auto"/>
        </w:rPr>
      </w:pPr>
      <w:r>
        <w:rPr>
          <w:rFonts w:ascii="Arial" w:cs="Arial" w:eastAsia="Arial" w:hAnsi="Arial"/>
          <w:sz w:val="17"/>
          <w:szCs w:val="17"/>
          <w:color w:val="auto"/>
        </w:rPr>
        <w:t>Between</w:t>
      </w:r>
    </w:p>
    <w:p>
      <w:pPr>
        <w:spacing w:after="0" w:line="218" w:lineRule="exact"/>
        <w:rPr>
          <w:sz w:val="20"/>
          <w:szCs w:val="20"/>
          <w:color w:val="auto"/>
        </w:rPr>
      </w:pPr>
    </w:p>
    <w:p>
      <w:pPr>
        <w:ind w:left="9"/>
        <w:spacing w:after="0" w:line="296" w:lineRule="auto"/>
        <w:rPr>
          <w:sz w:val="20"/>
          <w:szCs w:val="20"/>
          <w:color w:val="auto"/>
        </w:rPr>
      </w:pPr>
      <w:r>
        <w:rPr>
          <w:rFonts w:ascii="Arial" w:cs="Arial" w:eastAsia="Arial" w:hAnsi="Arial"/>
          <w:sz w:val="17"/>
          <w:szCs w:val="17"/>
          <w:b w:val="1"/>
          <w:bCs w:val="1"/>
          <w:color w:val="auto"/>
        </w:rPr>
        <w:t xml:space="preserve">LONZA SALES AG </w:t>
      </w:r>
      <w:r>
        <w:rPr>
          <w:rFonts w:ascii="Arial" w:cs="Arial" w:eastAsia="Arial" w:hAnsi="Arial"/>
          <w:sz w:val="17"/>
          <w:szCs w:val="17"/>
          <w:color w:val="auto"/>
        </w:rPr>
        <w:t>incorporated and registered in Switzerland whose registered office is at Muenchensteinerstrasse 38, CH-4002, Basel, Switzerland</w:t>
      </w:r>
      <w:r>
        <w:rPr>
          <w:rFonts w:ascii="Arial" w:cs="Arial" w:eastAsia="Arial" w:hAnsi="Arial"/>
          <w:sz w:val="17"/>
          <w:szCs w:val="17"/>
          <w:b w:val="1"/>
          <w:bCs w:val="1"/>
          <w:color w:val="auto"/>
        </w:rPr>
        <w:t xml:space="preserve"> </w:t>
      </w:r>
      <w:r>
        <w:rPr>
          <w:rFonts w:ascii="Arial" w:cs="Arial" w:eastAsia="Arial" w:hAnsi="Arial"/>
          <w:sz w:val="17"/>
          <w:szCs w:val="17"/>
          <w:color w:val="auto"/>
        </w:rPr>
        <w:t>(hereinafter referred to as “Lonza”), and</w:t>
      </w:r>
    </w:p>
    <w:p>
      <w:pPr>
        <w:spacing w:after="0" w:line="146"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 xml:space="preserve">NGM BIOPHARMACEUTICALS, INC., </w:t>
      </w:r>
      <w:r>
        <w:rPr>
          <w:rFonts w:ascii="Arial" w:cs="Arial" w:eastAsia="Arial" w:hAnsi="Arial"/>
          <w:sz w:val="16"/>
          <w:szCs w:val="16"/>
          <w:color w:val="auto"/>
        </w:rPr>
        <w:t>of 333 Oyster Point Blvd., South San Francisco, CA 94080, USA, (hereinafter referred to as “Licensee”)</w:t>
      </w:r>
    </w:p>
    <w:p>
      <w:pPr>
        <w:spacing w:after="0" w:line="241" w:lineRule="exact"/>
        <w:rPr>
          <w:sz w:val="20"/>
          <w:szCs w:val="20"/>
          <w:color w:val="auto"/>
        </w:rPr>
      </w:pPr>
    </w:p>
    <w:p>
      <w:pPr>
        <w:ind w:left="9"/>
        <w:spacing w:after="0"/>
        <w:rPr>
          <w:sz w:val="20"/>
          <w:szCs w:val="20"/>
          <w:color w:val="auto"/>
        </w:rPr>
      </w:pPr>
      <w:r>
        <w:rPr>
          <w:rFonts w:ascii="Arial" w:cs="Arial" w:eastAsia="Arial" w:hAnsi="Arial"/>
          <w:sz w:val="17"/>
          <w:szCs w:val="17"/>
          <w:color w:val="auto"/>
        </w:rPr>
        <w:t>WHEREAS</w:t>
      </w:r>
    </w:p>
    <w:p>
      <w:pPr>
        <w:spacing w:after="0" w:line="250" w:lineRule="exact"/>
        <w:rPr>
          <w:sz w:val="20"/>
          <w:szCs w:val="20"/>
          <w:color w:val="auto"/>
        </w:rPr>
      </w:pPr>
    </w:p>
    <w:p>
      <w:pPr>
        <w:ind w:left="829" w:right="60" w:hanging="410"/>
        <w:spacing w:after="0" w:line="289" w:lineRule="auto"/>
        <w:tabs>
          <w:tab w:leader="none" w:pos="829" w:val="left"/>
        </w:tabs>
        <w:numPr>
          <w:ilvl w:val="0"/>
          <w:numId w:val="404"/>
        </w:numPr>
        <w:rPr>
          <w:rFonts w:ascii="Arial" w:cs="Arial" w:eastAsia="Arial" w:hAnsi="Arial"/>
          <w:sz w:val="17"/>
          <w:szCs w:val="17"/>
          <w:color w:val="auto"/>
        </w:rPr>
      </w:pPr>
      <w:r>
        <w:rPr>
          <w:rFonts w:ascii="Arial" w:cs="Arial" w:eastAsia="Arial" w:hAnsi="Arial"/>
          <w:sz w:val="17"/>
          <w:szCs w:val="17"/>
          <w:color w:val="auto"/>
        </w:rPr>
        <w:t>Lonza and the Licensee entered into a Multi-Product Licence Agreement dated 31 October 2014, pursuant to which Lonza licensed certain Intellectual Property Rights (as therein defined) to the Licensee (“Agreement”);</w:t>
      </w:r>
    </w:p>
    <w:p>
      <w:pPr>
        <w:spacing w:after="0" w:line="183" w:lineRule="exact"/>
        <w:rPr>
          <w:rFonts w:ascii="Arial" w:cs="Arial" w:eastAsia="Arial" w:hAnsi="Arial"/>
          <w:sz w:val="17"/>
          <w:szCs w:val="17"/>
          <w:color w:val="auto"/>
        </w:rPr>
      </w:pPr>
    </w:p>
    <w:p>
      <w:pPr>
        <w:ind w:left="829" w:hanging="410"/>
        <w:spacing w:after="0"/>
        <w:tabs>
          <w:tab w:leader="none" w:pos="829" w:val="left"/>
        </w:tabs>
        <w:numPr>
          <w:ilvl w:val="0"/>
          <w:numId w:val="404"/>
        </w:numPr>
        <w:rPr>
          <w:rFonts w:ascii="Arial" w:cs="Arial" w:eastAsia="Arial" w:hAnsi="Arial"/>
          <w:sz w:val="17"/>
          <w:szCs w:val="17"/>
          <w:color w:val="auto"/>
        </w:rPr>
      </w:pPr>
      <w:r>
        <w:rPr>
          <w:rFonts w:ascii="Arial" w:cs="Arial" w:eastAsia="Arial" w:hAnsi="Arial"/>
          <w:sz w:val="17"/>
          <w:szCs w:val="17"/>
          <w:color w:val="auto"/>
        </w:rPr>
        <w:t>The parties now wish to further amend the terms of the Agreement</w:t>
      </w:r>
    </w:p>
    <w:p>
      <w:pPr>
        <w:spacing w:after="0" w:line="224" w:lineRule="exact"/>
        <w:rPr>
          <w:sz w:val="20"/>
          <w:szCs w:val="20"/>
          <w:color w:val="auto"/>
        </w:rPr>
      </w:pPr>
    </w:p>
    <w:p>
      <w:pPr>
        <w:ind w:left="9"/>
        <w:spacing w:after="0"/>
        <w:rPr>
          <w:sz w:val="20"/>
          <w:szCs w:val="20"/>
          <w:color w:val="auto"/>
        </w:rPr>
      </w:pPr>
      <w:r>
        <w:rPr>
          <w:rFonts w:ascii="Arial" w:cs="Arial" w:eastAsia="Arial" w:hAnsi="Arial"/>
          <w:sz w:val="17"/>
          <w:szCs w:val="17"/>
          <w:color w:val="auto"/>
        </w:rPr>
        <w:t>NOW THEREFORE IT IS HEREBY AGREED to amend the Agreement as follows:</w:t>
      </w:r>
    </w:p>
    <w:p>
      <w:pPr>
        <w:spacing w:after="0" w:line="250" w:lineRule="exact"/>
        <w:rPr>
          <w:sz w:val="20"/>
          <w:szCs w:val="20"/>
          <w:color w:val="auto"/>
        </w:rPr>
      </w:pPr>
    </w:p>
    <w:p>
      <w:pPr>
        <w:ind w:left="429" w:hanging="429"/>
        <w:spacing w:after="0"/>
        <w:tabs>
          <w:tab w:leader="none" w:pos="429" w:val="left"/>
        </w:tabs>
        <w:numPr>
          <w:ilvl w:val="0"/>
          <w:numId w:val="405"/>
        </w:numPr>
        <w:rPr>
          <w:rFonts w:ascii="Arial" w:cs="Arial" w:eastAsia="Arial" w:hAnsi="Arial"/>
          <w:sz w:val="17"/>
          <w:szCs w:val="17"/>
          <w:color w:val="auto"/>
        </w:rPr>
      </w:pPr>
      <w:r>
        <w:rPr>
          <w:rFonts w:ascii="Arial" w:cs="Arial" w:eastAsia="Arial" w:hAnsi="Arial"/>
          <w:sz w:val="17"/>
          <w:szCs w:val="17"/>
          <w:color w:val="auto"/>
        </w:rPr>
        <w:t>The words and phrases defined in the Agreement shall have the same meanings in this Amendment:</w:t>
      </w:r>
    </w:p>
    <w:p>
      <w:pPr>
        <w:spacing w:after="0" w:line="249" w:lineRule="exact"/>
        <w:rPr>
          <w:rFonts w:ascii="Arial" w:cs="Arial" w:eastAsia="Arial" w:hAnsi="Arial"/>
          <w:sz w:val="17"/>
          <w:szCs w:val="17"/>
          <w:color w:val="auto"/>
        </w:rPr>
      </w:pPr>
    </w:p>
    <w:p>
      <w:pPr>
        <w:ind w:left="429" w:hanging="429"/>
        <w:spacing w:after="0"/>
        <w:tabs>
          <w:tab w:leader="none" w:pos="429" w:val="left"/>
        </w:tabs>
        <w:numPr>
          <w:ilvl w:val="0"/>
          <w:numId w:val="405"/>
        </w:numPr>
        <w:rPr>
          <w:rFonts w:ascii="Arial" w:cs="Arial" w:eastAsia="Arial" w:hAnsi="Arial"/>
          <w:sz w:val="17"/>
          <w:szCs w:val="17"/>
          <w:color w:val="auto"/>
        </w:rPr>
      </w:pPr>
      <w:r>
        <w:rPr>
          <w:rFonts w:ascii="Arial" w:cs="Arial" w:eastAsia="Arial" w:hAnsi="Arial"/>
          <w:sz w:val="17"/>
          <w:szCs w:val="17"/>
          <w:color w:val="auto"/>
        </w:rPr>
        <w:t>Clause 4.3.6 of the Agreement shall be deleted in its entirety and replaced with the following:</w:t>
      </w:r>
    </w:p>
    <w:p>
      <w:pPr>
        <w:spacing w:after="0" w:line="249" w:lineRule="exact"/>
        <w:rPr>
          <w:rFonts w:ascii="Arial" w:cs="Arial" w:eastAsia="Arial" w:hAnsi="Arial"/>
          <w:sz w:val="17"/>
          <w:szCs w:val="17"/>
          <w:color w:val="auto"/>
        </w:rPr>
      </w:pPr>
    </w:p>
    <w:p>
      <w:pPr>
        <w:ind w:left="829" w:right="40" w:hanging="410"/>
        <w:spacing w:after="0" w:line="289" w:lineRule="auto"/>
        <w:tabs>
          <w:tab w:leader="none" w:pos="829" w:val="left"/>
        </w:tabs>
        <w:numPr>
          <w:ilvl w:val="1"/>
          <w:numId w:val="405"/>
        </w:numPr>
        <w:rPr>
          <w:rFonts w:ascii="Arial" w:cs="Arial" w:eastAsia="Arial" w:hAnsi="Arial"/>
          <w:sz w:val="17"/>
          <w:szCs w:val="17"/>
          <w:color w:val="auto"/>
        </w:rPr>
      </w:pPr>
      <w:r>
        <w:rPr>
          <w:rFonts w:ascii="Arial" w:cs="Arial" w:eastAsia="Arial" w:hAnsi="Arial"/>
          <w:sz w:val="17"/>
          <w:szCs w:val="17"/>
          <w:color w:val="auto"/>
        </w:rPr>
        <w:t>Lonza hereby consents to the grant of a sublicence by Licensee to its Affiliate NGM Biopharmaceuticals Australia Pty Ltd, Collins Square, Tower One, Level 16, 727 Collins St., Melbourne, Victoria 3008, Australia.</w:t>
      </w:r>
    </w:p>
    <w:p>
      <w:pPr>
        <w:spacing w:after="0" w:line="183" w:lineRule="exact"/>
        <w:rPr>
          <w:rFonts w:ascii="Arial" w:cs="Arial" w:eastAsia="Arial" w:hAnsi="Arial"/>
          <w:sz w:val="17"/>
          <w:szCs w:val="17"/>
          <w:color w:val="auto"/>
        </w:rPr>
      </w:pPr>
    </w:p>
    <w:p>
      <w:pPr>
        <w:ind w:left="829" w:hanging="410"/>
        <w:spacing w:after="0"/>
        <w:tabs>
          <w:tab w:leader="none" w:pos="829" w:val="left"/>
        </w:tabs>
        <w:numPr>
          <w:ilvl w:val="1"/>
          <w:numId w:val="405"/>
        </w:numPr>
        <w:rPr>
          <w:rFonts w:ascii="Arial" w:cs="Arial" w:eastAsia="Arial" w:hAnsi="Arial"/>
          <w:sz w:val="17"/>
          <w:szCs w:val="17"/>
          <w:color w:val="auto"/>
        </w:rPr>
      </w:pPr>
      <w:r>
        <w:rPr>
          <w:rFonts w:ascii="Arial" w:cs="Arial" w:eastAsia="Arial" w:hAnsi="Arial"/>
          <w:sz w:val="17"/>
          <w:szCs w:val="17"/>
          <w:color w:val="auto"/>
        </w:rPr>
        <w:t>Lonza hereby consents to the grant of a sublicence [*] for the purpose of:</w:t>
      </w:r>
    </w:p>
    <w:p>
      <w:pPr>
        <w:spacing w:after="0" w:line="249" w:lineRule="exact"/>
        <w:rPr>
          <w:rFonts w:ascii="Arial" w:cs="Arial" w:eastAsia="Arial" w:hAnsi="Arial"/>
          <w:sz w:val="17"/>
          <w:szCs w:val="17"/>
          <w:color w:val="auto"/>
        </w:rPr>
      </w:pPr>
    </w:p>
    <w:p>
      <w:pPr>
        <w:ind w:left="1369" w:hanging="517"/>
        <w:spacing w:after="0"/>
        <w:tabs>
          <w:tab w:leader="none" w:pos="1369" w:val="left"/>
        </w:tabs>
        <w:numPr>
          <w:ilvl w:val="2"/>
          <w:numId w:val="405"/>
        </w:numPr>
        <w:rPr>
          <w:rFonts w:ascii="Arial" w:cs="Arial" w:eastAsia="Arial" w:hAnsi="Arial"/>
          <w:sz w:val="17"/>
          <w:szCs w:val="17"/>
          <w:color w:val="auto"/>
        </w:rPr>
      </w:pPr>
      <w:r>
        <w:rPr>
          <w:rFonts w:ascii="Arial" w:cs="Arial" w:eastAsia="Arial" w:hAnsi="Arial"/>
          <w:sz w:val="17"/>
          <w:szCs w:val="17"/>
          <w:color w:val="auto"/>
        </w:rPr>
        <w:t>[*]; and</w:t>
      </w:r>
    </w:p>
    <w:p>
      <w:pPr>
        <w:spacing w:after="0" w:line="158" w:lineRule="exact"/>
        <w:rPr>
          <w:sz w:val="20"/>
          <w:szCs w:val="20"/>
          <w:color w:val="auto"/>
        </w:rPr>
      </w:pPr>
    </w:p>
    <w:p>
      <w:pPr>
        <w:ind w:left="1469" w:right="900" w:hanging="481"/>
        <w:spacing w:after="0" w:line="359" w:lineRule="auto"/>
        <w:tabs>
          <w:tab w:leader="none" w:pos="1241" w:val="left"/>
        </w:tabs>
        <w:numPr>
          <w:ilvl w:val="0"/>
          <w:numId w:val="406"/>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589"/>
          </w:cols>
          <w:pgMar w:left="611" w:top="455" w:right="699" w:bottom="1440" w:gutter="0" w:footer="0" w:header="0"/>
        </w:sectPr>
      </w:pPr>
    </w:p>
    <w:bookmarkStart w:id="443" w:name="page444"/>
    <w:bookmarkEnd w:id="443"/>
    <w:p>
      <w:pPr>
        <w:ind w:left="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7">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85" w:lineRule="exact"/>
        <w:rPr>
          <w:sz w:val="20"/>
          <w:szCs w:val="20"/>
          <w:color w:val="auto"/>
        </w:rPr>
      </w:pPr>
    </w:p>
    <w:p>
      <w:pPr>
        <w:ind w:left="1369" w:hanging="517"/>
        <w:spacing w:after="0"/>
        <w:tabs>
          <w:tab w:leader="none" w:pos="1369" w:val="left"/>
        </w:tabs>
        <w:numPr>
          <w:ilvl w:val="3"/>
          <w:numId w:val="407"/>
        </w:numPr>
        <w:rPr>
          <w:rFonts w:ascii="Arial" w:cs="Arial" w:eastAsia="Arial" w:hAnsi="Arial"/>
          <w:sz w:val="17"/>
          <w:szCs w:val="17"/>
          <w:color w:val="auto"/>
        </w:rPr>
      </w:pPr>
      <w:r>
        <w:rPr>
          <w:rFonts w:ascii="Arial" w:cs="Arial" w:eastAsia="Arial" w:hAnsi="Arial"/>
          <w:sz w:val="17"/>
          <w:szCs w:val="17"/>
          <w:color w:val="auto"/>
        </w:rPr>
        <w:t>[*].</w:t>
      </w:r>
    </w:p>
    <w:p>
      <w:pPr>
        <w:spacing w:after="0" w:line="249" w:lineRule="exact"/>
        <w:rPr>
          <w:rFonts w:ascii="Arial" w:cs="Arial" w:eastAsia="Arial" w:hAnsi="Arial"/>
          <w:sz w:val="17"/>
          <w:szCs w:val="17"/>
          <w:color w:val="auto"/>
        </w:rPr>
      </w:pPr>
    </w:p>
    <w:p>
      <w:pPr>
        <w:ind w:left="829" w:hanging="410"/>
        <w:spacing w:after="0" w:line="281" w:lineRule="auto"/>
        <w:tabs>
          <w:tab w:leader="none" w:pos="829" w:val="left"/>
        </w:tabs>
        <w:numPr>
          <w:ilvl w:val="1"/>
          <w:numId w:val="408"/>
        </w:numPr>
        <w:rPr>
          <w:rFonts w:ascii="Arial" w:cs="Arial" w:eastAsia="Arial" w:hAnsi="Arial"/>
          <w:sz w:val="16"/>
          <w:szCs w:val="16"/>
          <w:color w:val="auto"/>
        </w:rPr>
      </w:pPr>
      <w:r>
        <w:rPr>
          <w:rFonts w:ascii="Arial" w:cs="Arial" w:eastAsia="Arial" w:hAnsi="Arial"/>
          <w:sz w:val="16"/>
          <w:szCs w:val="16"/>
          <w:color w:val="auto"/>
        </w:rPr>
        <w:t>Lonza hereby consents to the grant of a sublicence by Licensee to its Strategic Partner Merck Sharp &amp; Dohme Corp (“Merck”) of One Merck Drive, Whitehouse Station, NJ 08889, USA to undertake Commercial Activities consisting of continued research and development of</w:t>
      </w:r>
    </w:p>
    <w:p>
      <w:pPr>
        <w:ind w:left="1089" w:hanging="251"/>
        <w:spacing w:after="0"/>
        <w:tabs>
          <w:tab w:leader="none" w:pos="1089" w:val="left"/>
        </w:tabs>
        <w:numPr>
          <w:ilvl w:val="2"/>
          <w:numId w:val="408"/>
        </w:numPr>
        <w:rPr>
          <w:rFonts w:ascii="Arial" w:cs="Arial" w:eastAsia="Arial" w:hAnsi="Arial"/>
          <w:sz w:val="17"/>
          <w:szCs w:val="17"/>
          <w:color w:val="auto"/>
        </w:rPr>
      </w:pPr>
      <w:r>
        <w:rPr>
          <w:rFonts w:ascii="Arial" w:cs="Arial" w:eastAsia="Arial" w:hAnsi="Arial"/>
          <w:sz w:val="17"/>
          <w:szCs w:val="17"/>
          <w:color w:val="auto"/>
        </w:rPr>
        <w:t>including [*], as well as [*].</w:t>
      </w:r>
    </w:p>
    <w:p>
      <w:pPr>
        <w:spacing w:after="0" w:line="237" w:lineRule="exact"/>
        <w:rPr>
          <w:rFonts w:ascii="Arial" w:cs="Arial" w:eastAsia="Arial" w:hAnsi="Arial"/>
          <w:sz w:val="17"/>
          <w:szCs w:val="17"/>
          <w:color w:val="auto"/>
        </w:rPr>
      </w:pPr>
    </w:p>
    <w:p>
      <w:pPr>
        <w:ind w:left="429" w:hanging="429"/>
        <w:spacing w:after="0"/>
        <w:tabs>
          <w:tab w:leader="none" w:pos="429" w:val="left"/>
        </w:tabs>
        <w:numPr>
          <w:ilvl w:val="0"/>
          <w:numId w:val="409"/>
        </w:numPr>
        <w:rPr>
          <w:rFonts w:ascii="Arial" w:cs="Arial" w:eastAsia="Arial" w:hAnsi="Arial"/>
          <w:sz w:val="17"/>
          <w:szCs w:val="17"/>
          <w:color w:val="auto"/>
        </w:rPr>
      </w:pPr>
      <w:r>
        <w:rPr>
          <w:rFonts w:ascii="Arial" w:cs="Arial" w:eastAsia="Arial" w:hAnsi="Arial"/>
          <w:sz w:val="17"/>
          <w:szCs w:val="17"/>
          <w:color w:val="auto"/>
        </w:rPr>
        <w:t>Clause 5.3.2 of the Agreement shall be deleted in its entirety and replaced with the following:</w:t>
      </w:r>
    </w:p>
    <w:p>
      <w:pPr>
        <w:spacing w:after="0" w:line="249" w:lineRule="exact"/>
        <w:rPr>
          <w:rFonts w:ascii="Arial" w:cs="Arial" w:eastAsia="Arial" w:hAnsi="Arial"/>
          <w:sz w:val="17"/>
          <w:szCs w:val="17"/>
          <w:color w:val="auto"/>
        </w:rPr>
      </w:pPr>
    </w:p>
    <w:p>
      <w:pPr>
        <w:ind w:left="1049" w:right="80" w:hanging="629"/>
        <w:spacing w:after="0" w:line="289" w:lineRule="auto"/>
        <w:rPr>
          <w:rFonts w:ascii="Arial" w:cs="Arial" w:eastAsia="Arial" w:hAnsi="Arial"/>
          <w:sz w:val="17"/>
          <w:szCs w:val="17"/>
          <w:color w:val="auto"/>
        </w:rPr>
      </w:pPr>
      <w:r>
        <w:rPr>
          <w:rFonts w:ascii="Arial" w:cs="Arial" w:eastAsia="Arial" w:hAnsi="Arial"/>
          <w:sz w:val="17"/>
          <w:szCs w:val="17"/>
          <w:color w:val="auto"/>
        </w:rPr>
        <w:t>5.3.2 Where any Product is manufactured for Commercial Activities by a party other than Lonza, Licensee, Licensee’s Affiliate, or Licensee’s Strategic Partner, then Licensee shall pay to Lonza the following annual payments:</w:t>
      </w:r>
    </w:p>
    <w:p>
      <w:pPr>
        <w:spacing w:after="0" w:line="183" w:lineRule="exact"/>
        <w:rPr>
          <w:rFonts w:ascii="Arial" w:cs="Arial" w:eastAsia="Arial" w:hAnsi="Arial"/>
          <w:sz w:val="17"/>
          <w:szCs w:val="17"/>
          <w:color w:val="auto"/>
        </w:rPr>
      </w:pPr>
    </w:p>
    <w:p>
      <w:pPr>
        <w:ind w:left="1589" w:right="320" w:hanging="528"/>
        <w:spacing w:after="0" w:line="273" w:lineRule="auto"/>
        <w:tabs>
          <w:tab w:leader="none" w:pos="1589" w:val="left"/>
        </w:tabs>
        <w:numPr>
          <w:ilvl w:val="5"/>
          <w:numId w:val="409"/>
        </w:numPr>
        <w:rPr>
          <w:rFonts w:ascii="Arial" w:cs="Arial" w:eastAsia="Arial" w:hAnsi="Arial"/>
          <w:sz w:val="17"/>
          <w:szCs w:val="17"/>
          <w:color w:val="auto"/>
        </w:rPr>
      </w:pPr>
      <w:r>
        <w:rPr>
          <w:rFonts w:ascii="Arial" w:cs="Arial" w:eastAsia="Arial" w:hAnsi="Arial"/>
          <w:sz w:val="17"/>
          <w:szCs w:val="17"/>
          <w:color w:val="auto"/>
        </w:rPr>
        <w:t>an annual fee of [*] in respect of [*] as set out in Appendix 5, such fee being payable annually during the course of each such sublicence (irrespective as to the years of manufacture) and being first payable on the commencement date of the relevant sublicence. For the avoidance of doubt:</w:t>
      </w:r>
    </w:p>
    <w:p>
      <w:pPr>
        <w:spacing w:after="0" w:line="197" w:lineRule="exact"/>
        <w:rPr>
          <w:rFonts w:ascii="Arial" w:cs="Arial" w:eastAsia="Arial" w:hAnsi="Arial"/>
          <w:sz w:val="17"/>
          <w:szCs w:val="17"/>
          <w:color w:val="auto"/>
        </w:rPr>
      </w:pPr>
    </w:p>
    <w:p>
      <w:pPr>
        <w:ind w:left="2009" w:right="80" w:hanging="411"/>
        <w:spacing w:after="0" w:line="273" w:lineRule="auto"/>
        <w:tabs>
          <w:tab w:leader="none" w:pos="2009" w:val="left"/>
        </w:tabs>
        <w:numPr>
          <w:ilvl w:val="6"/>
          <w:numId w:val="409"/>
        </w:numPr>
        <w:rPr>
          <w:rFonts w:ascii="Arial" w:cs="Arial" w:eastAsia="Arial" w:hAnsi="Arial"/>
          <w:sz w:val="17"/>
          <w:szCs w:val="17"/>
          <w:color w:val="auto"/>
        </w:rPr>
      </w:pPr>
      <w:r>
        <w:rPr>
          <w:rFonts w:ascii="Arial" w:cs="Arial" w:eastAsia="Arial" w:hAnsi="Arial"/>
          <w:sz w:val="17"/>
          <w:szCs w:val="17"/>
          <w:color w:val="auto"/>
        </w:rPr>
        <w:t>in relation to the activities set out [*], in respect of each of Products [*], as set out in Appendix 5, be first payable upon [*] of the relevant Product, and in relation to the activities set out in [*] in respect to each of Products [*], as set out in Appendix 5, to be first payable at the time when [*].</w:t>
      </w:r>
    </w:p>
    <w:p>
      <w:pPr>
        <w:spacing w:after="0" w:line="197" w:lineRule="exact"/>
        <w:rPr>
          <w:rFonts w:ascii="Arial" w:cs="Arial" w:eastAsia="Arial" w:hAnsi="Arial"/>
          <w:sz w:val="17"/>
          <w:szCs w:val="17"/>
          <w:color w:val="auto"/>
        </w:rPr>
      </w:pPr>
    </w:p>
    <w:p>
      <w:pPr>
        <w:ind w:left="1589" w:hanging="528"/>
        <w:spacing w:after="0"/>
        <w:tabs>
          <w:tab w:leader="none" w:pos="1589" w:val="left"/>
        </w:tabs>
        <w:numPr>
          <w:ilvl w:val="5"/>
          <w:numId w:val="409"/>
        </w:numPr>
        <w:rPr>
          <w:rFonts w:ascii="Arial" w:cs="Arial" w:eastAsia="Arial" w:hAnsi="Arial"/>
          <w:sz w:val="17"/>
          <w:szCs w:val="17"/>
          <w:color w:val="auto"/>
        </w:rPr>
      </w:pPr>
      <w:r>
        <w:rPr>
          <w:rFonts w:ascii="Arial" w:cs="Arial" w:eastAsia="Arial" w:hAnsi="Arial"/>
          <w:sz w:val="17"/>
          <w:szCs w:val="17"/>
          <w:color w:val="auto"/>
        </w:rPr>
        <w:t>in respect of [*], as set out in Appendix 5, shall trigger the following annual payments:</w:t>
      </w:r>
    </w:p>
    <w:p>
      <w:pPr>
        <w:spacing w:after="0" w:line="249" w:lineRule="exact"/>
        <w:rPr>
          <w:rFonts w:ascii="Arial" w:cs="Arial" w:eastAsia="Arial" w:hAnsi="Arial"/>
          <w:sz w:val="17"/>
          <w:szCs w:val="17"/>
          <w:color w:val="auto"/>
        </w:rPr>
      </w:pPr>
    </w:p>
    <w:p>
      <w:pPr>
        <w:ind w:left="2009" w:hanging="411"/>
        <w:spacing w:after="0"/>
        <w:tabs>
          <w:tab w:leader="none" w:pos="2009" w:val="left"/>
        </w:tabs>
        <w:numPr>
          <w:ilvl w:val="6"/>
          <w:numId w:val="409"/>
        </w:numPr>
        <w:rPr>
          <w:rFonts w:ascii="Arial" w:cs="Arial" w:eastAsia="Arial" w:hAnsi="Arial"/>
          <w:sz w:val="17"/>
          <w:szCs w:val="17"/>
          <w:color w:val="auto"/>
        </w:rPr>
      </w:pPr>
      <w:r>
        <w:rPr>
          <w:rFonts w:ascii="Arial" w:cs="Arial" w:eastAsia="Arial" w:hAnsi="Arial"/>
          <w:sz w:val="17"/>
          <w:szCs w:val="17"/>
          <w:color w:val="auto"/>
        </w:rPr>
        <w:t>[*] in respect of each Product from the initiation of the sublicense for such Product then [*] thereafter;</w:t>
      </w:r>
    </w:p>
    <w:p>
      <w:pPr>
        <w:spacing w:after="0" w:line="249" w:lineRule="exact"/>
        <w:rPr>
          <w:rFonts w:ascii="Arial" w:cs="Arial" w:eastAsia="Arial" w:hAnsi="Arial"/>
          <w:sz w:val="17"/>
          <w:szCs w:val="17"/>
          <w:color w:val="auto"/>
        </w:rPr>
      </w:pPr>
    </w:p>
    <w:p>
      <w:pPr>
        <w:ind w:left="2009" w:hanging="411"/>
        <w:spacing w:after="0"/>
        <w:tabs>
          <w:tab w:leader="none" w:pos="2009" w:val="left"/>
        </w:tabs>
        <w:numPr>
          <w:ilvl w:val="6"/>
          <w:numId w:val="409"/>
        </w:numPr>
        <w:rPr>
          <w:rFonts w:ascii="Arial" w:cs="Arial" w:eastAsia="Arial" w:hAnsi="Arial"/>
          <w:sz w:val="17"/>
          <w:szCs w:val="17"/>
          <w:color w:val="auto"/>
        </w:rPr>
      </w:pPr>
      <w:r>
        <w:rPr>
          <w:rFonts w:ascii="Arial" w:cs="Arial" w:eastAsia="Arial" w:hAnsi="Arial"/>
          <w:sz w:val="17"/>
          <w:szCs w:val="17"/>
          <w:color w:val="auto"/>
        </w:rPr>
        <w:t>a fee of [*] in respect of each Product, being payable within [*] days of [*] for such Product;</w:t>
      </w:r>
    </w:p>
    <w:p>
      <w:pPr>
        <w:spacing w:after="0" w:line="158" w:lineRule="exact"/>
        <w:rPr>
          <w:rFonts w:ascii="Arial" w:cs="Arial" w:eastAsia="Arial" w:hAnsi="Arial"/>
          <w:sz w:val="17"/>
          <w:szCs w:val="17"/>
          <w:color w:val="auto"/>
        </w:rPr>
      </w:pPr>
    </w:p>
    <w:p>
      <w:pPr>
        <w:ind w:left="1229" w:hanging="241"/>
        <w:spacing w:after="0"/>
        <w:tabs>
          <w:tab w:leader="none" w:pos="1229" w:val="left"/>
        </w:tabs>
        <w:numPr>
          <w:ilvl w:val="4"/>
          <w:numId w:val="409"/>
        </w:numPr>
        <w:rPr>
          <w:rFonts w:ascii="Arial" w:cs="Arial" w:eastAsia="Arial" w:hAnsi="Arial"/>
          <w:sz w:val="17"/>
          <w:szCs w:val="17"/>
          <w:color w:val="auto"/>
        </w:rPr>
      </w:pPr>
      <w:r>
        <w:rPr>
          <w:rFonts w:ascii="Arial" w:cs="Arial" w:eastAsia="Arial" w:hAnsi="Arial"/>
          <w:sz w:val="17"/>
          <w:szCs w:val="17"/>
          <w:color w:val="auto"/>
        </w:rPr>
        <w:t>= Certain confidential information contained in this document, marked by brackets, has been omitted and filed separately</w:t>
      </w:r>
    </w:p>
    <w:p>
      <w:pPr>
        <w:spacing w:after="0" w:line="26" w:lineRule="exact"/>
        <w:rPr>
          <w:sz w:val="20"/>
          <w:szCs w:val="20"/>
          <w:color w:val="auto"/>
        </w:rPr>
      </w:pPr>
    </w:p>
    <w:p>
      <w:pPr>
        <w:jc w:val="center"/>
        <w:ind w:right="-28"/>
        <w:spacing w:after="0"/>
        <w:rPr>
          <w:sz w:val="20"/>
          <w:szCs w:val="20"/>
          <w:color w:val="auto"/>
        </w:rPr>
      </w:pPr>
      <w:r>
        <w:rPr>
          <w:rFonts w:ascii="Arial" w:cs="Arial" w:eastAsia="Arial" w:hAnsi="Arial"/>
          <w:sz w:val="17"/>
          <w:szCs w:val="17"/>
          <w:color w:val="auto"/>
        </w:rPr>
        <w:t>with the Securities and Exchange Commission pursuant to Rule 406 of the Securities Act of 1933, as amended.</w:t>
      </w:r>
    </w:p>
    <w:p>
      <w:pPr>
        <w:sectPr>
          <w:pgSz w:w="11900" w:h="16838" w:orient="portrait"/>
          <w:cols w:equalWidth="0" w:num="1">
            <w:col w:w="10649"/>
          </w:cols>
          <w:pgMar w:left="611" w:top="454" w:right="639" w:bottom="1440" w:gutter="0" w:footer="0" w:header="0"/>
        </w:sectPr>
      </w:pPr>
    </w:p>
    <w:bookmarkStart w:id="444" w:name="page445"/>
    <w:bookmarkEnd w:id="444"/>
    <w:p>
      <w:pPr>
        <w:ind w:left="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9">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85" w:lineRule="exact"/>
        <w:rPr>
          <w:sz w:val="20"/>
          <w:szCs w:val="20"/>
          <w:color w:val="auto"/>
        </w:rPr>
      </w:pPr>
    </w:p>
    <w:p>
      <w:pPr>
        <w:ind w:left="2009" w:hanging="411"/>
        <w:spacing w:after="0"/>
        <w:tabs>
          <w:tab w:leader="none" w:pos="2009" w:val="left"/>
        </w:tabs>
        <w:numPr>
          <w:ilvl w:val="2"/>
          <w:numId w:val="410"/>
        </w:numPr>
        <w:rPr>
          <w:rFonts w:ascii="Arial" w:cs="Arial" w:eastAsia="Arial" w:hAnsi="Arial"/>
          <w:sz w:val="17"/>
          <w:szCs w:val="17"/>
          <w:color w:val="auto"/>
        </w:rPr>
      </w:pPr>
      <w:r>
        <w:rPr>
          <w:rFonts w:ascii="Arial" w:cs="Arial" w:eastAsia="Arial" w:hAnsi="Arial"/>
          <w:sz w:val="17"/>
          <w:szCs w:val="17"/>
          <w:color w:val="auto"/>
        </w:rPr>
        <w:t>a fee of [*] in respect of each Product, being payable within [*] days of [*] for such Product; and</w:t>
      </w:r>
    </w:p>
    <w:p>
      <w:pPr>
        <w:spacing w:after="0" w:line="249" w:lineRule="exact"/>
        <w:rPr>
          <w:rFonts w:ascii="Arial" w:cs="Arial" w:eastAsia="Arial" w:hAnsi="Arial"/>
          <w:sz w:val="17"/>
          <w:szCs w:val="17"/>
          <w:color w:val="auto"/>
        </w:rPr>
      </w:pPr>
    </w:p>
    <w:p>
      <w:pPr>
        <w:ind w:left="2009" w:hanging="411"/>
        <w:spacing w:after="0"/>
        <w:tabs>
          <w:tab w:leader="none" w:pos="2009" w:val="left"/>
        </w:tabs>
        <w:numPr>
          <w:ilvl w:val="2"/>
          <w:numId w:val="410"/>
        </w:numPr>
        <w:rPr>
          <w:rFonts w:ascii="Arial" w:cs="Arial" w:eastAsia="Arial" w:hAnsi="Arial"/>
          <w:sz w:val="17"/>
          <w:szCs w:val="17"/>
          <w:color w:val="auto"/>
        </w:rPr>
      </w:pPr>
      <w:r>
        <w:rPr>
          <w:rFonts w:ascii="Arial" w:cs="Arial" w:eastAsia="Arial" w:hAnsi="Arial"/>
          <w:sz w:val="17"/>
          <w:szCs w:val="17"/>
          <w:color w:val="auto"/>
        </w:rPr>
        <w:t>a fee of [*] in respect of each Product, being payable within [*] days of [*] for such Product;</w:t>
      </w:r>
    </w:p>
    <w:p>
      <w:pPr>
        <w:spacing w:after="0" w:line="249" w:lineRule="exact"/>
        <w:rPr>
          <w:rFonts w:ascii="Arial" w:cs="Arial" w:eastAsia="Arial" w:hAnsi="Arial"/>
          <w:sz w:val="17"/>
          <w:szCs w:val="17"/>
          <w:color w:val="auto"/>
        </w:rPr>
      </w:pPr>
    </w:p>
    <w:p>
      <w:pPr>
        <w:ind w:left="1609" w:right="1360" w:hanging="548"/>
        <w:spacing w:after="0" w:line="563" w:lineRule="auto"/>
        <w:tabs>
          <w:tab w:leader="none" w:pos="1590" w:val="left"/>
        </w:tabs>
        <w:numPr>
          <w:ilvl w:val="1"/>
          <w:numId w:val="411"/>
        </w:numPr>
        <w:rPr>
          <w:rFonts w:ascii="Arial" w:cs="Arial" w:eastAsia="Arial" w:hAnsi="Arial"/>
          <w:sz w:val="16"/>
          <w:szCs w:val="16"/>
          <w:color w:val="auto"/>
        </w:rPr>
      </w:pPr>
      <w:r>
        <w:rPr>
          <w:rFonts w:ascii="Arial" w:cs="Arial" w:eastAsia="Arial" w:hAnsi="Arial"/>
          <w:sz w:val="16"/>
          <w:szCs w:val="16"/>
          <w:color w:val="auto"/>
        </w:rPr>
        <w:t>In relation to the payments set out in Clause 5.3.2 (b) above, if [*] a Product [*], [*] on a pro rata basis. For the avoidance of doubt, [*] will not apply for any Products that [*] for any reason whatsoever or [*].</w:t>
      </w:r>
    </w:p>
    <w:p>
      <w:pPr>
        <w:spacing w:after="0" w:line="1" w:lineRule="exact"/>
        <w:rPr>
          <w:rFonts w:ascii="Arial" w:cs="Arial" w:eastAsia="Arial" w:hAnsi="Arial"/>
          <w:sz w:val="16"/>
          <w:szCs w:val="16"/>
          <w:color w:val="auto"/>
        </w:rPr>
      </w:pPr>
    </w:p>
    <w:p>
      <w:pPr>
        <w:ind w:left="1589" w:hanging="528"/>
        <w:spacing w:after="0"/>
        <w:tabs>
          <w:tab w:leader="none" w:pos="1589" w:val="left"/>
        </w:tabs>
        <w:numPr>
          <w:ilvl w:val="1"/>
          <w:numId w:val="411"/>
        </w:numPr>
        <w:rPr>
          <w:rFonts w:ascii="Arial" w:cs="Arial" w:eastAsia="Arial" w:hAnsi="Arial"/>
          <w:sz w:val="15"/>
          <w:szCs w:val="15"/>
          <w:color w:val="auto"/>
        </w:rPr>
      </w:pPr>
      <w:r>
        <w:rPr>
          <w:rFonts w:ascii="Arial" w:cs="Arial" w:eastAsia="Arial" w:hAnsi="Arial"/>
          <w:sz w:val="15"/>
          <w:szCs w:val="15"/>
          <w:color w:val="auto"/>
        </w:rPr>
        <w:t>such payments are on a per-Product basis, irrespective of whether the same third party manufactures more than one Product.</w:t>
      </w:r>
    </w:p>
    <w:p>
      <w:pPr>
        <w:spacing w:after="0" w:line="272" w:lineRule="exact"/>
        <w:rPr>
          <w:rFonts w:ascii="Arial" w:cs="Arial" w:eastAsia="Arial" w:hAnsi="Arial"/>
          <w:sz w:val="15"/>
          <w:szCs w:val="15"/>
          <w:color w:val="auto"/>
        </w:rPr>
      </w:pPr>
    </w:p>
    <w:p>
      <w:pPr>
        <w:ind w:left="429" w:hanging="429"/>
        <w:spacing w:after="0"/>
        <w:tabs>
          <w:tab w:leader="none" w:pos="429" w:val="left"/>
        </w:tabs>
        <w:numPr>
          <w:ilvl w:val="0"/>
          <w:numId w:val="412"/>
        </w:numPr>
        <w:rPr>
          <w:rFonts w:ascii="Arial" w:cs="Arial" w:eastAsia="Arial" w:hAnsi="Arial"/>
          <w:sz w:val="17"/>
          <w:szCs w:val="17"/>
          <w:color w:val="auto"/>
        </w:rPr>
      </w:pPr>
      <w:r>
        <w:rPr>
          <w:rFonts w:ascii="Arial" w:cs="Arial" w:eastAsia="Arial" w:hAnsi="Arial"/>
          <w:sz w:val="17"/>
          <w:szCs w:val="17"/>
          <w:color w:val="auto"/>
        </w:rPr>
        <w:t>Appendix 5 of the Agreement is hereby deleted in its entirety and replaced by the Appendix 5 annexed hereto.</w:t>
      </w:r>
    </w:p>
    <w:p>
      <w:pPr>
        <w:spacing w:after="0" w:line="249" w:lineRule="exact"/>
        <w:rPr>
          <w:rFonts w:ascii="Arial" w:cs="Arial" w:eastAsia="Arial" w:hAnsi="Arial"/>
          <w:sz w:val="17"/>
          <w:szCs w:val="17"/>
          <w:color w:val="auto"/>
        </w:rPr>
      </w:pPr>
    </w:p>
    <w:p>
      <w:pPr>
        <w:ind w:left="429" w:hanging="429"/>
        <w:spacing w:after="0"/>
        <w:tabs>
          <w:tab w:leader="none" w:pos="429" w:val="left"/>
        </w:tabs>
        <w:numPr>
          <w:ilvl w:val="0"/>
          <w:numId w:val="412"/>
        </w:numPr>
        <w:rPr>
          <w:rFonts w:ascii="Arial" w:cs="Arial" w:eastAsia="Arial" w:hAnsi="Arial"/>
          <w:sz w:val="17"/>
          <w:szCs w:val="17"/>
          <w:color w:val="auto"/>
        </w:rPr>
      </w:pPr>
      <w:r>
        <w:rPr>
          <w:rFonts w:ascii="Arial" w:cs="Arial" w:eastAsia="Arial" w:hAnsi="Arial"/>
          <w:sz w:val="17"/>
          <w:szCs w:val="17"/>
          <w:color w:val="auto"/>
        </w:rPr>
        <w:t>Save as herein provided all other terms and conditions of the Agreement shall remain in full force and effect.</w:t>
      </w:r>
    </w:p>
    <w:p>
      <w:pPr>
        <w:spacing w:after="0" w:line="158" w:lineRule="exact"/>
        <w:rPr>
          <w:sz w:val="20"/>
          <w:szCs w:val="20"/>
          <w:color w:val="auto"/>
        </w:rPr>
      </w:pPr>
    </w:p>
    <w:p>
      <w:pPr>
        <w:ind w:left="1469" w:right="560" w:hanging="481"/>
        <w:spacing w:after="0" w:line="359" w:lineRule="auto"/>
        <w:tabs>
          <w:tab w:leader="none" w:pos="1241" w:val="left"/>
        </w:tabs>
        <w:numPr>
          <w:ilvl w:val="0"/>
          <w:numId w:val="413"/>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249"/>
          </w:cols>
          <w:pgMar w:left="611" w:top="455" w:right="1039" w:bottom="1440" w:gutter="0" w:footer="0" w:header="0"/>
        </w:sectPr>
      </w:pPr>
    </w:p>
    <w:bookmarkStart w:id="445" w:name="page446"/>
    <w:bookmarkEnd w:id="44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1">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AS WITNESS the hands of the duly authorized representatives of the parties hereto the day and year first before written.</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40" w:type="dxa"/>
            <w:vAlign w:val="bottom"/>
          </w:tcPr>
          <w:p>
            <w:pPr>
              <w:spacing w:after="0"/>
              <w:rPr>
                <w:sz w:val="20"/>
                <w:szCs w:val="20"/>
                <w:color w:val="auto"/>
              </w:rPr>
            </w:pPr>
            <w:r>
              <w:rPr>
                <w:rFonts w:ascii="Arial" w:cs="Arial" w:eastAsia="Arial" w:hAnsi="Arial"/>
                <w:sz w:val="17"/>
                <w:szCs w:val="17"/>
                <w:color w:val="auto"/>
              </w:rPr>
              <w:t>SIGNED BY:</w:t>
            </w: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Bart</w:t>
            </w:r>
          </w:p>
        </w:tc>
        <w:tc>
          <w:tcPr>
            <w:tcW w:w="2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van Aarnhem</w:t>
            </w:r>
          </w:p>
        </w:tc>
      </w:tr>
      <w:tr>
        <w:trPr>
          <w:trHeight w:val="191"/>
        </w:trPr>
        <w:tc>
          <w:tcPr>
            <w:tcW w:w="3740" w:type="dxa"/>
            <w:vAlign w:val="bottom"/>
          </w:tcPr>
          <w:p>
            <w:pPr>
              <w:spacing w:after="0" w:line="191" w:lineRule="exact"/>
              <w:rPr>
                <w:sz w:val="20"/>
                <w:szCs w:val="20"/>
                <w:color w:val="auto"/>
              </w:rPr>
            </w:pPr>
            <w:r>
              <w:rPr>
                <w:rFonts w:ascii="Arial" w:cs="Arial" w:eastAsia="Arial" w:hAnsi="Arial"/>
                <w:sz w:val="17"/>
                <w:szCs w:val="17"/>
                <w:color w:val="auto"/>
              </w:rPr>
              <w:t>For and on behalf of</w:t>
            </w:r>
          </w:p>
        </w:tc>
        <w:tc>
          <w:tcPr>
            <w:tcW w:w="124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7"/>
                <w:szCs w:val="17"/>
                <w:color w:val="auto"/>
              </w:rPr>
              <w:t>LONZA SALES AG</w:t>
            </w:r>
          </w:p>
        </w:tc>
        <w:tc>
          <w:tcPr>
            <w:tcW w:w="124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19"/>
        </w:trPr>
        <w:tc>
          <w:tcPr>
            <w:tcW w:w="3740" w:type="dxa"/>
            <w:vAlign w:val="bottom"/>
          </w:tcPr>
          <w:p>
            <w:pPr>
              <w:spacing w:after="0"/>
              <w:rPr>
                <w:sz w:val="24"/>
                <w:szCs w:val="24"/>
                <w:color w:val="auto"/>
              </w:rPr>
            </w:pPr>
          </w:p>
        </w:tc>
        <w:tc>
          <w:tcPr>
            <w:tcW w:w="396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color w:val="auto"/>
              </w:rPr>
              <w:t>Senior Legal Counsel</w:t>
            </w:r>
          </w:p>
        </w:tc>
      </w:tr>
      <w:tr>
        <w:trPr>
          <w:trHeight w:val="215"/>
        </w:trPr>
        <w:tc>
          <w:tcPr>
            <w:tcW w:w="3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720" w:type="dxa"/>
            <w:vAlign w:val="bottom"/>
          </w:tcPr>
          <w:p>
            <w:pPr>
              <w:ind w:left="2040"/>
              <w:spacing w:after="0"/>
              <w:rPr>
                <w:sz w:val="20"/>
                <w:szCs w:val="20"/>
                <w:color w:val="auto"/>
              </w:rPr>
            </w:pPr>
            <w:r>
              <w:rPr>
                <w:rFonts w:ascii="Arial" w:cs="Arial" w:eastAsia="Arial" w:hAnsi="Arial"/>
                <w:sz w:val="17"/>
                <w:szCs w:val="17"/>
                <w:color w:val="auto"/>
              </w:rPr>
              <w:t>Title</w:t>
            </w:r>
          </w:p>
        </w:tc>
      </w:tr>
      <w:tr>
        <w:trPr>
          <w:trHeight w:val="616"/>
        </w:trPr>
        <w:tc>
          <w:tcPr>
            <w:tcW w:w="3740" w:type="dxa"/>
            <w:vAlign w:val="bottom"/>
          </w:tcPr>
          <w:p>
            <w:pPr>
              <w:spacing w:after="0"/>
              <w:rPr>
                <w:sz w:val="20"/>
                <w:szCs w:val="20"/>
                <w:color w:val="auto"/>
              </w:rPr>
            </w:pPr>
            <w:r>
              <w:rPr>
                <w:rFonts w:ascii="Arial" w:cs="Arial" w:eastAsia="Arial" w:hAnsi="Arial"/>
                <w:sz w:val="17"/>
                <w:szCs w:val="17"/>
                <w:color w:val="auto"/>
              </w:rPr>
              <w:t>SIGNED BY:</w:t>
            </w: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w w:val="92"/>
              </w:rPr>
              <w:t>/s/ Raffael Beck</w:t>
            </w:r>
          </w:p>
        </w:tc>
        <w:tc>
          <w:tcPr>
            <w:tcW w:w="2720" w:type="dxa"/>
            <w:vAlign w:val="bottom"/>
            <w:tcBorders>
              <w:bottom w:val="single" w:sz="8" w:color="auto"/>
            </w:tcBorders>
          </w:tcPr>
          <w:p>
            <w:pPr>
              <w:spacing w:after="0"/>
              <w:rPr>
                <w:sz w:val="24"/>
                <w:szCs w:val="24"/>
                <w:color w:val="auto"/>
              </w:rPr>
            </w:pPr>
          </w:p>
        </w:tc>
      </w:tr>
      <w:tr>
        <w:trPr>
          <w:trHeight w:val="191"/>
        </w:trPr>
        <w:tc>
          <w:tcPr>
            <w:tcW w:w="3740" w:type="dxa"/>
            <w:vAlign w:val="bottom"/>
          </w:tcPr>
          <w:p>
            <w:pPr>
              <w:spacing w:after="0" w:line="191" w:lineRule="exact"/>
              <w:rPr>
                <w:sz w:val="20"/>
                <w:szCs w:val="20"/>
                <w:color w:val="auto"/>
              </w:rPr>
            </w:pPr>
            <w:r>
              <w:rPr>
                <w:rFonts w:ascii="Arial" w:cs="Arial" w:eastAsia="Arial" w:hAnsi="Arial"/>
                <w:sz w:val="17"/>
                <w:szCs w:val="17"/>
                <w:color w:val="auto"/>
              </w:rPr>
              <w:t>For and on behalf of</w:t>
            </w:r>
          </w:p>
        </w:tc>
        <w:tc>
          <w:tcPr>
            <w:tcW w:w="124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7"/>
                <w:szCs w:val="17"/>
                <w:color w:val="auto"/>
              </w:rPr>
              <w:t>LONZA SALES AG</w:t>
            </w:r>
          </w:p>
        </w:tc>
        <w:tc>
          <w:tcPr>
            <w:tcW w:w="124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19"/>
        </w:trPr>
        <w:tc>
          <w:tcPr>
            <w:tcW w:w="3740" w:type="dxa"/>
            <w:vAlign w:val="bottom"/>
          </w:tcPr>
          <w:p>
            <w:pPr>
              <w:spacing w:after="0"/>
              <w:rPr>
                <w:sz w:val="24"/>
                <w:szCs w:val="24"/>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Legal Counsel</w:t>
            </w:r>
          </w:p>
        </w:tc>
        <w:tc>
          <w:tcPr>
            <w:tcW w:w="2720" w:type="dxa"/>
            <w:vAlign w:val="bottom"/>
            <w:tcBorders>
              <w:bottom w:val="single" w:sz="8" w:color="auto"/>
            </w:tcBorders>
          </w:tcPr>
          <w:p>
            <w:pPr>
              <w:spacing w:after="0"/>
              <w:rPr>
                <w:sz w:val="24"/>
                <w:szCs w:val="24"/>
                <w:color w:val="auto"/>
              </w:rPr>
            </w:pPr>
          </w:p>
        </w:tc>
      </w:tr>
      <w:tr>
        <w:trPr>
          <w:trHeight w:val="215"/>
        </w:trPr>
        <w:tc>
          <w:tcPr>
            <w:tcW w:w="3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720" w:type="dxa"/>
            <w:vAlign w:val="bottom"/>
          </w:tcPr>
          <w:p>
            <w:pPr>
              <w:ind w:left="2040"/>
              <w:spacing w:after="0"/>
              <w:rPr>
                <w:sz w:val="20"/>
                <w:szCs w:val="20"/>
                <w:color w:val="auto"/>
              </w:rPr>
            </w:pPr>
            <w:r>
              <w:rPr>
                <w:rFonts w:ascii="Arial" w:cs="Arial" w:eastAsia="Arial" w:hAnsi="Arial"/>
                <w:sz w:val="17"/>
                <w:szCs w:val="17"/>
                <w:color w:val="auto"/>
              </w:rPr>
              <w:t>Title</w:t>
            </w:r>
          </w:p>
        </w:tc>
      </w:tr>
      <w:tr>
        <w:trPr>
          <w:trHeight w:val="616"/>
        </w:trPr>
        <w:tc>
          <w:tcPr>
            <w:tcW w:w="3740" w:type="dxa"/>
            <w:vAlign w:val="bottom"/>
          </w:tcPr>
          <w:p>
            <w:pPr>
              <w:spacing w:after="0"/>
              <w:rPr>
                <w:sz w:val="20"/>
                <w:szCs w:val="20"/>
                <w:color w:val="auto"/>
              </w:rPr>
            </w:pPr>
            <w:r>
              <w:rPr>
                <w:rFonts w:ascii="Arial" w:cs="Arial" w:eastAsia="Arial" w:hAnsi="Arial"/>
                <w:sz w:val="17"/>
                <w:szCs w:val="17"/>
                <w:color w:val="auto"/>
              </w:rPr>
              <w:t>SIGNED BY:</w:t>
            </w:r>
          </w:p>
        </w:tc>
        <w:tc>
          <w:tcPr>
            <w:tcW w:w="396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color w:val="auto"/>
              </w:rPr>
              <w:t>/s/ Aetna Wun Trombley</w:t>
            </w:r>
          </w:p>
        </w:tc>
      </w:tr>
      <w:tr>
        <w:trPr>
          <w:trHeight w:val="191"/>
        </w:trPr>
        <w:tc>
          <w:tcPr>
            <w:tcW w:w="3740" w:type="dxa"/>
            <w:vAlign w:val="bottom"/>
          </w:tcPr>
          <w:p>
            <w:pPr>
              <w:spacing w:after="0" w:line="191" w:lineRule="exact"/>
              <w:rPr>
                <w:sz w:val="20"/>
                <w:szCs w:val="20"/>
                <w:color w:val="auto"/>
              </w:rPr>
            </w:pPr>
            <w:r>
              <w:rPr>
                <w:rFonts w:ascii="Arial" w:cs="Arial" w:eastAsia="Arial" w:hAnsi="Arial"/>
                <w:sz w:val="17"/>
                <w:szCs w:val="17"/>
                <w:color w:val="auto"/>
              </w:rPr>
              <w:t>For and on behalf of</w:t>
            </w:r>
          </w:p>
        </w:tc>
        <w:tc>
          <w:tcPr>
            <w:tcW w:w="124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7"/>
                <w:szCs w:val="17"/>
                <w:color w:val="auto"/>
              </w:rPr>
              <w:t>NGM BIOPHARMACEUTICALS, INC.</w:t>
            </w:r>
          </w:p>
        </w:tc>
        <w:tc>
          <w:tcPr>
            <w:tcW w:w="1240" w:type="dxa"/>
            <w:vAlign w:val="bottom"/>
          </w:tcPr>
          <w:p>
            <w:pPr>
              <w:spacing w:after="0"/>
              <w:rPr>
                <w:sz w:val="19"/>
                <w:szCs w:val="19"/>
                <w:color w:val="auto"/>
              </w:rPr>
            </w:pPr>
          </w:p>
        </w:tc>
        <w:tc>
          <w:tcPr>
            <w:tcW w:w="2720" w:type="dxa"/>
            <w:vAlign w:val="bottom"/>
          </w:tcPr>
          <w:p>
            <w:pPr>
              <w:spacing w:after="0"/>
              <w:rPr>
                <w:sz w:val="19"/>
                <w:szCs w:val="19"/>
                <w:color w:val="auto"/>
              </w:rPr>
            </w:pPr>
          </w:p>
        </w:tc>
      </w:tr>
    </w:tbl>
    <w:p>
      <w:pPr>
        <w:spacing w:after="0" w:line="198"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2372360</wp:posOffset>
            </wp:positionH>
            <wp:positionV relativeFrom="paragraph">
              <wp:posOffset>16510</wp:posOffset>
            </wp:positionV>
            <wp:extent cx="251142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7"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Title</w:t>
      </w:r>
    </w:p>
    <w:p>
      <w:pPr>
        <w:spacing w:after="0" w:line="158" w:lineRule="exact"/>
        <w:rPr>
          <w:sz w:val="20"/>
          <w:szCs w:val="20"/>
          <w:color w:val="auto"/>
        </w:rPr>
      </w:pPr>
    </w:p>
    <w:p>
      <w:pPr>
        <w:ind w:left="1460" w:right="159" w:hanging="481"/>
        <w:spacing w:after="0" w:line="359" w:lineRule="auto"/>
        <w:tabs>
          <w:tab w:leader="none" w:pos="1232" w:val="left"/>
        </w:tabs>
        <w:numPr>
          <w:ilvl w:val="0"/>
          <w:numId w:val="414"/>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839"/>
          </w:cols>
          <w:pgMar w:left="620" w:top="455" w:right="1440" w:bottom="1440" w:gutter="0" w:footer="0" w:header="0"/>
        </w:sectPr>
      </w:pPr>
    </w:p>
    <w:bookmarkStart w:id="446" w:name="page447"/>
    <w:bookmarkEnd w:id="44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5992495</wp:posOffset>
            </wp:positionH>
            <wp:positionV relativeFrom="page">
              <wp:posOffset>180340</wp:posOffset>
            </wp:positionV>
            <wp:extent cx="1180465" cy="2495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4">
                      <a:clrChange>
                        <a:clrFrom>
                          <a:srgbClr val="FFFFFF"/>
                        </a:clrFrom>
                        <a:clrTo>
                          <a:srgbClr val="FFFFFF">
                            <a:alpha val="0"/>
                          </a:srgbClr>
                        </a:clrTo>
                      </a:clrChange>
                      <a:extLst>
                        <a:ext uri="{28A0092B-C50C-407E-A947-70E740481C1C}"/>
                      </a:extLst>
                    </a:blip>
                    <a:srcRect/>
                    <a:stretch>
                      <a:fillRect/>
                    </a:stretch>
                  </pic:blipFill>
                  <pic:spPr bwMode="auto">
                    <a:xfrm>
                      <a:off x="0" y="0"/>
                      <a:ext cx="1180465" cy="249555"/>
                    </a:xfrm>
                    <a:prstGeom prst="rect">
                      <a:avLst/>
                    </a:prstGeom>
                    <a:noFill/>
                  </pic:spPr>
                </pic:pic>
              </a:graphicData>
            </a:graphic>
          </wp:anchor>
        </w:drawing>
        <w:t>CONFIDENTIAL</w:t>
      </w:r>
    </w:p>
    <w:p>
      <w:pPr>
        <w:spacing w:after="0" w:line="200" w:lineRule="exact"/>
        <w:rPr>
          <w:sz w:val="20"/>
          <w:szCs w:val="20"/>
          <w:color w:val="auto"/>
        </w:rPr>
      </w:pPr>
    </w:p>
    <w:p>
      <w:pPr>
        <w:spacing w:after="0" w:line="273" w:lineRule="exact"/>
        <w:rPr>
          <w:sz w:val="20"/>
          <w:szCs w:val="20"/>
          <w:color w:val="auto"/>
        </w:rPr>
      </w:pPr>
    </w:p>
    <w:tbl>
      <w:tblPr>
        <w:tblLayout w:type="fixed"/>
        <w:tblInd w:w="1700" w:type="dxa"/>
        <w:tblCellMar>
          <w:top w:w="0" w:type="dxa"/>
          <w:left w:w="0" w:type="dxa"/>
          <w:bottom w:w="0" w:type="dxa"/>
          <w:right w:w="0" w:type="dxa"/>
        </w:tblCellMar>
      </w:tblPr>
      <w:tr>
        <w:trPr>
          <w:trHeight w:val="195"/>
        </w:trPr>
        <w:tc>
          <w:tcPr>
            <w:tcW w:w="5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Borders>
              <w:bottom w:val="single" w:sz="8" w:color="auto"/>
            </w:tcBorders>
            <w:gridSpan w:val="6"/>
          </w:tcPr>
          <w:p>
            <w:pPr>
              <w:jc w:val="center"/>
              <w:spacing w:after="0"/>
              <w:rPr>
                <w:sz w:val="20"/>
                <w:szCs w:val="20"/>
                <w:color w:val="auto"/>
              </w:rPr>
            </w:pPr>
            <w:r>
              <w:rPr>
                <w:rFonts w:ascii="Arial" w:cs="Arial" w:eastAsia="Arial" w:hAnsi="Arial"/>
                <w:sz w:val="17"/>
                <w:szCs w:val="17"/>
                <w:b w:val="1"/>
                <w:bCs w:val="1"/>
                <w:color w:val="auto"/>
              </w:rPr>
              <w:t>APPENDIX 5</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99"/>
        </w:trPr>
        <w:tc>
          <w:tcPr>
            <w:tcW w:w="5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gridSpan w:val="7"/>
          </w:tcPr>
          <w:p>
            <w:pPr>
              <w:jc w:val="center"/>
              <w:ind w:right="500"/>
              <w:spacing w:after="0"/>
              <w:rPr>
                <w:sz w:val="20"/>
                <w:szCs w:val="20"/>
                <w:color w:val="auto"/>
              </w:rPr>
            </w:pPr>
            <w:r>
              <w:rPr>
                <w:rFonts w:ascii="Arial" w:cs="Arial" w:eastAsia="Arial" w:hAnsi="Arial"/>
                <w:sz w:val="17"/>
                <w:szCs w:val="17"/>
                <w:b w:val="1"/>
                <w:bCs w:val="1"/>
                <w:color w:val="auto"/>
              </w:rPr>
              <w:t>PRODUCTS</w:t>
            </w: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99"/>
        </w:trPr>
        <w:tc>
          <w:tcPr>
            <w:tcW w:w="5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gridSpan w:val="3"/>
          </w:tcPr>
          <w:p>
            <w:pPr>
              <w:jc w:val="center"/>
              <w:ind w:right="200"/>
              <w:spacing w:after="0"/>
              <w:rPr>
                <w:sz w:val="20"/>
                <w:szCs w:val="20"/>
                <w:color w:val="auto"/>
              </w:rPr>
            </w:pPr>
            <w:r>
              <w:rPr>
                <w:rFonts w:ascii="Arial" w:cs="Arial" w:eastAsia="Arial" w:hAnsi="Arial"/>
                <w:sz w:val="17"/>
                <w:szCs w:val="17"/>
                <w:b w:val="1"/>
                <w:bCs w:val="1"/>
                <w:color w:val="auto"/>
                <w:w w:val="94"/>
              </w:rPr>
              <w:t>Table A</w:t>
            </w:r>
          </w:p>
        </w:tc>
        <w:tc>
          <w:tcPr>
            <w:tcW w:w="54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517"/>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Product</w:t>
            </w:r>
          </w:p>
        </w:tc>
        <w:tc>
          <w:tcPr>
            <w:tcW w:w="2260" w:type="dxa"/>
            <w:vAlign w:val="bottom"/>
          </w:tcPr>
          <w:p>
            <w:pPr>
              <w:spacing w:after="0"/>
              <w:rPr>
                <w:sz w:val="24"/>
                <w:szCs w:val="24"/>
                <w:color w:val="auto"/>
              </w:rPr>
            </w:pPr>
          </w:p>
        </w:tc>
        <w:tc>
          <w:tcPr>
            <w:tcW w:w="1900" w:type="dxa"/>
            <w:vAlign w:val="bottom"/>
            <w:gridSpan w:val="8"/>
          </w:tcPr>
          <w:p>
            <w:pPr>
              <w:spacing w:after="0"/>
              <w:rPr>
                <w:sz w:val="20"/>
                <w:szCs w:val="20"/>
                <w:color w:val="auto"/>
              </w:rPr>
            </w:pPr>
            <w:r>
              <w:rPr>
                <w:rFonts w:ascii="Arial" w:cs="Arial" w:eastAsia="Arial" w:hAnsi="Arial"/>
                <w:sz w:val="14"/>
                <w:szCs w:val="14"/>
                <w:b w:val="1"/>
                <w:bCs w:val="1"/>
                <w:color w:val="auto"/>
              </w:rPr>
              <w:t>Product Name</w:t>
            </w:r>
          </w:p>
        </w:tc>
        <w:tc>
          <w:tcPr>
            <w:tcW w:w="960" w:type="dxa"/>
            <w:vAlign w:val="bottom"/>
            <w:gridSpan w:val="2"/>
          </w:tcPr>
          <w:p>
            <w:pPr>
              <w:ind w:left="500"/>
              <w:spacing w:after="0"/>
              <w:rPr>
                <w:sz w:val="20"/>
                <w:szCs w:val="20"/>
                <w:color w:val="auto"/>
              </w:rPr>
            </w:pPr>
            <w:r>
              <w:rPr>
                <w:rFonts w:ascii="Arial" w:cs="Arial" w:eastAsia="Arial" w:hAnsi="Arial"/>
                <w:sz w:val="14"/>
                <w:szCs w:val="14"/>
                <w:b w:val="1"/>
                <w:bCs w:val="1"/>
                <w:color w:val="auto"/>
              </w:rPr>
              <w:t>[*]</w:t>
            </w:r>
          </w:p>
        </w:tc>
      </w:tr>
      <w:tr>
        <w:trPr>
          <w:trHeight w:val="215"/>
        </w:trPr>
        <w:tc>
          <w:tcPr>
            <w:tcW w:w="5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2260" w:type="dxa"/>
            <w:vAlign w:val="bottom"/>
          </w:tcPr>
          <w:p>
            <w:pPr>
              <w:spacing w:after="0"/>
              <w:rPr>
                <w:sz w:val="18"/>
                <w:szCs w:val="18"/>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6819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5">
                      <a:extLst>
                        <a:ext uri="{28A0092B-C50C-407E-A947-70E740481C1C}"/>
                      </a:extLst>
                    </a:blip>
                    <a:srcRect/>
                    <a:stretch>
                      <a:fillRect/>
                    </a:stretch>
                  </pic:blipFill>
                  <pic:spPr bwMode="auto">
                    <a:xfrm>
                      <a:off x="0" y="0"/>
                      <a:ext cx="681990" cy="825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  The Licensee shall notify Lonza in writing within a period of [*] days for [*] for each Product.</w:t>
      </w:r>
    </w:p>
    <w:p>
      <w:pPr>
        <w:spacing w:after="0" w:line="283" w:lineRule="exact"/>
        <w:rPr>
          <w:sz w:val="20"/>
          <w:szCs w:val="20"/>
          <w:color w:val="auto"/>
        </w:rPr>
      </w:pPr>
    </w:p>
    <w:p>
      <w:pPr>
        <w:jc w:val="center"/>
        <w:ind w:right="-820"/>
        <w:spacing w:after="0"/>
        <w:rPr>
          <w:sz w:val="20"/>
          <w:szCs w:val="20"/>
          <w:color w:val="auto"/>
        </w:rPr>
      </w:pPr>
      <w:r>
        <w:rPr>
          <w:rFonts w:ascii="Arial" w:cs="Arial" w:eastAsia="Arial" w:hAnsi="Arial"/>
          <w:sz w:val="17"/>
          <w:szCs w:val="17"/>
          <w:b w:val="1"/>
          <w:bCs w:val="1"/>
          <w:u w:val="single" w:color="auto"/>
          <w:color w:val="auto"/>
        </w:rPr>
        <w:t>Table B</w:t>
      </w:r>
    </w:p>
    <w:p>
      <w:pPr>
        <w:spacing w:after="0" w:line="224" w:lineRule="exact"/>
        <w:rPr>
          <w:sz w:val="20"/>
          <w:szCs w:val="20"/>
          <w:color w:val="auto"/>
        </w:rPr>
      </w:pPr>
    </w:p>
    <w:p>
      <w:pPr>
        <w:ind w:left="3460"/>
        <w:spacing w:after="0"/>
        <w:rPr>
          <w:sz w:val="20"/>
          <w:szCs w:val="20"/>
          <w:color w:val="auto"/>
        </w:rPr>
      </w:pPr>
      <w:r>
        <w:rPr>
          <w:rFonts w:ascii="Arial" w:cs="Arial" w:eastAsia="Arial" w:hAnsi="Arial"/>
          <w:sz w:val="17"/>
          <w:szCs w:val="17"/>
          <w:b w:val="1"/>
          <w:bCs w:val="1"/>
          <w:u w:val="single" w:color="auto"/>
          <w:color w:val="auto"/>
        </w:rPr>
        <w:t>COMMERCIAL PRODUCTS AND ROYALTIES</w:t>
      </w:r>
    </w:p>
    <w:p>
      <w:pPr>
        <w:spacing w:after="0" w:line="363" w:lineRule="exact"/>
        <w:rPr>
          <w:sz w:val="20"/>
          <w:szCs w:val="20"/>
          <w:color w:val="auto"/>
        </w:rPr>
      </w:pPr>
    </w:p>
    <w:p>
      <w:pPr>
        <w:ind w:left="840"/>
        <w:spacing w:after="0"/>
        <w:tabs>
          <w:tab w:leader="none" w:pos="3780" w:val="left"/>
          <w:tab w:leader="none" w:pos="5760" w:val="left"/>
          <w:tab w:leader="none" w:pos="7800" w:val="left"/>
        </w:tabs>
        <w:rPr>
          <w:sz w:val="20"/>
          <w:szCs w:val="20"/>
          <w:color w:val="auto"/>
        </w:rPr>
      </w:pPr>
      <w:r>
        <w:rPr>
          <w:rFonts w:ascii="Arial" w:cs="Arial" w:eastAsia="Arial" w:hAnsi="Arial"/>
          <w:sz w:val="14"/>
          <w:szCs w:val="14"/>
          <w:b w:val="1"/>
          <w:bCs w:val="1"/>
          <w:u w:val="single" w:color="auto"/>
          <w:color w:val="auto"/>
        </w:rPr>
        <w:t>Commercial Product</w:t>
      </w:r>
      <w:r>
        <w:rPr>
          <w:sz w:val="20"/>
          <w:szCs w:val="20"/>
          <w:color w:val="auto"/>
        </w:rPr>
        <w:tab/>
      </w:r>
      <w:r>
        <w:rPr>
          <w:rFonts w:ascii="Arial" w:cs="Arial" w:eastAsia="Arial" w:hAnsi="Arial"/>
          <w:sz w:val="14"/>
          <w:szCs w:val="14"/>
          <w:b w:val="1"/>
          <w:bCs w:val="1"/>
          <w:u w:val="single" w:color="auto"/>
          <w:color w:val="auto"/>
        </w:rPr>
        <w:t>Product Name</w:t>
      </w:r>
      <w:r>
        <w:rPr>
          <w:sz w:val="20"/>
          <w:szCs w:val="20"/>
          <w:color w:val="auto"/>
        </w:rPr>
        <w:tab/>
      </w:r>
      <w:r>
        <w:rPr>
          <w:rFonts w:ascii="Arial" w:cs="Arial" w:eastAsia="Arial" w:hAnsi="Arial"/>
          <w:sz w:val="14"/>
          <w:szCs w:val="14"/>
          <w:b w:val="1"/>
          <w:bCs w:val="1"/>
          <w:u w:val="single" w:color="auto"/>
          <w:color w:val="auto"/>
        </w:rPr>
        <w:t>Rate of Royalty</w:t>
      </w:r>
      <w:r>
        <w:rPr>
          <w:sz w:val="20"/>
          <w:szCs w:val="20"/>
          <w:color w:val="auto"/>
        </w:rPr>
        <w:tab/>
      </w:r>
      <w:r>
        <w:rPr>
          <w:rFonts w:ascii="Arial" w:cs="Arial" w:eastAsia="Arial" w:hAnsi="Arial"/>
          <w:sz w:val="12"/>
          <w:szCs w:val="12"/>
          <w:b w:val="1"/>
          <w:bCs w:val="1"/>
          <w:u w:val="single" w:color="auto"/>
          <w:color w:val="auto"/>
        </w:rPr>
        <w:t>Party manufacturing the Product</w:t>
      </w:r>
    </w:p>
    <w:p>
      <w:pPr>
        <w:spacing w:after="0" w:line="2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Product #1</w:t>
      </w:r>
    </w:p>
    <w:p>
      <w:pPr>
        <w:spacing w:after="0" w:line="1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Product #2</w:t>
      </w:r>
    </w:p>
    <w:p>
      <w:pPr>
        <w:spacing w:after="0" w:line="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Product #3</w:t>
      </w:r>
    </w:p>
    <w:p>
      <w:pPr>
        <w:spacing w:after="0" w:line="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Product #4</w:t>
      </w:r>
    </w:p>
    <w:p>
      <w:pPr>
        <w:spacing w:after="0" w:line="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Product #5 etc</w:t>
      </w:r>
    </w:p>
    <w:p>
      <w:pPr>
        <w:spacing w:after="0" w:line="146" w:lineRule="exact"/>
        <w:rPr>
          <w:sz w:val="20"/>
          <w:szCs w:val="20"/>
          <w:color w:val="auto"/>
        </w:rPr>
      </w:pPr>
    </w:p>
    <w:p>
      <w:pPr>
        <w:ind w:left="1460" w:right="159" w:hanging="481"/>
        <w:spacing w:after="0" w:line="359" w:lineRule="auto"/>
        <w:tabs>
          <w:tab w:leader="none" w:pos="1232" w:val="left"/>
        </w:tabs>
        <w:numPr>
          <w:ilvl w:val="0"/>
          <w:numId w:val="415"/>
        </w:numPr>
        <w:rPr>
          <w:rFonts w:ascii="Arial" w:cs="Arial" w:eastAsia="Arial" w:hAnsi="Arial"/>
          <w:sz w:val="15"/>
          <w:szCs w:val="15"/>
          <w:color w:val="auto"/>
        </w:rPr>
      </w:pPr>
      <w:r>
        <w:rPr>
          <w:rFonts w:ascii="Arial" w:cs="Arial" w:eastAsia="Arial" w:hAnsi="Arial"/>
          <w:sz w:val="15"/>
          <w:szCs w:val="15"/>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9839"/>
          </w:cols>
          <w:pgMar w:left="620" w:top="455" w:right="1440" w:bottom="1440" w:gutter="0" w:footer="0" w:header="0"/>
        </w:sectPr>
      </w:pPr>
    </w:p>
    <w:bookmarkStart w:id="447" w:name="page448"/>
    <w:bookmarkEnd w:id="447"/>
    <w:p>
      <w:pPr>
        <w:jc w:val="right"/>
        <w:spacing w:after="0"/>
        <w:rPr>
          <w:sz w:val="20"/>
          <w:szCs w:val="20"/>
          <w:color w:val="auto"/>
        </w:rPr>
      </w:pPr>
      <w:r>
        <w:rPr>
          <w:rFonts w:ascii="Arial" w:cs="Arial" w:eastAsia="Arial" w:hAnsi="Arial"/>
          <w:sz w:val="16"/>
          <w:szCs w:val="16"/>
          <w:b w:val="1"/>
          <w:bCs w:val="1"/>
          <w:color w:val="auto"/>
        </w:rPr>
        <w:t>Exhibit 10.18</w:t>
      </w:r>
    </w:p>
    <w:p>
      <w:pPr>
        <w:sectPr>
          <w:pgSz w:w="11900" w:h="16838" w:orient="portrait"/>
          <w:cols w:equalWidth="0" w:num="1">
            <w:col w:w="10689"/>
          </w:cols>
          <w:pgMar w:left="611" w:top="121" w:right="599" w:bottom="1440" w:gutter="0" w:footer="0" w:header="0"/>
        </w:sectPr>
      </w:pPr>
    </w:p>
    <w:p>
      <w:pPr>
        <w:spacing w:after="0" w:line="261"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Benjamin (Ben) Thorner</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Merck Research Laboratories</w:t>
      </w:r>
    </w:p>
    <w:p>
      <w:pPr>
        <w:spacing w:after="0" w:line="55" w:lineRule="exact"/>
        <w:rPr>
          <w:sz w:val="20"/>
          <w:szCs w:val="20"/>
          <w:color w:val="auto"/>
        </w:rPr>
      </w:pPr>
    </w:p>
    <w:p>
      <w:pPr>
        <w:sectPr>
          <w:pgSz w:w="11900" w:h="16838" w:orient="portrait"/>
          <w:cols w:equalWidth="0" w:num="2">
            <w:col w:w="6669" w:space="720"/>
            <w:col w:w="3300"/>
          </w:cols>
          <w:pgMar w:left="611" w:top="121" w:right="599" w:bottom="1440" w:gutter="0" w:footer="0" w:header="0"/>
          <w:type w:val="continuous"/>
        </w:sectPr>
      </w:pPr>
    </w:p>
    <w:p>
      <w:pPr>
        <w:ind w:left="9"/>
        <w:spacing w:after="0"/>
        <w:rPr>
          <w:sz w:val="20"/>
          <w:szCs w:val="20"/>
          <w:color w:val="auto"/>
        </w:rPr>
      </w:pPr>
      <w:r>
        <w:rPr>
          <w:rFonts w:ascii="Arial" w:cs="Arial" w:eastAsia="Arial" w:hAnsi="Arial"/>
          <w:sz w:val="17"/>
          <w:szCs w:val="17"/>
          <w:color w:val="auto"/>
        </w:rPr>
        <w:t>Senior Vice President and Head</w:t>
      </w:r>
    </w:p>
    <w:p>
      <w:pPr>
        <w:spacing w:after="0" w:line="14" w:lineRule="exact"/>
        <w:rPr>
          <w:sz w:val="20"/>
          <w:szCs w:val="20"/>
          <w:color w:val="auto"/>
        </w:rPr>
      </w:pPr>
    </w:p>
    <w:p>
      <w:pPr>
        <w:ind w:left="9"/>
        <w:spacing w:after="0"/>
        <w:rPr>
          <w:sz w:val="20"/>
          <w:szCs w:val="20"/>
          <w:color w:val="auto"/>
        </w:rPr>
      </w:pPr>
      <w:r>
        <w:rPr>
          <w:rFonts w:ascii="Arial" w:cs="Arial" w:eastAsia="Arial" w:hAnsi="Arial"/>
          <w:sz w:val="15"/>
          <w:szCs w:val="15"/>
          <w:color w:val="auto"/>
        </w:rPr>
        <w:t>Business Development and Licensing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320 Bent Street, 4</w:t>
      </w:r>
      <w:r>
        <w:rPr>
          <w:rFonts w:ascii="Arial" w:cs="Arial" w:eastAsia="Arial" w:hAnsi="Arial"/>
          <w:sz w:val="12"/>
          <w:szCs w:val="12"/>
          <w:color w:val="auto"/>
        </w:rPr>
        <w:t>th</w:t>
      </w:r>
      <w:r>
        <w:rPr>
          <w:rFonts w:ascii="Arial" w:cs="Arial" w:eastAsia="Arial" w:hAnsi="Arial"/>
          <w:sz w:val="15"/>
          <w:szCs w:val="15"/>
          <w:color w:val="auto"/>
        </w:rPr>
        <w:t xml:space="preserve"> Floor</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Cambridge, MA 02141</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Tel.: [***]</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[***]@merck.com</w:t>
      </w:r>
    </w:p>
    <w:p>
      <w:pPr>
        <w:spacing w:after="0" w:line="200" w:lineRule="exact"/>
        <w:rPr>
          <w:sz w:val="20"/>
          <w:szCs w:val="20"/>
          <w:color w:val="auto"/>
        </w:rPr>
      </w:pPr>
    </w:p>
    <w:p>
      <w:pPr>
        <w:sectPr>
          <w:pgSz w:w="11900" w:h="16838" w:orient="portrait"/>
          <w:cols w:equalWidth="0" w:num="2">
            <w:col w:w="6669" w:space="720"/>
            <w:col w:w="3300"/>
          </w:cols>
          <w:pgMar w:left="611" w:top="121"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
        <w:spacing w:after="0"/>
        <w:rPr>
          <w:sz w:val="20"/>
          <w:szCs w:val="20"/>
          <w:color w:val="auto"/>
        </w:rPr>
      </w:pPr>
      <w:r>
        <w:rPr>
          <w:rFonts w:ascii="Arial" w:cs="Arial" w:eastAsia="Arial" w:hAnsi="Arial"/>
          <w:sz w:val="17"/>
          <w:szCs w:val="17"/>
          <w:color w:val="auto"/>
        </w:rPr>
        <w:t>March 15, 2019</w:t>
      </w:r>
    </w:p>
    <w:p>
      <w:pPr>
        <w:spacing w:after="0" w:line="224" w:lineRule="exact"/>
        <w:rPr>
          <w:sz w:val="20"/>
          <w:szCs w:val="20"/>
          <w:color w:val="auto"/>
        </w:rPr>
      </w:pPr>
    </w:p>
    <w:p>
      <w:pPr>
        <w:ind w:left="9"/>
        <w:spacing w:after="0"/>
        <w:rPr>
          <w:sz w:val="20"/>
          <w:szCs w:val="20"/>
          <w:color w:val="auto"/>
        </w:rPr>
      </w:pPr>
      <w:r>
        <w:rPr>
          <w:rFonts w:ascii="Arial" w:cs="Arial" w:eastAsia="Arial" w:hAnsi="Arial"/>
          <w:sz w:val="17"/>
          <w:szCs w:val="17"/>
          <w:color w:val="auto"/>
        </w:rPr>
        <w:t>NGM Biopharmaceuticals, Inc.</w:t>
      </w:r>
    </w:p>
    <w:p>
      <w:pPr>
        <w:spacing w:after="0" w:line="26" w:lineRule="exact"/>
        <w:rPr>
          <w:sz w:val="20"/>
          <w:szCs w:val="20"/>
          <w:color w:val="auto"/>
        </w:rPr>
      </w:pPr>
    </w:p>
    <w:p>
      <w:pPr>
        <w:ind w:left="9"/>
        <w:spacing w:after="0"/>
        <w:rPr>
          <w:sz w:val="20"/>
          <w:szCs w:val="20"/>
          <w:color w:val="auto"/>
        </w:rPr>
      </w:pPr>
      <w:r>
        <w:rPr>
          <w:rFonts w:ascii="Arial" w:cs="Arial" w:eastAsia="Arial" w:hAnsi="Arial"/>
          <w:sz w:val="17"/>
          <w:szCs w:val="17"/>
          <w:color w:val="auto"/>
        </w:rPr>
        <w:t>333 Oyster Point Blvd</w:t>
      </w:r>
    </w:p>
    <w:p>
      <w:pPr>
        <w:spacing w:after="0" w:line="14" w:lineRule="exact"/>
        <w:rPr>
          <w:sz w:val="20"/>
          <w:szCs w:val="20"/>
          <w:color w:val="auto"/>
        </w:rPr>
      </w:pPr>
    </w:p>
    <w:p>
      <w:pPr>
        <w:ind w:left="9"/>
        <w:spacing w:after="0"/>
        <w:rPr>
          <w:sz w:val="20"/>
          <w:szCs w:val="20"/>
          <w:color w:val="auto"/>
        </w:rPr>
      </w:pPr>
      <w:r>
        <w:rPr>
          <w:rFonts w:ascii="Arial" w:cs="Arial" w:eastAsia="Arial" w:hAnsi="Arial"/>
          <w:sz w:val="17"/>
          <w:szCs w:val="17"/>
          <w:color w:val="auto"/>
        </w:rPr>
        <w:t>South San Francisco, CA 94080</w:t>
      </w:r>
    </w:p>
    <w:p>
      <w:pPr>
        <w:spacing w:after="0" w:line="14" w:lineRule="exact"/>
        <w:rPr>
          <w:sz w:val="20"/>
          <w:szCs w:val="20"/>
          <w:color w:val="auto"/>
        </w:rPr>
      </w:pPr>
    </w:p>
    <w:p>
      <w:pPr>
        <w:ind w:left="9"/>
        <w:spacing w:after="0"/>
        <w:rPr>
          <w:sz w:val="20"/>
          <w:szCs w:val="20"/>
          <w:color w:val="auto"/>
        </w:rPr>
      </w:pPr>
      <w:r>
        <w:rPr>
          <w:rFonts w:ascii="Arial" w:cs="Arial" w:eastAsia="Arial" w:hAnsi="Arial"/>
          <w:sz w:val="17"/>
          <w:szCs w:val="17"/>
          <w:color w:val="auto"/>
        </w:rPr>
        <w:t>Attention: David Woodhouse, Chief Executive Officer</w:t>
      </w:r>
    </w:p>
    <w:p>
      <w:pPr>
        <w:spacing w:after="0" w:line="14" w:lineRule="exact"/>
        <w:rPr>
          <w:sz w:val="20"/>
          <w:szCs w:val="20"/>
          <w:color w:val="auto"/>
        </w:rPr>
      </w:pPr>
    </w:p>
    <w:p>
      <w:pPr>
        <w:ind w:left="9"/>
        <w:spacing w:after="0"/>
        <w:rPr>
          <w:sz w:val="20"/>
          <w:szCs w:val="20"/>
          <w:color w:val="auto"/>
        </w:rPr>
      </w:pPr>
      <w:r>
        <w:rPr>
          <w:rFonts w:ascii="Arial" w:cs="Arial" w:eastAsia="Arial" w:hAnsi="Arial"/>
          <w:sz w:val="17"/>
          <w:szCs w:val="17"/>
          <w:color w:val="auto"/>
        </w:rPr>
        <w:t>Facsimile No.: 650-583-1646</w:t>
      </w:r>
    </w:p>
    <w:p>
      <w:pPr>
        <w:spacing w:after="0" w:line="212" w:lineRule="exact"/>
        <w:rPr>
          <w:sz w:val="20"/>
          <w:szCs w:val="20"/>
          <w:color w:val="auto"/>
        </w:rPr>
      </w:pPr>
    </w:p>
    <w:p>
      <w:pPr>
        <w:ind w:left="9"/>
        <w:spacing w:after="0"/>
        <w:rPr>
          <w:sz w:val="20"/>
          <w:szCs w:val="20"/>
          <w:color w:val="auto"/>
        </w:rPr>
      </w:pPr>
      <w:r>
        <w:rPr>
          <w:rFonts w:ascii="Arial" w:cs="Arial" w:eastAsia="Arial" w:hAnsi="Arial"/>
          <w:sz w:val="17"/>
          <w:szCs w:val="17"/>
          <w:color w:val="auto"/>
        </w:rPr>
        <w:t>Cooley LLP</w:t>
      </w:r>
    </w:p>
    <w:p>
      <w:pPr>
        <w:spacing w:after="0" w:line="26" w:lineRule="exact"/>
        <w:rPr>
          <w:sz w:val="20"/>
          <w:szCs w:val="20"/>
          <w:color w:val="auto"/>
        </w:rPr>
      </w:pPr>
    </w:p>
    <w:p>
      <w:pPr>
        <w:ind w:left="9"/>
        <w:spacing w:after="0"/>
        <w:rPr>
          <w:sz w:val="20"/>
          <w:szCs w:val="20"/>
          <w:color w:val="auto"/>
        </w:rPr>
      </w:pPr>
      <w:r>
        <w:rPr>
          <w:rFonts w:ascii="Arial" w:cs="Arial" w:eastAsia="Arial" w:hAnsi="Arial"/>
          <w:sz w:val="17"/>
          <w:szCs w:val="17"/>
          <w:color w:val="auto"/>
        </w:rPr>
        <w:t>3175 Hanover Street</w:t>
      </w:r>
    </w:p>
    <w:p>
      <w:pPr>
        <w:spacing w:after="0" w:line="14" w:lineRule="exact"/>
        <w:rPr>
          <w:sz w:val="20"/>
          <w:szCs w:val="20"/>
          <w:color w:val="auto"/>
        </w:rPr>
      </w:pPr>
    </w:p>
    <w:p>
      <w:pPr>
        <w:ind w:left="9"/>
        <w:spacing w:after="0"/>
        <w:rPr>
          <w:sz w:val="20"/>
          <w:szCs w:val="20"/>
          <w:color w:val="auto"/>
        </w:rPr>
      </w:pPr>
      <w:r>
        <w:rPr>
          <w:rFonts w:ascii="Arial" w:cs="Arial" w:eastAsia="Arial" w:hAnsi="Arial"/>
          <w:sz w:val="17"/>
          <w:szCs w:val="17"/>
          <w:color w:val="auto"/>
        </w:rPr>
        <w:t>Palo Alto, CA 94304</w:t>
      </w:r>
    </w:p>
    <w:p>
      <w:pPr>
        <w:spacing w:after="0" w:line="14" w:lineRule="exact"/>
        <w:rPr>
          <w:sz w:val="20"/>
          <w:szCs w:val="20"/>
          <w:color w:val="auto"/>
        </w:rPr>
      </w:pPr>
    </w:p>
    <w:p>
      <w:pPr>
        <w:ind w:left="9"/>
        <w:spacing w:after="0"/>
        <w:rPr>
          <w:sz w:val="20"/>
          <w:szCs w:val="20"/>
          <w:color w:val="auto"/>
        </w:rPr>
      </w:pPr>
      <w:r>
        <w:rPr>
          <w:rFonts w:ascii="Arial" w:cs="Arial" w:eastAsia="Arial" w:hAnsi="Arial"/>
          <w:sz w:val="17"/>
          <w:szCs w:val="17"/>
          <w:color w:val="auto"/>
        </w:rPr>
        <w:t>Attention: Barbara A. Kosacz</w:t>
      </w:r>
    </w:p>
    <w:p>
      <w:pPr>
        <w:spacing w:after="0" w:line="14" w:lineRule="exact"/>
        <w:rPr>
          <w:sz w:val="20"/>
          <w:szCs w:val="20"/>
          <w:color w:val="auto"/>
        </w:rPr>
      </w:pPr>
    </w:p>
    <w:p>
      <w:pPr>
        <w:ind w:left="9"/>
        <w:spacing w:after="0"/>
        <w:rPr>
          <w:sz w:val="20"/>
          <w:szCs w:val="20"/>
          <w:color w:val="auto"/>
        </w:rPr>
      </w:pPr>
      <w:r>
        <w:rPr>
          <w:rFonts w:ascii="Arial" w:cs="Arial" w:eastAsia="Arial" w:hAnsi="Arial"/>
          <w:sz w:val="17"/>
          <w:szCs w:val="17"/>
          <w:color w:val="auto"/>
        </w:rPr>
        <w:t>Facsimile No.: 650-849-7400</w:t>
      </w:r>
    </w:p>
    <w:p>
      <w:pPr>
        <w:spacing w:after="0" w:line="212" w:lineRule="exact"/>
        <w:rPr>
          <w:sz w:val="20"/>
          <w:szCs w:val="20"/>
          <w:color w:val="auto"/>
        </w:rPr>
      </w:pPr>
    </w:p>
    <w:p>
      <w:pPr>
        <w:ind w:left="9"/>
        <w:spacing w:after="0"/>
        <w:rPr>
          <w:sz w:val="20"/>
          <w:szCs w:val="20"/>
          <w:color w:val="auto"/>
        </w:rPr>
      </w:pPr>
      <w:r>
        <w:rPr>
          <w:rFonts w:ascii="Arial" w:cs="Arial" w:eastAsia="Arial" w:hAnsi="Arial"/>
          <w:sz w:val="17"/>
          <w:szCs w:val="17"/>
          <w:color w:val="auto"/>
        </w:rPr>
        <w:t>Sent via personal delivery (NGM) and facsimile and courier (Cooley)</w:t>
      </w:r>
    </w:p>
    <w:p>
      <w:pPr>
        <w:spacing w:after="0" w:line="224" w:lineRule="exact"/>
        <w:rPr>
          <w:sz w:val="20"/>
          <w:szCs w:val="20"/>
          <w:color w:val="auto"/>
        </w:rPr>
      </w:pPr>
    </w:p>
    <w:p>
      <w:pPr>
        <w:ind w:left="9"/>
        <w:spacing w:after="0"/>
        <w:rPr>
          <w:sz w:val="20"/>
          <w:szCs w:val="20"/>
          <w:color w:val="auto"/>
        </w:rPr>
      </w:pPr>
      <w:r>
        <w:rPr>
          <w:rFonts w:ascii="Arial" w:cs="Arial" w:eastAsia="Arial" w:hAnsi="Arial"/>
          <w:sz w:val="17"/>
          <w:szCs w:val="17"/>
          <w:color w:val="auto"/>
        </w:rPr>
        <w:t>Re: First Extension Period of the Research Program Term</w:t>
      </w:r>
    </w:p>
    <w:p>
      <w:pPr>
        <w:spacing w:after="0" w:line="224" w:lineRule="exact"/>
        <w:rPr>
          <w:sz w:val="20"/>
          <w:szCs w:val="20"/>
          <w:color w:val="auto"/>
        </w:rPr>
      </w:pPr>
    </w:p>
    <w:p>
      <w:pPr>
        <w:ind w:left="9"/>
        <w:spacing w:after="0"/>
        <w:rPr>
          <w:sz w:val="20"/>
          <w:szCs w:val="20"/>
          <w:color w:val="auto"/>
        </w:rPr>
      </w:pPr>
      <w:r>
        <w:rPr>
          <w:rFonts w:ascii="Arial" w:cs="Arial" w:eastAsia="Arial" w:hAnsi="Arial"/>
          <w:sz w:val="17"/>
          <w:szCs w:val="17"/>
          <w:color w:val="auto"/>
        </w:rPr>
        <w:t>Dear David,</w:t>
      </w:r>
    </w:p>
    <w:p>
      <w:pPr>
        <w:spacing w:after="0" w:line="119" w:lineRule="exact"/>
        <w:rPr>
          <w:sz w:val="20"/>
          <w:szCs w:val="20"/>
          <w:color w:val="auto"/>
        </w:rPr>
      </w:pPr>
    </w:p>
    <w:p>
      <w:pPr>
        <w:ind w:left="9" w:right="140"/>
        <w:spacing w:after="0" w:line="295" w:lineRule="auto"/>
        <w:rPr>
          <w:sz w:val="20"/>
          <w:szCs w:val="20"/>
          <w:color w:val="auto"/>
        </w:rPr>
      </w:pPr>
      <w:r>
        <w:rPr>
          <w:rFonts w:ascii="Arial" w:cs="Arial" w:eastAsia="Arial" w:hAnsi="Arial"/>
          <w:sz w:val="15"/>
          <w:szCs w:val="15"/>
          <w:color w:val="auto"/>
        </w:rPr>
        <w:t>Merck Sharp &amp; Dohme Corp. (“Merck”) and NGM Biopharmaceuticals Inc. (“NGM”) entered into that certain Research Collaboration, Product Development and License Agreement, dated as of February 18, 2015 and as amended by the First Amendment to Research Collaboration, Product Development and License Agreement (the “Amendment”) effective as of January 1, 2016 (the “Agreement”). Pursuant to Section 4.1.3 of the Agreement, and subject to the remainder of this letter, Merck hereby exercises the extension option to extend the Research Program for a period of two</w:t>
      </w:r>
    </w:p>
    <w:p>
      <w:pPr>
        <w:spacing w:after="0" w:line="2" w:lineRule="exact"/>
        <w:rPr>
          <w:sz w:val="20"/>
          <w:szCs w:val="20"/>
          <w:color w:val="auto"/>
        </w:rPr>
      </w:pPr>
    </w:p>
    <w:p>
      <w:pPr>
        <w:ind w:left="9" w:right="80" w:hanging="9"/>
        <w:spacing w:after="0" w:line="274" w:lineRule="auto"/>
        <w:tabs>
          <w:tab w:leader="none" w:pos="256" w:val="left"/>
        </w:tabs>
        <w:numPr>
          <w:ilvl w:val="0"/>
          <w:numId w:val="416"/>
        </w:numPr>
        <w:rPr>
          <w:rFonts w:ascii="Arial" w:cs="Arial" w:eastAsia="Arial" w:hAnsi="Arial"/>
          <w:sz w:val="17"/>
          <w:szCs w:val="17"/>
          <w:color w:val="auto"/>
        </w:rPr>
      </w:pPr>
      <w:r>
        <w:rPr>
          <w:rFonts w:ascii="Arial" w:cs="Arial" w:eastAsia="Arial" w:hAnsi="Arial"/>
          <w:sz w:val="17"/>
          <w:szCs w:val="17"/>
          <w:color w:val="auto"/>
        </w:rPr>
        <w:t>years (i.e., until March 17, 2022) commencing on the date of the expiration of the Initial Research Program Term. Any capitalized terms used in this letter and not defined here shall have the meanings ascribed to them in the Agreement.</w:t>
      </w:r>
    </w:p>
    <w:p>
      <w:pPr>
        <w:spacing w:after="0" w:line="170" w:lineRule="exact"/>
        <w:rPr>
          <w:sz w:val="20"/>
          <w:szCs w:val="20"/>
          <w:color w:val="auto"/>
        </w:rPr>
      </w:pPr>
    </w:p>
    <w:p>
      <w:pPr>
        <w:ind w:left="9" w:right="40"/>
        <w:spacing w:after="0" w:line="265" w:lineRule="auto"/>
        <w:rPr>
          <w:sz w:val="20"/>
          <w:szCs w:val="20"/>
          <w:color w:val="auto"/>
        </w:rPr>
      </w:pPr>
      <w:r>
        <w:rPr>
          <w:rFonts w:ascii="Arial" w:cs="Arial" w:eastAsia="Arial" w:hAnsi="Arial"/>
          <w:sz w:val="17"/>
          <w:szCs w:val="17"/>
          <w:color w:val="auto"/>
        </w:rPr>
        <w:t>As Aetna Wun Trombley, President and Chief Operating Officer of NGM, and I agreed during yesterday’s call, Merck will not be required to pay the twenty million ($20,000,000.00) extension payment contemplated by Sections 4.1.3 and 9.1 of the Agreement to extend the Research Program Term. Instead of Merck making such payment, and notwithstanding the limitations placed on Merck’s funding obligations for FTE’s and External Costs during the First Extension Period as set forth in Section 4.2.3(a) and 4.2.3(e), we have agreed that (a) for Research Program Year 6 (i.e., Calendar Year 2020), Research</w:t>
      </w:r>
    </w:p>
    <w:p>
      <w:pPr>
        <w:spacing w:after="0" w:line="106"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 xml:space="preserve">Page </w:t>
      </w:r>
      <w:r>
        <w:rPr>
          <w:rFonts w:ascii="Arial" w:cs="Arial" w:eastAsia="Arial" w:hAnsi="Arial"/>
          <w:sz w:val="17"/>
          <w:szCs w:val="17"/>
          <w:b w:val="1"/>
          <w:bCs w:val="1"/>
          <w:color w:val="auto"/>
        </w:rPr>
        <w:t>1</w:t>
      </w:r>
      <w:r>
        <w:rPr>
          <w:rFonts w:ascii="Arial" w:cs="Arial" w:eastAsia="Arial" w:hAnsi="Arial"/>
          <w:sz w:val="17"/>
          <w:szCs w:val="17"/>
          <w:color w:val="auto"/>
        </w:rPr>
        <w:t xml:space="preserve"> of </w:t>
      </w:r>
      <w:r>
        <w:rPr>
          <w:rFonts w:ascii="Arial" w:cs="Arial" w:eastAsia="Arial" w:hAnsi="Arial"/>
          <w:sz w:val="17"/>
          <w:szCs w:val="17"/>
          <w:b w:val="1"/>
          <w:bCs w:val="1"/>
          <w:color w:val="auto"/>
        </w:rPr>
        <w:t>2</w:t>
      </w:r>
    </w:p>
    <w:p>
      <w:pPr>
        <w:sectPr>
          <w:pgSz w:w="11900" w:h="16838" w:orient="portrait"/>
          <w:cols w:equalWidth="0" w:num="1">
            <w:col w:w="10689"/>
          </w:cols>
          <w:pgMar w:left="611" w:top="121" w:right="599" w:bottom="1440" w:gutter="0" w:footer="0" w:header="0"/>
          <w:type w:val="continuous"/>
        </w:sectPr>
      </w:pPr>
    </w:p>
    <w:bookmarkStart w:id="448" w:name="page449"/>
    <w:bookmarkEnd w:id="448"/>
    <w:p>
      <w:pPr>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Program Year 7 (i.e., Calendar Year 2021), and Research Program Year 8 (i.e., the first Calendar Quarter of 2022, if there is no Second Extension Period) the Research Funding Cap for each of such time periods shall be the same as that set forth in the Agreement for Research Program Years 2 through 5, including the ability to access additional funding in accordance with Section 4.2.7 in the same limits as are applicable to Research Program Years 2 through 5 (provided that Research Program Year 8, it shall be a pro rata portion of such annual amounts); and (b) for Research Program Years 7 and 8 (i.e., Calendar Year 2021 and Q1 of 2022) Merck shall pay, in addition to the amounts set forth in clause (a) an amount not to exceed $20,000,000 in the aggregate across the five Calendar Quarters of such period (such amount the “Additional Funding Amount”). For clarity, the foregoing Research Funding Caps (as may be increased under Section 4.2.7) and the Additional Funding Amount shall be available for use by NGM both for research and Early Development activities. The Additional Funding Amount shall reflect FTE costs and External Costs that Merck would not otherwise be required to pay in Research Program Year 7 and Research Program Year 8 as such amounts would exceed Merck’s payment obligations under Sections 4.2.3(a) and 4.2.3(e) of the Agreement. For the avoidance of doubt, any additional payments described above (i) shall not revise or amend the Research Funding Reference Amount (except as expressly provided above), and (ii) shall be treated as part of the Quarterly Research Funding and Research Funding, as the case may be.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This letter shall be governed by and construed in accordance with the laws of the State of New York without reference to any rules of conflict of laws.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Defined terms that are used herein, but not defined herein, shall have the meanings ascribed to them in the Agreement.</w:t>
      </w:r>
    </w:p>
    <w:p>
      <w:pPr>
        <w:spacing w:after="0" w:line="212"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If NGM plans on public disclosure of Merck’s exercise of the extension option, please provide Ian McConnell (</w:t>
      </w:r>
      <w:r>
        <w:rPr>
          <w:rFonts w:ascii="Arial" w:cs="Arial" w:eastAsia="Arial" w:hAnsi="Arial"/>
          <w:sz w:val="17"/>
          <w:szCs w:val="17"/>
          <w:u w:val="single" w:color="auto"/>
          <w:color w:val="auto"/>
        </w:rPr>
        <w:t>[***]@merck.com</w:t>
      </w:r>
      <w:r>
        <w:rPr>
          <w:rFonts w:ascii="Arial" w:cs="Arial" w:eastAsia="Arial" w:hAnsi="Arial"/>
          <w:sz w:val="17"/>
          <w:szCs w:val="17"/>
          <w:color w:val="auto"/>
        </w:rPr>
        <w:t>) with a copy of the proposed disclosure for review prior to release.</w:t>
      </w:r>
    </w:p>
    <w:p>
      <w:pPr>
        <w:spacing w:after="0" w:line="158" w:lineRule="exact"/>
        <w:rPr>
          <w:sz w:val="20"/>
          <w:szCs w:val="20"/>
          <w:color w:val="auto"/>
        </w:rPr>
      </w:pPr>
    </w:p>
    <w:p>
      <w:pPr>
        <w:ind w:right="620"/>
        <w:spacing w:after="0" w:line="289" w:lineRule="auto"/>
        <w:rPr>
          <w:sz w:val="20"/>
          <w:szCs w:val="20"/>
          <w:color w:val="auto"/>
        </w:rPr>
      </w:pPr>
      <w:r>
        <w:rPr>
          <w:rFonts w:ascii="Arial" w:cs="Arial" w:eastAsia="Arial" w:hAnsi="Arial"/>
          <w:sz w:val="17"/>
          <w:szCs w:val="17"/>
          <w:color w:val="auto"/>
        </w:rPr>
        <w:t>We have enjoyed the opportunity to work with you in this collaboration and look forward to our continued interactions on ongoing collaborative programs. Please countersign below to indicate that you are in agreement with the terms of this letter.</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Benjamin Thorner</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Benjamin Thorner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and Head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Business Development &amp; Licensing</w:t>
      </w:r>
    </w:p>
    <w:p>
      <w:pPr>
        <w:spacing w:after="0" w:line="238"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NGM Biopharmaceuticals, Inc.</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 /s/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16510</wp:posOffset>
            </wp:positionV>
            <wp:extent cx="248602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7">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Name: David J. Woodhouse</w:t>
      </w:r>
    </w:p>
    <w:p>
      <w:pPr>
        <w:spacing w:after="0" w:line="26"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Title: CEO</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Page </w:t>
      </w:r>
      <w:r>
        <w:rPr>
          <w:rFonts w:ascii="Arial" w:cs="Arial" w:eastAsia="Arial" w:hAnsi="Arial"/>
          <w:sz w:val="17"/>
          <w:szCs w:val="17"/>
          <w:b w:val="1"/>
          <w:bCs w:val="1"/>
          <w:color w:val="auto"/>
        </w:rPr>
        <w:t>2</w:t>
      </w:r>
      <w:r>
        <w:rPr>
          <w:rFonts w:ascii="Arial" w:cs="Arial" w:eastAsia="Arial" w:hAnsi="Arial"/>
          <w:sz w:val="17"/>
          <w:szCs w:val="17"/>
          <w:color w:val="auto"/>
        </w:rPr>
        <w:t xml:space="preserve"> of </w:t>
      </w:r>
      <w:r>
        <w:rPr>
          <w:rFonts w:ascii="Arial" w:cs="Arial" w:eastAsia="Arial" w:hAnsi="Arial"/>
          <w:sz w:val="17"/>
          <w:szCs w:val="17"/>
          <w:b w:val="1"/>
          <w:bCs w:val="1"/>
          <w:color w:val="auto"/>
        </w:rPr>
        <w:t>2</w:t>
      </w:r>
    </w:p>
    <w:p>
      <w:pPr>
        <w:sectPr>
          <w:pgSz w:w="11900" w:h="16838" w:orient="portrait"/>
          <w:cols w:equalWidth="0" w:num="1">
            <w:col w:w="10680"/>
          </w:cols>
          <w:pgMar w:left="620" w:top="271" w:right="599" w:bottom="1440" w:gutter="0" w:footer="0" w:header="0"/>
        </w:sectPr>
      </w:pPr>
    </w:p>
    <w:bookmarkStart w:id="449" w:name="page450"/>
    <w:bookmarkEnd w:id="449"/>
    <w:p>
      <w:pPr>
        <w:jc w:val="right"/>
        <w:spacing w:after="0"/>
        <w:rPr>
          <w:sz w:val="20"/>
          <w:szCs w:val="20"/>
          <w:color w:val="auto"/>
        </w:rPr>
      </w:pPr>
      <w:r>
        <w:rPr>
          <w:rFonts w:ascii="Arial" w:cs="Arial" w:eastAsia="Arial" w:hAnsi="Arial"/>
          <w:sz w:val="17"/>
          <w:szCs w:val="17"/>
          <w:b w:val="1"/>
          <w:bCs w:val="1"/>
          <w:color w:val="auto"/>
        </w:rPr>
        <w:t>Exhibit 23.1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30"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We consent to the reference to our firm under the caption “Experts” and to the use of our report dated March 25, 2019, in the Amendment No. 1 to the Registration Statement (Form S-1 No. 333-227608) and related Prospectus of NGM Biopharmaceuticals, Inc. for the registration of shares of its common stock.</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March 25, 2019</w:t>
      </w:r>
    </w:p>
    <w:sectPr>
      <w:pgSz w:w="11900" w:h="16838" w:orient="portrait"/>
      <w:cols w:equalWidth="0" w:num="1">
        <w:col w:w="10680"/>
      </w:cols>
      <w:pgMar w:left="620" w:top="121"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F8B73F"/>
    <w:multiLevelType w:val="hybridMultilevel"/>
    <w:lvl w:ilvl="0">
      <w:lvlJc w:val="left"/>
      <w:lvlText w:val="(%1)"/>
      <w:numFmt w:val="decimal"/>
      <w:start w:val="1"/>
    </w:lvl>
  </w:abstractNum>
  <w:abstractNum w:abstractNumId="1">
    <w:nsid w:val="CA6B462"/>
    <w:multiLevelType w:val="hybridMultilevel"/>
    <w:lvl w:ilvl="0">
      <w:lvlJc w:val="left"/>
      <w:lvlText w:val="(%1)"/>
      <w:numFmt w:val="decimal"/>
      <w:start w:val="1"/>
    </w:lvl>
  </w:abstractNum>
  <w:abstractNum w:abstractNumId="2">
    <w:nsid w:val="763CB680"/>
    <w:multiLevelType w:val="hybridMultilevel"/>
    <w:lvl w:ilvl="0">
      <w:lvlJc w:val="left"/>
      <w:lvlText w:val="•"/>
      <w:numFmt w:val="bullet"/>
      <w:start w:val="1"/>
    </w:lvl>
  </w:abstractNum>
  <w:abstractNum w:abstractNumId="3">
    <w:nsid w:val="15B71329"/>
    <w:multiLevelType w:val="hybridMultilevel"/>
    <w:lvl w:ilvl="0">
      <w:lvlJc w:val="left"/>
      <w:lvlText w:val="•"/>
      <w:numFmt w:val="bullet"/>
      <w:start w:val="1"/>
    </w:lvl>
  </w:abstractNum>
  <w:abstractNum w:abstractNumId="4">
    <w:nsid w:val="3DA97044"/>
    <w:multiLevelType w:val="hybridMultilevel"/>
    <w:lvl w:ilvl="0">
      <w:lvlJc w:val="left"/>
      <w:lvlText w:val="•"/>
      <w:numFmt w:val="bullet"/>
      <w:start w:val="1"/>
    </w:lvl>
  </w:abstractNum>
  <w:abstractNum w:abstractNumId="5">
    <w:nsid w:val="1CDCE2DE"/>
    <w:multiLevelType w:val="hybridMultilevel"/>
    <w:lvl w:ilvl="0">
      <w:lvlJc w:val="left"/>
      <w:lvlText w:val="•"/>
      <w:numFmt w:val="bullet"/>
      <w:start w:val="1"/>
    </w:lvl>
  </w:abstractNum>
  <w:abstractNum w:abstractNumId="6">
    <w:nsid w:val="69D3947C"/>
    <w:multiLevelType w:val="hybridMultilevel"/>
    <w:lvl w:ilvl="0">
      <w:lvlJc w:val="left"/>
      <w:lvlText w:val="•"/>
      <w:numFmt w:val="bullet"/>
      <w:start w:val="1"/>
    </w:lvl>
  </w:abstractNum>
  <w:abstractNum w:abstractNumId="7">
    <w:nsid w:val="2539DFA5"/>
    <w:multiLevelType w:val="hybridMultilevel"/>
    <w:lvl w:ilvl="0">
      <w:lvlJc w:val="left"/>
      <w:lvlText w:val="•"/>
      <w:numFmt w:val="bullet"/>
      <w:start w:val="1"/>
    </w:lvl>
  </w:abstractNum>
  <w:abstractNum w:abstractNumId="8">
    <w:nsid w:val="2DB88089"/>
    <w:multiLevelType w:val="hybridMultilevel"/>
    <w:lvl w:ilvl="0">
      <w:lvlJc w:val="left"/>
      <w:lvlText w:val="•"/>
      <w:numFmt w:val="bullet"/>
      <w:start w:val="1"/>
    </w:lvl>
  </w:abstractNum>
  <w:abstractNum w:abstractNumId="9">
    <w:nsid w:val="706B674E"/>
    <w:multiLevelType w:val="hybridMultilevel"/>
    <w:lvl w:ilvl="0">
      <w:lvlJc w:val="left"/>
      <w:lvlText w:val="•"/>
      <w:numFmt w:val="bullet"/>
      <w:start w:val="1"/>
    </w:lvl>
  </w:abstractNum>
  <w:abstractNum w:abstractNumId="10">
    <w:nsid w:val="2C106A57"/>
    <w:multiLevelType w:val="hybridMultilevel"/>
    <w:lvl w:ilvl="0">
      <w:lvlJc w:val="left"/>
      <w:lvlText w:val="(%1)"/>
      <w:numFmt w:val="decimal"/>
      <w:start w:val="1"/>
    </w:lvl>
  </w:abstractNum>
  <w:abstractNum w:abstractNumId="11">
    <w:nsid w:val="684EED59"/>
    <w:multiLevelType w:val="hybridMultilevel"/>
    <w:lvl w:ilvl="0">
      <w:lvlJc w:val="left"/>
      <w:lvlText w:val="(%1)"/>
      <w:numFmt w:val="decimal"/>
      <w:start w:val="1"/>
    </w:lvl>
  </w:abstractNum>
  <w:abstractNum w:abstractNumId="12">
    <w:nsid w:val="545EE5D3"/>
    <w:multiLevelType w:val="hybridMultilevel"/>
    <w:lvl w:ilvl="0">
      <w:lvlJc w:val="left"/>
      <w:lvlText w:val="•"/>
      <w:numFmt w:val="bullet"/>
      <w:start w:val="1"/>
    </w:lvl>
  </w:abstractNum>
  <w:abstractNum w:abstractNumId="13">
    <w:nsid w:val="4A66051"/>
    <w:multiLevelType w:val="hybridMultilevel"/>
    <w:lvl w:ilvl="0">
      <w:lvlJc w:val="left"/>
      <w:lvlText w:val="•"/>
      <w:numFmt w:val="bullet"/>
      <w:start w:val="1"/>
    </w:lvl>
  </w:abstractNum>
  <w:abstractNum w:abstractNumId="14">
    <w:nsid w:val="20F4BDAD"/>
    <w:multiLevelType w:val="hybridMultilevel"/>
    <w:lvl w:ilvl="0">
      <w:lvlJc w:val="left"/>
      <w:lvlText w:val="•"/>
      <w:numFmt w:val="bullet"/>
      <w:start w:val="1"/>
    </w:lvl>
  </w:abstractNum>
  <w:abstractNum w:abstractNumId="15">
    <w:nsid w:val="639DEFAC"/>
    <w:multiLevelType w:val="hybridMultilevel"/>
    <w:lvl w:ilvl="0">
      <w:lvlJc w:val="left"/>
      <w:lvlText w:val="•"/>
      <w:numFmt w:val="bullet"/>
      <w:start w:val="1"/>
    </w:lvl>
  </w:abstractNum>
  <w:abstractNum w:abstractNumId="16">
    <w:nsid w:val="501F9786"/>
    <w:multiLevelType w:val="hybridMultilevel"/>
    <w:lvl w:ilvl="0">
      <w:lvlJc w:val="left"/>
      <w:lvlText w:val="•"/>
      <w:numFmt w:val="bullet"/>
      <w:start w:val="1"/>
    </w:lvl>
  </w:abstractNum>
  <w:abstractNum w:abstractNumId="17">
    <w:nsid w:val="6B057295"/>
    <w:multiLevelType w:val="hybridMultilevel"/>
    <w:lvl w:ilvl="0">
      <w:lvlJc w:val="left"/>
      <w:lvlText w:val="•"/>
      <w:numFmt w:val="bullet"/>
      <w:start w:val="1"/>
    </w:lvl>
  </w:abstractNum>
  <w:abstractNum w:abstractNumId="18">
    <w:nsid w:val="2771AC80"/>
    <w:multiLevelType w:val="hybridMultilevel"/>
    <w:lvl w:ilvl="0">
      <w:lvlJc w:val="left"/>
      <w:lvlText w:val="•"/>
      <w:numFmt w:val="bullet"/>
      <w:start w:val="1"/>
    </w:lvl>
  </w:abstractNum>
  <w:abstractNum w:abstractNumId="19">
    <w:nsid w:val="1C4A08EC"/>
    <w:multiLevelType w:val="hybridMultilevel"/>
    <w:lvl w:ilvl="0">
      <w:lvlJc w:val="left"/>
      <w:lvlText w:val="•"/>
      <w:numFmt w:val="bullet"/>
      <w:start w:val="1"/>
    </w:lvl>
  </w:abstractNum>
  <w:abstractNum w:abstractNumId="20">
    <w:nsid w:val="1958BD17"/>
    <w:multiLevelType w:val="hybridMultilevel"/>
    <w:lvl w:ilvl="0">
      <w:lvlJc w:val="left"/>
      <w:lvlText w:val="•"/>
      <w:numFmt w:val="bullet"/>
      <w:start w:val="1"/>
    </w:lvl>
  </w:abstractNum>
  <w:abstractNum w:abstractNumId="21">
    <w:nsid w:val="4E647FE4"/>
    <w:multiLevelType w:val="hybridMultilevel"/>
    <w:lvl w:ilvl="0">
      <w:lvlJc w:val="left"/>
      <w:lvlText w:val="•"/>
      <w:numFmt w:val="bullet"/>
      <w:start w:val="1"/>
    </w:lvl>
  </w:abstractNum>
  <w:abstractNum w:abstractNumId="22">
    <w:nsid w:val="E0BB885"/>
    <w:multiLevelType w:val="hybridMultilevel"/>
    <w:lvl w:ilvl="0">
      <w:lvlJc w:val="left"/>
      <w:lvlText w:val="•"/>
      <w:numFmt w:val="bullet"/>
      <w:start w:val="1"/>
    </w:lvl>
  </w:abstractNum>
  <w:abstractNum w:abstractNumId="23">
    <w:nsid w:val="565976F1"/>
    <w:multiLevelType w:val="hybridMultilevel"/>
    <w:lvl w:ilvl="0">
      <w:lvlJc w:val="left"/>
      <w:lvlText w:val="•"/>
      <w:numFmt w:val="bullet"/>
      <w:start w:val="1"/>
    </w:lvl>
  </w:abstractNum>
  <w:abstractNum w:abstractNumId="24">
    <w:nsid w:val="64212B8C"/>
    <w:multiLevelType w:val="hybridMultilevel"/>
    <w:lvl w:ilvl="0">
      <w:lvlJc w:val="left"/>
      <w:lvlText w:val="•"/>
      <w:numFmt w:val="bullet"/>
      <w:start w:val="1"/>
    </w:lvl>
  </w:abstractNum>
  <w:abstractNum w:abstractNumId="25">
    <w:nsid w:val="5C17530C"/>
    <w:multiLevelType w:val="hybridMultilevel"/>
    <w:lvl w:ilvl="0">
      <w:lvlJc w:val="left"/>
      <w:lvlText w:val="•"/>
      <w:numFmt w:val="bullet"/>
      <w:start w:val="1"/>
    </w:lvl>
  </w:abstractNum>
  <w:abstractNum w:abstractNumId="26">
    <w:nsid w:val="19A52566"/>
    <w:multiLevelType w:val="hybridMultilevel"/>
    <w:lvl w:ilvl="0">
      <w:lvlJc w:val="left"/>
      <w:lvlText w:val="•"/>
      <w:numFmt w:val="bullet"/>
      <w:start w:val="1"/>
    </w:lvl>
  </w:abstractNum>
  <w:abstractNum w:abstractNumId="27">
    <w:nsid w:val="335A1DF1"/>
    <w:multiLevelType w:val="hybridMultilevel"/>
    <w:lvl w:ilvl="0">
      <w:lvlJc w:val="left"/>
      <w:lvlText w:val="•"/>
      <w:numFmt w:val="bullet"/>
      <w:start w:val="1"/>
    </w:lvl>
  </w:abstractNum>
  <w:abstractNum w:abstractNumId="28">
    <w:nsid w:val="28677B7C"/>
    <w:multiLevelType w:val="hybridMultilevel"/>
    <w:lvl w:ilvl="0">
      <w:lvlJc w:val="left"/>
      <w:lvlText w:val="•"/>
      <w:numFmt w:val="bullet"/>
      <w:start w:val="1"/>
    </w:lvl>
  </w:abstractNum>
  <w:abstractNum w:abstractNumId="29">
    <w:nsid w:val="378D97C0"/>
    <w:multiLevelType w:val="hybridMultilevel"/>
    <w:lvl w:ilvl="0">
      <w:lvlJc w:val="left"/>
      <w:lvlText w:val="•"/>
      <w:numFmt w:val="bullet"/>
      <w:start w:val="1"/>
    </w:lvl>
  </w:abstractNum>
  <w:abstractNum w:abstractNumId="30">
    <w:nsid w:val="1D91467C"/>
    <w:multiLevelType w:val="hybridMultilevel"/>
    <w:lvl w:ilvl="0">
      <w:lvlJc w:val="left"/>
      <w:lvlText w:val="•"/>
      <w:numFmt w:val="bullet"/>
      <w:start w:val="1"/>
    </w:lvl>
  </w:abstractNum>
  <w:abstractNum w:abstractNumId="31">
    <w:nsid w:val="316032BB"/>
    <w:multiLevelType w:val="hybridMultilevel"/>
    <w:lvl w:ilvl="0">
      <w:lvlJc w:val="left"/>
      <w:lvlText w:val="•"/>
      <w:numFmt w:val="bullet"/>
      <w:start w:val="1"/>
    </w:lvl>
  </w:abstractNum>
  <w:abstractNum w:abstractNumId="32">
    <w:nsid w:val="44344C22"/>
    <w:multiLevelType w:val="hybridMultilevel"/>
    <w:lvl w:ilvl="0">
      <w:lvlJc w:val="left"/>
      <w:lvlText w:val="•"/>
      <w:numFmt w:val="bullet"/>
      <w:start w:val="1"/>
    </w:lvl>
  </w:abstractNum>
  <w:abstractNum w:abstractNumId="33">
    <w:nsid w:val="13CDFCFC"/>
    <w:multiLevelType w:val="hybridMultilevel"/>
    <w:lvl w:ilvl="0">
      <w:lvlJc w:val="left"/>
      <w:lvlText w:val="•"/>
      <w:numFmt w:val="bullet"/>
      <w:start w:val="1"/>
    </w:lvl>
  </w:abstractNum>
  <w:abstractNum w:abstractNumId="34">
    <w:nsid w:val="471745E4"/>
    <w:multiLevelType w:val="hybridMultilevel"/>
    <w:lvl w:ilvl="0">
      <w:lvlJc w:val="left"/>
      <w:lvlText w:val="•"/>
      <w:numFmt w:val="bullet"/>
      <w:start w:val="1"/>
    </w:lvl>
  </w:abstractNum>
  <w:abstractNum w:abstractNumId="35">
    <w:nsid w:val="1DDBC66"/>
    <w:multiLevelType w:val="hybridMultilevel"/>
    <w:lvl w:ilvl="0">
      <w:lvlJc w:val="left"/>
      <w:lvlText w:val="•"/>
      <w:numFmt w:val="bullet"/>
      <w:start w:val="1"/>
    </w:lvl>
  </w:abstractNum>
  <w:abstractNum w:abstractNumId="36">
    <w:nsid w:val="30AADFDA"/>
    <w:multiLevelType w:val="hybridMultilevel"/>
    <w:lvl w:ilvl="0">
      <w:lvlJc w:val="left"/>
      <w:lvlText w:val="•"/>
      <w:numFmt w:val="bullet"/>
      <w:start w:val="1"/>
    </w:lvl>
  </w:abstractNum>
  <w:abstractNum w:abstractNumId="37">
    <w:nsid w:val="30EADA61"/>
    <w:multiLevelType w:val="hybridMultilevel"/>
    <w:lvl w:ilvl="0">
      <w:lvlJc w:val="left"/>
      <w:lvlText w:val="•"/>
      <w:numFmt w:val="bullet"/>
      <w:start w:val="1"/>
    </w:lvl>
  </w:abstractNum>
  <w:abstractNum w:abstractNumId="38">
    <w:nsid w:val="27179C0B"/>
    <w:multiLevelType w:val="hybridMultilevel"/>
    <w:lvl w:ilvl="0">
      <w:lvlJc w:val="left"/>
      <w:lvlText w:val="•"/>
      <w:numFmt w:val="bullet"/>
      <w:start w:val="1"/>
    </w:lvl>
  </w:abstractNum>
  <w:abstractNum w:abstractNumId="39">
    <w:nsid w:val="5E636063"/>
    <w:multiLevelType w:val="hybridMultilevel"/>
    <w:lvl w:ilvl="0">
      <w:lvlJc w:val="left"/>
      <w:lvlText w:val="•"/>
      <w:numFmt w:val="bullet"/>
      <w:start w:val="1"/>
    </w:lvl>
  </w:abstractNum>
  <w:abstractNum w:abstractNumId="40">
    <w:nsid w:val="215641AF"/>
    <w:multiLevelType w:val="hybridMultilevel"/>
    <w:lvl w:ilvl="0">
      <w:lvlJc w:val="left"/>
      <w:lvlText w:val="•"/>
      <w:numFmt w:val="bullet"/>
      <w:start w:val="1"/>
    </w:lvl>
  </w:abstractNum>
  <w:abstractNum w:abstractNumId="41">
    <w:nsid w:val="53280662"/>
    <w:multiLevelType w:val="hybridMultilevel"/>
    <w:lvl w:ilvl="0">
      <w:lvlJc w:val="left"/>
      <w:lvlText w:val="•"/>
      <w:numFmt w:val="bullet"/>
      <w:start w:val="1"/>
    </w:lvl>
  </w:abstractNum>
  <w:abstractNum w:abstractNumId="42">
    <w:nsid w:val="46B24DBC"/>
    <w:multiLevelType w:val="hybridMultilevel"/>
    <w:lvl w:ilvl="0">
      <w:lvlJc w:val="left"/>
      <w:lvlText w:val="•"/>
      <w:numFmt w:val="bullet"/>
      <w:start w:val="1"/>
    </w:lvl>
  </w:abstractNum>
  <w:abstractNum w:abstractNumId="43">
    <w:nsid w:val="75B52783"/>
    <w:multiLevelType w:val="hybridMultilevel"/>
    <w:lvl w:ilvl="0">
      <w:lvlJc w:val="left"/>
      <w:lvlText w:val="•"/>
      <w:numFmt w:val="bullet"/>
      <w:start w:val="1"/>
    </w:lvl>
  </w:abstractNum>
  <w:abstractNum w:abstractNumId="44">
    <w:nsid w:val="57CE66B4"/>
    <w:multiLevelType w:val="hybridMultilevel"/>
    <w:lvl w:ilvl="0">
      <w:lvlJc w:val="left"/>
      <w:lvlText w:val="•"/>
      <w:numFmt w:val="bullet"/>
      <w:start w:val="1"/>
    </w:lvl>
  </w:abstractNum>
  <w:abstractNum w:abstractNumId="45">
    <w:nsid w:val="67A70B69"/>
    <w:multiLevelType w:val="hybridMultilevel"/>
    <w:lvl w:ilvl="0">
      <w:lvlJc w:val="left"/>
      <w:lvlText w:val="(%1)"/>
      <w:numFmt w:val="decimal"/>
      <w:start w:val="1"/>
    </w:lvl>
  </w:abstractNum>
  <w:abstractNum w:abstractNumId="46">
    <w:nsid w:val="5953172F"/>
    <w:multiLevelType w:val="hybridMultilevel"/>
    <w:lvl w:ilvl="0">
      <w:lvlJc w:val="left"/>
      <w:lvlText w:val="•"/>
      <w:numFmt w:val="bullet"/>
      <w:start w:val="1"/>
    </w:lvl>
  </w:abstractNum>
  <w:abstractNum w:abstractNumId="47">
    <w:nsid w:val="27EDFE3A"/>
    <w:multiLevelType w:val="hybridMultilevel"/>
    <w:lvl w:ilvl="0">
      <w:lvlJc w:val="left"/>
      <w:lvlText w:val="(%1)"/>
      <w:numFmt w:val="decimal"/>
      <w:start w:val="1"/>
    </w:lvl>
  </w:abstractNum>
  <w:abstractNum w:abstractNumId="48">
    <w:nsid w:val="52AC7DFF"/>
    <w:multiLevelType w:val="hybridMultilevel"/>
    <w:lvl w:ilvl="0">
      <w:lvlJc w:val="left"/>
      <w:lvlText w:val="•"/>
      <w:numFmt w:val="bullet"/>
      <w:start w:val="1"/>
    </w:lvl>
  </w:abstractNum>
  <w:abstractNum w:abstractNumId="49">
    <w:nsid w:val="C4C3AF"/>
    <w:multiLevelType w:val="hybridMultilevel"/>
    <w:lvl w:ilvl="0">
      <w:lvlJc w:val="left"/>
      <w:lvlText w:val="(%1)"/>
      <w:numFmt w:val="decimal"/>
      <w:start w:val="1"/>
    </w:lvl>
  </w:abstractNum>
  <w:abstractNum w:abstractNumId="50">
    <w:nsid w:val="44380727"/>
    <w:multiLevelType w:val="hybridMultilevel"/>
    <w:lvl w:ilvl="0">
      <w:lvlJc w:val="left"/>
      <w:lvlText w:val="(%1)"/>
      <w:numFmt w:val="decimal"/>
      <w:start w:val="1"/>
    </w:lvl>
  </w:abstractNum>
  <w:abstractNum w:abstractNumId="51">
    <w:nsid w:val="6C053B16"/>
    <w:multiLevelType w:val="hybridMultilevel"/>
    <w:lvl w:ilvl="0">
      <w:lvlJc w:val="left"/>
      <w:lvlText w:val="•"/>
      <w:numFmt w:val="bullet"/>
      <w:start w:val="1"/>
    </w:lvl>
  </w:abstractNum>
  <w:abstractNum w:abstractNumId="52">
    <w:nsid w:val="4F294393"/>
    <w:multiLevelType w:val="hybridMultilevel"/>
    <w:lvl w:ilvl="0">
      <w:lvlJc w:val="left"/>
      <w:lvlText w:val="•"/>
      <w:numFmt w:val="bullet"/>
      <w:start w:val="1"/>
    </w:lvl>
  </w:abstractNum>
  <w:abstractNum w:abstractNumId="53">
    <w:nsid w:val="5243BFAC"/>
    <w:multiLevelType w:val="hybridMultilevel"/>
    <w:lvl w:ilvl="0">
      <w:lvlJc w:val="left"/>
      <w:lvlText w:val="•"/>
      <w:numFmt w:val="bullet"/>
      <w:start w:val="1"/>
    </w:lvl>
  </w:abstractNum>
  <w:abstractNum w:abstractNumId="54">
    <w:nsid w:val="425EB207"/>
    <w:multiLevelType w:val="hybridMultilevel"/>
    <w:lvl w:ilvl="0">
      <w:lvlJc w:val="left"/>
      <w:lvlText w:val="•"/>
      <w:numFmt w:val="bullet"/>
      <w:start w:val="1"/>
    </w:lvl>
  </w:abstractNum>
  <w:abstractNum w:abstractNumId="55">
    <w:nsid w:val="334A6F1F"/>
    <w:multiLevelType w:val="hybridMultilevel"/>
    <w:lvl w:ilvl="0">
      <w:lvlJc w:val="left"/>
      <w:lvlText w:val="•"/>
      <w:numFmt w:val="bullet"/>
      <w:start w:val="1"/>
    </w:lvl>
  </w:abstractNum>
  <w:abstractNum w:abstractNumId="56">
    <w:nsid w:val="2E5B12B8"/>
    <w:multiLevelType w:val="hybridMultilevel"/>
    <w:lvl w:ilvl="0">
      <w:lvlJc w:val="left"/>
      <w:lvlText w:val="•"/>
      <w:numFmt w:val="bullet"/>
      <w:start w:val="1"/>
    </w:lvl>
  </w:abstractNum>
  <w:abstractNum w:abstractNumId="57">
    <w:nsid w:val="5C03D76D"/>
    <w:multiLevelType w:val="hybridMultilevel"/>
    <w:lvl w:ilvl="0">
      <w:lvlJc w:val="left"/>
      <w:lvlText w:val="•"/>
      <w:numFmt w:val="bullet"/>
      <w:start w:val="1"/>
    </w:lvl>
  </w:abstractNum>
  <w:abstractNum w:abstractNumId="58">
    <w:nsid w:val="66A48D11"/>
    <w:multiLevelType w:val="hybridMultilevel"/>
    <w:lvl w:ilvl="0">
      <w:lvlJc w:val="left"/>
      <w:lvlText w:val="•"/>
      <w:numFmt w:val="bullet"/>
      <w:start w:val="1"/>
    </w:lvl>
  </w:abstractNum>
  <w:abstractNum w:abstractNumId="59">
    <w:nsid w:val="56C28E34"/>
    <w:multiLevelType w:val="hybridMultilevel"/>
    <w:lvl w:ilvl="0">
      <w:lvlJc w:val="left"/>
      <w:lvlText w:val="•"/>
      <w:numFmt w:val="bullet"/>
      <w:start w:val="1"/>
    </w:lvl>
  </w:abstractNum>
  <w:abstractNum w:abstractNumId="60">
    <w:nsid w:val="13916F2D"/>
    <w:multiLevelType w:val="hybridMultilevel"/>
    <w:lvl w:ilvl="0">
      <w:lvlJc w:val="left"/>
      <w:lvlText w:val="•"/>
      <w:numFmt w:val="bullet"/>
      <w:start w:val="1"/>
    </w:lvl>
    <w:lvl w:ilvl="1">
      <w:lvlJc w:val="left"/>
      <w:lvlText w:val="•"/>
      <w:numFmt w:val="bullet"/>
      <w:start w:val="1"/>
    </w:lvl>
  </w:abstractNum>
  <w:abstractNum w:abstractNumId="61">
    <w:nsid w:val="435D38D"/>
    <w:multiLevelType w:val="hybridMultilevel"/>
    <w:lvl w:ilvl="0">
      <w:lvlJc w:val="left"/>
      <w:lvlText w:val="•"/>
      <w:numFmt w:val="bullet"/>
      <w:start w:val="1"/>
    </w:lvl>
  </w:abstractNum>
  <w:abstractNum w:abstractNumId="62">
    <w:nsid w:val="822C0EF"/>
    <w:multiLevelType w:val="hybridMultilevel"/>
    <w:lvl w:ilvl="0">
      <w:lvlJc w:val="left"/>
      <w:lvlText w:val="•"/>
      <w:numFmt w:val="bullet"/>
      <w:start w:val="1"/>
    </w:lvl>
  </w:abstractNum>
  <w:abstractNum w:abstractNumId="63">
    <w:nsid w:val="57C5BB4F"/>
    <w:multiLevelType w:val="hybridMultilevel"/>
    <w:lvl w:ilvl="0">
      <w:lvlJc w:val="left"/>
      <w:lvlText w:val="•"/>
      <w:numFmt w:val="bullet"/>
      <w:start w:val="1"/>
    </w:lvl>
  </w:abstractNum>
  <w:abstractNum w:abstractNumId="64">
    <w:nsid w:val="1803D089"/>
    <w:multiLevelType w:val="hybridMultilevel"/>
    <w:lvl w:ilvl="0">
      <w:lvlJc w:val="left"/>
      <w:lvlText w:val="•"/>
      <w:numFmt w:val="bullet"/>
      <w:start w:val="1"/>
    </w:lvl>
  </w:abstractNum>
  <w:abstractNum w:abstractNumId="65">
    <w:nsid w:val="4F3A06D4"/>
    <w:multiLevelType w:val="hybridMultilevel"/>
    <w:lvl w:ilvl="0">
      <w:lvlJc w:val="left"/>
      <w:lvlText w:val="•"/>
      <w:numFmt w:val="bullet"/>
      <w:start w:val="1"/>
    </w:lvl>
  </w:abstractNum>
  <w:abstractNum w:abstractNumId="66">
    <w:nsid w:val="59A377B6"/>
    <w:multiLevelType w:val="hybridMultilevel"/>
    <w:lvl w:ilvl="0">
      <w:lvlJc w:val="left"/>
      <w:lvlText w:val="•"/>
      <w:numFmt w:val="bullet"/>
      <w:start w:val="1"/>
    </w:lvl>
  </w:abstractNum>
  <w:abstractNum w:abstractNumId="67">
    <w:nsid w:val="48AEB063"/>
    <w:multiLevelType w:val="hybridMultilevel"/>
    <w:lvl w:ilvl="0">
      <w:lvlJc w:val="left"/>
      <w:lvlText w:val="•"/>
      <w:numFmt w:val="bullet"/>
      <w:start w:val="1"/>
    </w:lvl>
  </w:abstractNum>
  <w:abstractNum w:abstractNumId="68">
    <w:nsid w:val="24E135"/>
    <w:multiLevelType w:val="hybridMultilevel"/>
    <w:lvl w:ilvl="0">
      <w:lvlJc w:val="left"/>
      <w:lvlText w:val="•"/>
      <w:numFmt w:val="bullet"/>
      <w:start w:val="1"/>
    </w:lvl>
  </w:abstractNum>
  <w:abstractNum w:abstractNumId="69">
    <w:nsid w:val="BB13C1"/>
    <w:multiLevelType w:val="hybridMultilevel"/>
    <w:lvl w:ilvl="0">
      <w:lvlJc w:val="left"/>
      <w:lvlText w:val="•"/>
      <w:numFmt w:val="bullet"/>
      <w:start w:val="1"/>
    </w:lvl>
  </w:abstractNum>
  <w:abstractNum w:abstractNumId="70">
    <w:nsid w:val="271210C7"/>
    <w:multiLevelType w:val="hybridMultilevel"/>
    <w:lvl w:ilvl="0">
      <w:lvlJc w:val="left"/>
      <w:lvlText w:val="•"/>
      <w:numFmt w:val="bullet"/>
      <w:start w:val="1"/>
    </w:lvl>
  </w:abstractNum>
  <w:abstractNum w:abstractNumId="71">
    <w:nsid w:val="217B22E4"/>
    <w:multiLevelType w:val="hybridMultilevel"/>
    <w:lvl w:ilvl="0">
      <w:lvlJc w:val="left"/>
      <w:lvlText w:val="•"/>
      <w:numFmt w:val="bullet"/>
      <w:start w:val="1"/>
    </w:lvl>
  </w:abstractNum>
  <w:abstractNum w:abstractNumId="72">
    <w:nsid w:val="53E31A24"/>
    <w:multiLevelType w:val="hybridMultilevel"/>
    <w:lvl w:ilvl="0">
      <w:lvlJc w:val="left"/>
      <w:lvlText w:val="(%1)"/>
      <w:numFmt w:val="decimal"/>
      <w:start w:val="1"/>
    </w:lvl>
  </w:abstractNum>
  <w:abstractNum w:abstractNumId="73">
    <w:nsid w:val="6DC45E83"/>
    <w:multiLevelType w:val="hybridMultilevel"/>
    <w:lvl w:ilvl="0">
      <w:lvlJc w:val="left"/>
      <w:lvlText w:val="•"/>
      <w:numFmt w:val="bullet"/>
      <w:start w:val="1"/>
    </w:lvl>
  </w:abstractNum>
  <w:abstractNum w:abstractNumId="74">
    <w:nsid w:val="17304A67"/>
    <w:multiLevelType w:val="hybridMultilevel"/>
    <w:lvl w:ilvl="0">
      <w:lvlJc w:val="left"/>
      <w:lvlText w:val="(%1)"/>
      <w:numFmt w:val="decimal"/>
      <w:start w:val="2"/>
    </w:lvl>
  </w:abstractNum>
  <w:abstractNum w:abstractNumId="75">
    <w:nsid w:val="2BB180D8"/>
    <w:multiLevelType w:val="hybridMultilevel"/>
    <w:lvl w:ilvl="0">
      <w:lvlJc w:val="left"/>
      <w:lvlText w:val="(%1)"/>
      <w:numFmt w:val="decimal"/>
      <w:start w:val="1"/>
    </w:lvl>
  </w:abstractNum>
  <w:abstractNum w:abstractNumId="76">
    <w:nsid w:val="556B69ED"/>
    <w:multiLevelType w:val="hybridMultilevel"/>
    <w:lvl w:ilvl="0">
      <w:lvlJc w:val="left"/>
      <w:lvlText w:val="(%1)"/>
      <w:numFmt w:val="decimal"/>
      <w:start w:val="1"/>
    </w:lvl>
  </w:abstractNum>
  <w:abstractNum w:abstractNumId="77">
    <w:nsid w:val="70836196"/>
    <w:multiLevelType w:val="hybridMultilevel"/>
    <w:lvl w:ilvl="0">
      <w:lvlJc w:val="left"/>
      <w:lvlText w:val="(%1)"/>
      <w:numFmt w:val="lowerRoman"/>
      <w:start w:val="1"/>
    </w:lvl>
  </w:abstractNum>
  <w:abstractNum w:abstractNumId="78">
    <w:nsid w:val="539F7F12"/>
    <w:multiLevelType w:val="hybridMultilevel"/>
    <w:lvl w:ilvl="0">
      <w:lvlJc w:val="left"/>
      <w:lvlText w:val="(%1)"/>
      <w:numFmt w:val="decimal"/>
      <w:start w:val="1"/>
    </w:lvl>
  </w:abstractNum>
  <w:abstractNum w:abstractNumId="79">
    <w:nsid w:val="2817E7EC"/>
    <w:multiLevelType w:val="hybridMultilevel"/>
    <w:lvl w:ilvl="0">
      <w:lvlJc w:val="left"/>
      <w:lvlText w:val="•"/>
      <w:numFmt w:val="bullet"/>
      <w:start w:val="1"/>
    </w:lvl>
  </w:abstractNum>
  <w:abstractNum w:abstractNumId="80">
    <w:nsid w:val="71482545"/>
    <w:multiLevelType w:val="hybridMultilevel"/>
    <w:lvl w:ilvl="0">
      <w:lvlJc w:val="left"/>
      <w:lvlText w:val="•"/>
      <w:numFmt w:val="bullet"/>
      <w:start w:val="1"/>
    </w:lvl>
  </w:abstractNum>
  <w:abstractNum w:abstractNumId="81">
    <w:nsid w:val="17D78639"/>
    <w:multiLevelType w:val="hybridMultilevel"/>
    <w:lvl w:ilvl="0">
      <w:lvlJc w:val="left"/>
      <w:lvlText w:val="•"/>
      <w:numFmt w:val="bullet"/>
      <w:start w:val="1"/>
    </w:lvl>
  </w:abstractNum>
  <w:abstractNum w:abstractNumId="82">
    <w:nsid w:val="141D2302"/>
    <w:multiLevelType w:val="hybridMultilevel"/>
    <w:lvl w:ilvl="0">
      <w:lvlJc w:val="left"/>
      <w:lvlText w:val="•"/>
      <w:numFmt w:val="bullet"/>
      <w:start w:val="1"/>
    </w:lvl>
  </w:abstractNum>
  <w:abstractNum w:abstractNumId="83">
    <w:nsid w:val="407168D8"/>
    <w:multiLevelType w:val="hybridMultilevel"/>
    <w:lvl w:ilvl="0">
      <w:lvlJc w:val="left"/>
      <w:lvlText w:val="(%1)"/>
      <w:numFmt w:val="decimal"/>
      <w:start w:val="1"/>
    </w:lvl>
  </w:abstractNum>
  <w:abstractNum w:abstractNumId="84">
    <w:nsid w:val="6A1B45E5"/>
    <w:multiLevelType w:val="hybridMultilevel"/>
    <w:lvl w:ilvl="0">
      <w:lvlJc w:val="left"/>
      <w:lvlText w:val="(%1)"/>
      <w:numFmt w:val="decimal"/>
      <w:start w:val="3"/>
    </w:lvl>
    <w:lvl w:ilvl="1">
      <w:lvlJc w:val="left"/>
      <w:lvlText w:val="(%2)"/>
      <w:numFmt w:val="lowerRoman"/>
      <w:start w:val="2"/>
    </w:lvl>
  </w:abstractNum>
  <w:abstractNum w:abstractNumId="85">
    <w:nsid w:val="567BD50A"/>
    <w:multiLevelType w:val="hybridMultilevel"/>
    <w:lvl w:ilvl="0">
      <w:lvlJc w:val="left"/>
      <w:lvlText w:val="%1"/>
      <w:numFmt w:val="decimal"/>
      <w:start w:val="1"/>
    </w:lvl>
    <w:lvl w:ilvl="1">
      <w:lvlJc w:val="left"/>
      <w:lvlText w:val="(%2)"/>
      <w:numFmt w:val="lowerRoman"/>
      <w:start w:val="3"/>
    </w:lvl>
  </w:abstractNum>
  <w:abstractNum w:abstractNumId="86">
    <w:nsid w:val="73BBD7F8"/>
    <w:multiLevelType w:val="hybridMultilevel"/>
    <w:lvl w:ilvl="0">
      <w:lvlJc w:val="left"/>
      <w:lvlText w:val="(%1)"/>
      <w:numFmt w:val="decimal"/>
      <w:start w:val="8"/>
    </w:lvl>
    <w:lvl w:ilvl="1">
      <w:lvlJc w:val="left"/>
      <w:lvlText w:val="(%2)"/>
      <w:numFmt w:val="lowerRoman"/>
      <w:start w:val="2"/>
    </w:lvl>
  </w:abstractNum>
  <w:abstractNum w:abstractNumId="87">
    <w:nsid w:val="1876589D"/>
    <w:multiLevelType w:val="hybridMultilevel"/>
    <w:lvl w:ilvl="0">
      <w:lvlJc w:val="left"/>
      <w:lvlText w:val="•"/>
      <w:numFmt w:val="bullet"/>
      <w:start w:val="1"/>
    </w:lvl>
  </w:abstractNum>
  <w:abstractNum w:abstractNumId="88">
    <w:nsid w:val="327FAC77"/>
    <w:multiLevelType w:val="hybridMultilevel"/>
    <w:lvl w:ilvl="0">
      <w:lvlJc w:val="left"/>
      <w:lvlText w:val="•"/>
      <w:numFmt w:val="bullet"/>
      <w:start w:val="1"/>
    </w:lvl>
  </w:abstractNum>
  <w:abstractNum w:abstractNumId="89">
    <w:nsid w:val="5A606509"/>
    <w:multiLevelType w:val="hybridMultilevel"/>
    <w:lvl w:ilvl="0">
      <w:lvlJc w:val="left"/>
      <w:lvlText w:val="•"/>
      <w:numFmt w:val="bullet"/>
      <w:start w:val="1"/>
    </w:lvl>
  </w:abstractNum>
  <w:abstractNum w:abstractNumId="90">
    <w:nsid w:val="6F38E6D1"/>
    <w:multiLevelType w:val="hybridMultilevel"/>
    <w:lvl w:ilvl="0">
      <w:lvlJc w:val="left"/>
      <w:lvlText w:val="•"/>
      <w:numFmt w:val="bullet"/>
      <w:start w:val="1"/>
    </w:lvl>
  </w:abstractNum>
  <w:abstractNum w:abstractNumId="91">
    <w:nsid w:val="46111BA5"/>
    <w:multiLevelType w:val="hybridMultilevel"/>
    <w:lvl w:ilvl="0">
      <w:lvlJc w:val="left"/>
      <w:lvlText w:val="•"/>
      <w:numFmt w:val="bullet"/>
      <w:start w:val="1"/>
    </w:lvl>
  </w:abstractNum>
  <w:abstractNum w:abstractNumId="92">
    <w:nsid w:val="5E963896"/>
    <w:multiLevelType w:val="hybridMultilevel"/>
    <w:lvl w:ilvl="0">
      <w:lvlJc w:val="left"/>
      <w:lvlText w:val="•"/>
      <w:numFmt w:val="bullet"/>
      <w:start w:val="1"/>
    </w:lvl>
  </w:abstractNum>
  <w:abstractNum w:abstractNumId="93">
    <w:nsid w:val="775BA7C1"/>
    <w:multiLevelType w:val="hybridMultilevel"/>
    <w:lvl w:ilvl="0">
      <w:lvlJc w:val="left"/>
      <w:lvlText w:val="•"/>
      <w:numFmt w:val="bullet"/>
      <w:start w:val="1"/>
    </w:lvl>
  </w:abstractNum>
  <w:abstractNum w:abstractNumId="94">
    <w:nsid w:val="1DD6D6F4"/>
    <w:multiLevelType w:val="hybridMultilevel"/>
    <w:lvl w:ilvl="0">
      <w:lvlJc w:val="left"/>
      <w:lvlText w:val="•"/>
      <w:numFmt w:val="bullet"/>
      <w:start w:val="1"/>
    </w:lvl>
  </w:abstractNum>
  <w:abstractNum w:abstractNumId="95">
    <w:nsid w:val="769A091F"/>
    <w:multiLevelType w:val="hybridMultilevel"/>
    <w:lvl w:ilvl="0">
      <w:lvlJc w:val="left"/>
      <w:lvlText w:val="•"/>
      <w:numFmt w:val="bullet"/>
      <w:start w:val="1"/>
    </w:lvl>
  </w:abstractNum>
  <w:abstractNum w:abstractNumId="96">
    <w:nsid w:val="4695AE95"/>
    <w:multiLevelType w:val="hybridMultilevel"/>
    <w:lvl w:ilvl="0">
      <w:lvlJc w:val="left"/>
      <w:lvlText w:val="•"/>
      <w:numFmt w:val="bullet"/>
      <w:start w:val="1"/>
    </w:lvl>
  </w:abstractNum>
  <w:abstractNum w:abstractNumId="97">
    <w:nsid w:val="777A4EAA"/>
    <w:multiLevelType w:val="hybridMultilevel"/>
    <w:lvl w:ilvl="0">
      <w:lvlJc w:val="left"/>
      <w:lvlText w:val="•"/>
      <w:numFmt w:val="bullet"/>
      <w:start w:val="1"/>
    </w:lvl>
  </w:abstractNum>
  <w:abstractNum w:abstractNumId="98">
    <w:nsid w:val="3F48B982"/>
    <w:multiLevelType w:val="hybridMultilevel"/>
    <w:lvl w:ilvl="0">
      <w:lvlJc w:val="left"/>
      <w:lvlText w:val="•"/>
      <w:numFmt w:val="bullet"/>
      <w:start w:val="1"/>
    </w:lvl>
  </w:abstractNum>
  <w:abstractNum w:abstractNumId="99">
    <w:nsid w:val="46BA8FCA"/>
    <w:multiLevelType w:val="hybridMultilevel"/>
    <w:lvl w:ilvl="0">
      <w:lvlJc w:val="left"/>
      <w:lvlText w:val="(%1)"/>
      <w:numFmt w:val="decimal"/>
      <w:start w:val="1"/>
    </w:lvl>
  </w:abstractNum>
  <w:abstractNum w:abstractNumId="100">
    <w:nsid w:val="7835626C"/>
    <w:multiLevelType w:val="hybridMultilevel"/>
    <w:lvl w:ilvl="0">
      <w:lvlJc w:val="left"/>
      <w:lvlText w:val="(%1)"/>
      <w:numFmt w:val="decimal"/>
      <w:start w:val="1"/>
    </w:lvl>
  </w:abstractNum>
  <w:abstractNum w:abstractNumId="101">
    <w:nsid w:val="665ACA49"/>
    <w:multiLevelType w:val="hybridMultilevel"/>
    <w:lvl w:ilvl="0">
      <w:lvlJc w:val="left"/>
      <w:lvlText w:val="%1."/>
      <w:numFmt w:val="decimal"/>
      <w:start w:val="4"/>
    </w:lvl>
  </w:abstractNum>
  <w:abstractNum w:abstractNumId="102">
    <w:nsid w:val="6835B2AE"/>
    <w:multiLevelType w:val="hybridMultilevel"/>
    <w:lvl w:ilvl="0">
      <w:lvlJc w:val="left"/>
      <w:lvlText w:val="%1."/>
      <w:numFmt w:val="decimal"/>
      <w:start w:val="5"/>
    </w:lvl>
  </w:abstractNum>
  <w:abstractNum w:abstractNumId="103">
    <w:nsid w:val="4C187C90"/>
    <w:multiLevelType w:val="hybridMultilevel"/>
    <w:lvl w:ilvl="0">
      <w:lvlJc w:val="left"/>
      <w:lvlText w:val="(%1)"/>
      <w:numFmt w:val="lowerRoman"/>
      <w:start w:val="2"/>
    </w:lvl>
  </w:abstractNum>
  <w:abstractNum w:abstractNumId="104">
    <w:nsid w:val="541F28CD"/>
    <w:multiLevelType w:val="hybridMultilevel"/>
    <w:lvl w:ilvl="0">
      <w:lvlJc w:val="left"/>
      <w:lvlText w:val="%1."/>
      <w:numFmt w:val="decimal"/>
      <w:start w:val="7"/>
    </w:lvl>
  </w:abstractNum>
  <w:abstractNum w:abstractNumId="105">
    <w:nsid w:val="7F65FD16"/>
    <w:multiLevelType w:val="hybridMultilevel"/>
    <w:lvl w:ilvl="0">
      <w:lvlJc w:val="left"/>
      <w:lvlText w:val="%1."/>
      <w:numFmt w:val="decimal"/>
      <w:start w:val="8"/>
    </w:lvl>
  </w:abstractNum>
  <w:abstractNum w:abstractNumId="106">
    <w:nsid w:val="77C9FD68"/>
    <w:multiLevelType w:val="hybridMultilevel"/>
    <w:lvl w:ilvl="0">
      <w:lvlJc w:val="left"/>
      <w:lvlText w:val="%1."/>
      <w:numFmt w:val="decimal"/>
      <w:start w:val="10"/>
    </w:lvl>
  </w:abstractNum>
  <w:abstractNum w:abstractNumId="107">
    <w:nsid w:val="298A92BA"/>
    <w:multiLevelType w:val="hybridMultilevel"/>
    <w:lvl w:ilvl="0">
      <w:lvlJc w:val="left"/>
      <w:lvlText w:val="(%1)"/>
      <w:numFmt w:val="lowerRoman"/>
      <w:start w:val="4"/>
    </w:lvl>
  </w:abstractNum>
  <w:abstractNum w:abstractNumId="108">
    <w:nsid w:val="6FE95EAC"/>
    <w:multiLevelType w:val="hybridMultilevel"/>
    <w:lvl w:ilvl="0">
      <w:lvlJc w:val="left"/>
      <w:lvlText w:val="%1)"/>
      <w:numFmt w:val="lowerLetter"/>
      <w:start w:val="1"/>
    </w:lvl>
  </w:abstractNum>
  <w:abstractNum w:abstractNumId="109">
    <w:nsid w:val="4B697C7A"/>
    <w:multiLevelType w:val="hybridMultilevel"/>
    <w:lvl w:ilvl="0">
      <w:lvlJc w:val="left"/>
      <w:lvlText w:val="%1)"/>
      <w:numFmt w:val="lowerLetter"/>
      <w:start w:val="4"/>
    </w:lvl>
  </w:abstractNum>
  <w:abstractNum w:abstractNumId="110">
    <w:nsid w:val="51A27AA6"/>
    <w:multiLevelType w:val="hybridMultilevel"/>
    <w:lvl w:ilvl="0">
      <w:lvlJc w:val="left"/>
      <w:lvlText w:val="†"/>
      <w:numFmt w:val="bullet"/>
      <w:start w:val="1"/>
    </w:lvl>
    <w:lvl w:ilvl="1">
      <w:lvlJc w:val="left"/>
      <w:lvlText w:val="(%2)"/>
      <w:numFmt w:val="lowerLetter"/>
      <w:start w:val="2"/>
    </w:lvl>
  </w:abstractNum>
  <w:abstractNum w:abstractNumId="111">
    <w:nsid w:val="613183F2"/>
    <w:multiLevelType w:val="hybridMultilevel"/>
    <w:lvl w:ilvl="0">
      <w:lvlJc w:val="left"/>
      <w:lvlText w:val="(%1)"/>
      <w:numFmt w:val="decimal"/>
      <w:start w:val="1"/>
    </w:lvl>
  </w:abstractNum>
  <w:abstractNum w:abstractNumId="112">
    <w:nsid w:val="634102B4"/>
    <w:multiLevelType w:val="hybridMultilevel"/>
    <w:lvl w:ilvl="0">
      <w:lvlJc w:val="left"/>
      <w:lvlText w:val="(%1)"/>
      <w:numFmt w:val="lowerLetter"/>
      <w:start w:val="1"/>
    </w:lvl>
  </w:abstractNum>
  <w:abstractNum w:abstractNumId="113">
    <w:nsid w:val="65BF9DA8"/>
    <w:multiLevelType w:val="hybridMultilevel"/>
    <w:lvl w:ilvl="0">
      <w:lvlJc w:val="left"/>
      <w:lvlText w:val="(%1)"/>
      <w:numFmt w:val="lowerLetter"/>
      <w:start w:val="2"/>
    </w:lvl>
  </w:abstractNum>
  <w:abstractNum w:abstractNumId="114">
    <w:nsid w:val="21A2ECCA"/>
    <w:multiLevelType w:val="hybridMultilevel"/>
    <w:lvl w:ilvl="0">
      <w:lvlJc w:val="left"/>
      <w:lvlText w:val="%1"/>
      <w:numFmt w:val="decimal"/>
      <w:start w:val="1"/>
    </w:lvl>
    <w:lvl w:ilvl="1">
      <w:lvlJc w:val="left"/>
      <w:lvlText w:val="(%2)"/>
      <w:numFmt w:val="lowerLetter"/>
      <w:start w:val="6"/>
    </w:lvl>
  </w:abstractNum>
  <w:abstractNum w:abstractNumId="115">
    <w:nsid w:val="4D5C4899"/>
    <w:multiLevelType w:val="hybridMultilevel"/>
    <w:lvl w:ilvl="0">
      <w:lvlJc w:val="left"/>
      <w:lvlText w:val="(%1)"/>
      <w:numFmt w:val="decimal"/>
      <w:start w:val="19"/>
    </w:lvl>
    <w:lvl w:ilvl="1">
      <w:lvlJc w:val="left"/>
      <w:lvlText w:val="(%2)"/>
      <w:numFmt w:val="lowerLetter"/>
      <w:start w:val="7"/>
    </w:lvl>
  </w:abstractNum>
  <w:abstractNum w:abstractNumId="116">
    <w:nsid w:val="3C3B72B2"/>
    <w:multiLevelType w:val="hybridMultilevel"/>
    <w:lvl w:ilvl="0">
      <w:lvlJc w:val="left"/>
      <w:lvlText w:val="(%1)"/>
      <w:numFmt w:val="lowerRoman"/>
      <w:start w:val="1"/>
    </w:lvl>
  </w:abstractNum>
  <w:abstractNum w:abstractNumId="117">
    <w:nsid w:val="155EC4C2"/>
    <w:multiLevelType w:val="hybridMultilevel"/>
    <w:lvl w:ilvl="0">
      <w:lvlJc w:val="left"/>
      <w:lvlText w:val="(%1)"/>
      <w:numFmt w:val="lowerLetter"/>
      <w:start w:val="8"/>
    </w:lvl>
  </w:abstractNum>
  <w:abstractNum w:abstractNumId="118">
    <w:nsid w:val="65D2A137"/>
    <w:multiLevelType w:val="hybridMultilevel"/>
    <w:lvl w:ilvl="0">
      <w:lvlJc w:val="left"/>
      <w:lvlText w:val="%1"/>
      <w:numFmt w:val="upperLetter"/>
      <w:start w:val="1"/>
    </w:lvl>
    <w:lvl w:ilvl="1">
      <w:lvlJc w:val="left"/>
      <w:lvlText w:val="(%2)"/>
      <w:numFmt w:val="lowerLetter"/>
      <w:start w:val="13"/>
    </w:lvl>
  </w:abstractNum>
  <w:abstractNum w:abstractNumId="119">
    <w:nsid w:val="6EBB1F2A"/>
    <w:multiLevelType w:val="hybridMultilevel"/>
    <w:lvl w:ilvl="0">
      <w:lvlJc w:val="left"/>
      <w:lvlText w:val="(%1)"/>
      <w:numFmt w:val="upperLetter"/>
      <w:start w:val="1"/>
    </w:lvl>
    <w:lvl w:ilvl="1">
      <w:lvlJc w:val="left"/>
      <w:lvlText w:val="(%2)"/>
      <w:numFmt w:val="lowerLetter"/>
      <w:start w:val="14"/>
    </w:lvl>
  </w:abstractNum>
  <w:abstractNum w:abstractNumId="120">
    <w:nsid w:val="6FBF29CB"/>
    <w:multiLevelType w:val="hybridMultilevel"/>
    <w:lvl w:ilvl="0">
      <w:lvlJc w:val="left"/>
      <w:lvlText w:val="(%1)"/>
      <w:numFmt w:val="lowerLetter"/>
      <w:start w:val="16"/>
    </w:lvl>
  </w:abstractNum>
  <w:abstractNum w:abstractNumId="121">
    <w:nsid w:val="550B8808"/>
    <w:multiLevelType w:val="hybridMultilevel"/>
    <w:lvl w:ilvl="0">
      <w:lvlJc w:val="left"/>
      <w:lvlText w:val="(%1)"/>
      <w:numFmt w:val="lowerLetter"/>
      <w:start w:val="22"/>
    </w:lvl>
  </w:abstractNum>
  <w:abstractNum w:abstractNumId="122">
    <w:nsid w:val="34CC3ACF"/>
    <w:multiLevelType w:val="hybridMultilevel"/>
    <w:lvl w:ilvl="0">
      <w:lvlJc w:val="left"/>
      <w:lvlText w:val="(%1)"/>
      <w:numFmt w:val="lowerLetter"/>
      <w:start w:val="25"/>
    </w:lvl>
  </w:abstractNum>
  <w:abstractNum w:abstractNumId="123">
    <w:nsid w:val="4E556261"/>
    <w:multiLevelType w:val="hybridMultilevel"/>
    <w:lvl w:ilvl="0">
      <w:lvlJc w:val="left"/>
      <w:lvlText w:val="(%1)"/>
      <w:numFmt w:val="lowerLetter"/>
      <w:start w:val="27"/>
    </w:lvl>
  </w:abstractNum>
  <w:abstractNum w:abstractNumId="124">
    <w:nsid w:val="4C672FC9"/>
    <w:multiLevelType w:val="hybridMultilevel"/>
    <w:lvl w:ilvl="0">
      <w:lvlJc w:val="left"/>
      <w:lvlText w:val="%1"/>
      <w:numFmt w:val="lowerLetter"/>
      <w:start w:val="1"/>
    </w:lvl>
    <w:lvl w:ilvl="1">
      <w:lvlJc w:val="left"/>
      <w:lvlText w:val="(%2)"/>
      <w:numFmt w:val="lowerLetter"/>
      <w:start w:val="28"/>
    </w:lvl>
  </w:abstractNum>
  <w:abstractNum w:abstractNumId="125">
    <w:nsid w:val="52A311C3"/>
    <w:multiLevelType w:val="hybridMultilevel"/>
    <w:lvl w:ilvl="0">
      <w:lvlJc w:val="left"/>
      <w:lvlText w:val="(%1)"/>
      <w:numFmt w:val="lowerLetter"/>
      <w:start w:val="61"/>
    </w:lvl>
    <w:lvl w:ilvl="1">
      <w:lvlJc w:val="left"/>
      <w:lvlText w:val="%2"/>
      <w:numFmt w:val="lowerLetter"/>
      <w:start w:val="1"/>
    </w:lvl>
  </w:abstractNum>
  <w:abstractNum w:abstractNumId="126">
    <w:nsid w:val="44EF6B80"/>
    <w:multiLevelType w:val="hybridMultilevel"/>
    <w:lvl w:ilvl="0">
      <w:lvlJc w:val="left"/>
      <w:lvlText w:val="(%1)"/>
      <w:numFmt w:val="lowerLetter"/>
      <w:start w:val="29"/>
    </w:lvl>
  </w:abstractNum>
  <w:abstractNum w:abstractNumId="127">
    <w:nsid w:val="12FCDE5E"/>
    <w:multiLevelType w:val="hybridMultilevel"/>
    <w:lvl w:ilvl="0">
      <w:lvlJc w:val="left"/>
      <w:lvlText w:val="(%1)"/>
      <w:numFmt w:val="lowerLetter"/>
      <w:start w:val="33"/>
    </w:lvl>
  </w:abstractNum>
  <w:abstractNum w:abstractNumId="128">
    <w:nsid w:val="4A1D606E"/>
    <w:multiLevelType w:val="hybridMultilevel"/>
    <w:lvl w:ilvl="0">
      <w:lvlJc w:val="left"/>
      <w:lvlText w:val="(%1)"/>
      <w:numFmt w:val="lowerLetter"/>
      <w:start w:val="24"/>
    </w:lvl>
    <w:lvl w:ilvl="1">
      <w:lvlJc w:val="left"/>
      <w:lvlText w:val="(%2)"/>
      <w:numFmt w:val="lowerLetter"/>
      <w:start w:val="34"/>
    </w:lvl>
  </w:abstractNum>
  <w:abstractNum w:abstractNumId="129">
    <w:nsid w:val="4382503"/>
    <w:multiLevelType w:val="hybridMultilevel"/>
    <w:lvl w:ilvl="0">
      <w:lvlJc w:val="left"/>
      <w:lvlText w:val="(%1)"/>
      <w:numFmt w:val="lowerLetter"/>
      <w:start w:val="37"/>
    </w:lvl>
  </w:abstractNum>
  <w:abstractNum w:abstractNumId="130">
    <w:nsid w:val="59B76E28"/>
    <w:multiLevelType w:val="hybridMultilevel"/>
    <w:lvl w:ilvl="0">
      <w:lvlJc w:val="left"/>
      <w:lvlText w:val="%1."/>
      <w:numFmt w:val="decimal"/>
      <w:start w:val="2"/>
    </w:lvl>
  </w:abstractNum>
  <w:abstractNum w:abstractNumId="131">
    <w:nsid w:val="4252C2DA"/>
    <w:multiLevelType w:val="hybridMultilevel"/>
    <w:lvl w:ilvl="0">
      <w:lvlJc w:val="left"/>
      <w:lvlText w:val="%1."/>
      <w:numFmt w:val="decimal"/>
      <w:start w:val="3"/>
    </w:lvl>
  </w:abstractNum>
  <w:abstractNum w:abstractNumId="132">
    <w:nsid w:val="6A92EF4C"/>
    <w:multiLevelType w:val="hybridMultilevel"/>
    <w:lvl w:ilvl="0">
      <w:lvlJc w:val="left"/>
      <w:lvlText w:val="%1."/>
      <w:numFmt w:val="decimal"/>
      <w:start w:val="4"/>
    </w:lvl>
  </w:abstractNum>
  <w:abstractNum w:abstractNumId="133">
    <w:nsid w:val="41ED20D7"/>
    <w:multiLevelType w:val="hybridMultilevel"/>
    <w:lvl w:ilvl="0">
      <w:lvlJc w:val="left"/>
      <w:lvlText w:val="(%1)"/>
      <w:numFmt w:val="lowerLetter"/>
      <w:start w:val="2"/>
    </w:lvl>
  </w:abstractNum>
  <w:abstractNum w:abstractNumId="134">
    <w:nsid w:val="E6B3F6A"/>
    <w:multiLevelType w:val="hybridMultilevel"/>
    <w:lvl w:ilvl="0">
      <w:lvlJc w:val="left"/>
      <w:lvlText w:val="(%1)"/>
      <w:numFmt w:val="lowerLetter"/>
      <w:start w:val="1"/>
    </w:lvl>
  </w:abstractNum>
  <w:abstractNum w:abstractNumId="135">
    <w:nsid w:val="3EB21819"/>
    <w:multiLevelType w:val="hybridMultilevel"/>
    <w:lvl w:ilvl="0">
      <w:lvlJc w:val="left"/>
      <w:lvlText w:val="(%1)"/>
      <w:numFmt w:val="lowerLetter"/>
      <w:start w:val="2"/>
    </w:lvl>
  </w:abstractNum>
  <w:abstractNum w:abstractNumId="136">
    <w:nsid w:val="41531DED"/>
    <w:multiLevelType w:val="hybridMultilevel"/>
    <w:lvl w:ilvl="0">
      <w:lvlJc w:val="left"/>
      <w:lvlText w:val="(%1)"/>
      <w:numFmt w:val="lowerLetter"/>
      <w:start w:val="4"/>
    </w:lvl>
  </w:abstractNum>
  <w:abstractNum w:abstractNumId="137">
    <w:nsid w:val="6353CD2"/>
    <w:multiLevelType w:val="hybridMultilevel"/>
    <w:lvl w:ilvl="0">
      <w:lvlJc w:val="left"/>
      <w:lvlText w:val="(%1)"/>
      <w:numFmt w:val="lowerLetter"/>
      <w:start w:val="7"/>
    </w:lvl>
  </w:abstractNum>
  <w:abstractNum w:abstractNumId="138">
    <w:nsid w:val="683CAAD3"/>
    <w:multiLevelType w:val="hybridMultilevel"/>
    <w:lvl w:ilvl="0">
      <w:lvlJc w:val="left"/>
      <w:lvlText w:val="(%1)"/>
      <w:numFmt w:val="lowerLetter"/>
      <w:start w:val="8"/>
    </w:lvl>
  </w:abstractNum>
  <w:abstractNum w:abstractNumId="139">
    <w:nsid w:val="313C7C99"/>
    <w:multiLevelType w:val="hybridMultilevel"/>
    <w:lvl w:ilvl="0">
      <w:lvlJc w:val="left"/>
      <w:lvlText w:val="(%1)"/>
      <w:numFmt w:val="lowerLetter"/>
      <w:start w:val="15"/>
    </w:lvl>
  </w:abstractNum>
  <w:abstractNum w:abstractNumId="140">
    <w:nsid w:val="519EB94C"/>
    <w:multiLevelType w:val="hybridMultilevel"/>
    <w:lvl w:ilvl="0">
      <w:lvlJc w:val="left"/>
      <w:lvlText w:val="%1."/>
      <w:numFmt w:val="decimal"/>
      <w:start w:val="6"/>
    </w:lvl>
  </w:abstractNum>
  <w:abstractNum w:abstractNumId="141">
    <w:nsid w:val="39DF2579"/>
    <w:multiLevelType w:val="hybridMultilevel"/>
    <w:lvl w:ilvl="0">
      <w:lvlJc w:val="left"/>
      <w:lvlText w:val="(%1)"/>
      <w:numFmt w:val="lowerLetter"/>
      <w:start w:val="2"/>
    </w:lvl>
  </w:abstractNum>
  <w:abstractNum w:abstractNumId="142">
    <w:nsid w:val="126E008B"/>
    <w:multiLevelType w:val="hybridMultilevel"/>
    <w:lvl w:ilvl="0">
      <w:lvlJc w:val="left"/>
      <w:lvlText w:val="(%1)"/>
      <w:numFmt w:val="lowerLetter"/>
      <w:start w:val="5"/>
    </w:lvl>
  </w:abstractNum>
  <w:abstractNum w:abstractNumId="143">
    <w:nsid w:val="34DFBC00"/>
    <w:multiLevelType w:val="hybridMultilevel"/>
    <w:lvl w:ilvl="0">
      <w:lvlJc w:val="left"/>
      <w:lvlText w:val="%1."/>
      <w:numFmt w:val="decimal"/>
      <w:start w:val="7"/>
    </w:lvl>
  </w:abstractNum>
  <w:abstractNum w:abstractNumId="144">
    <w:nsid w:val="1F9EC322"/>
    <w:multiLevelType w:val="hybridMultilevel"/>
    <w:lvl w:ilvl="0">
      <w:lvlJc w:val="left"/>
      <w:lvlText w:val="(%1)"/>
      <w:numFmt w:val="upperLetter"/>
      <w:start w:val="2"/>
    </w:lvl>
    <w:lvl w:ilvl="1">
      <w:lvlJc w:val="left"/>
      <w:lvlText w:val="%2."/>
      <w:numFmt w:val="decimal"/>
      <w:start w:val="8"/>
    </w:lvl>
    <w:lvl w:ilvl="2">
      <w:lvlJc w:val="left"/>
      <w:lvlText w:val="(%3)"/>
      <w:numFmt w:val="lowerLetter"/>
      <w:start w:val="1"/>
    </w:lvl>
  </w:abstractNum>
  <w:abstractNum w:abstractNumId="145">
    <w:nsid w:val="3410ED56"/>
    <w:multiLevelType w:val="hybridMultilevel"/>
    <w:lvl w:ilvl="0">
      <w:lvlJc w:val="left"/>
      <w:lvlText w:val="%1"/>
      <w:numFmt w:val="upperLetter"/>
      <w:start w:val="1"/>
    </w:lvl>
    <w:lvl w:ilvl="1">
      <w:lvlJc w:val="left"/>
      <w:lvlText w:val="(%2)"/>
      <w:numFmt w:val="lowerLetter"/>
      <w:start w:val="2"/>
    </w:lvl>
  </w:abstractNum>
  <w:abstractNum w:abstractNumId="146">
    <w:nsid w:val="23C049A"/>
    <w:multiLevelType w:val="hybridMultilevel"/>
    <w:lvl w:ilvl="0">
      <w:lvlJc w:val="left"/>
      <w:lvlText w:val="(%1)"/>
      <w:numFmt w:val="upperLetter"/>
      <w:start w:val="1"/>
    </w:lvl>
    <w:lvl w:ilvl="1">
      <w:lvlJc w:val="left"/>
      <w:lvlText w:val="%2"/>
      <w:numFmt w:val="lowerLetter"/>
      <w:start w:val="1"/>
    </w:lvl>
  </w:abstractNum>
  <w:abstractNum w:abstractNumId="147">
    <w:nsid w:val="5BDA35D4"/>
    <w:multiLevelType w:val="hybridMultilevel"/>
    <w:lvl w:ilvl="0">
      <w:lvlJc w:val="left"/>
      <w:lvlText w:val="%1"/>
      <w:numFmt w:val="lowerLetter"/>
      <w:start w:val="1"/>
    </w:lvl>
    <w:lvl w:ilvl="1">
      <w:lvlJc w:val="left"/>
      <w:lvlText w:val="(%2)"/>
      <w:numFmt w:val="lowerLetter"/>
      <w:start w:val="7"/>
    </w:lvl>
  </w:abstractNum>
  <w:abstractNum w:abstractNumId="148">
    <w:nsid w:val="496FB218"/>
    <w:multiLevelType w:val="hybridMultilevel"/>
    <w:lvl w:ilvl="0">
      <w:lvlJc w:val="left"/>
      <w:lvlText w:val="(%1)"/>
      <w:numFmt w:val="lowerLetter"/>
      <w:start w:val="61"/>
    </w:lvl>
    <w:lvl w:ilvl="1">
      <w:lvlJc w:val="left"/>
      <w:lvlText w:val="(%2)"/>
      <w:numFmt w:val="lowerLetter"/>
      <w:start w:val="9"/>
    </w:lvl>
  </w:abstractNum>
  <w:abstractNum w:abstractNumId="149">
    <w:nsid w:val="680EA5D1"/>
    <w:multiLevelType w:val="hybridMultilevel"/>
    <w:lvl w:ilvl="0">
      <w:lvlJc w:val="left"/>
      <w:lvlText w:val="%1."/>
      <w:numFmt w:val="decimal"/>
      <w:start w:val="9"/>
    </w:lvl>
  </w:abstractNum>
  <w:abstractNum w:abstractNumId="150">
    <w:nsid w:val="4A9554FE"/>
    <w:multiLevelType w:val="hybridMultilevel"/>
    <w:lvl w:ilvl="0">
      <w:lvlJc w:val="left"/>
      <w:lvlText w:val="(%1)"/>
      <w:numFmt w:val="lowerLetter"/>
      <w:start w:val="2"/>
    </w:lvl>
  </w:abstractNum>
  <w:abstractNum w:abstractNumId="151">
    <w:nsid w:val="392EDBE4"/>
    <w:multiLevelType w:val="hybridMultilevel"/>
    <w:lvl w:ilvl="0">
      <w:lvlJc w:val="left"/>
      <w:lvlText w:val="(%1)"/>
      <w:numFmt w:val="lowerLetter"/>
      <w:start w:val="3"/>
    </w:lvl>
  </w:abstractNum>
  <w:abstractNum w:abstractNumId="152">
    <w:nsid w:val="3D1A2DD9"/>
    <w:multiLevelType w:val="hybridMultilevel"/>
    <w:lvl w:ilvl="0">
      <w:lvlJc w:val="left"/>
      <w:lvlText w:val="(%1)"/>
      <w:numFmt w:val="lowerLetter"/>
      <w:start w:val="4"/>
    </w:lvl>
  </w:abstractNum>
  <w:abstractNum w:abstractNumId="153">
    <w:nsid w:val="7F618FCD"/>
    <w:multiLevelType w:val="hybridMultilevel"/>
    <w:lvl w:ilvl="0">
      <w:lvlJc w:val="left"/>
      <w:lvlText w:val="(%1)"/>
      <w:numFmt w:val="lowerLetter"/>
      <w:start w:val="5"/>
    </w:lvl>
  </w:abstractNum>
  <w:abstractNum w:abstractNumId="154">
    <w:nsid w:val="7843E45"/>
    <w:multiLevelType w:val="hybridMultilevel"/>
    <w:lvl w:ilvl="0">
      <w:lvlJc w:val="left"/>
      <w:lvlText w:val="(%1)"/>
      <w:numFmt w:val="lowerRoman"/>
      <w:start w:val="1"/>
    </w:lvl>
  </w:abstractNum>
  <w:abstractNum w:abstractNumId="155">
    <w:nsid w:val="9815DA3"/>
    <w:multiLevelType w:val="hybridMultilevel"/>
    <w:lvl w:ilvl="0">
      <w:lvlJc w:val="left"/>
      <w:lvlText w:val="(%1)"/>
      <w:numFmt w:val="lowerRoman"/>
      <w:start w:val="1"/>
    </w:lvl>
  </w:abstractNum>
  <w:abstractNum w:abstractNumId="156">
    <w:nsid w:val="5204A191"/>
    <w:multiLevelType w:val="hybridMultilevel"/>
    <w:lvl w:ilvl="0">
      <w:lvlJc w:val="left"/>
      <w:lvlText w:val="(%1)"/>
      <w:numFmt w:val="lowerRoman"/>
      <w:start w:val="3"/>
    </w:lvl>
  </w:abstractNum>
  <w:abstractNum w:abstractNumId="157">
    <w:nsid w:val="4C73A9C6"/>
    <w:multiLevelType w:val="hybridMultilevel"/>
    <w:lvl w:ilvl="0">
      <w:lvlJc w:val="left"/>
      <w:lvlText w:val="%1."/>
      <w:numFmt w:val="decimal"/>
      <w:start w:val="10"/>
    </w:lvl>
  </w:abstractNum>
  <w:abstractNum w:abstractNumId="158">
    <w:nsid w:val="1C7E3C01"/>
    <w:multiLevelType w:val="hybridMultilevel"/>
    <w:lvl w:ilvl="0">
      <w:lvlJc w:val="left"/>
      <w:lvlText w:val="(%1)"/>
      <w:numFmt w:val="lowerLetter"/>
      <w:start w:val="2"/>
    </w:lvl>
  </w:abstractNum>
  <w:abstractNum w:abstractNumId="159">
    <w:nsid w:val="1C2201FF"/>
    <w:multiLevelType w:val="hybridMultilevel"/>
    <w:lvl w:ilvl="0">
      <w:lvlJc w:val="left"/>
      <w:lvlText w:val="%1."/>
      <w:numFmt w:val="decimal"/>
      <w:start w:val="11"/>
    </w:lvl>
  </w:abstractNum>
  <w:abstractNum w:abstractNumId="160">
    <w:nsid w:val="50ABCEC9"/>
    <w:multiLevelType w:val="hybridMultilevel"/>
    <w:lvl w:ilvl="0">
      <w:lvlJc w:val="left"/>
      <w:lvlText w:val="%1."/>
      <w:numFmt w:val="decimal"/>
      <w:start w:val="14"/>
    </w:lvl>
  </w:abstractNum>
  <w:abstractNum w:abstractNumId="161">
    <w:nsid w:val="7635AA2A"/>
    <w:multiLevelType w:val="hybridMultilevel"/>
    <w:lvl w:ilvl="0">
      <w:lvlJc w:val="left"/>
      <w:lvlText w:val="%1."/>
      <w:numFmt w:val="decimal"/>
      <w:start w:val="18"/>
    </w:lvl>
  </w:abstractNum>
  <w:abstractNum w:abstractNumId="162">
    <w:nsid w:val="5E74C4D9"/>
    <w:multiLevelType w:val="hybridMultilevel"/>
    <w:lvl w:ilvl="0">
      <w:lvlJc w:val="left"/>
      <w:lvlText w:val="(%1)"/>
      <w:numFmt w:val="lowerLetter"/>
      <w:start w:val="2"/>
    </w:lvl>
  </w:abstractNum>
  <w:abstractNum w:abstractNumId="163">
    <w:nsid w:val="3B3EBE15"/>
    <w:multiLevelType w:val="hybridMultilevel"/>
    <w:lvl w:ilvl="0">
      <w:lvlJc w:val="left"/>
      <w:lvlText w:val="%1."/>
      <w:numFmt w:val="decimal"/>
      <w:start w:val="20"/>
    </w:lvl>
  </w:abstractNum>
  <w:abstractNum w:abstractNumId="164">
    <w:nsid w:val="3822CB01"/>
    <w:multiLevelType w:val="hybridMultilevel"/>
    <w:lvl w:ilvl="0">
      <w:lvlJc w:val="left"/>
      <w:lvlText w:val="%1."/>
      <w:numFmt w:val="decimal"/>
      <w:start w:val="21"/>
    </w:lvl>
  </w:abstractNum>
  <w:abstractNum w:abstractNumId="165">
    <w:nsid w:val="6CE00443"/>
    <w:multiLevelType w:val="hybridMultilevel"/>
    <w:lvl w:ilvl="0">
      <w:lvlJc w:val="left"/>
      <w:lvlText w:val="(%1)"/>
      <w:numFmt w:val="lowerLetter"/>
      <w:start w:val="1"/>
    </w:lvl>
  </w:abstractNum>
  <w:abstractNum w:abstractNumId="166">
    <w:nsid w:val="79F0D62F"/>
    <w:multiLevelType w:val="hybridMultilevel"/>
    <w:lvl w:ilvl="0">
      <w:lvlJc w:val="left"/>
      <w:lvlText w:val="(%1)"/>
      <w:numFmt w:val="lowerLetter"/>
      <w:start w:val="3"/>
    </w:lvl>
  </w:abstractNum>
  <w:abstractNum w:abstractNumId="167">
    <w:nsid w:val="7975E8EE"/>
    <w:multiLevelType w:val="hybridMultilevel"/>
    <w:lvl w:ilvl="0">
      <w:lvlJc w:val="left"/>
      <w:lvlText w:val="(%1)"/>
      <w:numFmt w:val="decimal"/>
      <w:start w:val="1"/>
    </w:lvl>
    <w:lvl w:ilvl="1">
      <w:lvlJc w:val="left"/>
      <w:lvlText w:val="(%2)"/>
      <w:numFmt w:val="lowerRoman"/>
      <w:start w:val="1"/>
    </w:lvl>
  </w:abstractNum>
  <w:abstractNum w:abstractNumId="168">
    <w:nsid w:val="73154115"/>
    <w:multiLevelType w:val="hybridMultilevel"/>
    <w:lvl w:ilvl="0">
      <w:lvlJc w:val="left"/>
      <w:lvlText w:val="(%1)"/>
      <w:numFmt w:val="lowerRoman"/>
      <w:start w:val="7"/>
    </w:lvl>
  </w:abstractNum>
  <w:abstractNum w:abstractNumId="169">
    <w:nsid w:val="622D8102"/>
    <w:multiLevelType w:val="hybridMultilevel"/>
    <w:lvl w:ilvl="0">
      <w:lvlJc w:val="left"/>
      <w:lvlText w:val="(%1)"/>
      <w:numFmt w:val="lowerRoman"/>
      <w:start w:val="6"/>
    </w:lvl>
  </w:abstractNum>
  <w:abstractNum w:abstractNumId="170">
    <w:nsid w:val="2AB26587"/>
    <w:multiLevelType w:val="hybridMultilevel"/>
    <w:lvl w:ilvl="0">
      <w:lvlJc w:val="left"/>
      <w:lvlText w:val="(%1)"/>
      <w:numFmt w:val="decimal"/>
      <w:start w:val="2"/>
    </w:lvl>
  </w:abstractNum>
  <w:abstractNum w:abstractNumId="171">
    <w:nsid w:val="44B3FA61"/>
    <w:multiLevelType w:val="hybridMultilevel"/>
    <w:lvl w:ilvl="0">
      <w:lvlJc w:val="left"/>
      <w:lvlText w:val="%1."/>
      <w:numFmt w:val="decimal"/>
      <w:start w:val="1"/>
    </w:lvl>
    <w:lvl w:ilvl="1">
      <w:lvlJc w:val="left"/>
      <w:lvlText w:val="%2."/>
      <w:numFmt w:val="upperLetter"/>
      <w:start w:val="1"/>
    </w:lvl>
    <w:lvl w:ilvl="2">
      <w:lvlJc w:val="left"/>
      <w:lvlText w:val="\ldblquote"/>
      <w:numFmt w:val="bullet"/>
      <w:start w:val="1"/>
    </w:lvl>
  </w:abstractNum>
  <w:abstractNum w:abstractNumId="172">
    <w:nsid w:val="1C0CA67C"/>
    <w:multiLevelType w:val="hybridMultilevel"/>
    <w:lvl w:ilvl="0">
      <w:lvlJc w:val="left"/>
      <w:lvlText w:val="(%1)"/>
      <w:numFmt w:val="decimal"/>
      <w:start w:val="2"/>
    </w:lvl>
    <w:lvl w:ilvl="1">
      <w:lvlJc w:val="left"/>
      <w:lvlText w:val="%2."/>
      <w:numFmt w:val="upperLetter"/>
      <w:start w:val="9"/>
    </w:lvl>
  </w:abstractNum>
  <w:abstractNum w:abstractNumId="173">
    <w:nsid w:val="3D206613"/>
    <w:multiLevelType w:val="hybridMultilevel"/>
    <w:lvl w:ilvl="0">
      <w:lvlJc w:val="left"/>
      <w:lvlText w:val="%1."/>
      <w:numFmt w:val="decimal"/>
      <w:start w:val="4"/>
    </w:lvl>
  </w:abstractNum>
  <w:abstractNum w:abstractNumId="174">
    <w:nsid w:val="7993B662"/>
    <w:multiLevelType w:val="hybridMultilevel"/>
    <w:lvl w:ilvl="0">
      <w:lvlJc w:val="left"/>
      <w:lvlText w:val="%1."/>
      <w:numFmt w:val="upperLetter"/>
      <w:start w:val="1"/>
    </w:lvl>
  </w:abstractNum>
  <w:abstractNum w:abstractNumId="175">
    <w:nsid w:val="3BAB699E"/>
    <w:multiLevelType w:val="hybridMultilevel"/>
    <w:lvl w:ilvl="0">
      <w:lvlJc w:val="left"/>
      <w:lvlText w:val="%1."/>
      <w:numFmt w:val="upperLetter"/>
      <w:start w:val="3"/>
    </w:lvl>
  </w:abstractNum>
  <w:abstractNum w:abstractNumId="176">
    <w:nsid w:val="71315369"/>
    <w:multiLevelType w:val="hybridMultilevel"/>
    <w:lvl w:ilvl="0">
      <w:lvlJc w:val="left"/>
      <w:lvlText w:val="%1."/>
      <w:numFmt w:val="upperLetter"/>
      <w:start w:val="1"/>
    </w:lvl>
  </w:abstractNum>
  <w:abstractNum w:abstractNumId="177">
    <w:nsid w:val="7BCFBAFC"/>
    <w:multiLevelType w:val="hybridMultilevel"/>
    <w:lvl w:ilvl="0">
      <w:lvlJc w:val="left"/>
      <w:lvlText w:val="%1."/>
      <w:numFmt w:val="upperLetter"/>
      <w:start w:val="3"/>
    </w:lvl>
    <w:lvl w:ilvl="1">
      <w:lvlJc w:val="left"/>
      <w:lvlText w:val="%2."/>
      <w:numFmt w:val="decimal"/>
      <w:start w:val="1"/>
    </w:lvl>
  </w:abstractNum>
  <w:abstractNum w:abstractNumId="178">
    <w:nsid w:val="17859F72"/>
    <w:multiLevelType w:val="hybridMultilevel"/>
    <w:lvl w:ilvl="0">
      <w:lvlJc w:val="left"/>
      <w:lvlText w:val="%1."/>
      <w:numFmt w:val="upperLetter"/>
      <w:start w:val="5"/>
    </w:lvl>
    <w:lvl w:ilvl="1">
      <w:lvlJc w:val="left"/>
      <w:lvlText w:val="%2."/>
      <w:numFmt w:val="decimal"/>
      <w:start w:val="1"/>
    </w:lvl>
  </w:abstractNum>
  <w:abstractNum w:abstractNumId="179">
    <w:nsid w:val="3AA10581"/>
    <w:multiLevelType w:val="hybridMultilevel"/>
    <w:lvl w:ilvl="0">
      <w:lvlJc w:val="left"/>
      <w:lvlText w:val="%1."/>
      <w:numFmt w:val="upperLetter"/>
      <w:start w:val="1"/>
    </w:lvl>
  </w:abstractNum>
  <w:abstractNum w:abstractNumId="180">
    <w:nsid w:val="63DE60CD"/>
    <w:multiLevelType w:val="hybridMultilevel"/>
    <w:lvl w:ilvl="0">
      <w:lvlJc w:val="left"/>
      <w:lvlText w:val="%1."/>
      <w:numFmt w:val="upperLetter"/>
      <w:start w:val="1"/>
    </w:lvl>
  </w:abstractNum>
  <w:abstractNum w:abstractNumId="181">
    <w:nsid w:val="621AF471"/>
    <w:multiLevelType w:val="hybridMultilevel"/>
    <w:lvl w:ilvl="0">
      <w:lvlJc w:val="left"/>
      <w:lvlText w:val="%1."/>
      <w:numFmt w:val="upperLetter"/>
      <w:start w:val="2"/>
    </w:lvl>
  </w:abstractNum>
  <w:abstractNum w:abstractNumId="182">
    <w:nsid w:val="73CFE165"/>
    <w:multiLevelType w:val="hybridMultilevel"/>
    <w:lvl w:ilvl="0">
      <w:lvlJc w:val="left"/>
      <w:lvlText w:val="%1."/>
      <w:numFmt w:val="upperLetter"/>
      <w:start w:val="1"/>
    </w:lvl>
  </w:abstractNum>
  <w:abstractNum w:abstractNumId="183">
    <w:nsid w:val="20F88EA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4">
    <w:nsid w:val="617C843E"/>
    <w:multiLevelType w:val="hybridMultilevel"/>
    <w:lvl w:ilvl="0">
      <w:lvlJc w:val="left"/>
      <w:lvlText w:val="%1"/>
      <w:numFmt w:val="decimal"/>
      <w:start w:val="1"/>
    </w:lvl>
    <w:lvl w:ilvl="1">
      <w:lvlJc w:val="left"/>
      <w:lvlText w:val="(%2)"/>
      <w:numFmt w:val="lowerRoman"/>
      <w:start w:val="3"/>
    </w:lvl>
  </w:abstractNum>
  <w:abstractNum w:abstractNumId="185">
    <w:nsid w:val="7B541FAB"/>
    <w:multiLevelType w:val="hybridMultilevel"/>
    <w:lvl w:ilvl="0">
      <w:lvlJc w:val="left"/>
      <w:lvlText w:val="(%1)"/>
      <w:numFmt w:val="decimal"/>
      <w:start w:val="2"/>
    </w:lvl>
    <w:lvl w:ilvl="1">
      <w:lvlJc w:val="left"/>
      <w:lvlText w:val="(%2)"/>
      <w:numFmt w:val="lowerRoman"/>
      <w:start w:val="9"/>
    </w:lvl>
  </w:abstractNum>
  <w:abstractNum w:abstractNumId="186">
    <w:nsid w:val="2A79EC49"/>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87">
    <w:nsid w:val="338125CF"/>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abstractNum>
  <w:abstractNum w:abstractNumId="188">
    <w:nsid w:val="47C7C971"/>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89">
    <w:nsid w:val="46F8284B"/>
    <w:multiLevelType w:val="hybridMultilevel"/>
    <w:lvl w:ilvl="0">
      <w:lvlJc w:val="left"/>
      <w:lvlText w:val="%1"/>
      <w:numFmt w:val="lowerLetter"/>
      <w:start w:val="1"/>
    </w:lvl>
    <w:lvl w:ilvl="1">
      <w:lvlJc w:val="left"/>
      <w:lvlText w:val="(%2)"/>
      <w:numFmt w:val="lowerRoman"/>
      <w:start w:val="2"/>
    </w:lvl>
  </w:abstractNum>
  <w:abstractNum w:abstractNumId="190">
    <w:nsid w:val="4FA327CE"/>
    <w:multiLevelType w:val="hybridMultilevel"/>
    <w:lvl w:ilvl="0">
      <w:lvlJc w:val="left"/>
      <w:lvlText w:val="(%1)"/>
      <w:numFmt w:val="lowerLetter"/>
      <w:start w:val="2"/>
    </w:lvl>
    <w:lvl w:ilvl="1">
      <w:lvlJc w:val="left"/>
      <w:lvlText w:val="%2"/>
      <w:numFmt w:val="lowerRoman"/>
      <w:start w:val="1"/>
    </w:lvl>
  </w:abstractNum>
  <w:abstractNum w:abstractNumId="191">
    <w:nsid w:val="1873983A"/>
    <w:multiLevelType w:val="hybridMultilevel"/>
    <w:lvl w:ilvl="0">
      <w:lvlJc w:val="left"/>
      <w:lvlText w:val="%1."/>
      <w:numFmt w:val="decimal"/>
      <w:start w:val="4"/>
    </w:lvl>
    <w:lvl w:ilvl="1">
      <w:lvlJc w:val="left"/>
      <w:lvlText w:val="(%2)"/>
      <w:numFmt w:val="lowerLetter"/>
      <w:start w:val="1"/>
    </w:lvl>
  </w:abstractNum>
  <w:abstractNum w:abstractNumId="192">
    <w:nsid w:val="3D2DD275"/>
    <w:multiLevelType w:val="hybridMultilevel"/>
    <w:lvl w:ilvl="0">
      <w:lvlJc w:val="left"/>
      <w:lvlText w:val="(%1)"/>
      <w:numFmt w:val="lowerLetter"/>
      <w:start w:val="1"/>
    </w:lvl>
  </w:abstractNum>
  <w:abstractNum w:abstractNumId="193">
    <w:nsid w:val="2E17ECA7"/>
    <w:multiLevelType w:val="hybridMultilevel"/>
    <w:lvl w:ilvl="0">
      <w:lvlJc w:val="left"/>
      <w:lvlText w:val="(%1)"/>
      <w:numFmt w:val="lowerLetter"/>
      <w:start w:val="3"/>
    </w:lvl>
    <w:lvl w:ilvl="1">
      <w:lvlJc w:val="left"/>
      <w:lvlText w:val="(%2)"/>
      <w:numFmt w:val="lowerRoman"/>
      <w:start w:val="1"/>
    </w:lvl>
  </w:abstractNum>
  <w:abstractNum w:abstractNumId="194">
    <w:nsid w:val="53B2564F"/>
    <w:multiLevelType w:val="hybridMultilevel"/>
    <w:lvl w:ilvl="0">
      <w:lvlJc w:val="left"/>
      <w:lvlText w:val="(%1)"/>
      <w:numFmt w:val="lowerLetter"/>
      <w:start w:val="5"/>
    </w:lvl>
  </w:abstractNum>
  <w:abstractNum w:abstractNumId="195">
    <w:nsid w:val="75509D76"/>
    <w:multiLevelType w:val="hybridMultilevel"/>
    <w:lvl w:ilvl="0">
      <w:lvlJc w:val="left"/>
      <w:lvlText w:val="(%1)"/>
      <w:numFmt w:val="lowerLetter"/>
      <w:start w:val="9"/>
    </w:lvl>
  </w:abstractNum>
  <w:abstractNum w:abstractNumId="196">
    <w:nsid w:val="1AF7F0E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97">
    <w:nsid w:val="4DA32C7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98">
    <w:nsid w:val="6EC6866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99">
    <w:nsid w:val="E0D31F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00">
    <w:nsid w:val="2FD0AD81"/>
    <w:multiLevelType w:val="hybridMultilevel"/>
    <w:lvl w:ilvl="0">
      <w:lvlJc w:val="left"/>
      <w:lvlText w:val="%1."/>
      <w:numFmt w:val="decimal"/>
      <w:start w:val="8"/>
    </w:lvl>
    <w:lvl w:ilvl="1">
      <w:lvlJc w:val="left"/>
      <w:lvlText w:val="(%2)"/>
      <w:numFmt w:val="lowerLetter"/>
      <w:start w:val="1"/>
    </w:lvl>
  </w:abstractNum>
  <w:abstractNum w:abstractNumId="201">
    <w:nsid w:val="1978EBEB"/>
    <w:multiLevelType w:val="hybridMultilevel"/>
    <w:lvl w:ilvl="0">
      <w:lvlJc w:val="left"/>
      <w:lvlText w:val="%1"/>
      <w:numFmt w:val="lowerLetter"/>
      <w:start w:val="1"/>
    </w:lvl>
    <w:lvl w:ilvl="1">
      <w:lvlJc w:val="left"/>
      <w:lvlText w:val="(%2)"/>
      <w:numFmt w:val="lowerLetter"/>
      <w:start w:val="4"/>
    </w:lvl>
  </w:abstractNum>
  <w:abstractNum w:abstractNumId="202">
    <w:nsid w:val="52C12C61"/>
    <w:multiLevelType w:val="hybridMultilevel"/>
    <w:lvl w:ilvl="0">
      <w:lvlJc w:val="left"/>
      <w:lvlText w:val="(%1)"/>
      <w:numFmt w:val="lowerLetter"/>
      <w:start w:val="9"/>
    </w:lvl>
    <w:lvl w:ilvl="1">
      <w:lvlJc w:val="left"/>
      <w:lvlText w:val="(%2)"/>
      <w:numFmt w:val="lowerLetter"/>
      <w:start w:val="5"/>
    </w:lvl>
  </w:abstractNum>
  <w:abstractNum w:abstractNumId="203">
    <w:nsid w:val="4BDD53FD"/>
    <w:multiLevelType w:val="hybridMultilevel"/>
    <w:lvl w:ilvl="0">
      <w:lvlJc w:val="left"/>
      <w:lvlText w:val="%1"/>
      <w:numFmt w:val="lowerLetter"/>
      <w:start w:val="1"/>
    </w:lvl>
    <w:lvl w:ilvl="1">
      <w:lvlJc w:val="left"/>
      <w:lvlText w:val="(%2)"/>
      <w:numFmt w:val="lowerLetter"/>
      <w:start w:val="8"/>
    </w:lvl>
    <w:lvl w:ilvl="2">
      <w:lvlJc w:val="left"/>
      <w:lvlText w:val="(%3)"/>
      <w:numFmt w:val="lowerRoman"/>
      <w:start w:val="1"/>
    </w:lvl>
  </w:abstractNum>
  <w:abstractNum w:abstractNumId="204">
    <w:nsid w:val="569951FE"/>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205">
    <w:nsid w:val="4C54E2C3"/>
    <w:multiLevelType w:val="hybridMultilevel"/>
    <w:lvl w:ilvl="0">
      <w:lvlJc w:val="left"/>
      <w:lvlText w:val="(%1)"/>
      <w:numFmt w:val="lowerLetter"/>
      <w:start w:val="12"/>
    </w:lvl>
  </w:abstractNum>
  <w:abstractNum w:abstractNumId="206">
    <w:nsid w:val="788BD9B"/>
    <w:multiLevelType w:val="hybridMultilevel"/>
    <w:lvl w:ilvl="0">
      <w:lvlJc w:val="left"/>
      <w:lvlText w:val="%1"/>
      <w:numFmt w:val="decimal"/>
      <w:start w:val="1"/>
    </w:lvl>
    <w:lvl w:ilvl="1">
      <w:lvlJc w:val="left"/>
      <w:lvlText w:val="(%2)"/>
      <w:numFmt w:val="lowerLetter"/>
      <w:start w:val="15"/>
    </w:lvl>
  </w:abstractNum>
  <w:abstractNum w:abstractNumId="207">
    <w:nsid w:val="47CAA567"/>
    <w:multiLevelType w:val="hybridMultilevel"/>
    <w:lvl w:ilvl="0">
      <w:lvlJc w:val="left"/>
      <w:lvlText w:val="%1."/>
      <w:numFmt w:val="decimal"/>
      <w:start w:val="10"/>
    </w:lvl>
    <w:lvl w:ilvl="1">
      <w:lvlJc w:val="left"/>
      <w:lvlText w:val="(%2)"/>
      <w:numFmt w:val="lowerLetter"/>
      <w:start w:val="1"/>
    </w:lvl>
  </w:abstractNum>
  <w:abstractNum w:abstractNumId="208">
    <w:nsid w:val="48249DBF"/>
    <w:multiLevelType w:val="hybridMultilevel"/>
    <w:lvl w:ilvl="0">
      <w:lvlJc w:val="left"/>
      <w:lvlText w:val="(%1)"/>
      <w:numFmt w:val="lowerRoman"/>
      <w:start w:val="1"/>
    </w:lvl>
  </w:abstractNum>
  <w:abstractNum w:abstractNumId="209">
    <w:nsid w:val="1F0E5D0D"/>
    <w:multiLevelType w:val="hybridMultilevel"/>
    <w:lvl w:ilvl="0">
      <w:lvlJc w:val="left"/>
      <w:lvlText w:val="%1"/>
      <w:numFmt w:val="decimal"/>
      <w:start w:val="1"/>
    </w:lvl>
    <w:lvl w:ilvl="1">
      <w:lvlJc w:val="left"/>
      <w:lvlText w:val="(%2)"/>
      <w:numFmt w:val="lowerLetter"/>
      <w:start w:val="4"/>
    </w:lvl>
  </w:abstractNum>
  <w:abstractNum w:abstractNumId="210">
    <w:nsid w:val="26BAAE9"/>
    <w:multiLevelType w:val="hybridMultilevel"/>
    <w:lvl w:ilvl="0">
      <w:lvlJc w:val="left"/>
      <w:lvlText w:val="%1."/>
      <w:numFmt w:val="decimal"/>
      <w:start w:val="11"/>
    </w:lvl>
    <w:lvl w:ilvl="1">
      <w:lvlJc w:val="left"/>
      <w:lvlText w:val="(%2)"/>
      <w:numFmt w:val="lowerLetter"/>
      <w:start w:val="1"/>
    </w:lvl>
  </w:abstractNum>
  <w:abstractNum w:abstractNumId="211">
    <w:nsid w:val="2C02FE8C"/>
    <w:multiLevelType w:val="hybridMultilevel"/>
    <w:lvl w:ilvl="0">
      <w:lvlJc w:val="left"/>
      <w:lvlText w:val="%1."/>
      <w:numFmt w:val="decimal"/>
      <w:start w:val="13"/>
    </w:lvl>
  </w:abstractNum>
  <w:abstractNum w:abstractNumId="212">
    <w:nsid w:val="129517E"/>
    <w:multiLevelType w:val="hybridMultilevel"/>
    <w:lvl w:ilvl="0">
      <w:lvlJc w:val="left"/>
      <w:lvlText w:val="%1."/>
      <w:numFmt w:val="decimal"/>
      <w:start w:val="14"/>
    </w:lvl>
    <w:lvl w:ilvl="1">
      <w:lvlJc w:val="left"/>
      <w:lvlText w:val="(%2)"/>
      <w:numFmt w:val="lowerLetter"/>
      <w:start w:val="1"/>
    </w:lvl>
  </w:abstractNum>
  <w:abstractNum w:abstractNumId="213">
    <w:nsid w:val="763B8C4E"/>
    <w:multiLevelType w:val="hybridMultilevel"/>
    <w:lvl w:ilvl="0">
      <w:lvlJc w:val="left"/>
      <w:lvlText w:val="%1"/>
      <w:numFmt w:val="lowerLetter"/>
      <w:start w:val="1"/>
    </w:lvl>
    <w:lvl w:ilvl="1">
      <w:lvlJc w:val="left"/>
      <w:lvlText w:val="(%2)"/>
      <w:numFmt w:val="lowerLetter"/>
      <w:start w:val="1"/>
    </w:lvl>
  </w:abstractNum>
  <w:abstractNum w:abstractNumId="214">
    <w:nsid w:val="4CFB8D32"/>
    <w:multiLevelType w:val="hybridMultilevel"/>
    <w:lvl w:ilvl="0">
      <w:lvlJc w:val="left"/>
      <w:lvlText w:val="(%1)"/>
      <w:numFmt w:val="lowerLetter"/>
      <w:start w:val="9"/>
    </w:lvl>
    <w:lvl w:ilvl="1">
      <w:lvlJc w:val="left"/>
      <w:lvlText w:val="%2"/>
      <w:numFmt w:val="lowerLetter"/>
      <w:start w:val="1"/>
    </w:lvl>
  </w:abstractNum>
  <w:abstractNum w:abstractNumId="215">
    <w:nsid w:val="62A5D5BD"/>
    <w:multiLevelType w:val="hybridMultilevel"/>
    <w:lvl w:ilvl="0">
      <w:lvlJc w:val="left"/>
      <w:lvlText w:val="(%1)"/>
      <w:numFmt w:val="lowerLetter"/>
      <w:start w:val="2"/>
    </w:lvl>
  </w:abstractNum>
  <w:abstractNum w:abstractNumId="216">
    <w:nsid w:val="718FABF9"/>
    <w:multiLevelType w:val="hybridMultilevel"/>
    <w:lvl w:ilvl="0">
      <w:lvlJc w:val="left"/>
      <w:lvlText w:val="(%1)"/>
      <w:numFmt w:val="lowerRoman"/>
      <w:start w:val="1"/>
    </w:lvl>
  </w:abstractNum>
  <w:abstractNum w:abstractNumId="217">
    <w:nsid w:val="7775797C"/>
    <w:multiLevelType w:val="hybridMultilevel"/>
    <w:lvl w:ilvl="0">
      <w:lvlJc w:val="left"/>
      <w:lvlText w:val="(%1)"/>
      <w:numFmt w:val="lowerRoman"/>
      <w:start w:val="2"/>
    </w:lvl>
  </w:abstractNum>
  <w:abstractNum w:abstractNumId="218">
    <w:nsid w:val="1626FB8C"/>
    <w:multiLevelType w:val="hybridMultilevel"/>
    <w:lvl w:ilvl="0">
      <w:lvlJc w:val="left"/>
      <w:lvlText w:val="(%1)"/>
      <w:numFmt w:val="lowerLetter"/>
      <w:start w:val="3"/>
    </w:lvl>
    <w:lvl w:ilvl="1">
      <w:lvlJc w:val="left"/>
      <w:lvlText w:val="(%2)"/>
      <w:numFmt w:val="lowerRoman"/>
      <w:start w:val="1"/>
    </w:lvl>
  </w:abstractNum>
  <w:abstractNum w:abstractNumId="219">
    <w:nsid w:val="3957756A"/>
    <w:multiLevelType w:val="hybridMultilevel"/>
    <w:lvl w:ilvl="0">
      <w:lvlJc w:val="left"/>
      <w:lvlText w:val="(%1)"/>
      <w:numFmt w:val="lowerLetter"/>
      <w:start w:val="10"/>
    </w:lvl>
    <w:lvl w:ilvl="1">
      <w:lvlJc w:val="left"/>
      <w:lvlText w:val="(%2)"/>
      <w:numFmt w:val="lowerRoman"/>
      <w:start w:val="1"/>
    </w:lvl>
  </w:abstractNum>
  <w:abstractNum w:abstractNumId="220">
    <w:nsid w:val="3E6DA1C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221">
    <w:nsid w:val="65CA235B"/>
    <w:multiLevelType w:val="hybridMultilevel"/>
    <w:lvl w:ilvl="0">
      <w:lvlJc w:val="left"/>
      <w:lvlText w:val="%1"/>
      <w:numFmt w:val="lowerLetter"/>
      <w:start w:val="1"/>
    </w:lvl>
    <w:lvl w:ilvl="1">
      <w:lvlJc w:val="left"/>
      <w:lvlText w:val="(%2)"/>
      <w:numFmt w:val="lowerLetter"/>
      <w:start w:val="18"/>
    </w:lvl>
    <w:lvl w:ilvl="2">
      <w:lvlJc w:val="left"/>
      <w:lvlText w:val="%3"/>
      <w:numFmt w:val="lowerLetter"/>
      <w:start w:val="1"/>
    </w:lvl>
  </w:abstractNum>
  <w:abstractNum w:abstractNumId="222">
    <w:nsid w:val="51CB0DA4"/>
    <w:multiLevelType w:val="hybridMultilevel"/>
    <w:lvl w:ilvl="0">
      <w:lvlJc w:val="left"/>
      <w:lvlText w:val="(%1)"/>
      <w:numFmt w:val="lowerLetter"/>
      <w:start w:val="35"/>
    </w:lvl>
    <w:lvl w:ilvl="1">
      <w:lvlJc w:val="left"/>
      <w:lvlText w:val="(%2)"/>
      <w:numFmt w:val="lowerLetter"/>
      <w:start w:val="21"/>
    </w:lvl>
    <w:lvl w:ilvl="2">
      <w:lvlJc w:val="left"/>
      <w:lvlText w:val="%3"/>
      <w:numFmt w:val="lowerLetter"/>
      <w:start w:val="1"/>
    </w:lvl>
  </w:abstractNum>
  <w:abstractNum w:abstractNumId="223">
    <w:nsid w:val="7B9B743C"/>
    <w:multiLevelType w:val="hybridMultilevel"/>
    <w:lvl w:ilvl="0">
      <w:lvlJc w:val="left"/>
      <w:lvlText w:val="(%1)"/>
      <w:numFmt w:val="lowerLetter"/>
      <w:start w:val="27"/>
    </w:lvl>
  </w:abstractNum>
  <w:abstractNum w:abstractNumId="224">
    <w:nsid w:val="13E21002"/>
    <w:multiLevelType w:val="hybridMultilevel"/>
    <w:lvl w:ilvl="0">
      <w:lvlJc w:val="left"/>
      <w:lvlText w:val="(%1)"/>
      <w:numFmt w:val="decimal"/>
      <w:start w:val="2"/>
    </w:lvl>
    <w:lvl w:ilvl="1">
      <w:lvlJc w:val="left"/>
      <w:lvlText w:val="%2"/>
      <w:numFmt w:val="lowerLetter"/>
      <w:start w:val="1"/>
    </w:lvl>
  </w:abstractNum>
  <w:abstractNum w:abstractNumId="225">
    <w:nsid w:val="257D63F4"/>
    <w:multiLevelType w:val="hybridMultilevel"/>
    <w:lvl w:ilvl="0">
      <w:lvlJc w:val="left"/>
      <w:lvlText w:val="(%1)"/>
      <w:numFmt w:val="decimal"/>
      <w:start w:val="5"/>
    </w:lvl>
    <w:lvl w:ilvl="1">
      <w:lvlJc w:val="left"/>
      <w:lvlText w:val="(%2)"/>
      <w:numFmt w:val="lowerLetter"/>
      <w:start w:val="29"/>
    </w:lvl>
  </w:abstractNum>
  <w:abstractNum w:abstractNumId="226">
    <w:nsid w:val="70EC11B2"/>
    <w:multiLevelType w:val="hybridMultilevel"/>
    <w:lvl w:ilvl="0">
      <w:lvlJc w:val="left"/>
      <w:lvlText w:val="(%1)"/>
      <w:numFmt w:val="decimal"/>
      <w:start w:val="9"/>
    </w:lvl>
    <w:lvl w:ilvl="1">
      <w:lvlJc w:val="left"/>
      <w:lvlText w:val="%2"/>
      <w:numFmt w:val="lowerLetter"/>
      <w:start w:val="1"/>
    </w:lvl>
  </w:abstractNum>
  <w:abstractNum w:abstractNumId="227">
    <w:nsid w:val="2EDA00ED"/>
    <w:multiLevelType w:val="hybridMultilevel"/>
    <w:lvl w:ilvl="0">
      <w:lvlJc w:val="left"/>
      <w:lvlText w:val="(%1)"/>
      <w:numFmt w:val="lowerLetter"/>
      <w:start w:val="30"/>
    </w:lvl>
  </w:abstractNum>
  <w:abstractNum w:abstractNumId="228">
    <w:nsid w:val="73209072"/>
    <w:multiLevelType w:val="hybridMultilevel"/>
    <w:lvl w:ilvl="0">
      <w:lvlJc w:val="left"/>
      <w:lvlText w:val="%1."/>
      <w:numFmt w:val="decimal"/>
      <w:start w:val="1"/>
    </w:lvl>
    <w:lvl w:ilvl="1">
      <w:lvlJc w:val="left"/>
      <w:lvlText w:val="(%2)"/>
      <w:numFmt w:val="lowerLetter"/>
      <w:start w:val="1"/>
    </w:lvl>
  </w:abstractNum>
  <w:abstractNum w:abstractNumId="229">
    <w:nsid w:val="5FB29816"/>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230">
    <w:nsid w:val="3CE732EC"/>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231">
    <w:nsid w:val="22F13DF3"/>
    <w:multiLevelType w:val="hybridMultilevel"/>
    <w:lvl w:ilvl="0">
      <w:lvlJc w:val="left"/>
      <w:lvlText w:val="(%1)"/>
      <w:numFmt w:val="decimal"/>
      <w:start w:val="3"/>
    </w:lvl>
    <w:lvl w:ilvl="1">
      <w:lvlJc w:val="left"/>
      <w:lvlText w:val="%2"/>
      <w:numFmt w:val="decimal"/>
      <w:start w:val="1"/>
    </w:lvl>
    <w:lvl w:ilvl="2">
      <w:lvlJc w:val="left"/>
      <w:lvlText w:val="(%3)"/>
      <w:numFmt w:val="lowerLetter"/>
      <w:start w:val="5"/>
    </w:lvl>
  </w:abstractNum>
  <w:abstractNum w:abstractNumId="232">
    <w:nsid w:val="792B8401"/>
    <w:multiLevelType w:val="hybridMultilevel"/>
    <w:lvl w:ilvl="0">
      <w:lvlJc w:val="left"/>
      <w:lvlText w:val="%1."/>
      <w:numFmt w:val="decimal"/>
      <w:start w:val="7"/>
    </w:lvl>
    <w:lvl w:ilvl="1">
      <w:lvlJc w:val="left"/>
      <w:lvlText w:val="(%2)"/>
      <w:numFmt w:val="lowerLetter"/>
      <w:start w:val="1"/>
    </w:lvl>
  </w:abstractNum>
  <w:abstractNum w:abstractNumId="233">
    <w:nsid w:val="FA85F4D"/>
    <w:multiLevelType w:val="hybridMultilevel"/>
    <w:lvl w:ilvl="0">
      <w:lvlJc w:val="left"/>
      <w:lvlText w:val="%1"/>
      <w:numFmt w:val="decimal"/>
      <w:start w:val="1"/>
    </w:lvl>
    <w:lvl w:ilvl="1">
      <w:lvlJc w:val="left"/>
      <w:lvlText w:val="(%2)"/>
      <w:numFmt w:val="lowerLetter"/>
      <w:start w:val="2"/>
    </w:lvl>
  </w:abstractNum>
  <w:abstractNum w:abstractNumId="234">
    <w:nsid w:val="6ECE91F0"/>
    <w:multiLevelType w:val="hybridMultilevel"/>
    <w:lvl w:ilvl="0">
      <w:lvlJc w:val="left"/>
      <w:lvlText w:val="%1."/>
      <w:numFmt w:val="decimal"/>
      <w:start w:val="9"/>
    </w:lvl>
    <w:lvl w:ilvl="1">
      <w:lvlJc w:val="left"/>
      <w:lvlText w:val="%2"/>
      <w:numFmt w:val="lowerLetter"/>
      <w:start w:val="1"/>
    </w:lvl>
  </w:abstractNum>
  <w:abstractNum w:abstractNumId="235">
    <w:nsid w:val="4FC4D600"/>
    <w:multiLevelType w:val="hybridMultilevel"/>
    <w:lvl w:ilvl="0">
      <w:lvlJc w:val="left"/>
      <w:lvlText w:val="*"/>
      <w:numFmt w:val="bullet"/>
      <w:start w:val="1"/>
    </w:lvl>
    <w:lvl w:ilvl="1">
      <w:lvlJc w:val="left"/>
      <w:lvlText w:val="%2."/>
      <w:numFmt w:val="decimal"/>
      <w:start w:val="1"/>
    </w:lvl>
  </w:abstractNum>
  <w:abstractNum w:abstractNumId="236">
    <w:nsid w:val="5BFD4210"/>
    <w:multiLevelType w:val="hybridMultilevel"/>
    <w:lvl w:ilvl="0">
      <w:lvlJc w:val="left"/>
      <w:lvlText w:val="%1."/>
      <w:numFmt w:val="decimal"/>
      <w:start w:val="2"/>
    </w:lvl>
    <w:lvl w:ilvl="1">
      <w:lvlJc w:val="left"/>
      <w:lvlText w:val="•"/>
      <w:numFmt w:val="bullet"/>
      <w:start w:val="1"/>
    </w:lvl>
  </w:abstractNum>
  <w:abstractNum w:abstractNumId="237">
    <w:nsid w:val="76574F8B"/>
    <w:multiLevelType w:val="hybridMultilevel"/>
    <w:lvl w:ilvl="0">
      <w:lvlJc w:val="left"/>
      <w:lvlText w:val="%1."/>
      <w:numFmt w:val="decimal"/>
      <w:start w:val="5"/>
    </w:lvl>
  </w:abstractNum>
  <w:abstractNum w:abstractNumId="238">
    <w:nsid w:val="178F7B67"/>
    <w:multiLevelType w:val="hybridMultilevel"/>
    <w:lvl w:ilvl="0">
      <w:lvlJc w:val="left"/>
      <w:lvlText w:val="%1."/>
      <w:numFmt w:val="decimal"/>
      <w:start w:val="1"/>
    </w:lvl>
  </w:abstractNum>
  <w:abstractNum w:abstractNumId="239">
    <w:nsid w:val="2421DFCF"/>
    <w:multiLevelType w:val="hybridMultilevel"/>
    <w:lvl w:ilvl="0">
      <w:lvlJc w:val="left"/>
      <w:lvlText w:val="(%1)"/>
      <w:numFmt w:val="lowerLetter"/>
      <w:start w:val="1"/>
    </w:lvl>
  </w:abstractNum>
  <w:abstractNum w:abstractNumId="240">
    <w:nsid w:val="1565AC99"/>
    <w:multiLevelType w:val="hybridMultilevel"/>
    <w:lvl w:ilvl="0">
      <w:lvlJc w:val="left"/>
      <w:lvlText w:val="1"/>
      <w:numFmt w:val="bullet"/>
      <w:start w:val="1"/>
    </w:lvl>
  </w:abstractNum>
  <w:abstractNum w:abstractNumId="241">
    <w:nsid w:val="19FB2650"/>
    <w:multiLevelType w:val="hybridMultilevel"/>
    <w:lvl w:ilvl="0">
      <w:lvlJc w:val="left"/>
      <w:lvlText w:val="2"/>
      <w:numFmt w:val="bullet"/>
      <w:start w:val="1"/>
    </w:lvl>
  </w:abstractNum>
  <w:abstractNum w:abstractNumId="242">
    <w:nsid w:val="5024DE5B"/>
    <w:multiLevelType w:val="hybridMultilevel"/>
    <w:lvl w:ilvl="0">
      <w:lvlJc w:val="left"/>
      <w:lvlText w:val="3"/>
      <w:numFmt w:val="bullet"/>
      <w:start w:val="1"/>
    </w:lvl>
  </w:abstractNum>
  <w:abstractNum w:abstractNumId="243">
    <w:nsid w:val="168EFE17"/>
    <w:multiLevelType w:val="hybridMultilevel"/>
    <w:lvl w:ilvl="0">
      <w:lvlJc w:val="left"/>
      <w:lvlText w:val="4"/>
      <w:numFmt w:val="bullet"/>
      <w:start w:val="1"/>
    </w:lvl>
  </w:abstractNum>
  <w:abstractNum w:abstractNumId="244">
    <w:nsid w:val="1036B29F"/>
    <w:multiLevelType w:val="hybridMultilevel"/>
    <w:lvl w:ilvl="0">
      <w:lvlJc w:val="left"/>
      <w:lvlText w:val="%1."/>
      <w:numFmt w:val="decimal"/>
      <w:start w:val="1"/>
    </w:lvl>
  </w:abstractNum>
  <w:abstractNum w:abstractNumId="245">
    <w:nsid w:val="1D206B8E"/>
    <w:multiLevelType w:val="hybridMultilevel"/>
    <w:lvl w:ilvl="0">
      <w:lvlJc w:val="left"/>
      <w:lvlText w:val="%1."/>
      <w:numFmt w:val="decimal"/>
      <w:start w:val="2"/>
    </w:lvl>
  </w:abstractNum>
  <w:abstractNum w:abstractNumId="246">
    <w:nsid w:val="7934D3D4"/>
    <w:multiLevelType w:val="hybridMultilevel"/>
    <w:lvl w:ilvl="0">
      <w:lvlJc w:val="left"/>
      <w:lvlText w:val="%1."/>
      <w:numFmt w:val="decimal"/>
      <w:start w:val="4"/>
    </w:lvl>
  </w:abstractNum>
  <w:abstractNum w:abstractNumId="247">
    <w:nsid w:val="1C65E98"/>
    <w:multiLevelType w:val="hybridMultilevel"/>
    <w:lvl w:ilvl="0">
      <w:lvlJc w:val="left"/>
      <w:lvlText w:val="5"/>
      <w:numFmt w:val="bullet"/>
      <w:start w:val="1"/>
    </w:lvl>
  </w:abstractNum>
  <w:abstractNum w:abstractNumId="248">
    <w:nsid w:val="1495E50A"/>
    <w:multiLevelType w:val="hybridMultilevel"/>
    <w:lvl w:ilvl="0">
      <w:lvlJc w:val="left"/>
      <w:lvlText w:val="%1."/>
      <w:numFmt w:val="decimal"/>
      <w:start w:val="1"/>
    </w:lvl>
  </w:abstractNum>
  <w:abstractNum w:abstractNumId="249">
    <w:nsid w:val="F5BCF61"/>
    <w:multiLevelType w:val="hybridMultilevel"/>
    <w:lvl w:ilvl="0">
      <w:lvlJc w:val="left"/>
      <w:lvlText w:val="%1."/>
      <w:numFmt w:val="decimal"/>
      <w:start w:val="6"/>
    </w:lvl>
    <w:lvl w:ilvl="1">
      <w:lvlJc w:val="left"/>
      <w:lvlText w:val="(%2)"/>
      <w:numFmt w:val="lowerLetter"/>
      <w:start w:val="1"/>
    </w:lvl>
  </w:abstractNum>
  <w:abstractNum w:abstractNumId="250">
    <w:nsid w:val="3B1DD403"/>
    <w:multiLevelType w:val="hybridMultilevel"/>
    <w:lvl w:ilvl="0">
      <w:lvlJc w:val="left"/>
      <w:lvlText w:val="%1."/>
      <w:numFmt w:val="decimal"/>
      <w:start w:val="8"/>
    </w:lvl>
  </w:abstractNum>
  <w:abstractNum w:abstractNumId="251">
    <w:nsid w:val="530386D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2">
    <w:nsid w:val="7525F2B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253">
    <w:nsid w:val="CE8E1A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54">
    <w:nsid w:val="4E9EFB0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55">
    <w:nsid w:val="90802BE"/>
    <w:multiLevelType w:val="hybridMultilevel"/>
    <w:lvl w:ilvl="0">
      <w:lvlJc w:val="left"/>
      <w:lvlText w:val="%1"/>
      <w:numFmt w:val="decimal"/>
      <w:start w:val="1"/>
    </w:lvl>
    <w:lvl w:ilvl="1">
      <w:lvlJc w:val="left"/>
      <w:lvlText w:val="(%2)"/>
      <w:numFmt w:val="lowerLetter"/>
      <w:start w:val="2"/>
    </w:lvl>
  </w:abstractNum>
  <w:abstractNum w:abstractNumId="256">
    <w:nsid w:val="3266459B"/>
    <w:multiLevelType w:val="hybridMultilevel"/>
    <w:lvl w:ilvl="0">
      <w:lvlJc w:val="left"/>
      <w:lvlText w:val="%1."/>
      <w:numFmt w:val="decimal"/>
      <w:start w:val="4"/>
    </w:lvl>
    <w:lvl w:ilvl="1">
      <w:lvlJc w:val="left"/>
      <w:lvlText w:val="(%2)"/>
      <w:numFmt w:val="lowerLetter"/>
      <w:start w:val="1"/>
    </w:lvl>
  </w:abstractNum>
  <w:abstractNum w:abstractNumId="257">
    <w:nsid w:val="3F8B0CBF"/>
    <w:multiLevelType w:val="hybridMultilevel"/>
    <w:lvl w:ilvl="0">
      <w:lvlJc w:val="left"/>
      <w:lvlText w:val="(%1)"/>
      <w:numFmt w:val="lowerLetter"/>
      <w:start w:val="2"/>
    </w:lvl>
    <w:lvl w:ilvl="1">
      <w:lvlJc w:val="left"/>
      <w:lvlText w:val="(%2)"/>
      <w:numFmt w:val="lowerRoman"/>
      <w:start w:val="1"/>
    </w:lvl>
  </w:abstractNum>
  <w:abstractNum w:abstractNumId="258">
    <w:nsid w:val="37E203A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59">
    <w:nsid w:val="2586D60E"/>
    <w:multiLevelType w:val="hybridMultilevel"/>
    <w:lvl w:ilvl="0">
      <w:lvlJc w:val="left"/>
      <w:lvlText w:val="%1"/>
      <w:numFmt w:val="decimal"/>
      <w:start w:val="1"/>
    </w:lvl>
    <w:lvl w:ilvl="1">
      <w:lvlJc w:val="left"/>
      <w:lvlText w:val="(%2)"/>
      <w:numFmt w:val="lowerLetter"/>
      <w:start w:val="2"/>
    </w:lvl>
  </w:abstractNum>
  <w:abstractNum w:abstractNumId="260">
    <w:nsid w:val="1F3DA4D5"/>
    <w:multiLevelType w:val="hybridMultilevel"/>
    <w:lvl w:ilvl="0">
      <w:lvlJc w:val="left"/>
      <w:lvlText w:val="%1."/>
      <w:numFmt w:val="decimal"/>
      <w:start w:val="8"/>
    </w:lvl>
    <w:lvl w:ilvl="1">
      <w:lvlJc w:val="left"/>
      <w:lvlText w:val="(%2)"/>
      <w:numFmt w:val="lowerLetter"/>
      <w:start w:val="1"/>
    </w:lvl>
  </w:abstractNum>
  <w:abstractNum w:abstractNumId="261">
    <w:nsid w:val="74C93698"/>
    <w:multiLevelType w:val="hybridMultilevel"/>
    <w:lvl w:ilvl="0">
      <w:lvlJc w:val="left"/>
      <w:lvlText w:val="%1."/>
      <w:numFmt w:val="decimal"/>
      <w:start w:val="9"/>
    </w:lvl>
  </w:abstractNum>
  <w:abstractNum w:abstractNumId="262">
    <w:nsid w:val="48781401"/>
    <w:multiLevelType w:val="hybridMultilevel"/>
    <w:lvl w:ilvl="0">
      <w:lvlJc w:val="left"/>
      <w:lvlText w:val="%1."/>
      <w:numFmt w:val="decimal"/>
      <w:start w:val="10"/>
    </w:lvl>
    <w:lvl w:ilvl="1">
      <w:lvlJc w:val="left"/>
      <w:lvlText w:val="(%2)"/>
      <w:numFmt w:val="lowerLetter"/>
      <w:start w:val="1"/>
    </w:lvl>
  </w:abstractNum>
  <w:abstractNum w:abstractNumId="263">
    <w:nsid w:val="186928D6"/>
    <w:multiLevelType w:val="hybridMultilevel"/>
    <w:lvl w:ilvl="0">
      <w:lvlJc w:val="left"/>
      <w:lvlText w:val="%1"/>
      <w:numFmt w:val="decimal"/>
      <w:start w:val="1"/>
    </w:lvl>
    <w:lvl w:ilvl="1">
      <w:lvlJc w:val="left"/>
      <w:lvlText w:val="(%2)"/>
      <w:numFmt w:val="lowerLetter"/>
      <w:start w:val="2"/>
    </w:lvl>
  </w:abstractNum>
  <w:abstractNum w:abstractNumId="264">
    <w:nsid w:val="47195E5"/>
    <w:multiLevelType w:val="hybridMultilevel"/>
    <w:lvl w:ilvl="0">
      <w:lvlJc w:val="left"/>
      <w:lvlText w:val="%1."/>
      <w:numFmt w:val="decimal"/>
      <w:start w:val="12"/>
    </w:lvl>
    <w:lvl w:ilvl="1">
      <w:lvlJc w:val="left"/>
      <w:lvlText w:val="(%2)"/>
      <w:numFmt w:val="lowerLetter"/>
      <w:start w:val="1"/>
    </w:lvl>
  </w:abstractNum>
  <w:abstractNum w:abstractNumId="265">
    <w:nsid w:val="3746A5F2"/>
    <w:multiLevelType w:val="hybridMultilevel"/>
    <w:lvl w:ilvl="0">
      <w:lvlJc w:val="left"/>
      <w:lvlText w:val="%1"/>
      <w:numFmt w:val="lowerLetter"/>
      <w:start w:val="1"/>
    </w:lvl>
    <w:lvl w:ilvl="1">
      <w:lvlJc w:val="left"/>
      <w:lvlText w:val="(%2)"/>
      <w:numFmt w:val="lowerLetter"/>
      <w:start w:val="2"/>
    </w:lvl>
  </w:abstractNum>
  <w:abstractNum w:abstractNumId="266">
    <w:nsid w:val="682DFED6"/>
    <w:multiLevelType w:val="hybridMultilevel"/>
    <w:lvl w:ilvl="0">
      <w:lvlJc w:val="left"/>
      <w:lvlText w:val="(%1)"/>
      <w:numFmt w:val="lowerLetter"/>
      <w:start w:val="61"/>
    </w:lvl>
    <w:lvl w:ilvl="1">
      <w:lvlJc w:val="left"/>
      <w:lvlText w:val="%2"/>
      <w:numFmt w:val="lowerLetter"/>
      <w:start w:val="1"/>
    </w:lvl>
  </w:abstractNum>
  <w:abstractNum w:abstractNumId="267">
    <w:nsid w:val="606ED7F6"/>
    <w:multiLevelType w:val="hybridMultilevel"/>
    <w:lvl w:ilvl="0">
      <w:lvlJc w:val="left"/>
      <w:lvlText w:val="(%1)"/>
      <w:numFmt w:val="lowerRoman"/>
      <w:start w:val="4"/>
    </w:lvl>
  </w:abstractNum>
  <w:abstractNum w:abstractNumId="268">
    <w:nsid w:val="2D9DF57D"/>
    <w:multiLevelType w:val="hybridMultilevel"/>
    <w:lvl w:ilvl="0">
      <w:lvlJc w:val="left"/>
      <w:lvlText w:val="%1."/>
      <w:numFmt w:val="decimal"/>
      <w:start w:val="13"/>
    </w:lvl>
    <w:lvl w:ilvl="1">
      <w:lvlJc w:val="left"/>
      <w:lvlText w:val="(%2)"/>
      <w:numFmt w:val="lowerLetter"/>
      <w:start w:val="1"/>
    </w:lvl>
  </w:abstractNum>
  <w:abstractNum w:abstractNumId="269">
    <w:nsid w:val="7FBD7A3E"/>
    <w:multiLevelType w:val="hybridMultilevel"/>
    <w:lvl w:ilvl="0">
      <w:lvlJc w:val="left"/>
      <w:lvlText w:val="%1."/>
      <w:numFmt w:val="decimal"/>
      <w:start w:val="15"/>
    </w:lvl>
  </w:abstractNum>
  <w:abstractNum w:abstractNumId="270">
    <w:nsid w:val="490B7C5"/>
    <w:multiLevelType w:val="hybridMultilevel"/>
    <w:lvl w:ilvl="0">
      <w:lvlJc w:val="left"/>
      <w:lvlText w:val="%1."/>
      <w:numFmt w:val="decimal"/>
      <w:start w:val="16"/>
    </w:lvl>
    <w:lvl w:ilvl="1">
      <w:lvlJc w:val="left"/>
      <w:lvlText w:val="(%2)"/>
      <w:numFmt w:val="lowerLetter"/>
      <w:start w:val="1"/>
    </w:lvl>
  </w:abstractNum>
  <w:abstractNum w:abstractNumId="271">
    <w:nsid w:val="4303A216"/>
    <w:multiLevelType w:val="hybridMultilevel"/>
    <w:lvl w:ilvl="0">
      <w:lvlJc w:val="left"/>
      <w:lvlText w:val="(%1)"/>
      <w:numFmt w:val="lowerLetter"/>
      <w:start w:val="4"/>
    </w:lvl>
  </w:abstractNum>
  <w:abstractNum w:abstractNumId="272">
    <w:nsid w:val="19B8A08E"/>
    <w:multiLevelType w:val="hybridMultilevel"/>
    <w:lvl w:ilvl="0">
      <w:lvlJc w:val="left"/>
      <w:lvlText w:val="%1."/>
      <w:numFmt w:val="decimal"/>
      <w:start w:val="17"/>
    </w:lvl>
  </w:abstractNum>
  <w:abstractNum w:abstractNumId="273">
    <w:nsid w:val="54B59621"/>
    <w:multiLevelType w:val="hybridMultilevel"/>
    <w:lvl w:ilvl="0">
      <w:lvlJc w:val="left"/>
      <w:lvlText w:val="(%1)"/>
      <w:numFmt w:val="lowerLetter"/>
      <w:start w:val="1"/>
    </w:lvl>
  </w:abstractNum>
  <w:abstractNum w:abstractNumId="274">
    <w:nsid w:val="5992A02E"/>
    <w:multiLevelType w:val="hybridMultilevel"/>
    <w:lvl w:ilvl="0">
      <w:lvlJc w:val="left"/>
      <w:lvlText w:val="(%1)"/>
      <w:numFmt w:val="lowerLetter"/>
      <w:start w:val="10"/>
    </w:lvl>
    <w:lvl w:ilvl="1">
      <w:lvlJc w:val="left"/>
      <w:lvlText w:val="(%2)"/>
      <w:numFmt w:val="lowerRoman"/>
      <w:start w:val="1"/>
    </w:lvl>
  </w:abstractNum>
  <w:abstractNum w:abstractNumId="275">
    <w:nsid w:val="29EF532D"/>
    <w:multiLevelType w:val="hybridMultilevel"/>
    <w:lvl w:ilvl="0">
      <w:lvlJc w:val="left"/>
      <w:lvlText w:val="(%1)"/>
      <w:numFmt w:val="lowerLetter"/>
      <w:start w:val="21"/>
    </w:lvl>
    <w:lvl w:ilvl="1">
      <w:lvlJc w:val="left"/>
      <w:lvlText w:val="(%2)"/>
      <w:numFmt w:val="lowerRoman"/>
      <w:start w:val="1"/>
    </w:lvl>
  </w:abstractNum>
  <w:abstractNum w:abstractNumId="276">
    <w:nsid w:val="71D601AF"/>
    <w:multiLevelType w:val="hybridMultilevel"/>
    <w:lvl w:ilvl="0">
      <w:lvlJc w:val="left"/>
      <w:lvlText w:val="(%1)"/>
      <w:numFmt w:val="lowerLetter"/>
      <w:start w:val="27"/>
    </w:lvl>
  </w:abstractNum>
  <w:abstractNum w:abstractNumId="277">
    <w:nsid w:val="52C77402"/>
    <w:multiLevelType w:val="hybridMultilevel"/>
    <w:lvl w:ilvl="0">
      <w:lvlJc w:val="left"/>
      <w:lvlText w:val="(%1)"/>
      <w:numFmt w:val="lowerLetter"/>
      <w:start w:val="31"/>
    </w:lvl>
  </w:abstractNum>
  <w:abstractNum w:abstractNumId="278">
    <w:nsid w:val="2BB5B1C6"/>
    <w:multiLevelType w:val="hybridMultilevel"/>
    <w:lvl w:ilvl="0">
      <w:lvlJc w:val="left"/>
      <w:lvlText w:val="%1."/>
      <w:numFmt w:val="decimal"/>
      <w:start w:val="1"/>
    </w:lvl>
    <w:lvl w:ilvl="1">
      <w:lvlJc w:val="left"/>
      <w:lvlText w:val="%2."/>
      <w:numFmt w:val="lowerLetter"/>
      <w:start w:val="1"/>
    </w:lvl>
  </w:abstractNum>
  <w:abstractNum w:abstractNumId="279">
    <w:nsid w:val="66BE6B9"/>
    <w:multiLevelType w:val="hybridMultilevel"/>
    <w:lvl w:ilvl="0">
      <w:lvlJc w:val="left"/>
      <w:lvlText w:val="%1."/>
      <w:numFmt w:val="decimal"/>
      <w:start w:val="1"/>
    </w:lvl>
  </w:abstractNum>
  <w:abstractNum w:abstractNumId="280">
    <w:nsid w:val="62234363"/>
    <w:multiLevelType w:val="hybridMultilevel"/>
    <w:lvl w:ilvl="0">
      <w:lvlJc w:val="left"/>
      <w:lvlText w:val="%1."/>
      <w:numFmt w:val="decimal"/>
      <w:start w:val="1"/>
    </w:lvl>
  </w:abstractNum>
  <w:abstractNum w:abstractNumId="281">
    <w:nsid w:val="66D385C9"/>
    <w:multiLevelType w:val="hybridMultilevel"/>
    <w:lvl w:ilvl="0">
      <w:lvlJc w:val="left"/>
      <w:lvlText w:val="%1."/>
      <w:numFmt w:val="decimal"/>
      <w:start w:val="2"/>
    </w:lvl>
  </w:abstractNum>
  <w:abstractNum w:abstractNumId="282">
    <w:nsid w:val="596F6D8A"/>
    <w:multiLevelType w:val="hybridMultilevel"/>
    <w:lvl w:ilvl="0">
      <w:lvlJc w:val="left"/>
      <w:lvlText w:val="%1."/>
      <w:numFmt w:val="decimal"/>
      <w:start w:val="3"/>
    </w:lvl>
  </w:abstractNum>
  <w:abstractNum w:abstractNumId="283">
    <w:nsid w:val="5749361F"/>
    <w:multiLevelType w:val="hybridMultilevel"/>
    <w:lvl w:ilvl="0">
      <w:lvlJc w:val="left"/>
      <w:lvlText w:val="%1."/>
      <w:numFmt w:val="decimal"/>
      <w:start w:val="4"/>
    </w:lvl>
  </w:abstractNum>
  <w:abstractNum w:abstractNumId="284">
    <w:nsid w:val="73BC6770"/>
    <w:multiLevelType w:val="hybridMultilevel"/>
    <w:lvl w:ilvl="0">
      <w:lvlJc w:val="left"/>
      <w:lvlText w:val="%1."/>
      <w:numFmt w:val="decimal"/>
      <w:start w:val="5"/>
    </w:lvl>
  </w:abstractNum>
  <w:abstractNum w:abstractNumId="285">
    <w:nsid w:val="280E6897"/>
    <w:multiLevelType w:val="hybridMultilevel"/>
    <w:lvl w:ilvl="0">
      <w:lvlJc w:val="left"/>
      <w:lvlText w:val="(%1)"/>
      <w:numFmt w:val="lowerRoman"/>
      <w:start w:val="1"/>
    </w:lvl>
  </w:abstractNum>
  <w:abstractNum w:abstractNumId="286">
    <w:nsid w:val="605138DE"/>
    <w:multiLevelType w:val="hybridMultilevel"/>
    <w:lvl w:ilvl="0">
      <w:lvlJc w:val="left"/>
      <w:lvlText w:val="(%1)"/>
      <w:numFmt w:val="lowerRoman"/>
      <w:start w:val="2"/>
    </w:lvl>
  </w:abstractNum>
  <w:abstractNum w:abstractNumId="287">
    <w:nsid w:val="2622AD0C"/>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288">
    <w:nsid w:val="67997556"/>
    <w:multiLevelType w:val="hybridMultilevel"/>
    <w:lvl w:ilvl="0">
      <w:lvlJc w:val="left"/>
      <w:lvlText w:val="(%1)"/>
      <w:numFmt w:val="decimal"/>
      <w:start w:val="30"/>
    </w:lvl>
    <w:lvl w:ilvl="1">
      <w:lvlJc w:val="left"/>
      <w:lvlText w:val="%2."/>
      <w:numFmt w:val="decimal"/>
      <w:start w:val="5"/>
    </w:lvl>
    <w:lvl w:ilvl="2">
      <w:lvlJc w:val="left"/>
      <w:lvlText w:val="(%3)"/>
      <w:numFmt w:val="lowerRoman"/>
      <w:start w:val="5"/>
    </w:lvl>
  </w:abstractNum>
  <w:abstractNum w:abstractNumId="289">
    <w:nsid w:val="18333C89"/>
    <w:multiLevelType w:val="hybridMultilevel"/>
    <w:lvl w:ilvl="0">
      <w:lvlJc w:val="left"/>
      <w:lvlText w:val="%1."/>
      <w:numFmt w:val="decimal"/>
      <w:start w:val="1"/>
    </w:lvl>
  </w:abstractNum>
  <w:abstractNum w:abstractNumId="290">
    <w:nsid w:val="4BA9831A"/>
    <w:multiLevelType w:val="hybridMultilevel"/>
    <w:lvl w:ilvl="0">
      <w:lvlJc w:val="left"/>
      <w:lvlText w:val="%1."/>
      <w:numFmt w:val="decimal"/>
      <w:start w:val="2"/>
    </w:lvl>
  </w:abstractNum>
  <w:abstractNum w:abstractNumId="291">
    <w:nsid w:val="6D71A2B"/>
    <w:multiLevelType w:val="hybridMultilevel"/>
    <w:lvl w:ilvl="0">
      <w:lvlJc w:val="left"/>
      <w:lvlText w:val="%1."/>
      <w:numFmt w:val="decimal"/>
      <w:start w:val="3"/>
    </w:lvl>
  </w:abstractNum>
  <w:abstractNum w:abstractNumId="292">
    <w:nsid w:val="CFC7321"/>
    <w:multiLevelType w:val="hybridMultilevel"/>
    <w:lvl w:ilvl="0">
      <w:lvlJc w:val="left"/>
      <w:lvlText w:val="%1."/>
      <w:numFmt w:val="decimal"/>
      <w:start w:val="4"/>
    </w:lvl>
  </w:abstractNum>
  <w:abstractNum w:abstractNumId="293">
    <w:nsid w:val="1421971B"/>
    <w:multiLevelType w:val="hybridMultilevel"/>
    <w:lvl w:ilvl="0">
      <w:lvlJc w:val="left"/>
      <w:lvlText w:val="%1."/>
      <w:numFmt w:val="decimal"/>
      <w:start w:val="5"/>
    </w:lvl>
  </w:abstractNum>
  <w:abstractNum w:abstractNumId="294">
    <w:nsid w:val="1F404301"/>
    <w:multiLevelType w:val="hybridMultilevel"/>
    <w:lvl w:ilvl="0">
      <w:lvlJc w:val="left"/>
      <w:lvlText w:val="%1"/>
      <w:numFmt w:val="decimal"/>
      <w:start w:val="1"/>
    </w:lvl>
    <w:lvl w:ilvl="1">
      <w:lvlJc w:val="left"/>
      <w:lvlText w:val="(%2)"/>
      <w:numFmt w:val="lowerRoman"/>
      <w:start w:val="1"/>
    </w:lvl>
  </w:abstractNum>
  <w:abstractNum w:abstractNumId="295">
    <w:nsid w:val="116E0907"/>
    <w:multiLevelType w:val="hybridMultilevel"/>
    <w:lvl w:ilvl="0">
      <w:lvlJc w:val="left"/>
      <w:lvlText w:val="(%1)"/>
      <w:numFmt w:val="decimal"/>
      <w:start w:val="1"/>
    </w:lvl>
    <w:lvl w:ilvl="1">
      <w:lvlJc w:val="left"/>
      <w:lvlText w:val="(%2)"/>
      <w:numFmt w:val="lowerRoman"/>
      <w:start w:val="2"/>
    </w:lvl>
  </w:abstractNum>
  <w:abstractNum w:abstractNumId="296">
    <w:nsid w:val="4B683D0D"/>
    <w:multiLevelType w:val="hybridMultilevel"/>
    <w:lvl w:ilvl="0">
      <w:lvlJc w:val="left"/>
      <w:lvlText w:val="%1"/>
      <w:numFmt w:val="lowerLetter"/>
      <w:start w:val="1"/>
    </w:lvl>
    <w:lvl w:ilvl="1">
      <w:lvlJc w:val="left"/>
      <w:lvlText w:val="(%2)"/>
      <w:numFmt w:val="lowerLetter"/>
      <w:start w:val="9"/>
    </w:lvl>
  </w:abstractNum>
  <w:abstractNum w:abstractNumId="297">
    <w:nsid w:val="76E41D8"/>
    <w:multiLevelType w:val="hybridMultilevel"/>
    <w:lvl w:ilvl="0">
      <w:lvlJc w:val="left"/>
      <w:lvlText w:val="(%1)"/>
      <w:numFmt w:val="lowerLetter"/>
      <w:start w:val="5"/>
    </w:lvl>
    <w:lvl w:ilvl="1">
      <w:lvlJc w:val="left"/>
      <w:lvlText w:val="(%2)"/>
      <w:numFmt w:val="lowerLetter"/>
      <w:start w:val="35"/>
    </w:lvl>
  </w:abstractNum>
  <w:abstractNum w:abstractNumId="298">
    <w:nsid w:val="71DCE0FD"/>
    <w:multiLevelType w:val="hybridMultilevel"/>
    <w:lvl w:ilvl="0">
      <w:lvlJc w:val="left"/>
      <w:lvlText w:val="(%1)"/>
      <w:numFmt w:val="lowerRoman"/>
      <w:start w:val="3"/>
    </w:lvl>
  </w:abstractNum>
  <w:abstractNum w:abstractNumId="299">
    <w:nsid w:val="7906328B"/>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22"/>
    </w:lvl>
  </w:abstractNum>
  <w:abstractNum w:abstractNumId="300">
    <w:nsid w:val="72BBC16"/>
    <w:multiLevelType w:val="hybridMultilevel"/>
    <w:lvl w:ilvl="0">
      <w:lvlJc w:val="left"/>
      <w:lvlText w:val="%1."/>
      <w:numFmt w:val="decimal"/>
      <w:start w:val="1"/>
    </w:lvl>
  </w:abstractNum>
  <w:abstractNum w:abstractNumId="301">
    <w:nsid w:val="766D98C2"/>
    <w:multiLevelType w:val="hybridMultilevel"/>
    <w:lvl w:ilvl="0">
      <w:lvlJc w:val="left"/>
      <w:lvlText w:val="(%1)"/>
      <w:numFmt w:val="lowerLetter"/>
      <w:start w:val="1"/>
    </w:lvl>
  </w:abstractNum>
  <w:abstractNum w:abstractNumId="302">
    <w:nsid w:val="3C09D4A1"/>
    <w:multiLevelType w:val="hybridMultilevel"/>
    <w:lvl w:ilvl="0">
      <w:lvlJc w:val="left"/>
      <w:lvlText w:val="(%1)"/>
      <w:numFmt w:val="lowerLetter"/>
      <w:start w:val="3"/>
    </w:lvl>
  </w:abstractNum>
  <w:abstractNum w:abstractNumId="303">
    <w:nsid w:val="20E45CA4"/>
    <w:multiLevelType w:val="hybridMultilevel"/>
    <w:lvl w:ilvl="0">
      <w:lvlJc w:val="left"/>
      <w:lvlText w:val="%1."/>
      <w:numFmt w:val="decimal"/>
      <w:start w:val="2"/>
    </w:lvl>
  </w:abstractNum>
  <w:abstractNum w:abstractNumId="304">
    <w:nsid w:val="4B232EE3"/>
    <w:multiLevelType w:val="hybridMultilevel"/>
    <w:lvl w:ilvl="0">
      <w:lvlJc w:val="left"/>
      <w:lvlText w:val="%1."/>
      <w:numFmt w:val="decimal"/>
      <w:start w:val="3"/>
    </w:lvl>
  </w:abstractNum>
  <w:abstractNum w:abstractNumId="305">
    <w:nsid w:val="159C74CF"/>
    <w:multiLevelType w:val="hybridMultilevel"/>
    <w:lvl w:ilvl="0">
      <w:lvlJc w:val="left"/>
      <w:lvlText w:val="%1."/>
      <w:numFmt w:val="decimal"/>
      <w:start w:val="5"/>
    </w:lvl>
  </w:abstractNum>
  <w:abstractNum w:abstractNumId="306">
    <w:nsid w:val="4AD3AFD2"/>
    <w:multiLevelType w:val="hybridMultilevel"/>
    <w:lvl w:ilvl="0">
      <w:lvlJc w:val="left"/>
      <w:lvlText w:val="%1."/>
      <w:numFmt w:val="decimal"/>
      <w:start w:val="6"/>
    </w:lvl>
  </w:abstractNum>
  <w:abstractNum w:abstractNumId="307">
    <w:nsid w:val="3CF93092"/>
    <w:multiLevelType w:val="hybridMultilevel"/>
    <w:lvl w:ilvl="0">
      <w:lvlJc w:val="left"/>
      <w:lvlText w:val="%1."/>
      <w:numFmt w:val="decimal"/>
      <w:start w:val="7"/>
    </w:lvl>
  </w:abstractNum>
  <w:abstractNum w:abstractNumId="308">
    <w:nsid w:val="6863E8D2"/>
    <w:multiLevelType w:val="hybridMultilevel"/>
    <w:lvl w:ilvl="0">
      <w:lvlJc w:val="left"/>
      <w:lvlText w:val="%1."/>
      <w:numFmt w:val="decimal"/>
      <w:start w:val="1"/>
    </w:lvl>
    <w:lvl w:ilvl="1">
      <w:lvlJc w:val="left"/>
      <w:lvlText w:val="☐"/>
      <w:numFmt w:val="bullet"/>
      <w:start w:val="1"/>
    </w:lvl>
  </w:abstractNum>
  <w:abstractNum w:abstractNumId="309">
    <w:nsid w:val="76896198"/>
    <w:multiLevelType w:val="hybridMultilevel"/>
    <w:lvl w:ilvl="0">
      <w:lvlJc w:val="left"/>
      <w:lvlText w:val="[*]"/>
      <w:numFmt w:val="bullet"/>
      <w:start w:val="1"/>
    </w:lvl>
  </w:abstractNum>
  <w:abstractNum w:abstractNumId="310">
    <w:nsid w:val="4365174B"/>
    <w:multiLevelType w:val="hybridMultilevel"/>
    <w:lvl w:ilvl="0">
      <w:lvlJc w:val="left"/>
      <w:lvlText w:val="1"/>
      <w:numFmt w:val="bullet"/>
      <w:start w:val="1"/>
    </w:lvl>
  </w:abstractNum>
  <w:abstractNum w:abstractNumId="311">
    <w:nsid w:val="4A872C35"/>
    <w:multiLevelType w:val="hybridMultilevel"/>
    <w:lvl w:ilvl="0">
      <w:lvlJc w:val="left"/>
      <w:lvlText w:val="2"/>
      <w:numFmt w:val="bullet"/>
      <w:start w:val="1"/>
    </w:lvl>
  </w:abstractNum>
  <w:abstractNum w:abstractNumId="312">
    <w:nsid w:val="5D5CE761"/>
    <w:multiLevelType w:val="hybridMultilevel"/>
    <w:lvl w:ilvl="0">
      <w:lvlJc w:val="left"/>
      <w:lvlText w:val="3"/>
      <w:numFmt w:val="bullet"/>
      <w:start w:val="1"/>
    </w:lvl>
  </w:abstractNum>
  <w:abstractNum w:abstractNumId="313">
    <w:nsid w:val="1CD484D5"/>
    <w:multiLevelType w:val="hybridMultilevel"/>
    <w:lvl w:ilvl="0">
      <w:lvlJc w:val="left"/>
      <w:lvlText w:val="4"/>
      <w:numFmt w:val="bullet"/>
      <w:start w:val="1"/>
    </w:lvl>
  </w:abstractNum>
  <w:abstractNum w:abstractNumId="314">
    <w:nsid w:val="21D06255"/>
    <w:multiLevelType w:val="hybridMultilevel"/>
    <w:lvl w:ilvl="0">
      <w:lvlJc w:val="left"/>
      <w:lvlText w:val="[*]"/>
      <w:numFmt w:val="bullet"/>
      <w:start w:val="1"/>
    </w:lvl>
  </w:abstractNum>
  <w:abstractNum w:abstractNumId="315">
    <w:nsid w:val="51194ED1"/>
    <w:multiLevelType w:val="hybridMultilevel"/>
    <w:lvl w:ilvl="0">
      <w:lvlJc w:val="left"/>
      <w:lvlText w:val="%1."/>
      <w:numFmt w:val="upperLetter"/>
      <w:start w:val="1"/>
    </w:lvl>
  </w:abstractNum>
  <w:abstractNum w:abstractNumId="316">
    <w:nsid w:val="44E2ED6C"/>
    <w:multiLevelType w:val="hybridMultilevel"/>
    <w:lvl w:ilvl="0">
      <w:lvlJc w:val="left"/>
      <w:lvlText w:val="%1."/>
      <w:numFmt w:val="decimal"/>
      <w:start w:val="1"/>
    </w:lvl>
  </w:abstractNum>
  <w:abstractNum w:abstractNumId="317">
    <w:nsid w:val="2219B33"/>
    <w:multiLevelType w:val="hybridMultilevel"/>
    <w:lvl w:ilvl="0">
      <w:lvlJc w:val="left"/>
      <w:lvlText w:val="[*]"/>
      <w:numFmt w:val="bullet"/>
      <w:start w:val="1"/>
    </w:lvl>
  </w:abstractNum>
  <w:abstractNum w:abstractNumId="318">
    <w:nsid w:val="773BFBDD"/>
    <w:multiLevelType w:val="hybridMultilevel"/>
    <w:lvl w:ilvl="0">
      <w:lvlJc w:val="left"/>
      <w:lvlText w:val="[*]"/>
      <w:numFmt w:val="bullet"/>
      <w:start w:val="1"/>
    </w:lvl>
  </w:abstractNum>
  <w:abstractNum w:abstractNumId="319">
    <w:nsid w:val="2C7C62C2"/>
    <w:multiLevelType w:val="hybridMultilevel"/>
    <w:lvl w:ilvl="0">
      <w:lvlJc w:val="left"/>
      <w:lvlText w:val="(%1)"/>
      <w:numFmt w:val="lowerLetter"/>
      <w:start w:val="1"/>
    </w:lvl>
  </w:abstractNum>
  <w:abstractNum w:abstractNumId="320">
    <w:nsid w:val="1A54D7BC"/>
    <w:multiLevelType w:val="hybridMultilevel"/>
    <w:lvl w:ilvl="0">
      <w:lvlJc w:val="left"/>
      <w:lvlText w:val="[*]"/>
      <w:numFmt w:val="bullet"/>
      <w:start w:val="1"/>
    </w:lvl>
  </w:abstractNum>
  <w:abstractNum w:abstractNumId="321">
    <w:nsid w:val="42E57EF7"/>
    <w:multiLevelType w:val="hybridMultilevel"/>
    <w:lvl w:ilvl="0">
      <w:lvlJc w:val="left"/>
      <w:lvlText w:val="(%1)"/>
      <w:numFmt w:val="lowerLetter"/>
      <w:start w:val="3"/>
    </w:lvl>
  </w:abstractNum>
  <w:abstractNum w:abstractNumId="322">
    <w:nsid w:val="33537CED"/>
    <w:multiLevelType w:val="hybridMultilevel"/>
    <w:lvl w:ilvl="0">
      <w:lvlJc w:val="left"/>
      <w:lvlText w:val="[*]"/>
      <w:numFmt w:val="bullet"/>
      <w:start w:val="1"/>
    </w:lvl>
  </w:abstractNum>
  <w:abstractNum w:abstractNumId="323">
    <w:nsid w:val="27514ADE"/>
    <w:multiLevelType w:val="hybridMultilevel"/>
    <w:lvl w:ilvl="0">
      <w:lvlJc w:val="left"/>
      <w:lvlText w:val="[*]"/>
      <w:numFmt w:val="bullet"/>
      <w:start w:val="1"/>
    </w:lvl>
  </w:abstractNum>
  <w:abstractNum w:abstractNumId="324">
    <w:nsid w:val="57071613"/>
    <w:multiLevelType w:val="hybridMultilevel"/>
    <w:lvl w:ilvl="0">
      <w:lvlJc w:val="left"/>
      <w:lvlText w:val="%1."/>
      <w:numFmt w:val="decimal"/>
      <w:start w:val="2"/>
    </w:lvl>
  </w:abstractNum>
  <w:abstractNum w:abstractNumId="325">
    <w:nsid w:val="5293BFEF"/>
    <w:multiLevelType w:val="hybridMultilevel"/>
    <w:lvl w:ilvl="0">
      <w:lvlJc w:val="left"/>
      <w:lvlText w:val="[*]"/>
      <w:numFmt w:val="bullet"/>
      <w:start w:val="1"/>
    </w:lvl>
  </w:abstractNum>
  <w:abstractNum w:abstractNumId="326">
    <w:nsid w:val="38BF53E5"/>
    <w:multiLevelType w:val="hybridMultilevel"/>
    <w:lvl w:ilvl="0">
      <w:lvlJc w:val="left"/>
      <w:lvlText w:val="%1."/>
      <w:numFmt w:val="decimal"/>
      <w:start w:val="3"/>
    </w:lvl>
  </w:abstractNum>
  <w:abstractNum w:abstractNumId="327">
    <w:nsid w:val="226F5320"/>
    <w:multiLevelType w:val="hybridMultilevel"/>
    <w:lvl w:ilvl="0">
      <w:lvlJc w:val="left"/>
      <w:lvlText w:val="[*]"/>
      <w:numFmt w:val="bullet"/>
      <w:start w:val="1"/>
    </w:lvl>
  </w:abstractNum>
  <w:abstractNum w:abstractNumId="328">
    <w:nsid w:val="5A0201C7"/>
    <w:multiLevelType w:val="hybridMultilevel"/>
    <w:lvl w:ilvl="0">
      <w:lvlJc w:val="left"/>
      <w:lvlText w:val="%1."/>
      <w:numFmt w:val="decimal"/>
      <w:start w:val="4"/>
    </w:lvl>
  </w:abstractNum>
  <w:abstractNum w:abstractNumId="329">
    <w:nsid w:val="2A9C34E2"/>
    <w:multiLevelType w:val="hybridMultilevel"/>
    <w:lvl w:ilvl="0">
      <w:lvlJc w:val="left"/>
      <w:lvlText w:val="[*]"/>
      <w:numFmt w:val="bullet"/>
      <w:start w:val="1"/>
    </w:lvl>
  </w:abstractNum>
  <w:abstractNum w:abstractNumId="330">
    <w:nsid w:val="1B7585AB"/>
    <w:multiLevelType w:val="hybridMultilevel"/>
    <w:lvl w:ilvl="0">
      <w:lvlJc w:val="left"/>
      <w:lvlText w:val="(%1)"/>
      <w:numFmt w:val="lowerLetter"/>
      <w:start w:val="1"/>
    </w:lvl>
  </w:abstractNum>
  <w:abstractNum w:abstractNumId="331">
    <w:nsid w:val="612DBDDD"/>
    <w:multiLevelType w:val="hybridMultilevel"/>
    <w:lvl w:ilvl="0">
      <w:lvlJc w:val="left"/>
      <w:lvlText w:val="[*]"/>
      <w:numFmt w:val="bullet"/>
      <w:start w:val="1"/>
    </w:lvl>
  </w:abstractNum>
  <w:abstractNum w:abstractNumId="332">
    <w:nsid w:val="2109CDA4"/>
    <w:multiLevelType w:val="hybridMultilevel"/>
    <w:lvl w:ilvl="0">
      <w:lvlJc w:val="left"/>
      <w:lvlText w:val="%1."/>
      <w:numFmt w:val="decimal"/>
      <w:start w:val="5"/>
    </w:lvl>
  </w:abstractNum>
  <w:abstractNum w:abstractNumId="333">
    <w:nsid w:val="577F5A4D"/>
    <w:multiLevelType w:val="hybridMultilevel"/>
    <w:lvl w:ilvl="0">
      <w:lvlJc w:val="left"/>
      <w:lvlText w:val="[*]"/>
      <w:numFmt w:val="bullet"/>
      <w:start w:val="1"/>
    </w:lvl>
  </w:abstractNum>
  <w:abstractNum w:abstractNumId="334">
    <w:nsid w:val="2121A81"/>
    <w:multiLevelType w:val="hybridMultilevel"/>
    <w:lvl w:ilvl="0">
      <w:lvlJc w:val="left"/>
      <w:lvlText w:val="(%1)"/>
      <w:numFmt w:val="lowerLetter"/>
      <w:start w:val="1"/>
    </w:lvl>
  </w:abstractNum>
  <w:abstractNum w:abstractNumId="335">
    <w:nsid w:val="6C2CFC88"/>
    <w:multiLevelType w:val="hybridMultilevel"/>
    <w:lvl w:ilvl="0">
      <w:lvlJc w:val="left"/>
      <w:lvlText w:val="[*]"/>
      <w:numFmt w:val="bullet"/>
      <w:start w:val="1"/>
    </w:lvl>
  </w:abstractNum>
  <w:abstractNum w:abstractNumId="336">
    <w:nsid w:val="6D1BCF1C"/>
    <w:multiLevelType w:val="hybridMultilevel"/>
    <w:lvl w:ilvl="0">
      <w:lvlJc w:val="left"/>
      <w:lvlText w:val="%1."/>
      <w:numFmt w:val="decimal"/>
      <w:start w:val="6"/>
    </w:lvl>
  </w:abstractNum>
  <w:abstractNum w:abstractNumId="337">
    <w:nsid w:val="4CE5CA53"/>
    <w:multiLevelType w:val="hybridMultilevel"/>
    <w:lvl w:ilvl="0">
      <w:lvlJc w:val="left"/>
      <w:lvlText w:val="[*]"/>
      <w:numFmt w:val="bullet"/>
      <w:start w:val="1"/>
    </w:lvl>
  </w:abstractNum>
  <w:abstractNum w:abstractNumId="338">
    <w:nsid w:val="29262D1A"/>
    <w:multiLevelType w:val="hybridMultilevel"/>
    <w:lvl w:ilvl="0">
      <w:lvlJc w:val="left"/>
      <w:lvlText w:val="%1."/>
      <w:numFmt w:val="decimal"/>
      <w:start w:val="7"/>
    </w:lvl>
  </w:abstractNum>
  <w:abstractNum w:abstractNumId="339">
    <w:nsid w:val="557FB7EE"/>
    <w:multiLevelType w:val="hybridMultilevel"/>
    <w:lvl w:ilvl="0">
      <w:lvlJc w:val="left"/>
      <w:lvlText w:val="[*]"/>
      <w:numFmt w:val="bullet"/>
      <w:start w:val="1"/>
    </w:lvl>
  </w:abstractNum>
  <w:abstractNum w:abstractNumId="340">
    <w:nsid w:val="436F2BEB"/>
    <w:multiLevelType w:val="hybridMultilevel"/>
    <w:lvl w:ilvl="0">
      <w:lvlJc w:val="left"/>
      <w:lvlText w:val="[*]"/>
      <w:numFmt w:val="bullet"/>
      <w:start w:val="1"/>
    </w:lvl>
  </w:abstractNum>
  <w:abstractNum w:abstractNumId="341">
    <w:nsid w:val="6C8B4466"/>
    <w:multiLevelType w:val="hybridMultilevel"/>
    <w:lvl w:ilvl="0">
      <w:lvlJc w:val="left"/>
      <w:lvlText w:val="%1."/>
      <w:numFmt w:val="decimal"/>
      <w:start w:val="8"/>
    </w:lvl>
  </w:abstractNum>
  <w:abstractNum w:abstractNumId="342">
    <w:nsid w:val="2006E424"/>
    <w:multiLevelType w:val="hybridMultilevel"/>
    <w:lvl w:ilvl="0">
      <w:lvlJc w:val="left"/>
      <w:lvlText w:val="[*]"/>
      <w:numFmt w:val="bullet"/>
      <w:start w:val="1"/>
    </w:lvl>
  </w:abstractNum>
  <w:abstractNum w:abstractNumId="343">
    <w:nsid w:val="20CC134C"/>
    <w:multiLevelType w:val="hybridMultilevel"/>
    <w:lvl w:ilvl="0">
      <w:lvlJc w:val="left"/>
      <w:lvlText w:val="[*]"/>
      <w:numFmt w:val="bullet"/>
      <w:start w:val="1"/>
    </w:lvl>
  </w:abstractNum>
  <w:abstractNum w:abstractNumId="344">
    <w:nsid w:val="95FC93B"/>
    <w:multiLevelType w:val="hybridMultilevel"/>
    <w:lvl w:ilvl="0">
      <w:lvlJc w:val="left"/>
      <w:lvlText w:val="%1."/>
      <w:numFmt w:val="decimal"/>
      <w:start w:val="9"/>
    </w:lvl>
  </w:abstractNum>
  <w:abstractNum w:abstractNumId="345">
    <w:nsid w:val="41D74679"/>
    <w:multiLevelType w:val="hybridMultilevel"/>
    <w:lvl w:ilvl="0">
      <w:lvlJc w:val="left"/>
      <w:lvlText w:val="[*]"/>
      <w:numFmt w:val="bullet"/>
      <w:start w:val="1"/>
    </w:lvl>
  </w:abstractNum>
  <w:abstractNum w:abstractNumId="346">
    <w:nsid w:val="71E5621E"/>
    <w:multiLevelType w:val="hybridMultilevel"/>
    <w:lvl w:ilvl="0">
      <w:lvlJc w:val="left"/>
      <w:lvlText w:val="%1."/>
      <w:numFmt w:val="decimal"/>
      <w:start w:val="10"/>
    </w:lvl>
  </w:abstractNum>
  <w:abstractNum w:abstractNumId="347">
    <w:nsid w:val="4E42B6A8"/>
    <w:multiLevelType w:val="hybridMultilevel"/>
    <w:lvl w:ilvl="0">
      <w:lvlJc w:val="left"/>
      <w:lvlText w:val="[*]"/>
      <w:numFmt w:val="bullet"/>
      <w:start w:val="1"/>
    </w:lvl>
  </w:abstractNum>
  <w:abstractNum w:abstractNumId="348">
    <w:nsid w:val="43F8E1AC"/>
    <w:multiLevelType w:val="hybridMultilevel"/>
    <w:lvl w:ilvl="0">
      <w:lvlJc w:val="left"/>
      <w:lvlText w:val="[*]"/>
      <w:numFmt w:val="bullet"/>
      <w:start w:val="1"/>
    </w:lvl>
  </w:abstractNum>
  <w:abstractNum w:abstractNumId="349">
    <w:nsid w:val="69215DFB"/>
    <w:multiLevelType w:val="hybridMultilevel"/>
    <w:lvl w:ilvl="0">
      <w:lvlJc w:val="left"/>
      <w:lvlText w:val="(%1)"/>
      <w:numFmt w:val="lowerLetter"/>
      <w:start w:val="2"/>
    </w:lvl>
  </w:abstractNum>
  <w:abstractNum w:abstractNumId="350">
    <w:nsid w:val="7ABF196A"/>
    <w:multiLevelType w:val="hybridMultilevel"/>
    <w:lvl w:ilvl="0">
      <w:lvlJc w:val="left"/>
      <w:lvlText w:val="%1."/>
      <w:numFmt w:val="decimal"/>
      <w:start w:val="11"/>
    </w:lvl>
  </w:abstractNum>
  <w:abstractNum w:abstractNumId="351">
    <w:nsid w:val="5E4DB968"/>
    <w:multiLevelType w:val="hybridMultilevel"/>
    <w:lvl w:ilvl="0">
      <w:lvlJc w:val="left"/>
      <w:lvlText w:val="%1."/>
      <w:numFmt w:val="decimal"/>
      <w:start w:val="12"/>
    </w:lvl>
  </w:abstractNum>
  <w:abstractNum w:abstractNumId="352">
    <w:nsid w:val="2C06DCF3"/>
    <w:multiLevelType w:val="hybridMultilevel"/>
    <w:lvl w:ilvl="0">
      <w:lvlJc w:val="left"/>
      <w:lvlText w:val="[*]"/>
      <w:numFmt w:val="bullet"/>
      <w:start w:val="1"/>
    </w:lvl>
  </w:abstractNum>
  <w:abstractNum w:abstractNumId="353">
    <w:nsid w:val="2E129658"/>
    <w:multiLevelType w:val="hybridMultilevel"/>
    <w:lvl w:ilvl="0">
      <w:lvlJc w:val="left"/>
      <w:lvlText w:val="%1."/>
      <w:numFmt w:val="decimal"/>
      <w:start w:val="13"/>
    </w:lvl>
    <w:lvl w:ilvl="1">
      <w:lvlJc w:val="left"/>
      <w:lvlText w:val="(%2)"/>
      <w:numFmt w:val="lowerLetter"/>
      <w:start w:val="1"/>
    </w:lvl>
  </w:abstractNum>
  <w:abstractNum w:abstractNumId="354">
    <w:nsid w:val="59F0446"/>
    <w:multiLevelType w:val="hybridMultilevel"/>
    <w:lvl w:ilvl="0">
      <w:lvlJc w:val="left"/>
      <w:lvlText w:val="[*]"/>
      <w:numFmt w:val="bullet"/>
      <w:start w:val="1"/>
    </w:lvl>
  </w:abstractNum>
  <w:abstractNum w:abstractNumId="355">
    <w:nsid w:val="30DF306"/>
    <w:multiLevelType w:val="hybridMultilevel"/>
    <w:lvl w:ilvl="0">
      <w:lvlJc w:val="left"/>
      <w:lvlText w:val="%1"/>
      <w:numFmt w:val="decimal"/>
      <w:start w:val="1"/>
    </w:lvl>
    <w:lvl w:ilvl="1">
      <w:lvlJc w:val="left"/>
      <w:lvlText w:val="(%2)"/>
      <w:numFmt w:val="lowerLetter"/>
      <w:start w:val="3"/>
    </w:lvl>
  </w:abstractNum>
  <w:abstractNum w:abstractNumId="356">
    <w:nsid w:val="A65647"/>
    <w:multiLevelType w:val="hybridMultilevel"/>
    <w:lvl w:ilvl="0">
      <w:lvlJc w:val="left"/>
      <w:lvlText w:val="%1."/>
      <w:numFmt w:val="decimal"/>
      <w:start w:val="15"/>
    </w:lvl>
    <w:lvl w:ilvl="1">
      <w:lvlJc w:val="left"/>
      <w:lvlText w:val="%2"/>
      <w:numFmt w:val="lowerLetter"/>
      <w:start w:val="1"/>
    </w:lvl>
  </w:abstractNum>
  <w:abstractNum w:abstractNumId="357">
    <w:nsid w:val="3E5E582B"/>
    <w:multiLevelType w:val="hybridMultilevel"/>
    <w:lvl w:ilvl="0">
      <w:lvlJc w:val="left"/>
      <w:lvlText w:val="%1."/>
      <w:numFmt w:val="decimal"/>
      <w:start w:val="16"/>
    </w:lvl>
  </w:abstractNum>
  <w:abstractNum w:abstractNumId="358">
    <w:nsid w:val="257D4626"/>
    <w:multiLevelType w:val="hybridMultilevel"/>
    <w:lvl w:ilvl="0">
      <w:lvlJc w:val="left"/>
      <w:lvlText w:val="[*]"/>
      <w:numFmt w:val="bullet"/>
      <w:start w:val="1"/>
    </w:lvl>
  </w:abstractNum>
  <w:abstractNum w:abstractNumId="359">
    <w:nsid w:val="5AA8580E"/>
    <w:multiLevelType w:val="hybridMultilevel"/>
    <w:lvl w:ilvl="0">
      <w:lvlJc w:val="left"/>
      <w:lvlText w:val="[*]"/>
      <w:numFmt w:val="bullet"/>
      <w:start w:val="1"/>
    </w:lvl>
  </w:abstractNum>
  <w:abstractNum w:abstractNumId="360">
    <w:nsid w:val="68FA8D0D"/>
    <w:multiLevelType w:val="hybridMultilevel"/>
    <w:lvl w:ilvl="0">
      <w:lvlJc w:val="left"/>
      <w:lvlText w:val="[*]"/>
      <w:numFmt w:val="bullet"/>
      <w:start w:val="1"/>
    </w:lvl>
  </w:abstractNum>
  <w:abstractNum w:abstractNumId="361">
    <w:nsid w:val="40F2CBD2"/>
    <w:multiLevelType w:val="hybridMultilevel"/>
    <w:lvl w:ilvl="0">
      <w:lvlJc w:val="left"/>
      <w:lvlText w:val="[*]"/>
      <w:numFmt w:val="bullet"/>
      <w:start w:val="1"/>
    </w:lvl>
  </w:abstractNum>
  <w:abstractNum w:abstractNumId="362">
    <w:nsid w:val="3BD615EB"/>
    <w:multiLevelType w:val="hybridMultilevel"/>
    <w:lvl w:ilvl="0">
      <w:lvlJc w:val="left"/>
      <w:lvlText w:val="[*]"/>
      <w:numFmt w:val="bullet"/>
      <w:start w:val="1"/>
    </w:lvl>
  </w:abstractNum>
  <w:abstractNum w:abstractNumId="363">
    <w:nsid w:val="A045AB2"/>
    <w:multiLevelType w:val="hybridMultilevel"/>
    <w:lvl w:ilvl="0">
      <w:lvlJc w:val="left"/>
      <w:lvlText w:val="[*]"/>
      <w:numFmt w:val="bullet"/>
      <w:start w:val="1"/>
    </w:lvl>
  </w:abstractNum>
  <w:abstractNum w:abstractNumId="364">
    <w:nsid w:val="1872261F"/>
    <w:multiLevelType w:val="hybridMultilevel"/>
    <w:lvl w:ilvl="0">
      <w:lvlJc w:val="left"/>
      <w:lvlText w:val="[*]"/>
      <w:numFmt w:val="bullet"/>
      <w:start w:val="1"/>
    </w:lvl>
  </w:abstractNum>
  <w:abstractNum w:abstractNumId="365">
    <w:nsid w:val="3DE8306C"/>
    <w:multiLevelType w:val="hybridMultilevel"/>
    <w:lvl w:ilvl="0">
      <w:lvlJc w:val="left"/>
      <w:lvlText w:val="[*]"/>
      <w:numFmt w:val="bullet"/>
      <w:start w:val="1"/>
    </w:lvl>
  </w:abstractNum>
  <w:abstractNum w:abstractNumId="366">
    <w:nsid w:val="7631573A"/>
    <w:multiLevelType w:val="hybridMultilevel"/>
    <w:lvl w:ilvl="0">
      <w:lvlJc w:val="left"/>
      <w:lvlText w:val="[*]"/>
      <w:numFmt w:val="bullet"/>
      <w:start w:val="1"/>
    </w:lvl>
  </w:abstractNum>
  <w:abstractNum w:abstractNumId="367">
    <w:nsid w:val="58DF53B"/>
    <w:multiLevelType w:val="hybridMultilevel"/>
    <w:lvl w:ilvl="0">
      <w:lvlJc w:val="left"/>
      <w:lvlText w:val="%1."/>
      <w:numFmt w:val="upperLetter"/>
      <w:start w:val="1"/>
    </w:lvl>
  </w:abstractNum>
  <w:abstractNum w:abstractNumId="368">
    <w:nsid w:val="ACDFAC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69">
    <w:nsid w:val="1F578454"/>
    <w:multiLevelType w:val="hybridMultilevel"/>
    <w:lvl w:ilvl="0">
      <w:lvlJc w:val="left"/>
      <w:lvlText w:val="[*]"/>
      <w:numFmt w:val="bullet"/>
      <w:start w:val="1"/>
    </w:lvl>
  </w:abstractNum>
  <w:abstractNum w:abstractNumId="370">
    <w:nsid w:val="5B0DAD2A"/>
    <w:multiLevelType w:val="hybridMultilevel"/>
    <w:lvl w:ilvl="0">
      <w:lvlJc w:val="left"/>
      <w:lvlText w:val="%1"/>
      <w:numFmt w:val="decimal"/>
      <w:start w:val="1"/>
    </w:lvl>
    <w:lvl w:ilvl="1">
      <w:lvlJc w:val="left"/>
      <w:lvlText w:val="(%2)"/>
      <w:numFmt w:val="lowerLetter"/>
      <w:start w:val="3"/>
    </w:lvl>
  </w:abstractNum>
  <w:abstractNum w:abstractNumId="371">
    <w:nsid w:val="4E3D26AB"/>
    <w:multiLevelType w:val="hybridMultilevel"/>
    <w:lvl w:ilvl="0">
      <w:lvlJc w:val="left"/>
      <w:lvlText w:val="%1."/>
      <w:numFmt w:val="decimal"/>
      <w:start w:val="2"/>
    </w:lvl>
    <w:lvl w:ilvl="1">
      <w:lvlJc w:val="left"/>
      <w:lvlText w:val="%2"/>
      <w:numFmt w:val="lowerLetter"/>
      <w:start w:val="1"/>
    </w:lvl>
  </w:abstractNum>
  <w:abstractNum w:abstractNumId="372">
    <w:nsid w:val="BE2C8BA"/>
    <w:multiLevelType w:val="hybridMultilevel"/>
    <w:lvl w:ilvl="0">
      <w:lvlJc w:val="left"/>
      <w:lvlText w:val="[*]"/>
      <w:numFmt w:val="bullet"/>
      <w:start w:val="1"/>
    </w:lvl>
  </w:abstractNum>
  <w:abstractNum w:abstractNumId="373">
    <w:nsid w:val="7B14914E"/>
    <w:multiLevelType w:val="hybridMultilevel"/>
    <w:lvl w:ilvl="0">
      <w:lvlJc w:val="left"/>
      <w:lvlText w:val="[*]"/>
      <w:numFmt w:val="bullet"/>
      <w:start w:val="1"/>
    </w:lvl>
  </w:abstractNum>
  <w:abstractNum w:abstractNumId="374">
    <w:nsid w:val="6F0939F8"/>
    <w:multiLevelType w:val="hybridMultilevel"/>
    <w:lvl w:ilvl="0">
      <w:lvlJc w:val="left"/>
      <w:lvlText w:val="[*]"/>
      <w:numFmt w:val="bullet"/>
      <w:start w:val="1"/>
    </w:lvl>
  </w:abstractNum>
  <w:abstractNum w:abstractNumId="375">
    <w:nsid w:val="154291F6"/>
    <w:multiLevelType w:val="hybridMultilevel"/>
    <w:lvl w:ilvl="0">
      <w:lvlJc w:val="left"/>
      <w:lvlText w:val="[*]"/>
      <w:numFmt w:val="bullet"/>
      <w:start w:val="1"/>
    </w:lvl>
  </w:abstractNum>
  <w:abstractNum w:abstractNumId="376">
    <w:nsid w:val="3CEBD7C7"/>
    <w:multiLevelType w:val="hybridMultilevel"/>
    <w:lvl w:ilvl="0">
      <w:lvlJc w:val="left"/>
      <w:lvlText w:val="%1."/>
      <w:numFmt w:val="upperLetter"/>
      <w:start w:val="1"/>
    </w:lvl>
  </w:abstractNum>
  <w:abstractNum w:abstractNumId="377">
    <w:nsid w:val="60EE9C1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78">
    <w:nsid w:val="6385489E"/>
    <w:multiLevelType w:val="hybridMultilevel"/>
    <w:lvl w:ilvl="0">
      <w:lvlJc w:val="left"/>
      <w:lvlText w:val="[*]"/>
      <w:numFmt w:val="bullet"/>
      <w:start w:val="1"/>
    </w:lvl>
  </w:abstractNum>
  <w:abstractNum w:abstractNumId="379">
    <w:nsid w:val="E4B973"/>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lvl w:ilvl="3">
      <w:lvlJc w:val="left"/>
      <w:lvlText w:val="(%4)"/>
      <w:numFmt w:val="lowerLetter"/>
      <w:start w:val="35"/>
    </w:lvl>
    <w:lvl w:ilvl="4">
      <w:lvlJc w:val="left"/>
      <w:lvlText w:val="%5"/>
      <w:numFmt w:val="lowerLetter"/>
      <w:start w:val="1"/>
    </w:lvl>
  </w:abstractNum>
  <w:abstractNum w:abstractNumId="380">
    <w:nsid w:val="4A0FFA11"/>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lvl w:ilvl="3">
      <w:lvlJc w:val="left"/>
      <w:lvlText w:val="%4"/>
      <w:numFmt w:val="lowerLetter"/>
      <w:start w:val="1"/>
    </w:lvl>
    <w:lvl w:ilvl="4">
      <w:lvlJc w:val="left"/>
      <w:lvlText w:val="%5"/>
      <w:numFmt w:val="lowerLetter"/>
      <w:start w:val="1"/>
    </w:lvl>
  </w:abstractNum>
  <w:abstractNum w:abstractNumId="381">
    <w:nsid w:val="5E446208"/>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lvl w:ilvl="3">
      <w:lvlJc w:val="left"/>
      <w:lvlText w:val="%4"/>
      <w:numFmt w:val="lowerLetter"/>
      <w:start w:val="1"/>
    </w:lvl>
    <w:lvl w:ilvl="4">
      <w:lvlJc w:val="left"/>
      <w:lvlText w:val="(%5)"/>
      <w:numFmt w:val="lowerLetter"/>
      <w:start w:val="1"/>
    </w:lvl>
  </w:abstractNum>
  <w:abstractNum w:abstractNumId="382">
    <w:nsid w:val="5F3272DB"/>
    <w:multiLevelType w:val="hybridMultilevel"/>
    <w:lvl w:ilvl="0">
      <w:lvlJc w:val="left"/>
      <w:lvlText w:val="[*]"/>
      <w:numFmt w:val="bullet"/>
      <w:start w:val="1"/>
    </w:lvl>
  </w:abstractNum>
  <w:abstractNum w:abstractNumId="383">
    <w:nsid w:val="7616D704"/>
    <w:multiLevelType w:val="hybridMultilevel"/>
    <w:lvl w:ilvl="0">
      <w:lvlJc w:val="left"/>
      <w:lvlText w:val="[*]"/>
      <w:numFmt w:val="bullet"/>
      <w:start w:val="1"/>
    </w:lvl>
  </w:abstractNum>
  <w:abstractNum w:abstractNumId="384">
    <w:nsid w:val="C56F860"/>
    <w:multiLevelType w:val="hybridMultilevel"/>
    <w:lvl w:ilvl="0">
      <w:lvlJc w:val="left"/>
      <w:lvlText w:val="[*]"/>
      <w:numFmt w:val="bullet"/>
      <w:start w:val="1"/>
    </w:lvl>
  </w:abstractNum>
  <w:abstractNum w:abstractNumId="385">
    <w:nsid w:val="64D17722"/>
    <w:multiLevelType w:val="hybridMultilevel"/>
    <w:lvl w:ilvl="0">
      <w:lvlJc w:val="left"/>
      <w:lvlText w:val="[*]"/>
      <w:numFmt w:val="bullet"/>
      <w:start w:val="1"/>
    </w:lvl>
  </w:abstractNum>
  <w:abstractNum w:abstractNumId="386">
    <w:nsid w:val="7924CA0A"/>
    <w:multiLevelType w:val="hybridMultilevel"/>
    <w:lvl w:ilvl="0">
      <w:lvlJc w:val="left"/>
      <w:lvlText w:val="%1."/>
      <w:numFmt w:val="upperLetter"/>
      <w:start w:val="1"/>
    </w:lvl>
  </w:abstractNum>
  <w:abstractNum w:abstractNumId="387">
    <w:nsid w:val="CFD4EA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88">
    <w:nsid w:val="232FCF4D"/>
    <w:multiLevelType w:val="hybridMultilevel"/>
    <w:lvl w:ilvl="0">
      <w:lvlJc w:val="left"/>
      <w:lvlText w:val="[*]"/>
      <w:numFmt w:val="bullet"/>
      <w:start w:val="1"/>
    </w:lvl>
  </w:abstractNum>
  <w:abstractNum w:abstractNumId="389">
    <w:nsid w:val="1EA21031"/>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lvl w:ilvl="3">
      <w:lvlJc w:val="left"/>
      <w:lvlText w:val="(%4)"/>
      <w:numFmt w:val="lowerLetter"/>
      <w:start w:val="35"/>
    </w:lvl>
    <w:lvl w:ilvl="4">
      <w:lvlJc w:val="left"/>
      <w:lvlText w:val="%5"/>
      <w:numFmt w:val="lowerLetter"/>
      <w:start w:val="1"/>
    </w:lvl>
  </w:abstractNum>
  <w:abstractNum w:abstractNumId="390">
    <w:nsid w:val="67A5A6B5"/>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lvl w:ilvl="3">
      <w:lvlJc w:val="left"/>
      <w:lvlText w:val="%4"/>
      <w:numFmt w:val="lowerLetter"/>
      <w:start w:val="1"/>
    </w:lvl>
    <w:lvl w:ilvl="4">
      <w:lvlJc w:val="left"/>
      <w:lvlText w:val="%5"/>
      <w:numFmt w:val="lowerLetter"/>
      <w:start w:val="1"/>
    </w:lvl>
  </w:abstractNum>
  <w:abstractNum w:abstractNumId="391">
    <w:nsid w:val="C2A5C5B"/>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lvl w:ilvl="3">
      <w:lvlJc w:val="left"/>
      <w:lvlText w:val="%4"/>
      <w:numFmt w:val="lowerLetter"/>
      <w:start w:val="1"/>
    </w:lvl>
    <w:lvl w:ilvl="4">
      <w:lvlJc w:val="left"/>
      <w:lvlText w:val="(%5)"/>
      <w:numFmt w:val="lowerLetter"/>
      <w:start w:val="1"/>
    </w:lvl>
  </w:abstractNum>
  <w:abstractNum w:abstractNumId="392">
    <w:nsid w:val="5F94DC03"/>
    <w:multiLevelType w:val="hybridMultilevel"/>
    <w:lvl w:ilvl="0">
      <w:lvlJc w:val="left"/>
      <w:lvlText w:val="[*]"/>
      <w:numFmt w:val="bullet"/>
      <w:start w:val="1"/>
    </w:lvl>
  </w:abstractNum>
  <w:abstractNum w:abstractNumId="393">
    <w:nsid w:val="237BBCA0"/>
    <w:multiLevelType w:val="hybridMultilevel"/>
    <w:lvl w:ilvl="0">
      <w:lvlJc w:val="left"/>
      <w:lvlText w:val="[*]"/>
      <w:numFmt w:val="bullet"/>
      <w:start w:val="1"/>
    </w:lvl>
  </w:abstractNum>
  <w:abstractNum w:abstractNumId="394">
    <w:nsid w:val="162EB70D"/>
    <w:multiLevelType w:val="hybridMultilevel"/>
    <w:lvl w:ilvl="0">
      <w:lvlJc w:val="left"/>
      <w:lvlText w:val="[*]"/>
      <w:numFmt w:val="bullet"/>
      <w:start w:val="1"/>
    </w:lvl>
  </w:abstractNum>
  <w:abstractNum w:abstractNumId="395">
    <w:nsid w:val="78070222"/>
    <w:multiLevelType w:val="hybridMultilevel"/>
    <w:lvl w:ilvl="0">
      <w:lvlJc w:val="left"/>
      <w:lvlText w:val="[*]"/>
      <w:numFmt w:val="bullet"/>
      <w:start w:val="1"/>
    </w:lvl>
  </w:abstractNum>
  <w:abstractNum w:abstractNumId="396">
    <w:nsid w:val="6163ED0D"/>
    <w:multiLevelType w:val="hybridMultilevel"/>
    <w:lvl w:ilvl="0">
      <w:lvlJc w:val="left"/>
      <w:lvlText w:val="%1."/>
      <w:numFmt w:val="upperLetter"/>
      <w:start w:val="1"/>
    </w:lvl>
  </w:abstractNum>
  <w:abstractNum w:abstractNumId="397">
    <w:nsid w:val="C600E47"/>
    <w:multiLevelType w:val="hybridMultilevel"/>
    <w:lvl w:ilvl="0">
      <w:lvlJc w:val="left"/>
      <w:lvlText w:val="%1."/>
      <w:numFmt w:val="decimal"/>
      <w:start w:val="1"/>
    </w:lvl>
  </w:abstractNum>
  <w:abstractNum w:abstractNumId="398">
    <w:nsid w:val="7D94F75D"/>
    <w:multiLevelType w:val="hybridMultilevel"/>
    <w:lvl w:ilvl="0">
      <w:lvlJc w:val="left"/>
      <w:lvlText w:val="[*]"/>
      <w:numFmt w:val="bullet"/>
      <w:start w:val="1"/>
    </w:lvl>
    <w:lvl w:ilvl="1">
      <w:lvlJc w:val="left"/>
      <w:lvlText w:val="(%2)"/>
      <w:numFmt w:val="lowerLetter"/>
      <w:start w:val="2"/>
    </w:lvl>
  </w:abstractNum>
  <w:abstractNum w:abstractNumId="399">
    <w:nsid w:val="6C31E7CD"/>
    <w:multiLevelType w:val="hybridMultilevel"/>
    <w:lvl w:ilvl="0">
      <w:lvlJc w:val="left"/>
      <w:lvlText w:val="%1."/>
      <w:numFmt w:val="decimal"/>
      <w:start w:val="3"/>
    </w:lvl>
    <w:lvl w:ilvl="1">
      <w:lvlJc w:val="left"/>
      <w:lvlText w:val="[*]"/>
      <w:numFmt w:val="bullet"/>
      <w:start w:val="1"/>
    </w:lvl>
  </w:abstractNum>
  <w:abstractNum w:abstractNumId="400">
    <w:nsid w:val="2BB7929B"/>
    <w:multiLevelType w:val="hybridMultilevel"/>
    <w:lvl w:ilvl="0">
      <w:lvlJc w:val="left"/>
      <w:lvlText w:val="[*]"/>
      <w:numFmt w:val="bullet"/>
      <w:start w:val="1"/>
    </w:lvl>
  </w:abstractNum>
  <w:abstractNum w:abstractNumId="401">
    <w:nsid w:val="58A2A487"/>
    <w:multiLevelType w:val="hybridMultilevel"/>
    <w:lvl w:ilvl="0">
      <w:lvlJc w:val="left"/>
      <w:lvlText w:val="[*]"/>
      <w:numFmt w:val="bullet"/>
      <w:start w:val="1"/>
    </w:lvl>
  </w:abstractNum>
  <w:abstractNum w:abstractNumId="402">
    <w:nsid w:val="3A6F0E78"/>
    <w:multiLevelType w:val="hybridMultilevel"/>
    <w:lvl w:ilvl="0">
      <w:lvlJc w:val="left"/>
      <w:lvlText w:val="[*]"/>
      <w:numFmt w:val="bullet"/>
      <w:start w:val="1"/>
    </w:lvl>
  </w:abstractNum>
  <w:abstractNum w:abstractNumId="403">
    <w:nsid w:val="379A5B56"/>
    <w:multiLevelType w:val="hybridMultilevel"/>
    <w:lvl w:ilvl="0">
      <w:lvlJc w:val="left"/>
      <w:lvlText w:val="%1."/>
      <w:numFmt w:val="upperLetter"/>
      <w:start w:val="1"/>
    </w:lvl>
  </w:abstractNum>
  <w:abstractNum w:abstractNumId="404">
    <w:nsid w:val="53B735D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405">
    <w:nsid w:val="29784870"/>
    <w:multiLevelType w:val="hybridMultilevel"/>
    <w:lvl w:ilvl="0">
      <w:lvlJc w:val="left"/>
      <w:lvlText w:val="[*]"/>
      <w:numFmt w:val="bullet"/>
      <w:start w:val="1"/>
    </w:lvl>
  </w:abstractNum>
  <w:abstractNum w:abstractNumId="406">
    <w:nsid w:val="4CDCED4C"/>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lvl w:ilvl="3">
      <w:lvlJc w:val="left"/>
      <w:lvlText w:val="(%4)"/>
      <w:numFmt w:val="lowerLetter"/>
      <w:start w:val="35"/>
    </w:lvl>
    <w:lvl w:ilvl="4">
      <w:lvlJc w:val="left"/>
      <w:lvlText w:val="[*]"/>
      <w:numFmt w:val="bullet"/>
      <w:start w:val="1"/>
    </w:lvl>
    <w:lvl w:ilvl="5">
      <w:lvlJc w:val="left"/>
      <w:lvlText w:val="%6"/>
      <w:numFmt w:val="lowerLetter"/>
      <w:start w:val="1"/>
    </w:lvl>
    <w:lvl w:ilvl="6">
      <w:lvlJc w:val="left"/>
      <w:lvlText w:val="%7"/>
      <w:numFmt w:val="lowerRoman"/>
      <w:start w:val="1"/>
    </w:lvl>
  </w:abstractNum>
  <w:abstractNum w:abstractNumId="407">
    <w:nsid w:val="10A30D9C"/>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lvl w:ilvl="3">
      <w:lvlJc w:val="left"/>
      <w:lvlText w:val="%4"/>
      <w:numFmt w:val="lowerLetter"/>
      <w:start w:val="1"/>
    </w:lvl>
    <w:lvl w:ilvl="4">
      <w:lvlJc w:val="left"/>
      <w:lvlText w:val="[*]"/>
      <w:numFmt w:val="bullet"/>
      <w:start w:val="1"/>
    </w:lvl>
    <w:lvl w:ilvl="5">
      <w:lvlJc w:val="left"/>
      <w:lvlText w:val="%6"/>
      <w:numFmt w:val="lowerLetter"/>
      <w:start w:val="1"/>
    </w:lvl>
    <w:lvl w:ilvl="6">
      <w:lvlJc w:val="left"/>
      <w:lvlText w:val="%7"/>
      <w:numFmt w:val="lowerRoman"/>
      <w:start w:val="1"/>
    </w:lvl>
  </w:abstractNum>
  <w:abstractNum w:abstractNumId="408">
    <w:nsid w:val="A66E486"/>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lvl w:ilvl="3">
      <w:lvlJc w:val="left"/>
      <w:lvlText w:val="%4"/>
      <w:numFmt w:val="lowerLetter"/>
      <w:start w:val="1"/>
    </w:lvl>
    <w:lvl w:ilvl="4">
      <w:lvlJc w:val="left"/>
      <w:lvlText w:val="[*]"/>
      <w:numFmt w:val="bullet"/>
      <w:start w:val="1"/>
    </w:lvl>
    <w:lvl w:ilvl="5">
      <w:lvlJc w:val="left"/>
      <w:lvlText w:val="(%6)"/>
      <w:numFmt w:val="lowerLetter"/>
      <w:start w:val="1"/>
    </w:lvl>
    <w:lvl w:ilvl="6">
      <w:lvlJc w:val="left"/>
      <w:lvlText w:val="%7."/>
      <w:numFmt w:val="lowerRoman"/>
      <w:start w:val="1"/>
    </w:lvl>
  </w:abstractNum>
  <w:abstractNum w:abstractNumId="409">
    <w:nsid w:val="306235E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410">
    <w:nsid w:val="1187C70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11">
    <w:nsid w:val="5476DE9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12">
    <w:nsid w:val="EA697F2"/>
    <w:multiLevelType w:val="hybridMultilevel"/>
    <w:lvl w:ilvl="0">
      <w:lvlJc w:val="left"/>
      <w:lvlText w:val="[*]"/>
      <w:numFmt w:val="bullet"/>
      <w:start w:val="1"/>
    </w:lvl>
  </w:abstractNum>
  <w:abstractNum w:abstractNumId="413">
    <w:nsid w:val="70BA39EB"/>
    <w:multiLevelType w:val="hybridMultilevel"/>
    <w:lvl w:ilvl="0">
      <w:lvlJc w:val="left"/>
      <w:lvlText w:val="[*]"/>
      <w:numFmt w:val="bullet"/>
      <w:start w:val="1"/>
    </w:lvl>
  </w:abstractNum>
  <w:abstractNum w:abstractNumId="414">
    <w:nsid w:val="4A8DB59C"/>
    <w:multiLevelType w:val="hybridMultilevel"/>
    <w:lvl w:ilvl="0">
      <w:lvlJc w:val="left"/>
      <w:lvlText w:val="[*]"/>
      <w:numFmt w:val="bullet"/>
      <w:start w:val="1"/>
    </w:lvl>
  </w:abstractNum>
  <w:abstractNum w:abstractNumId="415">
    <w:nsid w:val="1AFD905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43" Type="http://schemas.openxmlformats.org/officeDocument/2006/relationships/image" Target="media/image330.png"/><Relationship Id="rId351" Type="http://schemas.openxmlformats.org/officeDocument/2006/relationships/image" Target="media/image331.png"/><Relationship Id="rId352" Type="http://schemas.openxmlformats.org/officeDocument/2006/relationships/image" Target="media/image332.png"/><Relationship Id="rId353" Type="http://schemas.openxmlformats.org/officeDocument/2006/relationships/image" Target="media/image333.png"/><Relationship Id="rId354" Type="http://schemas.openxmlformats.org/officeDocument/2006/relationships/image" Target="media/image334.png"/><Relationship Id="rId355" Type="http://schemas.openxmlformats.org/officeDocument/2006/relationships/image" Target="media/image335.png"/><Relationship Id="rId356" Type="http://schemas.openxmlformats.org/officeDocument/2006/relationships/image" Target="media/image336.png"/><Relationship Id="rId357" Type="http://schemas.openxmlformats.org/officeDocument/2006/relationships/image" Target="media/image337.png"/><Relationship Id="rId358" Type="http://schemas.openxmlformats.org/officeDocument/2006/relationships/image" Target="media/image338.png"/><Relationship Id="rId359" Type="http://schemas.openxmlformats.org/officeDocument/2006/relationships/image" Target="media/image339.png"/><Relationship Id="rId360" Type="http://schemas.openxmlformats.org/officeDocument/2006/relationships/image" Target="media/image340.png"/><Relationship Id="rId361" Type="http://schemas.openxmlformats.org/officeDocument/2006/relationships/image" Target="media/image341.png"/><Relationship Id="rId362" Type="http://schemas.openxmlformats.org/officeDocument/2006/relationships/image" Target="media/image342.png"/><Relationship Id="rId363" Type="http://schemas.openxmlformats.org/officeDocument/2006/relationships/image" Target="media/image343.png"/><Relationship Id="rId364" Type="http://schemas.openxmlformats.org/officeDocument/2006/relationships/image" Target="media/image344.png"/><Relationship Id="rId365" Type="http://schemas.openxmlformats.org/officeDocument/2006/relationships/image" Target="media/image345.png"/><Relationship Id="rId366" Type="http://schemas.openxmlformats.org/officeDocument/2006/relationships/image" Target="media/image346.png"/><Relationship Id="rId367" Type="http://schemas.openxmlformats.org/officeDocument/2006/relationships/image" Target="media/image347.png"/><Relationship Id="rId368" Type="http://schemas.openxmlformats.org/officeDocument/2006/relationships/image" Target="media/image348.png"/><Relationship Id="rId369" Type="http://schemas.openxmlformats.org/officeDocument/2006/relationships/image" Target="media/image349.png"/><Relationship Id="rId370" Type="http://schemas.openxmlformats.org/officeDocument/2006/relationships/image" Target="media/image350.png"/><Relationship Id="rId371" Type="http://schemas.openxmlformats.org/officeDocument/2006/relationships/image" Target="media/image351.png"/><Relationship Id="rId372" Type="http://schemas.openxmlformats.org/officeDocument/2006/relationships/image" Target="media/image352.png"/><Relationship Id="rId373" Type="http://schemas.openxmlformats.org/officeDocument/2006/relationships/image" Target="media/image353.png"/><Relationship Id="rId374" Type="http://schemas.openxmlformats.org/officeDocument/2006/relationships/image" Target="media/image354.png"/><Relationship Id="rId375" Type="http://schemas.openxmlformats.org/officeDocument/2006/relationships/image" Target="media/image355.png"/><Relationship Id="rId376" Type="http://schemas.openxmlformats.org/officeDocument/2006/relationships/image" Target="media/image356.png"/><Relationship Id="rId377" Type="http://schemas.openxmlformats.org/officeDocument/2006/relationships/image" Target="media/image357.png"/><Relationship Id="rId378" Type="http://schemas.openxmlformats.org/officeDocument/2006/relationships/image" Target="media/image358.png"/><Relationship Id="rId379" Type="http://schemas.openxmlformats.org/officeDocument/2006/relationships/image" Target="media/image359.png"/><Relationship Id="rId380" Type="http://schemas.openxmlformats.org/officeDocument/2006/relationships/image" Target="media/image360.png"/><Relationship Id="rId381" Type="http://schemas.openxmlformats.org/officeDocument/2006/relationships/image" Target="media/image361.png"/><Relationship Id="rId382" Type="http://schemas.openxmlformats.org/officeDocument/2006/relationships/image" Target="media/image362.png"/><Relationship Id="rId383" Type="http://schemas.openxmlformats.org/officeDocument/2006/relationships/image" Target="media/image363.png"/><Relationship Id="rId384" Type="http://schemas.openxmlformats.org/officeDocument/2006/relationships/image" Target="media/image364.png"/><Relationship Id="rId385" Type="http://schemas.openxmlformats.org/officeDocument/2006/relationships/image" Target="media/image365.png"/><Relationship Id="rId386" Type="http://schemas.openxmlformats.org/officeDocument/2006/relationships/image" Target="media/image366.png"/><Relationship Id="rId387" Type="http://schemas.openxmlformats.org/officeDocument/2006/relationships/image" Target="media/image367.png"/><Relationship Id="rId388" Type="http://schemas.openxmlformats.org/officeDocument/2006/relationships/image" Target="media/image368.png"/><Relationship Id="rId389" Type="http://schemas.openxmlformats.org/officeDocument/2006/relationships/image" Target="media/image369.png"/><Relationship Id="rId390" Type="http://schemas.openxmlformats.org/officeDocument/2006/relationships/image" Target="media/image370.png"/><Relationship Id="rId391" Type="http://schemas.openxmlformats.org/officeDocument/2006/relationships/image" Target="media/image371.png"/><Relationship Id="rId392" Type="http://schemas.openxmlformats.org/officeDocument/2006/relationships/image" Target="media/image372.png"/><Relationship Id="rId393" Type="http://schemas.openxmlformats.org/officeDocument/2006/relationships/image" Target="media/image373.png"/><Relationship Id="rId394" Type="http://schemas.openxmlformats.org/officeDocument/2006/relationships/image" Target="media/image374.png"/><Relationship Id="rId395" Type="http://schemas.openxmlformats.org/officeDocument/2006/relationships/image" Target="media/image375.png"/><Relationship Id="rId396" Type="http://schemas.openxmlformats.org/officeDocument/2006/relationships/image" Target="media/image376.png"/><Relationship Id="rId397" Type="http://schemas.openxmlformats.org/officeDocument/2006/relationships/image" Target="media/image377.png"/><Relationship Id="rId398" Type="http://schemas.openxmlformats.org/officeDocument/2006/relationships/image" Target="media/image378.png"/><Relationship Id="rId399" Type="http://schemas.openxmlformats.org/officeDocument/2006/relationships/image" Target="media/image379.png"/><Relationship Id="rId400" Type="http://schemas.openxmlformats.org/officeDocument/2006/relationships/image" Target="media/image380.png"/><Relationship Id="rId401" Type="http://schemas.openxmlformats.org/officeDocument/2006/relationships/image" Target="media/image381.png"/><Relationship Id="rId402" Type="http://schemas.openxmlformats.org/officeDocument/2006/relationships/image" Target="media/image382.png"/><Relationship Id="rId403" Type="http://schemas.openxmlformats.org/officeDocument/2006/relationships/image" Target="media/image383.png"/><Relationship Id="rId404" Type="http://schemas.openxmlformats.org/officeDocument/2006/relationships/image" Target="media/image384.png"/><Relationship Id="rId405" Type="http://schemas.openxmlformats.org/officeDocument/2006/relationships/image" Target="media/image385.png"/><Relationship Id="rId406" Type="http://schemas.openxmlformats.org/officeDocument/2006/relationships/image" Target="media/image386.png"/><Relationship Id="rId407" Type="http://schemas.openxmlformats.org/officeDocument/2006/relationships/image" Target="media/image387.png"/><Relationship Id="rId408" Type="http://schemas.openxmlformats.org/officeDocument/2006/relationships/image" Target="media/image388.png"/><Relationship Id="rId409" Type="http://schemas.openxmlformats.org/officeDocument/2006/relationships/image" Target="media/image389.png"/><Relationship Id="rId410" Type="http://schemas.openxmlformats.org/officeDocument/2006/relationships/image" Target="media/image390.png"/><Relationship Id="rId411" Type="http://schemas.openxmlformats.org/officeDocument/2006/relationships/image" Target="media/image391.png"/><Relationship Id="rId412" Type="http://schemas.openxmlformats.org/officeDocument/2006/relationships/image" Target="media/image392.png"/><Relationship Id="rId413" Type="http://schemas.openxmlformats.org/officeDocument/2006/relationships/image" Target="media/image393.png"/><Relationship Id="rId414" Type="http://schemas.openxmlformats.org/officeDocument/2006/relationships/image" Target="media/image394.png"/><Relationship Id="rId415" Type="http://schemas.openxmlformats.org/officeDocument/2006/relationships/image" Target="media/image395.png"/><Relationship Id="rId416" Type="http://schemas.openxmlformats.org/officeDocument/2006/relationships/image" Target="media/image396.png"/><Relationship Id="rId417" Type="http://schemas.openxmlformats.org/officeDocument/2006/relationships/image" Target="media/image397.png"/><Relationship Id="rId418" Type="http://schemas.openxmlformats.org/officeDocument/2006/relationships/image" Target="media/image398.png"/><Relationship Id="rId419" Type="http://schemas.openxmlformats.org/officeDocument/2006/relationships/image" Target="media/image399.png"/><Relationship Id="rId420" Type="http://schemas.openxmlformats.org/officeDocument/2006/relationships/image" Target="media/image400.png"/><Relationship Id="rId421" Type="http://schemas.openxmlformats.org/officeDocument/2006/relationships/image" Target="media/image401.jpeg"/><Relationship Id="rId422" Type="http://schemas.openxmlformats.org/officeDocument/2006/relationships/image" Target="media/image402.png"/><Relationship Id="rId423" Type="http://schemas.openxmlformats.org/officeDocument/2006/relationships/image" Target="media/image403.jpeg"/><Relationship Id="rId424" Type="http://schemas.openxmlformats.org/officeDocument/2006/relationships/image" Target="media/image404.png"/><Relationship Id="rId425" Type="http://schemas.openxmlformats.org/officeDocument/2006/relationships/image" Target="media/image405.jpeg"/><Relationship Id="rId426" Type="http://schemas.openxmlformats.org/officeDocument/2006/relationships/image" Target="media/image406.png"/><Relationship Id="rId427" Type="http://schemas.openxmlformats.org/officeDocument/2006/relationships/image" Target="media/image407.png"/><Relationship Id="rId428" Type="http://schemas.openxmlformats.org/officeDocument/2006/relationships/image" Target="media/image408.png"/><Relationship Id="rId429" Type="http://schemas.openxmlformats.org/officeDocument/2006/relationships/image" Target="media/image409.png"/><Relationship Id="rId430" Type="http://schemas.openxmlformats.org/officeDocument/2006/relationships/image" Target="media/image410.png"/><Relationship Id="rId431" Type="http://schemas.openxmlformats.org/officeDocument/2006/relationships/image" Target="media/image411.png"/><Relationship Id="rId432" Type="http://schemas.openxmlformats.org/officeDocument/2006/relationships/image" Target="media/image412.png"/><Relationship Id="rId433" Type="http://schemas.openxmlformats.org/officeDocument/2006/relationships/image" Target="media/image413.png"/><Relationship Id="rId434" Type="http://schemas.openxmlformats.org/officeDocument/2006/relationships/image" Target="media/image414.png"/><Relationship Id="rId435" Type="http://schemas.openxmlformats.org/officeDocument/2006/relationships/image" Target="media/image415.png"/><Relationship Id="rId436" Type="http://schemas.openxmlformats.org/officeDocument/2006/relationships/image" Target="media/image416.png"/><Relationship Id="rId437" Type="http://schemas.openxmlformats.org/officeDocument/2006/relationships/image" Target="media/image417.png"/><Relationship Id="rId438" Type="http://schemas.openxmlformats.org/officeDocument/2006/relationships/image" Target="media/image418.png"/><Relationship Id="rId439" Type="http://schemas.openxmlformats.org/officeDocument/2006/relationships/image" Target="media/image419.png"/><Relationship Id="rId440" Type="http://schemas.openxmlformats.org/officeDocument/2006/relationships/image" Target="media/image420.png"/><Relationship Id="rId441" Type="http://schemas.openxmlformats.org/officeDocument/2006/relationships/image" Target="media/image421.png"/><Relationship Id="rId442" Type="http://schemas.openxmlformats.org/officeDocument/2006/relationships/image" Target="media/image422.png"/><Relationship Id="rId443" Type="http://schemas.openxmlformats.org/officeDocument/2006/relationships/image" Target="media/image423.png"/><Relationship Id="rId444" Type="http://schemas.openxmlformats.org/officeDocument/2006/relationships/image" Target="media/image424.png"/><Relationship Id="rId445" Type="http://schemas.openxmlformats.org/officeDocument/2006/relationships/image" Target="media/image425.png"/><Relationship Id="rId446" Type="http://schemas.openxmlformats.org/officeDocument/2006/relationships/image" Target="media/image426.png"/><Relationship Id="rId447" Type="http://schemas.openxmlformats.org/officeDocument/2006/relationships/image" Target="media/image427.png"/><Relationship Id="rId448" Type="http://schemas.openxmlformats.org/officeDocument/2006/relationships/image" Target="media/image428.png"/><Relationship Id="rId449" Type="http://schemas.openxmlformats.org/officeDocument/2006/relationships/image" Target="media/image429.png"/><Relationship Id="rId450" Type="http://schemas.openxmlformats.org/officeDocument/2006/relationships/image" Target="media/image430.png"/><Relationship Id="rId451" Type="http://schemas.openxmlformats.org/officeDocument/2006/relationships/image" Target="media/image431.png"/><Relationship Id="rId452" Type="http://schemas.openxmlformats.org/officeDocument/2006/relationships/image" Target="media/image432.png"/><Relationship Id="rId453" Type="http://schemas.openxmlformats.org/officeDocument/2006/relationships/image" Target="media/image433.png"/><Relationship Id="rId454" Type="http://schemas.openxmlformats.org/officeDocument/2006/relationships/image" Target="media/image434.png"/><Relationship Id="rId455" Type="http://schemas.openxmlformats.org/officeDocument/2006/relationships/image" Target="media/image435.png"/><Relationship Id="rId456" Type="http://schemas.openxmlformats.org/officeDocument/2006/relationships/image" Target="media/image436.png"/><Relationship Id="rId457" Type="http://schemas.openxmlformats.org/officeDocument/2006/relationships/image" Target="media/image437.png"/><Relationship Id="rId458" Type="http://schemas.openxmlformats.org/officeDocument/2006/relationships/image" Target="media/image438.png"/><Relationship Id="rId459" Type="http://schemas.openxmlformats.org/officeDocument/2006/relationships/image" Target="media/image439.png"/><Relationship Id="rId460" Type="http://schemas.openxmlformats.org/officeDocument/2006/relationships/image" Target="media/image440.png"/><Relationship Id="rId461" Type="http://schemas.openxmlformats.org/officeDocument/2006/relationships/image" Target="media/image441.png"/><Relationship Id="rId462" Type="http://schemas.openxmlformats.org/officeDocument/2006/relationships/image" Target="media/image442.png"/><Relationship Id="rId463" Type="http://schemas.openxmlformats.org/officeDocument/2006/relationships/image" Target="media/image443.png"/><Relationship Id="rId464" Type="http://schemas.openxmlformats.org/officeDocument/2006/relationships/image" Target="media/image444.png"/><Relationship Id="rId465" Type="http://schemas.openxmlformats.org/officeDocument/2006/relationships/image" Target="media/image445.png"/><Relationship Id="rId466" Type="http://schemas.openxmlformats.org/officeDocument/2006/relationships/image" Target="media/image446.png"/><Relationship Id="rId467" Type="http://schemas.openxmlformats.org/officeDocument/2006/relationships/image" Target="media/image447.png"/><Relationship Id="rId468" Type="http://schemas.openxmlformats.org/officeDocument/2006/relationships/image" Target="media/image448.png"/><Relationship Id="rId469" Type="http://schemas.openxmlformats.org/officeDocument/2006/relationships/image" Target="media/image449.png"/><Relationship Id="rId470" Type="http://schemas.openxmlformats.org/officeDocument/2006/relationships/image" Target="media/image450.png"/><Relationship Id="rId471" Type="http://schemas.openxmlformats.org/officeDocument/2006/relationships/image" Target="media/image451.png"/><Relationship Id="rId472" Type="http://schemas.openxmlformats.org/officeDocument/2006/relationships/image" Target="media/image452.png"/><Relationship Id="rId473" Type="http://schemas.openxmlformats.org/officeDocument/2006/relationships/image" Target="media/image453.png"/><Relationship Id="rId474" Type="http://schemas.openxmlformats.org/officeDocument/2006/relationships/image" Target="media/image454.png"/><Relationship Id="rId475" Type="http://schemas.openxmlformats.org/officeDocument/2006/relationships/image" Target="media/image455.png"/><Relationship Id="rId476" Type="http://schemas.openxmlformats.org/officeDocument/2006/relationships/image" Target="media/image456.png"/><Relationship Id="rId477" Type="http://schemas.openxmlformats.org/officeDocument/2006/relationships/image" Target="media/image457.png"/><Relationship Id="rId478" Type="http://schemas.openxmlformats.org/officeDocument/2006/relationships/image" Target="media/image458.png"/><Relationship Id="rId479" Type="http://schemas.openxmlformats.org/officeDocument/2006/relationships/image" Target="media/image459.png"/><Relationship Id="rId480" Type="http://schemas.openxmlformats.org/officeDocument/2006/relationships/image" Target="media/image460.png"/><Relationship Id="rId481" Type="http://schemas.openxmlformats.org/officeDocument/2006/relationships/image" Target="media/image461.png"/><Relationship Id="rId482" Type="http://schemas.openxmlformats.org/officeDocument/2006/relationships/image" Target="media/image462.png"/><Relationship Id="rId483" Type="http://schemas.openxmlformats.org/officeDocument/2006/relationships/image" Target="media/image463.png"/><Relationship Id="rId484" Type="http://schemas.openxmlformats.org/officeDocument/2006/relationships/image" Target="media/image464.png"/><Relationship Id="rId485" Type="http://schemas.openxmlformats.org/officeDocument/2006/relationships/image" Target="media/image465.png"/><Relationship Id="rId486" Type="http://schemas.openxmlformats.org/officeDocument/2006/relationships/image" Target="media/image466.png"/><Relationship Id="rId487" Type="http://schemas.openxmlformats.org/officeDocument/2006/relationships/image" Target="media/image467.png"/><Relationship Id="rId488" Type="http://schemas.openxmlformats.org/officeDocument/2006/relationships/image" Target="media/image468.png"/><Relationship Id="rId489" Type="http://schemas.openxmlformats.org/officeDocument/2006/relationships/image" Target="media/image469.png"/><Relationship Id="rId490" Type="http://schemas.openxmlformats.org/officeDocument/2006/relationships/image" Target="media/image470.png"/><Relationship Id="rId491" Type="http://schemas.openxmlformats.org/officeDocument/2006/relationships/image" Target="media/image471.png"/><Relationship Id="rId492" Type="http://schemas.openxmlformats.org/officeDocument/2006/relationships/image" Target="media/image472.png"/><Relationship Id="rId493" Type="http://schemas.openxmlformats.org/officeDocument/2006/relationships/image" Target="media/image473.png"/><Relationship Id="rId494" Type="http://schemas.openxmlformats.org/officeDocument/2006/relationships/image" Target="media/image474.png"/><Relationship Id="rId495" Type="http://schemas.openxmlformats.org/officeDocument/2006/relationships/image" Target="media/image475.png"/><Relationship Id="rId496" Type="http://schemas.openxmlformats.org/officeDocument/2006/relationships/image" Target="media/image476.png"/><Relationship Id="rId497" Type="http://schemas.openxmlformats.org/officeDocument/2006/relationships/image" Target="media/image477.png"/><Relationship Id="rId498" Type="http://schemas.openxmlformats.org/officeDocument/2006/relationships/image" Target="media/image478.png"/><Relationship Id="rId499" Type="http://schemas.openxmlformats.org/officeDocument/2006/relationships/image" Target="media/image479.png"/><Relationship Id="rId500" Type="http://schemas.openxmlformats.org/officeDocument/2006/relationships/image" Target="media/image480.png"/><Relationship Id="rId501" Type="http://schemas.openxmlformats.org/officeDocument/2006/relationships/image" Target="media/image481.png"/><Relationship Id="rId502" Type="http://schemas.openxmlformats.org/officeDocument/2006/relationships/image" Target="media/image482.png"/><Relationship Id="rId503" Type="http://schemas.openxmlformats.org/officeDocument/2006/relationships/image" Target="media/image483.png"/><Relationship Id="rId504" Type="http://schemas.openxmlformats.org/officeDocument/2006/relationships/image" Target="media/image484.png"/><Relationship Id="rId505" Type="http://schemas.openxmlformats.org/officeDocument/2006/relationships/image" Target="media/image485.png"/><Relationship Id="rId506" Type="http://schemas.openxmlformats.org/officeDocument/2006/relationships/image" Target="media/image486.png"/><Relationship Id="rId507" Type="http://schemas.openxmlformats.org/officeDocument/2006/relationships/image" Target="media/image487.png"/><Relationship Id="rId508" Type="http://schemas.openxmlformats.org/officeDocument/2006/relationships/image" Target="media/image488.png"/><Relationship Id="rId509" Type="http://schemas.openxmlformats.org/officeDocument/2006/relationships/image" Target="media/image489.png"/><Relationship Id="rId510" Type="http://schemas.openxmlformats.org/officeDocument/2006/relationships/image" Target="media/image490.png"/><Relationship Id="rId511" Type="http://schemas.openxmlformats.org/officeDocument/2006/relationships/image" Target="media/image491.png"/><Relationship Id="rId512" Type="http://schemas.openxmlformats.org/officeDocument/2006/relationships/image" Target="media/image492.png"/><Relationship Id="rId513" Type="http://schemas.openxmlformats.org/officeDocument/2006/relationships/image" Target="media/image493.png"/><Relationship Id="rId514" Type="http://schemas.openxmlformats.org/officeDocument/2006/relationships/image" Target="media/image494.png"/><Relationship Id="rId515" Type="http://schemas.openxmlformats.org/officeDocument/2006/relationships/image" Target="media/image495.png"/><Relationship Id="rId516" Type="http://schemas.openxmlformats.org/officeDocument/2006/relationships/image" Target="media/image496.png"/><Relationship Id="rId517" Type="http://schemas.openxmlformats.org/officeDocument/2006/relationships/image" Target="media/image497.png"/><Relationship Id="rId518" Type="http://schemas.openxmlformats.org/officeDocument/2006/relationships/image" Target="media/image498.png"/><Relationship Id="rId519" Type="http://schemas.openxmlformats.org/officeDocument/2006/relationships/image" Target="media/image499.png"/><Relationship Id="rId520" Type="http://schemas.openxmlformats.org/officeDocument/2006/relationships/image" Target="media/image500.jpeg"/><Relationship Id="rId521" Type="http://schemas.openxmlformats.org/officeDocument/2006/relationships/image" Target="media/image501.png"/><Relationship Id="rId522" Type="http://schemas.openxmlformats.org/officeDocument/2006/relationships/image" Target="media/image502.jpeg"/><Relationship Id="rId523" Type="http://schemas.openxmlformats.org/officeDocument/2006/relationships/image" Target="media/image503.png"/><Relationship Id="rId524" Type="http://schemas.openxmlformats.org/officeDocument/2006/relationships/image" Target="media/image504.jpeg"/><Relationship Id="rId525" Type="http://schemas.openxmlformats.org/officeDocument/2006/relationships/image" Target="media/image505.png"/><Relationship Id="rId526" Type="http://schemas.openxmlformats.org/officeDocument/2006/relationships/image" Target="media/image506.jpeg"/><Relationship Id="rId527" Type="http://schemas.openxmlformats.org/officeDocument/2006/relationships/image" Target="media/image507.png"/><Relationship Id="rId528" Type="http://schemas.openxmlformats.org/officeDocument/2006/relationships/image" Target="media/image508.jpeg"/><Relationship Id="rId529" Type="http://schemas.openxmlformats.org/officeDocument/2006/relationships/image" Target="media/image509.png"/><Relationship Id="rId530" Type="http://schemas.openxmlformats.org/officeDocument/2006/relationships/image" Target="media/image510.jpeg"/><Relationship Id="rId531" Type="http://schemas.openxmlformats.org/officeDocument/2006/relationships/image" Target="media/image511.png"/><Relationship Id="rId532" Type="http://schemas.openxmlformats.org/officeDocument/2006/relationships/image" Target="media/image512.jpeg"/><Relationship Id="rId533" Type="http://schemas.openxmlformats.org/officeDocument/2006/relationships/image" Target="media/image513.png"/><Relationship Id="rId534" Type="http://schemas.openxmlformats.org/officeDocument/2006/relationships/image" Target="media/image514.jpeg"/><Relationship Id="rId535" Type="http://schemas.openxmlformats.org/officeDocument/2006/relationships/image" Target="media/image515.png"/><Relationship Id="rId536" Type="http://schemas.openxmlformats.org/officeDocument/2006/relationships/image" Target="media/image516.jpeg"/><Relationship Id="rId537" Type="http://schemas.openxmlformats.org/officeDocument/2006/relationships/image" Target="media/image517.png"/><Relationship Id="rId538" Type="http://schemas.openxmlformats.org/officeDocument/2006/relationships/image" Target="media/image518.jpeg"/><Relationship Id="rId539" Type="http://schemas.openxmlformats.org/officeDocument/2006/relationships/image" Target="media/image519.png"/><Relationship Id="rId540" Type="http://schemas.openxmlformats.org/officeDocument/2006/relationships/image" Target="media/image520.jpeg"/><Relationship Id="rId541" Type="http://schemas.openxmlformats.org/officeDocument/2006/relationships/image" Target="media/image521.png"/><Relationship Id="rId542" Type="http://schemas.openxmlformats.org/officeDocument/2006/relationships/image" Target="media/image522.jpeg"/><Relationship Id="rId543" Type="http://schemas.openxmlformats.org/officeDocument/2006/relationships/image" Target="media/image523.png"/><Relationship Id="rId544" Type="http://schemas.openxmlformats.org/officeDocument/2006/relationships/image" Target="media/image524.jpeg"/><Relationship Id="rId545" Type="http://schemas.openxmlformats.org/officeDocument/2006/relationships/image" Target="media/image525.png"/><Relationship Id="rId546" Type="http://schemas.openxmlformats.org/officeDocument/2006/relationships/image" Target="media/image526.jpeg"/><Relationship Id="rId547" Type="http://schemas.openxmlformats.org/officeDocument/2006/relationships/image" Target="media/image527.png"/><Relationship Id="rId548" Type="http://schemas.openxmlformats.org/officeDocument/2006/relationships/image" Target="media/image528.jpeg"/><Relationship Id="rId549" Type="http://schemas.openxmlformats.org/officeDocument/2006/relationships/image" Target="media/image529.png"/><Relationship Id="rId550" Type="http://schemas.openxmlformats.org/officeDocument/2006/relationships/image" Target="media/image530.jpeg"/><Relationship Id="rId551" Type="http://schemas.openxmlformats.org/officeDocument/2006/relationships/image" Target="media/image531.png"/><Relationship Id="rId552" Type="http://schemas.openxmlformats.org/officeDocument/2006/relationships/image" Target="media/image532.jpeg"/><Relationship Id="rId553" Type="http://schemas.openxmlformats.org/officeDocument/2006/relationships/image" Target="media/image533.png"/><Relationship Id="rId554" Type="http://schemas.openxmlformats.org/officeDocument/2006/relationships/image" Target="media/image534.jpeg"/><Relationship Id="rId555" Type="http://schemas.openxmlformats.org/officeDocument/2006/relationships/image" Target="media/image535.png"/><Relationship Id="rId556" Type="http://schemas.openxmlformats.org/officeDocument/2006/relationships/image" Target="media/image536.jpeg"/><Relationship Id="rId557" Type="http://schemas.openxmlformats.org/officeDocument/2006/relationships/image" Target="media/image537.png"/><Relationship Id="rId558" Type="http://schemas.openxmlformats.org/officeDocument/2006/relationships/image" Target="media/image538.jpeg"/><Relationship Id="rId559" Type="http://schemas.openxmlformats.org/officeDocument/2006/relationships/image" Target="media/image539.png"/><Relationship Id="rId560" Type="http://schemas.openxmlformats.org/officeDocument/2006/relationships/image" Target="media/image540.jpeg"/><Relationship Id="rId561" Type="http://schemas.openxmlformats.org/officeDocument/2006/relationships/image" Target="media/image541.png"/><Relationship Id="rId562" Type="http://schemas.openxmlformats.org/officeDocument/2006/relationships/image" Target="media/image542.jpeg"/><Relationship Id="rId563" Type="http://schemas.openxmlformats.org/officeDocument/2006/relationships/image" Target="media/image543.png"/><Relationship Id="rId564" Type="http://schemas.openxmlformats.org/officeDocument/2006/relationships/image" Target="media/image544.jpeg"/><Relationship Id="rId565" Type="http://schemas.openxmlformats.org/officeDocument/2006/relationships/image" Target="media/image545.png"/><Relationship Id="rId566" Type="http://schemas.openxmlformats.org/officeDocument/2006/relationships/image" Target="media/image546.jpeg"/><Relationship Id="rId567" Type="http://schemas.openxmlformats.org/officeDocument/2006/relationships/image" Target="media/image547.png"/><Relationship Id="rId568" Type="http://schemas.openxmlformats.org/officeDocument/2006/relationships/image" Target="media/image548.jpeg"/><Relationship Id="rId569" Type="http://schemas.openxmlformats.org/officeDocument/2006/relationships/image" Target="media/image549.png"/><Relationship Id="rId570" Type="http://schemas.openxmlformats.org/officeDocument/2006/relationships/image" Target="media/image550.jpeg"/><Relationship Id="rId571" Type="http://schemas.openxmlformats.org/officeDocument/2006/relationships/image" Target="media/image551.png"/><Relationship Id="rId572" Type="http://schemas.openxmlformats.org/officeDocument/2006/relationships/image" Target="media/image552.jpeg"/><Relationship Id="rId573" Type="http://schemas.openxmlformats.org/officeDocument/2006/relationships/image" Target="media/image553.png"/><Relationship Id="rId574" Type="http://schemas.openxmlformats.org/officeDocument/2006/relationships/image" Target="media/image554.jpeg"/><Relationship Id="rId575" Type="http://schemas.openxmlformats.org/officeDocument/2006/relationships/image" Target="media/image555.png"/><Relationship Id="rId576" Type="http://schemas.openxmlformats.org/officeDocument/2006/relationships/image" Target="media/image556.jpeg"/><Relationship Id="rId577" Type="http://schemas.openxmlformats.org/officeDocument/2006/relationships/image" Target="media/image557.png"/><Relationship Id="rId578" Type="http://schemas.openxmlformats.org/officeDocument/2006/relationships/image" Target="media/image558.jpeg"/><Relationship Id="rId579" Type="http://schemas.openxmlformats.org/officeDocument/2006/relationships/image" Target="media/image559.png"/><Relationship Id="rId580" Type="http://schemas.openxmlformats.org/officeDocument/2006/relationships/image" Target="media/image560.jpeg"/><Relationship Id="rId581" Type="http://schemas.openxmlformats.org/officeDocument/2006/relationships/image" Target="media/image561.png"/><Relationship Id="rId582" Type="http://schemas.openxmlformats.org/officeDocument/2006/relationships/image" Target="media/image562.jpeg"/><Relationship Id="rId583" Type="http://schemas.openxmlformats.org/officeDocument/2006/relationships/image" Target="media/image563.png"/><Relationship Id="rId584" Type="http://schemas.openxmlformats.org/officeDocument/2006/relationships/image" Target="media/image564.jpeg"/><Relationship Id="rId585" Type="http://schemas.openxmlformats.org/officeDocument/2006/relationships/image" Target="media/image565.png"/><Relationship Id="rId586" Type="http://schemas.openxmlformats.org/officeDocument/2006/relationships/image" Target="media/image566.jpeg"/><Relationship Id="rId587" Type="http://schemas.openxmlformats.org/officeDocument/2006/relationships/image" Target="media/image567.png"/><Relationship Id="rId588" Type="http://schemas.openxmlformats.org/officeDocument/2006/relationships/image" Target="media/image568.jpeg"/><Relationship Id="rId589" Type="http://schemas.openxmlformats.org/officeDocument/2006/relationships/image" Target="media/image569.png"/><Relationship Id="rId590" Type="http://schemas.openxmlformats.org/officeDocument/2006/relationships/image" Target="media/image570.jpeg"/><Relationship Id="rId591" Type="http://schemas.openxmlformats.org/officeDocument/2006/relationships/image" Target="media/image571.png"/><Relationship Id="rId592" Type="http://schemas.openxmlformats.org/officeDocument/2006/relationships/image" Target="media/image572.jpeg"/><Relationship Id="rId593" Type="http://schemas.openxmlformats.org/officeDocument/2006/relationships/image" Target="media/image573.png"/><Relationship Id="rId594" Type="http://schemas.openxmlformats.org/officeDocument/2006/relationships/image" Target="media/image574.jpeg"/><Relationship Id="rId595" Type="http://schemas.openxmlformats.org/officeDocument/2006/relationships/image" Target="media/image575.png"/><Relationship Id="rId596" Type="http://schemas.openxmlformats.org/officeDocument/2006/relationships/image" Target="media/image576.jpeg"/><Relationship Id="rId597" Type="http://schemas.openxmlformats.org/officeDocument/2006/relationships/image" Target="media/image577.png"/><Relationship Id="rId598" Type="http://schemas.openxmlformats.org/officeDocument/2006/relationships/image" Target="media/image578.jpeg"/><Relationship Id="rId599" Type="http://schemas.openxmlformats.org/officeDocument/2006/relationships/image" Target="media/image579.png"/><Relationship Id="rId600" Type="http://schemas.openxmlformats.org/officeDocument/2006/relationships/image" Target="media/image580.jpeg"/><Relationship Id="rId601" Type="http://schemas.openxmlformats.org/officeDocument/2006/relationships/image" Target="media/image581.png"/><Relationship Id="rId602" Type="http://schemas.openxmlformats.org/officeDocument/2006/relationships/image" Target="media/image582.jpeg"/><Relationship Id="rId603" Type="http://schemas.openxmlformats.org/officeDocument/2006/relationships/image" Target="media/image583.png"/><Relationship Id="rId604" Type="http://schemas.openxmlformats.org/officeDocument/2006/relationships/image" Target="media/image584.jpeg"/><Relationship Id="rId605" Type="http://schemas.openxmlformats.org/officeDocument/2006/relationships/image" Target="media/image585.png"/><Relationship Id="rId606" Type="http://schemas.openxmlformats.org/officeDocument/2006/relationships/image" Target="media/image586.jpeg"/><Relationship Id="rId607" Type="http://schemas.openxmlformats.org/officeDocument/2006/relationships/image" Target="media/image587.png"/><Relationship Id="rId608" Type="http://schemas.openxmlformats.org/officeDocument/2006/relationships/image" Target="media/image588.jpeg"/><Relationship Id="rId609" Type="http://schemas.openxmlformats.org/officeDocument/2006/relationships/image" Target="media/image589.png"/><Relationship Id="rId610" Type="http://schemas.openxmlformats.org/officeDocument/2006/relationships/image" Target="media/image590.jpeg"/><Relationship Id="rId611" Type="http://schemas.openxmlformats.org/officeDocument/2006/relationships/image" Target="media/image591.png"/><Relationship Id="rId612" Type="http://schemas.openxmlformats.org/officeDocument/2006/relationships/image" Target="media/image592.jpeg"/><Relationship Id="rId613" Type="http://schemas.openxmlformats.org/officeDocument/2006/relationships/image" Target="media/image593.png"/><Relationship Id="rId614" Type="http://schemas.openxmlformats.org/officeDocument/2006/relationships/image" Target="media/image594.jpeg"/><Relationship Id="rId615" Type="http://schemas.openxmlformats.org/officeDocument/2006/relationships/image" Target="media/image595.png"/><Relationship Id="rId616" Type="http://schemas.openxmlformats.org/officeDocument/2006/relationships/image" Target="media/image596.jpeg"/><Relationship Id="rId617" Type="http://schemas.openxmlformats.org/officeDocument/2006/relationships/image" Target="media/image597.png"/><Relationship Id="rId618" Type="http://schemas.openxmlformats.org/officeDocument/2006/relationships/image" Target="media/image598.jpeg"/><Relationship Id="rId619" Type="http://schemas.openxmlformats.org/officeDocument/2006/relationships/image" Target="media/image599.png"/><Relationship Id="rId620" Type="http://schemas.openxmlformats.org/officeDocument/2006/relationships/image" Target="media/image600.jpeg"/><Relationship Id="rId621" Type="http://schemas.openxmlformats.org/officeDocument/2006/relationships/image" Target="media/image601.png"/><Relationship Id="rId622" Type="http://schemas.openxmlformats.org/officeDocument/2006/relationships/image" Target="media/image602.png"/><Relationship Id="rId623" Type="http://schemas.openxmlformats.org/officeDocument/2006/relationships/image" Target="media/image603.jpeg"/><Relationship Id="rId624" Type="http://schemas.openxmlformats.org/officeDocument/2006/relationships/image" Target="media/image604.png"/><Relationship Id="rId625" Type="http://schemas.openxmlformats.org/officeDocument/2006/relationships/image" Target="media/image605.jpeg"/><Relationship Id="rId626" Type="http://schemas.openxmlformats.org/officeDocument/2006/relationships/image" Target="media/image606.png"/><Relationship Id="rId627" Type="http://schemas.openxmlformats.org/officeDocument/2006/relationships/image" Target="media/image607.jpeg"/><Relationship Id="rId628" Type="http://schemas.openxmlformats.org/officeDocument/2006/relationships/image" Target="media/image608.png"/><Relationship Id="rId629" Type="http://schemas.openxmlformats.org/officeDocument/2006/relationships/image" Target="media/image609.jpeg"/><Relationship Id="rId630" Type="http://schemas.openxmlformats.org/officeDocument/2006/relationships/image" Target="media/image610.png"/><Relationship Id="rId631" Type="http://schemas.openxmlformats.org/officeDocument/2006/relationships/image" Target="media/image611.jpeg"/><Relationship Id="rId632" Type="http://schemas.openxmlformats.org/officeDocument/2006/relationships/image" Target="media/image612.png"/><Relationship Id="rId633" Type="http://schemas.openxmlformats.org/officeDocument/2006/relationships/image" Target="media/image613.png"/><Relationship Id="rId634" Type="http://schemas.openxmlformats.org/officeDocument/2006/relationships/image" Target="media/image614.jpeg"/><Relationship Id="rId635" Type="http://schemas.openxmlformats.org/officeDocument/2006/relationships/image" Target="media/image615.png"/><Relationship Id="rId636" Type="http://schemas.openxmlformats.org/officeDocument/2006/relationships/image" Target="media/image616.png"/><Relationship Id="rId637" Type="http://schemas.openxmlformats.org/officeDocument/2006/relationships/image" Target="media/image617.png"/><Relationship Id="rId337" Type="http://schemas.openxmlformats.org/officeDocument/2006/relationships/hyperlink" Target="http://www.sec.gov/Archives/edgar/data/1426332/000119312518287727/d693178dex31.htm" TargetMode="External"/><Relationship Id="rId338" Type="http://schemas.openxmlformats.org/officeDocument/2006/relationships/hyperlink" Target="http://www.sec.gov/Archives/edgar/data/1426332/000119312518287727/d693178dex33.htm" TargetMode="External"/><Relationship Id="rId339" Type="http://schemas.openxmlformats.org/officeDocument/2006/relationships/hyperlink" Target="http://www.sec.gov/Archives/edgar/data/1426332/000119312518287727/d693178dex34.htm" TargetMode="External"/><Relationship Id="rId340" Type="http://schemas.openxmlformats.org/officeDocument/2006/relationships/hyperlink" Target="http://www.sec.gov/Archives/edgar/data/1426332/000119312518287727/d693178dex41.htm" TargetMode="External"/><Relationship Id="rId341" Type="http://schemas.openxmlformats.org/officeDocument/2006/relationships/hyperlink" Target="http://www.sec.gov/Archives/edgar/data/1426332/000119312518287727/d693178dex101.htm" TargetMode="External"/><Relationship Id="rId342" Type="http://schemas.openxmlformats.org/officeDocument/2006/relationships/hyperlink" Target="http://www.sec.gov/Archives/edgar/data/1426332/000119312518287727/d693178dex102.htm" TargetMode="External"/><Relationship Id="rId344" Type="http://schemas.openxmlformats.org/officeDocument/2006/relationships/hyperlink" Target="http://www.sec.gov/Archives/edgar/data/1426332/000119312518287727/d693178dex107.htm" TargetMode="External"/><Relationship Id="rId345" Type="http://schemas.openxmlformats.org/officeDocument/2006/relationships/hyperlink" Target="http://www.sec.gov/Archives/edgar/data/1426332/000119312518287727/d693178dex109.htm" TargetMode="External"/><Relationship Id="rId346" Type="http://schemas.openxmlformats.org/officeDocument/2006/relationships/hyperlink" Target="http://www.sec.gov/Archives/edgar/data/1426332/000119312518287727/d693178dex1010.htm" TargetMode="External"/><Relationship Id="rId347" Type="http://schemas.openxmlformats.org/officeDocument/2006/relationships/hyperlink" Target="http://www.sec.gov/Archives/edgar/data/1426332/000119312518287727/d693178dex1011.htm" TargetMode="External"/><Relationship Id="rId348" Type="http://schemas.openxmlformats.org/officeDocument/2006/relationships/hyperlink" Target="http://www.sec.gov/Archives/edgar/data/1426332/000119312518287727/d693178dex1015.htm" TargetMode="External"/><Relationship Id="rId349" Type="http://schemas.openxmlformats.org/officeDocument/2006/relationships/hyperlink" Target="http://www.sec.gov/Archives/edgar/data/1426332/000119312518287727/d693178dex1016.htm" TargetMode="External"/><Relationship Id="rId350" Type="http://schemas.openxmlformats.org/officeDocument/2006/relationships/hyperlink" Target="http://www.sec.gov/Archives/edgar/data/1426332/000119312518287727/d693178dex10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2019-12-03T21:02:49Z</dcterms:created>
  <dcterms:modified xsi:type="dcterms:W3CDTF">2019-12-03T21:02:49Z</dcterms:modified>
</cp:coreProperties>
</file>