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NGM BIOPHARMACEUTICALS,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62921N 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Peter Svennilson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Column Group, 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1700 Owens Street, Suite 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Francisco, CA 94158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9,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4"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7"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11,103,333(1)</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16.8%</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Column Group, LP (“TCG LP”) has sole voting and dispositive control over 11,103,333 shares of common stock, par value $0.001 per share (“Common Stock”), of NGM Biopharmaceuticals, Inc. (the “Issuer”), except that The Column Group GP, LP (“TCG GP”), the general partner of TCG LP, and Peter Svennilson (“Svennilson”) and David V. Goeddel (“Goeddel”), the managing partners of TCG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The Column Group GP,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AF, WC</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100,000(2)</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11,103,333(3)</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100,000(2)</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11,103,333(3)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11,203,333(2)(3)</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17.0%</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560" w:hanging="436"/>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TCG GP has sole voting and dispositive control over 100,000 shares of Common Stock, except that Svennilson and Goeddel, the managing partners of TCG GP, may be deemed to share dispositive and voting power over such stock.</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TCG GP is the general partner of TCG LP and shares voting and dispositive power over the shares of Common Stock held by TCG LP.</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2,265,758(4)</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2,265,758(4)</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2,265,758(4)</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32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Column Group II, LP (“TCG II LP”) has sole voting and dispositive control over 2,265,758 shares of Common Stock, except that The Column Group II GP, LP (“TCG II GP”), the general partner of TCG II LP, and Svennilson and Goeddel, the managing partners of TCG II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 GP,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2,265,758(5)</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2,265,758(5)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2,265,758(5)</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TCG II GP is the general partner of TCG II LP and shares voting and dispositive power over the shares of Common Stock held by TCG II LP.</w:t>
      </w:r>
    </w:p>
    <w:p>
      <w:pPr>
        <w:sectPr>
          <w:pgSz w:w="11900" w:h="16838" w:orient="portrait"/>
          <w:cols w:equalWidth="0" w:num="1">
            <w:col w:w="11040"/>
          </w:cols>
          <w:pgMar w:left="440" w:top="27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Management,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100,000(6)</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100,000(6)</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100,000(6)</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80" w:hanging="436"/>
        <w:spacing w:after="0" w:line="342"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Column Group Management, LP (“TCGM LP”) has sole voting and dispositive control over 100,000 shares of Common Stock, except that Svennilson and Goeddel, the managing partners of TCGM LP,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Capital,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1,298,908(7)</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1,298,908(7)</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1,298,908(7)</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6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Ponoi Capital, LP (“Ponoi LP”) has sole voting and dispositive control over 1,298,908 shares of Common Stock, except that Ponoi Management, LLC (“Ponoi LLC”), the general partner of Ponoi LP, and Goeddel, Svennilson and Tim Kutzkey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Management,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1,298,908(8)</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1,298,908(8)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1,298,908(8)</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Ponoi LLC is the general partner of Ponoi LP and shares voting and dispositive power over the shares of Common Stock held by Ponoi LP.</w:t>
      </w:r>
    </w:p>
    <w:p>
      <w:pPr>
        <w:sectPr>
          <w:pgSz w:w="11900" w:h="16838" w:orient="portrait"/>
          <w:cols w:equalWidth="0" w:num="1">
            <w:col w:w="11040"/>
          </w:cols>
          <w:pgMar w:left="440" w:top="27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Capital II,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1,298,908(9)</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1,298,908(9)</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1,298,908(9)</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40" w:hanging="436"/>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Ponoi Capital II, LP (“Ponoi II LP”) has sole voting and dispositive control over 1,298,908 shares of Common Stock, except that Ponoi II Management, LLC (“Ponoi II LLC”), the general partner of Ponoi II LP, and Goeddel, Svennilson and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II Management,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1,298,908(10)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1,298,908(10)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1,298,908(10)</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(10)  Ponoi II LLC is the general partner of Ponoi II LP and shares voting and dispositive power over the shares of Common Stock held by Ponoi II LP.</w:t>
      </w:r>
    </w:p>
    <w:p>
      <w:pPr>
        <w:sectPr>
          <w:pgSz w:w="11900" w:h="16838" w:orient="portrait"/>
          <w:cols w:equalWidth="0" w:num="1">
            <w:col w:w="11040"/>
          </w:cols>
          <w:pgMar w:left="440" w:top="27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76,546(11)</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76,546(11)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76,546(11)</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Column Group III, LP (“TCG III LP”) has sole voting and dispositive control over 76,546 shares of Common Stock, except that The Column Group III GP, LP (“TCG III GP”), the general partner of TCG III LP, and Goeddel, Svennilson and Kutzkey, the managing partners of TCG III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III-A,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86,444(12)</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86,444(12)</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86,444(12)</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40" w:hanging="436"/>
        <w:spacing w:after="0" w:line="264"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Column Group III-A, LP (“TCG III-A LP”) has sole voting and dispositive control over 86,444 shares of Common Stock, except that TCG III GP, the general partner of TCG III LP, and Goeddel, Svennilson and Kutzkey, the managing partners of TCG III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 GP,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162,990(13)</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162,990(13)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162,990(13)</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300" w:hanging="436"/>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TCG III GP is the general partner of TCG III LP and TCG III-A LP and shares voting and dispositive power over the shares of Common Stock held by TCG III LP and TCG III-A LP.</w:t>
      </w:r>
    </w:p>
    <w:p>
      <w:pPr>
        <w:sectPr>
          <w:pgSz w:w="11900" w:h="16838" w:orient="portrait"/>
          <w:cols w:equalWidth="0" w:num="1">
            <w:col w:w="11040"/>
          </w:cols>
          <w:pgMar w:left="440" w:top="2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Peter Svennilson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AF, PF</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6"/>
              </w:rPr>
              <w:t>Sweden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44,000(14)</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16,329,897(15)</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44,000(14)</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16,329,897(15)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16,373,897(14)(15)</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24.8%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700" w:hanging="436"/>
        <w:spacing w:after="0" w:line="29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24,000 shares of Common Stock underlying options received by Svennilson, as a director of the Issuer, exercisable in four equal quarterly installments such that the options will be fully vested on the one-year anniversary of the date of grant of May 15, 2019.</w:t>
      </w:r>
    </w:p>
    <w:p>
      <w:pPr>
        <w:ind w:left="440" w:right="20" w:hanging="436"/>
        <w:spacing w:after="0" w:line="255"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Svennilson is a managing partner of TCG GP, TCG II GP, TCGM LP, Ponoi LLC, Ponoi II LLC and TCG III GP and may be deemed to share voting and dispositive control over the shares of Common Stock held by TCG LP, TCG GP, TCG II LP, TCGM LP, Ponoi LP, Ponoi II LP, TCG III LP and TCG III-A LP.</w:t>
      </w:r>
    </w:p>
    <w:p>
      <w:pPr>
        <w:sectPr>
          <w:pgSz w:w="11900" w:h="16838" w:orient="portrait"/>
          <w:cols w:equalWidth="0" w:num="1">
            <w:col w:w="11040"/>
          </w:cols>
          <w:pgMar w:left="440" w:top="274"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David V. Goeddel</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AF, PF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U.S.A.</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24,000(16)</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16,519,897(17)</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24,000(16)</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16,519,897(17)</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16,543,897(16)(17)</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25.1%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0" w:hanging="436"/>
        <w:spacing w:after="0" w:line="274"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24,000 shares of Common Stock underlying options received by Goeddel, as a director of the Issuer, exercisable in four equal quarterly installments such that the options will be fully vested on the one-year anniversary of the date of grant of May 15, 2019.</w:t>
      </w:r>
    </w:p>
    <w:p>
      <w:pPr>
        <w:ind w:left="440" w:right="60" w:hanging="436"/>
        <w:spacing w:after="0" w:line="273"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Goeddel is a managing partner of TCG GP, TCG II GP, TCGM LP, Ponoi LLC, Ponoi II LLC and TCG III GP and may be deemed to share voting and dispositive control over the shares of Common Stock held by TCG LP, TCG GP, TCG II LP, TCGM LP, Ponoi LP, Ponoi II LP, TCG III LP and TCG III-A LP. Goeddel serves as co-trustee of the David V. Goeddel and Alena Z. Goeddel 2004 Trust (the “Goeddel Trust”) and shares voting and dispositive control over 190,000 shares of Common Stock held directly by the Goeddel Trust.</w:t>
      </w:r>
    </w:p>
    <w:p>
      <w:pPr>
        <w:sectPr>
          <w:pgSz w:w="11900" w:h="16838" w:orient="portrait"/>
          <w:cols w:equalWidth="0" w:num="1">
            <w:col w:w="11040"/>
          </w:cols>
          <w:pgMar w:left="440" w:top="274"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Tim Kutzkey</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(b)</w:t>
            </w:r>
          </w:p>
        </w:tc>
        <w:tc>
          <w:tcPr>
            <w:tcW w:w="95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AF, PF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U.S.A.</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4"/>
              </w:rPr>
              <w:t>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2,760,806(18)</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87"/>
              </w:rPr>
              <w:t>Each</w:t>
            </w: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5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84"/>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2,760,806(18)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2,775,806(18)</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80" w:hanging="436"/>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Kutzkey is a managing partner of Ponoi LLC, Ponoi II LLC and TCG III GP and may be deemed to share voting and dispositive control over the shares of Common Stock held by Ponoi LP, Ponoi II LP, TCG III LP and TCG III-A LP.</w:t>
      </w:r>
    </w:p>
    <w:p>
      <w:pPr>
        <w:sectPr>
          <w:pgSz w:w="11900" w:h="16838" w:orient="portrait"/>
          <w:cols w:equalWidth="0" w:num="1">
            <w:col w:w="11040"/>
          </w:cols>
          <w:pgMar w:left="440" w:top="274" w:right="4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Amendment No. 2 supplements and amends the Amendment No. 1 to Schedule 13D relating to shares of common stock, par value $0.001 per share (the “Common Stock”), of NGM Biopharmaceuticals, Inc., a Delaware corporation (the “Issuer”), that was filed with the Securities and Exchange Commission (the “SEC”) on May 17, 2019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3 of the Amended Statement is hereby amended by adding the following as the last paragraphs thereof:</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Between May 20, 2019 and August 9, 2019, Ponoi LP purchased 323,947 shares of Common Stock for an aggregate purchase price of $4,460,445 and Ponoi II LP purchased 323,946 shares of Common Stock for an aggregate purchase price of $4,460,431. Ponoi LP and Ponoi II LP received the funds used to purchase each entity’s respective shares of Common Stock noted above from capital contributions made to each entity by their respective partners for investment purposes.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Between October 9, 2019 and October 17, 2019, TCG III LP purchased 76,546 shares of Common Stock for an aggregate purchase price of $793,477.84 and TCG III-A LP purchased 86,444 shares of Common Stock for an aggregate purchase price of $896,080.61. TCG III LP and TCG III-A LP received the funds used to purchase each entity’s respective shares of Common Stock noted above from capital contributions made to each entity by their respective partners for investment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Amended Statement is hereby amended and restated in its entirety as follows: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TCG LP, TCG II LP, TCG GP, TCGM LP, Ponoi LP, Ponoi II LP, TCG III LP, TCG III-A LP, Mr. Goeddel, Mr. Svennilson and Mr. Kutzkey acquired the aforementioned Preferred Stock and Common Stock for investment purposes with the aim of increasing the value of their investments in the Issuer.</w:t>
      </w:r>
    </w:p>
    <w:p>
      <w:pPr>
        <w:spacing w:after="0" w:line="12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TCG III LP and TCG III-A LP intend to purchase additional securities of the Issuer subject to market conditions. Except as provided in the prior sentence and as set forth in Item 6 below, none of the Reporting Persons have a present plan or proposal that relates to or would result in any of the actions specified in clauses (a) through (j) of Item 4 of Schedule 13D.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as amended.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5(a), (b) and (c) of the Amended Statement are hereby amended and restated in their entirety as follows:</w:t>
      </w:r>
    </w:p>
    <w:p>
      <w:pPr>
        <w:spacing w:after="0" w:line="117" w:lineRule="exact"/>
        <w:rPr>
          <w:sz w:val="20"/>
          <w:szCs w:val="20"/>
          <w:color w:val="auto"/>
        </w:rPr>
      </w:pPr>
    </w:p>
    <w:p>
      <w:pPr>
        <w:ind w:right="40" w:firstLine="4"/>
        <w:spacing w:after="0" w:line="26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date hereof, TCG LP directly holds 11,103,333 shares of Common Stock, representing 16.8% of the Issuer’s outstanding Common Stock. TCG GP beneficially owns an aggregate of 11,203,333 shares of Common Stock, representing 17.0% of the Issuer’s outstanding Common Stock, which consists of 100,000 shares of Common</w:t>
      </w:r>
    </w:p>
    <w:p>
      <w:pPr>
        <w:sectPr>
          <w:pgSz w:w="11900" w:h="16838" w:orient="portrait"/>
          <w:cols w:equalWidth="0" w:num="1">
            <w:col w:w="11000"/>
          </w:cols>
          <w:pgMar w:left="440" w:top="270" w:right="459" w:bottom="1440" w:gutter="0" w:footer="0" w:header="0"/>
        </w:sectPr>
      </w:pPr>
    </w:p>
    <w:bookmarkStart w:id="17" w:name="page18"/>
    <w:bookmarkEnd w:id="17"/>
    <w:p>
      <w:pPr>
        <w:jc w:val="both"/>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that TCG GP directly holds and 11,103,333 shares of Common Stock that TCG GP beneficially owns as general partner of TCG LP. TCG II LP directly holds 2,265,758 shares of Common Stock, representing 3.4% of the Issuer’s outstanding Common Stock. As the general partner of TCG II LP, TCG II GP beneficially owns an aggregate of 2,265,758 shares of Common Stock, representing 3.4% of the Issuer’s outstanding Common Stock.</w:t>
      </w:r>
    </w:p>
    <w:p>
      <w:pPr>
        <w:ind w:right="60"/>
        <w:spacing w:after="0" w:line="281" w:lineRule="auto"/>
        <w:rPr>
          <w:sz w:val="20"/>
          <w:szCs w:val="20"/>
          <w:color w:val="auto"/>
        </w:rPr>
      </w:pPr>
      <w:r>
        <w:rPr>
          <w:rFonts w:ascii="Arial" w:cs="Arial" w:eastAsia="Arial" w:hAnsi="Arial"/>
          <w:sz w:val="16"/>
          <w:szCs w:val="16"/>
          <w:color w:val="auto"/>
        </w:rPr>
        <w:t>TCGM LP directly holds 100,000 shares of Common Stock, representing 0.2% of the Issuer’s outstanding Common Stock. Ponoi LP directly holds 1,298,908 shares of Common Stock, representing 2.0% of the Issuer’s outstanding Common Stock. As the general partner of Ponoi LP, Ponoi LLC beneficially owns an aggregate of 1,298,908 shares of Common Stock, representing 2.0% of the Issuer’s outstanding Common Stock. Ponoi II LP directly holds 1,298,908 shares of Common Stock, representing 2.0% of the Issuer’s outstanding Common Stock. As the general partner of Ponoi II LP, Ponoi II LLC beneficially owns an aggregate of 1,298,908 shares of Common Stock, representing 2.0% of the Issuer’s outstanding Common Stock. TCG III LP directly holds 76,546 shares of Common Stock, representing 0.1% of the Issuer’s outstanding Common Stock. TCG III-A LP directly holds 86,444 shares of Common Stock, representing 0.1% of the Issuer’s outstanding Common Stock. As the general partner of TCG III LP and TCG III-A LP, TCG III GP beneficially owns aggregate 162,990 shares of Common Stock, representing 0.2% of the Issuer’s outstanding Common Stock.</w:t>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Svennilson beneficially owns 16,373,897 shares of Common Stock, representing 24.8% of the Issuer’s outstanding Common Stock, which consists of 20,000 shares of Common Stock that Mr. Svennilson directly holds, 24,000 shares of Common Stock underlying options that Mr. Svennilson directly holds, and 16,329,897 shares of Common Stock that Mr. Svennilson beneficially owns as a Managing Partner of TCG GP, TCG II GP, TCGM LP, Ponoi LLC, Ponoi II LLC and TCG III GP. Mr. Goeddel beneficially owns 16,543,897 shares of Common Stock, representing 25.1% of the Issuer’s outstanding Common Stock, which consists of 24,000 shares of Common Stock underlying options that Mr. Goeddel directly holds, 190,000 shares of Common Stock held by the Goeddel Trust and 16,519,897 shares of Common Stock that Mr. Goeddel beneficially owns as a Managing Partner of TCG GP, TCG II GP, TCGM LP, Ponoi LLC, Ponoi II LLC and TCG III GP. Mr. Kutzkey beneficially owns 2,775,806 shares of Common Stock, representing 4.2% of the Issuer’s outstanding Common Stock, which consists of 15,000 shares of Common Stock that Mr. Kutzkey directly holds and 2,760,806 shares of Common Stock that Mr. Kutzkey beneficially owns as a Managing Partner of Ponoi LLC, Ponoi II LLC and TCG III GP.</w:t>
      </w:r>
    </w:p>
    <w:p>
      <w:pPr>
        <w:spacing w:after="0" w:line="166"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The percentages set forth in this Item 5 and in the cover page for each Reporting Person are based on the 66,042,966 outstanding shares of Common Stock as of August 9, 2019, as disclosed in the Issuer’s Quarterly Report on Form 10-Q filed with the SEC on August 12, 2019.</w:t>
      </w:r>
    </w:p>
    <w:p>
      <w:pPr>
        <w:spacing w:after="0" w:line="16" w:lineRule="exact"/>
        <w:rPr>
          <w:sz w:val="20"/>
          <w:szCs w:val="20"/>
          <w:color w:val="auto"/>
        </w:rPr>
      </w:pPr>
    </w:p>
    <w:p>
      <w:pPr>
        <w:ind w:firstLine="4"/>
        <w:spacing w:after="0" w:line="283"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TCG LP has sole voting and dispositive control over 11,103,333 shares of Common Stock, TCG GP has sole voting and dispositive control over 100,000 shares of Common Stock, TCG II LP has sole voting and dispositive control over 2,265,758 shares of Common Stock, TCGM LP has sole voting and dispositive control over 100,000 shares of Common Stock, Ponoi LP has sole voting and dispositive control over 1,298,908 shares of Common Stock, Ponoi II LP has sole voting and dispositive control over 1,298,908 shares of Common Stock, TCG III LP has sole voting and dispositive control over 76,546 shares of Common Stock, TCG III-A LP has sole voting and dispositive control over 86,444 shares of Common Stock, Mr. Svennilson has sole voting and dispositive control over 20,000 shares of Common Stock, and Mr. Kutzkey has sole voting and dispositive control over 15,000 shares of Common Stock. None of the other Reporting Persons own any securities of the Issuer directly. Mr. Goeddel serves as co-trustee of the Goeddel Trust and shares voting and dispositive control over 190,000 shares of Common Stock held directly by the Goeddel Trust. TCG GP, as general partner of TCG LP, shares the power to direct the voting and disposition of the 11,103,333 shares owned by TCG LP and may be deemed to beneficially own the shares owned by TCG LP. TCG II GP, as general partner of TCG II LP, shares the power to direct the voting and disposition of the 2,265,758 shares owned by TCG II LP and may be deemed to beneficially own the shares owned by TCG II LP. Ponoi LLC, as general partner of Ponoi LP, shares the power to direct the voting and disposition of the 1,298,908 shares owned by Ponoi LP and may be deemed to beneficially own the shares owned by Ponoi LP. Ponoi II LLC, as general partner of Ponoi II LP, shares the power to direct the voting and disposition of the 1,298,908 shares owned by Ponoi II LP and may be deemed to beneficially own the shares owned by Ponoi II LP. TCG III GP, as general partner of TCG III LP and TCG III-A LP, shares the power to direct the voting and disposition of the 76,546 shares of Common Stock owned by TCG III LP and the 86,444 shares of Common Stock owned by TCG III-A LP. By virtue of their positions as managing partners of TCG GP, TCG II GP and TCGM LP, each of</w:t>
      </w: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Mr. Svennilson and Mr. Goeddel may be deemed to share the power to direct the voting and disposition of the 11,103,333 shares owned by TCG LP, the 100,000 shares owned by TCG GP, the 2,265,758 shares owned by TCG II LP and the 100,000 shares owned by TCGM LP and may be deemed to beneficially own the shares owned</w:t>
      </w:r>
    </w:p>
    <w:p>
      <w:pPr>
        <w:sectPr>
          <w:pgSz w:w="11900" w:h="16838" w:orient="portrait"/>
          <w:cols w:equalWidth="0" w:num="1">
            <w:col w:w="11000"/>
          </w:cols>
          <w:pgMar w:left="440" w:top="274" w:right="45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entities. By virtue of their positions as managing partners of Ponoi LLC, Ponoi II LLC and TCG III GP, each Managing Partner may be deemed to share the power to direct the voting and disposition of the 1,298,908 shares owned by Ponoi LP, the 1,298,908 shares owned by Ponoi II LP, the 76,546 shares owned by TCG III LP and the 86,444 shares owned by TCG III-A LP and may be deemed to beneficially own the shares owned by Ponoi LP, Ponoi II LP, TCG III LP and TCG III-A LP.</w:t>
      </w:r>
    </w:p>
    <w:p>
      <w:pPr>
        <w:spacing w:after="0" w:line="79" w:lineRule="exact"/>
        <w:rPr>
          <w:sz w:val="20"/>
          <w:szCs w:val="20"/>
          <w:color w:val="auto"/>
        </w:rPr>
      </w:pPr>
    </w:p>
    <w:p>
      <w:pPr>
        <w:jc w:val="both"/>
        <w:ind w:right="60" w:firstLine="4"/>
        <w:spacing w:after="0" w:line="259"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15, 2019 (the “date of grant”), Mr. Svennilson and Mr. Goeddel, as directors of the Issuer, each received options to purchase 24,000 shares of the Issuer’s Common Stock at an exercise price of $13.35 per share which vest and become exercisable in four equal quarterly installments such that the options will be fully vested on the one-year anniversary of the date of grant. Except as set forth herein, none of the Reporting Persons has effected any transactions in shares of the Issuer’s Common Stock during the last 60 days.</w:t>
      </w:r>
    </w:p>
    <w:p>
      <w:pPr>
        <w:sectPr>
          <w:pgSz w:w="11900" w:h="16838" w:orient="portrait"/>
          <w:cols w:equalWidth="0" w:num="1">
            <w:col w:w="10960"/>
          </w:cols>
          <w:pgMar w:left="440" w:top="274" w:right="49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18, 2019</w:t>
      </w:r>
    </w:p>
    <w:p>
      <w:pPr>
        <w:sectPr>
          <w:pgSz w:w="11900" w:h="16838" w:orient="portrait"/>
          <w:cols w:equalWidth="0" w:num="1">
            <w:col w:w="10520"/>
          </w:cols>
          <w:pgMar w:left="440" w:top="270" w:right="9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GP,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II GP, LP</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Ponoi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Ponoi II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III GP,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440" w:right="60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3078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7" w:lineRule="exact"/>
        <w:rPr>
          <w:sz w:val="20"/>
          <w:szCs w:val="20"/>
          <w:color w:val="auto"/>
        </w:rPr>
      </w:pPr>
    </w:p>
    <w:p>
      <w:pPr>
        <w:ind w:left="440" w:right="32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3078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III-A,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III GP,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32"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-19050</wp:posOffset>
            </wp:positionV>
            <wp:extent cx="29330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ectPr>
          <w:pgSz w:w="11900" w:h="16838" w:orient="portrait"/>
          <w:cols w:equalWidth="0" w:num="2">
            <w:col w:w="5220" w:space="720"/>
            <w:col w:w="4580"/>
          </w:cols>
          <w:pgMar w:left="440" w:top="270" w:right="939" w:bottom="1440" w:gutter="0" w:footer="0" w:header="0"/>
          <w:type w:val="continuous"/>
        </w:sectPr>
      </w:pPr>
    </w:p>
    <w:bookmarkStart w:id="20" w:name="page21"/>
    <w:bookmarkEnd w:id="20"/>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680"/>
        <w:spacing w:after="0" w:line="514" w:lineRule="auto"/>
        <w:rPr>
          <w:sz w:val="20"/>
          <w:szCs w:val="20"/>
          <w:color w:val="auto"/>
        </w:rPr>
      </w:pPr>
      <w:r>
        <w:rPr>
          <w:rFonts w:ascii="Arial" w:cs="Arial" w:eastAsia="Arial" w:hAnsi="Arial"/>
          <w:sz w:val="18"/>
          <w:szCs w:val="18"/>
          <w:color w:val="auto"/>
        </w:rPr>
        <w:t>We, the undersigned, hereby express our agreement that the attached Amendment No. 1 to Schedule 13D is filed on behalf of each of us. Dated: October 18, 2019</w:t>
      </w:r>
    </w:p>
    <w:p>
      <w:pPr>
        <w:sectPr>
          <w:pgSz w:w="11900" w:h="16838" w:orient="portrait"/>
          <w:cols w:equalWidth="0" w:num="1">
            <w:col w:w="10520"/>
          </w:cols>
          <w:pgMar w:left="440" w:top="270" w:right="9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GP,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II GP, LP</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Ponoi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Ponoi II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III GP,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0784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32" w:lineRule="exact"/>
        <w:rPr>
          <w:sz w:val="20"/>
          <w:szCs w:val="20"/>
          <w:color w:val="auto"/>
        </w:rPr>
      </w:pPr>
    </w:p>
    <w:p>
      <w:pPr>
        <w:ind w:left="440" w:right="60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30784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7" w:lineRule="exact"/>
        <w:rPr>
          <w:sz w:val="20"/>
          <w:szCs w:val="20"/>
          <w:color w:val="auto"/>
        </w:rPr>
      </w:pPr>
    </w:p>
    <w:p>
      <w:pPr>
        <w:ind w:left="440" w:right="32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-19050</wp:posOffset>
            </wp:positionV>
            <wp:extent cx="30784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III-A,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III GP,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wp:posOffset>
            </wp:positionV>
            <wp:extent cx="29330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32"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-19050</wp:posOffset>
            </wp:positionV>
            <wp:extent cx="29330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sectPr>
      <w:pgSz w:w="11900" w:h="16838" w:orient="portrait"/>
      <w:cols w:equalWidth="0" w:num="2">
        <w:col w:w="5220" w:space="720"/>
        <w:col w:w="4580"/>
      </w:cols>
      <w:pgMar w:left="440" w:top="270" w:right="9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13"/>
    </w:lvl>
  </w:abstractNum>
  <w:abstractNum w:abstractNumId="12">
    <w:nsid w:val="41A7C4C9"/>
    <w:multiLevelType w:val="hybridMultilevel"/>
    <w:lvl w:ilvl="0">
      <w:lvlJc w:val="left"/>
      <w:lvlText w:val="(%1)"/>
      <w:numFmt w:val="decimal"/>
      <w:start w:val="14"/>
    </w:lvl>
  </w:abstractNum>
  <w:abstractNum w:abstractNumId="13">
    <w:nsid w:val="6B68079A"/>
    <w:multiLevelType w:val="hybridMultilevel"/>
    <w:lvl w:ilvl="0">
      <w:lvlJc w:val="left"/>
      <w:lvlText w:val="(%1)"/>
      <w:numFmt w:val="decimal"/>
      <w:start w:val="16"/>
    </w:lvl>
  </w:abstractNum>
  <w:abstractNum w:abstractNumId="14">
    <w:nsid w:val="4E6AFB66"/>
    <w:multiLevelType w:val="hybridMultilevel"/>
    <w:lvl w:ilvl="0">
      <w:lvlJc w:val="left"/>
      <w:lvlText w:val="(%1)"/>
      <w:numFmt w:val="decimal"/>
      <w:start w:val="18"/>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2019-12-04T22:18:10Z</dcterms:created>
  <dcterms:modified xsi:type="dcterms:W3CDTF">2019-12-04T22:18:10Z</dcterms:modified>
</cp:coreProperties>
</file>