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7,321</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17.97</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1,689,318</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11,024</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17.96</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1,700,342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08/25/2020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100</w:t>
            </w:r>
            <w:r>
              <w:rPr>
                <w:rFonts w:ascii="Arial" w:cs="Arial" w:eastAsia="Arial" w:hAnsi="Arial"/>
                <w:sz w:val="22"/>
                <w:szCs w:val="22"/>
                <w:color w:val="008000"/>
                <w:w w:val="82"/>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18</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1,700,442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44,000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860" w:type="dxa"/>
            <w:vAlign w:val="bottom"/>
            <w:vMerge w:val="restart"/>
          </w:tcPr>
          <w:p>
            <w:pPr>
              <w:jc w:val="center"/>
              <w:ind w:right="400"/>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-6946265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8444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8444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0">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3,438 shares of Common Stock held directly by The Column Group III, LP ("TCG III LP") and 3,883 shares of Common Stock held directly by The Column Group III-A, LP ("TCG III-A LP").</w:t>
      </w:r>
    </w:p>
    <w:p>
      <w:pPr>
        <w:spacing w:after="0" w:line="1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5,177 shares of Common Stock held directly by TCG III LP and 5,847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47 shares of Common Stock held directly by TCG III LP and 53 shares of Common Stock held directly by TCG III-A LP.</w:t>
      </w:r>
    </w:p>
    <w:p>
      <w:pPr>
        <w:spacing w:after="0" w:line="50" w:lineRule="exact"/>
        <w:rPr>
          <w:rFonts w:ascii="Arial" w:cs="Arial" w:eastAsia="Arial" w:hAnsi="Arial"/>
          <w:sz w:val="13"/>
          <w:szCs w:val="13"/>
          <w:color w:val="008000"/>
        </w:rPr>
      </w:pPr>
    </w:p>
    <w:p>
      <w:pPr>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w:t>
      </w:r>
    </w:p>
    <w:p>
      <w:pPr>
        <w:sectPr>
          <w:pgSz w:w="11900" w:h="16942" w:orient="portrait"/>
          <w:cols w:equalWidth="0" w:num="1">
            <w:col w:w="10820"/>
          </w:cols>
          <w:pgMar w:left="480" w:top="140" w:right="59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beneficial ownership of these shares, except to the extent of his pecuniary interest in such shares.</w:t>
      </w:r>
    </w:p>
    <w:p>
      <w:pPr>
        <w:spacing w:after="0" w:line="50" w:lineRule="exact"/>
        <w:rPr>
          <w:sz w:val="20"/>
          <w:szCs w:val="20"/>
          <w:color w:val="auto"/>
        </w:rPr>
      </w:pPr>
    </w:p>
    <w:p>
      <w:pPr>
        <w:ind w:right="440" w:firstLine="7"/>
        <w:spacing w:after="0" w:line="30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right="60" w:firstLine="7"/>
        <w:spacing w:after="0" w:line="301"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4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right="4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 Id="rId21" Type="http://schemas.openxmlformats.org/officeDocument/2006/relationships/hyperlink" Target="http://www.sec.gov/cgi-bin/browse-edgar?action=getcompany&amp;CIK=0001182464" TargetMode="External"/><Relationship Id="rId22"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2020-08-25T17:52:07Z</dcterms:created>
  <dcterms:modified xsi:type="dcterms:W3CDTF">2020-08-25T17:52:07Z</dcterms:modified>
</cp:coreProperties>
</file>