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953"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6"/>
          </w:tcPr>
          <w:p>
            <w:pPr>
              <w:ind w:left="2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6"/>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6"/>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rPr>
              <w:t>04/08/2020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P</w:t>
            </w: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8"/>
              </w:rPr>
              <w:t>112,602</w:t>
            </w:r>
            <w:r>
              <w:rPr>
                <w:rFonts w:ascii="Arial" w:cs="Arial" w:eastAsia="Arial" w:hAnsi="Arial"/>
                <w:sz w:val="22"/>
                <w:szCs w:val="22"/>
                <w:color w:val="008000"/>
                <w:w w:val="98"/>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14.95</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1,540,071</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-7149465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sz w:val="1"/>
          <w:szCs w:val="1"/>
          <w:color w:val="auto"/>
        </w:rPr>
        <w:drawing>
          <wp:inline distT="0" distB="0" distL="0" distR="0">
            <wp:extent cx="8255"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255" cy="2032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-217170</wp:posOffset>
            </wp:positionV>
            <wp:extent cx="8255" cy="19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255" cy="194310"/>
                    </a:xfrm>
                    <a:prstGeom prst="rect">
                      <a:avLst/>
                    </a:prstGeom>
                    <a:noFill/>
                  </pic:spPr>
                </pic:pic>
              </a:graphicData>
            </a:graphic>
          </wp:anchor>
        </w:drawing>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27838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1">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Ponoi II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-9154795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-9163050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-8587740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-8596630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-8325485</wp:posOffset>
            </wp:positionV>
            <wp:extent cx="2766695" cy="8791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766695" cy="879157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109855</wp:posOffset>
            </wp:positionV>
            <wp:extent cx="26485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9979"/>
          </w:cols>
          <w:pgMar w:left="480" w:top="118"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32">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33">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4603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783840" cy="4603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52,882 shares of Common Stock held directly by The Column Group III, LP ("TCG III LP") and 59,720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04/09/2020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4" Type="http://schemas.openxmlformats.org/officeDocument/2006/relationships/image" Target="media/image16.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1" Type="http://schemas.openxmlformats.org/officeDocument/2006/relationships/hyperlink" Target="http://www.sec.gov/cgi-bin/browse-edgar?action=getcompany&amp;CIK=0001645340"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25" Type="http://schemas.openxmlformats.org/officeDocument/2006/relationships/hyperlink" Target="http://www.sec.gov/cgi-bin/browse-edgar?action=getcompany&amp;CIK=0001746488" TargetMode="External"/><Relationship Id="rId32" Type="http://schemas.openxmlformats.org/officeDocument/2006/relationships/hyperlink" Target="http://www.sec.gov/cgi-bin/browse-edgar?action=getcompany&amp;CIK=0001614186" TargetMode="External"/><Relationship Id="rId33"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2020-04-09T16:53:35Z</dcterms:created>
  <dcterms:modified xsi:type="dcterms:W3CDTF">2020-04-09T16:53:35Z</dcterms:modified>
</cp:coreProperties>
</file>