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333-238991</w:t>
      </w:r>
    </w:p>
    <w:p>
      <w:pPr>
        <w:spacing w:after="0" w:line="12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June 16, 2020)</w:t>
      </w: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4,629,630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257175</wp:posOffset>
            </wp:positionV>
            <wp:extent cx="134556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556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NGM Biopharmaceuticals, Inc.</w:t>
      </w:r>
    </w:p>
    <w:p>
      <w:pPr>
        <w:spacing w:after="0" w:line="373"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are offering 4,629,630 shares of our common stock pursuant to this prospectus supplement. Our common stock is listed on The Nasdaq Global Select Market under the trading symbol “NGM.” On January 5, 2021, the last reported sale price of our common stock on The Nasdaq Global Select Market was $27.99 per share.</w:t>
      </w:r>
    </w:p>
    <w:p>
      <w:pPr>
        <w:spacing w:after="0" w:line="125" w:lineRule="exact"/>
        <w:rPr>
          <w:sz w:val="24"/>
          <w:szCs w:val="24"/>
          <w:color w:val="auto"/>
        </w:rPr>
      </w:pPr>
    </w:p>
    <w:p>
      <w:pPr>
        <w:ind w:left="120" w:right="660" w:firstLine="551"/>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See “</w:t>
      </w:r>
      <w:hyperlink w:anchor="page17">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S-14 of this prospectus supplement.</w:t>
      </w:r>
    </w:p>
    <w:p>
      <w:pPr>
        <w:spacing w:after="0" w:line="146" w:lineRule="exact"/>
        <w:rPr>
          <w:sz w:val="24"/>
          <w:szCs w:val="24"/>
          <w:color w:val="auto"/>
        </w:rPr>
      </w:pPr>
    </w:p>
    <w:tbl>
      <w:tblPr>
        <w:tblLayout w:type="fixed"/>
        <w:tblInd w:w="120" w:type="dxa"/>
        <w:tblCellMar>
          <w:top w:w="0" w:type="dxa"/>
          <w:left w:w="0" w:type="dxa"/>
          <w:bottom w:w="0" w:type="dxa"/>
          <w:right w:w="0" w:type="dxa"/>
        </w:tblCellMar>
      </w:tblPr>
      <w:tr>
        <w:trPr>
          <w:trHeight w:val="225"/>
        </w:trPr>
        <w:tc>
          <w:tcPr>
            <w:tcW w:w="852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125,000,010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7,500,001</w:t>
            </w: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25.38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117,500,009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4"/>
          <w:szCs w:val="24"/>
          <w:color w:val="auto"/>
        </w:rPr>
      </w:pPr>
    </w:p>
    <w:p>
      <w:pPr>
        <w:ind w:left="660" w:hanging="54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and commissions and estimated expenses.</w:t>
      </w:r>
    </w:p>
    <w:p>
      <w:pPr>
        <w:spacing w:after="0" w:line="171" w:lineRule="exact"/>
        <w:rPr>
          <w:sz w:val="24"/>
          <w:szCs w:val="24"/>
          <w:color w:val="auto"/>
        </w:rPr>
      </w:pPr>
    </w:p>
    <w:p>
      <w:pPr>
        <w:ind w:left="120" w:right="260" w:firstLine="551"/>
        <w:spacing w:after="0" w:line="276" w:lineRule="auto"/>
        <w:rPr>
          <w:sz w:val="20"/>
          <w:szCs w:val="20"/>
          <w:color w:val="auto"/>
        </w:rPr>
      </w:pPr>
      <w:r>
        <w:rPr>
          <w:rFonts w:ascii="Arial" w:cs="Arial" w:eastAsia="Arial" w:hAnsi="Arial"/>
          <w:sz w:val="18"/>
          <w:szCs w:val="18"/>
          <w:color w:val="auto"/>
        </w:rPr>
        <w:t>We have granted the underwriters an option to purchase up to an additional 694,444 shares of our common stock within 30 days from the date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175260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left="120" w:right="20" w:firstLine="551"/>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underwriters expect to deliver the shares of common stock against payment on or about January 8, 2021.</w:t>
      </w:r>
    </w:p>
    <w:p>
      <w:pPr>
        <w:spacing w:after="0" w:line="200" w:lineRule="exact"/>
        <w:rPr>
          <w:sz w:val="24"/>
          <w:szCs w:val="24"/>
          <w:color w:val="auto"/>
        </w:rPr>
      </w:pPr>
    </w:p>
    <w:tbl>
      <w:tblPr>
        <w:tblLayout w:type="fixed"/>
        <w:tblInd w:w="120" w:type="dxa"/>
        <w:tblCellMar>
          <w:top w:w="0" w:type="dxa"/>
          <w:left w:w="0" w:type="dxa"/>
          <w:bottom w:w="0" w:type="dxa"/>
          <w:right w:w="0" w:type="dxa"/>
        </w:tblCellMar>
      </w:tblPr>
      <w:tr>
        <w:trPr>
          <w:trHeight w:val="358"/>
        </w:trPr>
        <w:tc>
          <w:tcPr>
            <w:tcW w:w="3420" w:type="dxa"/>
            <w:vAlign w:val="bottom"/>
          </w:tcPr>
          <w:p>
            <w:pPr>
              <w:spacing w:after="0"/>
              <w:rPr>
                <w:sz w:val="20"/>
                <w:szCs w:val="20"/>
                <w:color w:val="auto"/>
              </w:rPr>
            </w:pPr>
            <w:r>
              <w:rPr>
                <w:rFonts w:ascii="Arial" w:cs="Arial" w:eastAsia="Arial" w:hAnsi="Arial"/>
                <w:sz w:val="25"/>
                <w:szCs w:val="25"/>
                <w:b w:val="1"/>
                <w:bCs w:val="1"/>
                <w:color w:val="auto"/>
              </w:rPr>
              <w:t>Goldman Sachs &amp; Co. LLC</w:t>
            </w:r>
          </w:p>
        </w:tc>
        <w:tc>
          <w:tcPr>
            <w:tcW w:w="920" w:type="dxa"/>
            <w:vAlign w:val="bottom"/>
          </w:tcPr>
          <w:p>
            <w:pPr>
              <w:spacing w:after="0"/>
              <w:rPr>
                <w:sz w:val="24"/>
                <w:szCs w:val="24"/>
                <w:color w:val="auto"/>
              </w:rPr>
            </w:pPr>
          </w:p>
        </w:tc>
        <w:tc>
          <w:tcPr>
            <w:tcW w:w="5040" w:type="dxa"/>
            <w:vAlign w:val="bottom"/>
            <w:gridSpan w:val="2"/>
          </w:tcPr>
          <w:p>
            <w:pPr>
              <w:ind w:left="2160"/>
              <w:spacing w:after="0"/>
              <w:rPr>
                <w:sz w:val="20"/>
                <w:szCs w:val="20"/>
                <w:color w:val="auto"/>
              </w:rPr>
            </w:pPr>
            <w:r>
              <w:rPr>
                <w:rFonts w:ascii="Arial" w:cs="Arial" w:eastAsia="Arial" w:hAnsi="Arial"/>
                <w:sz w:val="25"/>
                <w:szCs w:val="25"/>
                <w:b w:val="1"/>
                <w:bCs w:val="1"/>
                <w:color w:val="auto"/>
              </w:rPr>
              <w:t>Citigroup</w:t>
            </w:r>
          </w:p>
        </w:tc>
        <w:tc>
          <w:tcPr>
            <w:tcW w:w="1000" w:type="dxa"/>
            <w:vAlign w:val="bottom"/>
          </w:tcPr>
          <w:p>
            <w:pPr>
              <w:ind w:left="180"/>
              <w:spacing w:after="0"/>
              <w:rPr>
                <w:sz w:val="20"/>
                <w:szCs w:val="20"/>
                <w:color w:val="auto"/>
              </w:rPr>
            </w:pPr>
            <w:r>
              <w:rPr>
                <w:rFonts w:ascii="Arial" w:cs="Arial" w:eastAsia="Arial" w:hAnsi="Arial"/>
                <w:sz w:val="25"/>
                <w:szCs w:val="25"/>
                <w:b w:val="1"/>
                <w:bCs w:val="1"/>
                <w:color w:val="auto"/>
                <w:w w:val="97"/>
              </w:rPr>
              <w:t>Cowen</w:t>
            </w:r>
          </w:p>
        </w:tc>
      </w:tr>
      <w:tr>
        <w:trPr>
          <w:trHeight w:val="418"/>
        </w:trPr>
        <w:tc>
          <w:tcPr>
            <w:tcW w:w="3420" w:type="dxa"/>
            <w:vAlign w:val="bottom"/>
          </w:tcPr>
          <w:p>
            <w:pPr>
              <w:spacing w:after="0"/>
              <w:rPr>
                <w:sz w:val="20"/>
                <w:szCs w:val="20"/>
                <w:color w:val="auto"/>
              </w:rPr>
            </w:pPr>
            <w:r>
              <w:rPr>
                <w:rFonts w:ascii="Arial" w:cs="Arial" w:eastAsia="Arial" w:hAnsi="Arial"/>
                <w:sz w:val="22"/>
                <w:szCs w:val="22"/>
                <w:b w:val="1"/>
                <w:bCs w:val="1"/>
                <w:color w:val="auto"/>
              </w:rPr>
              <w:t>Raymond James</w:t>
            </w:r>
          </w:p>
        </w:tc>
        <w:tc>
          <w:tcPr>
            <w:tcW w:w="9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20" w:type="dxa"/>
            <w:vAlign w:val="bottom"/>
          </w:tcPr>
          <w:p>
            <w:pPr>
              <w:ind w:left="660"/>
              <w:spacing w:after="0"/>
              <w:rPr>
                <w:sz w:val="20"/>
                <w:szCs w:val="20"/>
                <w:color w:val="auto"/>
              </w:rPr>
            </w:pPr>
            <w:r>
              <w:rPr>
                <w:rFonts w:ascii="Arial" w:cs="Arial" w:eastAsia="Arial" w:hAnsi="Arial"/>
                <w:sz w:val="22"/>
                <w:szCs w:val="22"/>
                <w:b w:val="1"/>
                <w:bCs w:val="1"/>
                <w:color w:val="auto"/>
              </w:rPr>
              <w:t>B. Riley Securities</w:t>
            </w:r>
          </w:p>
        </w:tc>
        <w:tc>
          <w:tcPr>
            <w:tcW w:w="1000" w:type="dxa"/>
            <w:vAlign w:val="bottom"/>
          </w:tcPr>
          <w:p>
            <w:pPr>
              <w:spacing w:after="0"/>
              <w:rPr>
                <w:sz w:val="24"/>
                <w:szCs w:val="24"/>
                <w:color w:val="auto"/>
              </w:rPr>
            </w:pPr>
          </w:p>
        </w:tc>
      </w:tr>
      <w:tr>
        <w:trPr>
          <w:trHeight w:val="338"/>
        </w:trPr>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9"/>
        </w:trPr>
        <w:tc>
          <w:tcPr>
            <w:tcW w:w="3420" w:type="dxa"/>
            <w:vAlign w:val="bottom"/>
          </w:tcPr>
          <w:p>
            <w:pPr>
              <w:spacing w:after="0"/>
              <w:rPr>
                <w:sz w:val="24"/>
                <w:szCs w:val="24"/>
                <w:color w:val="auto"/>
              </w:rPr>
            </w:pPr>
          </w:p>
        </w:tc>
        <w:tc>
          <w:tcPr>
            <w:tcW w:w="5960" w:type="dxa"/>
            <w:vAlign w:val="bottom"/>
            <w:gridSpan w:val="3"/>
          </w:tcPr>
          <w:p>
            <w:pPr>
              <w:ind w:left="220"/>
              <w:spacing w:after="0"/>
              <w:rPr>
                <w:sz w:val="20"/>
                <w:szCs w:val="20"/>
                <w:color w:val="auto"/>
              </w:rPr>
            </w:pPr>
            <w:r>
              <w:rPr>
                <w:rFonts w:ascii="Arial" w:cs="Arial" w:eastAsia="Arial" w:hAnsi="Arial"/>
                <w:sz w:val="18"/>
                <w:szCs w:val="18"/>
                <w:color w:val="auto"/>
              </w:rPr>
              <w:t>Prospectus supplement dated January 5, 2021</w:t>
            </w:r>
          </w:p>
        </w:tc>
        <w:tc>
          <w:tcPr>
            <w:tcW w:w="1000" w:type="dxa"/>
            <w:vAlign w:val="bottom"/>
          </w:tcPr>
          <w:p>
            <w:pPr>
              <w:spacing w:after="0"/>
              <w:rPr>
                <w:sz w:val="24"/>
                <w:szCs w:val="24"/>
                <w:color w:val="auto"/>
              </w:rPr>
            </w:pPr>
          </w:p>
        </w:tc>
      </w:tr>
    </w:tbl>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46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Supplement Summary</w:t>
              </w:r>
            </w:hyperlink>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3"/>
        </w:trPr>
        <w:tc>
          <w:tcPr>
            <w:tcW w:w="10460" w:type="dxa"/>
            <w:vAlign w:val="bottom"/>
            <w:vMerge w:val="continue"/>
          </w:tcPr>
          <w:p>
            <w:pPr>
              <w:spacing w:after="0"/>
              <w:rPr>
                <w:sz w:val="15"/>
                <w:szCs w:val="15"/>
                <w:color w:val="auto"/>
              </w:rPr>
            </w:pPr>
          </w:p>
        </w:tc>
        <w:tc>
          <w:tcPr>
            <w:tcW w:w="4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Special Note Regarding Forward-Looking Statements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S-71</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Use of Proceeds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S-73</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Dilution</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Dividend Policy</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S-76</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Material U.S. Federal Income Tax Consequences to Non-U.S. Holders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S-77</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Underwriting</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S-81</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Legal Matters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S-88</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Experts</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S-88</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Where You Can Find More Information</w:t>
              </w:r>
            </w:hyperlink>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S-88</w:t>
            </w:r>
          </w:p>
        </w:tc>
        <w:tc>
          <w:tcPr>
            <w:tcW w:w="0" w:type="dxa"/>
            <w:vAlign w:val="bottom"/>
          </w:tcPr>
          <w:p>
            <w:pPr>
              <w:spacing w:after="0"/>
              <w:rPr>
                <w:sz w:val="1"/>
                <w:szCs w:val="1"/>
                <w:color w:val="auto"/>
              </w:rPr>
            </w:pPr>
          </w:p>
        </w:tc>
      </w:tr>
      <w:tr>
        <w:trPr>
          <w:trHeight w:val="243"/>
        </w:trPr>
        <w:tc>
          <w:tcPr>
            <w:tcW w:w="104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Incorporation of Certain Information by Reference</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S-89</w:t>
            </w:r>
          </w:p>
        </w:tc>
        <w:tc>
          <w:tcPr>
            <w:tcW w:w="0" w:type="dxa"/>
            <w:vAlign w:val="bottom"/>
          </w:tcPr>
          <w:p>
            <w:pPr>
              <w:spacing w:after="0"/>
              <w:rPr>
                <w:sz w:val="1"/>
                <w:szCs w:val="1"/>
                <w:color w:val="auto"/>
              </w:rPr>
            </w:pPr>
          </w:p>
        </w:tc>
      </w:tr>
      <w:tr>
        <w:trPr>
          <w:trHeight w:val="419"/>
        </w:trPr>
        <w:tc>
          <w:tcPr>
            <w:tcW w:w="10460" w:type="dxa"/>
            <w:vAlign w:val="bottom"/>
          </w:tcPr>
          <w:p>
            <w:pPr>
              <w:ind w:left="4880"/>
              <w:spacing w:after="0"/>
              <w:rPr>
                <w:sz w:val="20"/>
                <w:szCs w:val="20"/>
                <w:color w:val="auto"/>
              </w:rPr>
            </w:pPr>
            <w:r>
              <w:rPr>
                <w:rFonts w:ascii="Arial" w:cs="Arial" w:eastAsia="Arial" w:hAnsi="Arial"/>
                <w:sz w:val="18"/>
                <w:szCs w:val="18"/>
                <w:color w:val="auto"/>
              </w:rPr>
              <w:t>PROSPECTUS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6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Prospectus Summary</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Risk Factors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Special Note Regarding Forward-Looking Statements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Use of Proceeds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Description of Capital Stock</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Description of Debt Securities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Description of Warrants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10460" w:type="dxa"/>
            <w:vAlign w:val="bottom"/>
          </w:tcPr>
          <w:p>
            <w:pPr>
              <w:spacing w:after="0" w:line="202" w:lineRule="exact"/>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Legal Ownership of Securities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Plan of Distribution</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Legal Matters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Experts</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10460" w:type="dxa"/>
            <w:vAlign w:val="bottom"/>
          </w:tcPr>
          <w:p>
            <w:pPr>
              <w:spacing w:after="0" w:line="202" w:lineRule="exact"/>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Where You Can Find Additional Information</w:t>
              </w:r>
            </w:hyperlink>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10460" w:type="dxa"/>
            <w:vAlign w:val="bottom"/>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Incorporation of Certain Information by Reference</w:t>
              </w:r>
            </w:hyperlink>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b w:val="1"/>
          <w:bCs w:val="1"/>
          <w:color w:val="auto"/>
        </w:rPr>
        <w:t>We have not, and the underwriters have not, authorized anyone to provide you with any information or to make any representation, other than those contained or incorporated by reference in this prospectus supplement and the accompanying prospectus, which together we sometimes refer to generally as the prospectus, or in any free writing prospectus prepared by us or on our behalf or to which we have referred you. Neither we nor any of the underwriters take any responsibility for, and provide no assurance as to the reliability of, any other information that others may give you. This prospectus supplement and the accompanying prospectus are an offer to sell only the shares of our common stock offered hereby, but only in circumstances and in jurisdictions where it is lawful to so do. The information contained or incorporated by reference in this prospectus supplement and the accompanying prospectus is accurate only as of its date, regardless of the time of delivery of this prospectus supplement and the accompanying prospectus or of any sale of our common stock.</w:t>
      </w:r>
    </w:p>
    <w:p>
      <w:pPr>
        <w:spacing w:after="0" w:line="168"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color w:val="auto"/>
        </w:rPr>
        <w:t>For investors outside the United States: neither we nor any of the underwriters have done anything that would permit this offering or the possession or distribution of this prospectus supplement, the accompanying prospectus or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this offering and the distribution of this prospectus supplement, the accompanying prospectus and any free writing prospectus that we have authorized for use in connection with this offering outside the United States.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This document consists of two parts. The first part is this prospectus supplement, which describes the terms of this offering of our common stock and also adds to and updates information contained in the accompanying prospectus and the documents incorporated by reference in this prospectus supplement. The second part is the accompanying prospectus dated June 16, 2020, which includes the documents incorporated by reference therein and provides more general information. To the extent the information contained in this prospectus supplement differs or varies from the information contained in the accompanying prospectus or the documents incorporated by reference herein or therein, you should rely on the information in this prospectus supplement. Generally, when we refer to the prospectus, we are referring to this prospectus supplement and the accompanying prospectus combined. You should read both this prospectus supplement and the accompanying prospectus, together with the documents incorporated by reference herein and therein and any additional information described under the heading “Where You Can Find More Information.”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41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300" w:firstLine="532"/>
        <w:spacing w:after="0" w:line="241" w:lineRule="auto"/>
        <w:rPr>
          <w:rFonts w:ascii="Arial" w:cs="Arial" w:eastAsia="Arial" w:hAnsi="Arial"/>
          <w:sz w:val="18"/>
          <w:szCs w:val="18"/>
          <w:i w:val="1"/>
          <w:iCs w:val="1"/>
          <w:color w:val="auto"/>
        </w:rPr>
      </w:pPr>
      <w:r>
        <w:rPr>
          <w:rFonts w:ascii="Arial" w:cs="Arial" w:eastAsia="Arial" w:hAnsi="Arial"/>
          <w:sz w:val="18"/>
          <w:szCs w:val="18"/>
          <w:i w:val="1"/>
          <w:iCs w:val="1"/>
          <w:color w:val="auto"/>
        </w:rPr>
        <w:t>This summary highlights selected information appearing elsewhere or incorporated by reference in this prospectus supplement and the accompanying prospectus and does not contain all of the information that you need to consider in making your investment decision. This prospectus supplement and the accompanying prospectus include information about the shares of common stock that we are offering as well as information regarding our business. You should read this prospectus supplement and the accompanying prospectus, including the information incorporated by reference and any free writing prospectus that we have authorized for use in connection with this offering, in their entirety. You should also carefully consider the information set forth under “</w:t>
      </w:r>
      <w:hyperlink w:anchor="page17">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S-14 of this prospectus supplement before making your investment decision.</w:t>
      </w:r>
    </w:p>
    <w:p>
      <w:pPr>
        <w:spacing w:after="0" w:line="28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300" w:right="260" w:firstLine="532"/>
        <w:spacing w:after="0" w:line="245" w:lineRule="auto"/>
        <w:rPr>
          <w:sz w:val="20"/>
          <w:szCs w:val="20"/>
          <w:color w:val="auto"/>
        </w:rPr>
      </w:pPr>
      <w:r>
        <w:rPr>
          <w:rFonts w:ascii="Arial" w:cs="Arial" w:eastAsia="Arial" w:hAnsi="Arial"/>
          <w:sz w:val="18"/>
          <w:szCs w:val="18"/>
          <w:color w:val="auto"/>
        </w:rPr>
        <w:t>We are a biopharmaceutical company focused on discovering and developing novel therapeutics based on scientific understanding of key biological pathways underlying liver and metabolic diseases, retinal diseases and cancer. These diseases represent a significant burden for healthcare systems and, in some cases, are leading causes of morbidity and mortality. Since the commencement of our operations in 2008, we have generated a robust portfolio of product candidates. Our six most advanced product candidates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right="160"/>
        <w:spacing w:after="0" w:line="264" w:lineRule="auto"/>
        <w:rPr>
          <w:sz w:val="20"/>
          <w:szCs w:val="20"/>
          <w:color w:val="auto"/>
        </w:rPr>
      </w:pPr>
      <w:r>
        <w:rPr>
          <w:rFonts w:ascii="Arial" w:cs="Arial" w:eastAsia="Arial" w:hAnsi="Arial"/>
          <w:sz w:val="14"/>
          <w:szCs w:val="14"/>
          <w:i w:val="1"/>
          <w:iCs w:val="1"/>
          <w:color w:val="auto"/>
        </w:rPr>
        <w:t>NASH = non-alcoholic steatohepatitis; FGF = fibroblast growth factor; GDF = growth differentiation factor; KLB = beta-klotho; C3 = Component 3; GFRAL = glial cell-derived neurotrophic factor receptor alpha-like; CACS = Cancer Anorexia/Cachexia Syndrome; ILT2 = Immunoglobulin-like transcript 2; ILT4 = Immunoglobulin-like transcript 4; LAIR1 = Leukocyte-associated immunoglobulin-like receptor 1</w:t>
      </w:r>
    </w:p>
    <w:p>
      <w:pPr>
        <w:spacing w:after="0" w:line="159" w:lineRule="exact"/>
        <w:rPr>
          <w:sz w:val="20"/>
          <w:szCs w:val="20"/>
          <w:color w:val="auto"/>
        </w:rPr>
      </w:pPr>
    </w:p>
    <w:p>
      <w:pPr>
        <w:ind w:left="300" w:right="400" w:firstLine="532"/>
        <w:spacing w:after="0" w:line="268" w:lineRule="auto"/>
        <w:rPr>
          <w:sz w:val="20"/>
          <w:szCs w:val="20"/>
          <w:color w:val="auto"/>
        </w:rPr>
      </w:pPr>
      <w:r>
        <w:rPr>
          <w:rFonts w:ascii="Arial" w:cs="Arial" w:eastAsia="Arial" w:hAnsi="Arial"/>
          <w:sz w:val="17"/>
          <w:szCs w:val="17"/>
          <w:color w:val="auto"/>
        </w:rPr>
        <w:t>In 2015, we entered into a research collaboration, product development and license agreement, or the Collaboration Agreement, with Merck Sharp &amp; Dohme Corp., or Merck, that allows us to develop multiple product candidates in parallel without bearing substantially greater costs or incurring significantly greater risk compared to developing product candidates, such as aldafermin (formerly NGM282), an engineered version of the human hormone fibroblast growth factor 19, or FGF19, on our</w:t>
      </w:r>
    </w:p>
    <w:p>
      <w:pPr>
        <w:spacing w:after="0" w:line="200" w:lineRule="exact"/>
        <w:rPr>
          <w:sz w:val="20"/>
          <w:szCs w:val="20"/>
          <w:color w:val="auto"/>
        </w:rPr>
      </w:pPr>
    </w:p>
    <w:p>
      <w:pPr>
        <w:spacing w:after="0" w:line="38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5" w:right="6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73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60"/>
        <w:spacing w:after="0" w:line="245" w:lineRule="auto"/>
        <w:rPr>
          <w:sz w:val="20"/>
          <w:szCs w:val="20"/>
          <w:color w:val="auto"/>
        </w:rPr>
      </w:pPr>
      <w:r>
        <w:rPr>
          <w:rFonts w:ascii="Arial" w:cs="Arial" w:eastAsia="Arial" w:hAnsi="Arial"/>
          <w:sz w:val="18"/>
          <w:szCs w:val="18"/>
          <w:color w:val="auto"/>
        </w:rPr>
        <w:t>own. In March 2019, Merck exercised its option to extend the research phase of the collaboration through March 16, 2022 and has the unilateral right to extend it again through March 16, 2024. As part of the extension through March 16, 2022, Merck agreed to continue to fund our research and development efforts up to $75.0 million each year consistent with the initial five-year term and, in lieu of a $20.0 million extension fee payable to us, Merck agreed to make additional payments totaling up to $20.0 million in support of our research and development activities across 2021 and the first quarter of 2022.</w:t>
      </w:r>
    </w:p>
    <w:p>
      <w:pPr>
        <w:spacing w:after="0" w:line="172" w:lineRule="exact"/>
        <w:rPr>
          <w:sz w:val="20"/>
          <w:szCs w:val="20"/>
          <w:color w:val="auto"/>
        </w:rPr>
      </w:pPr>
    </w:p>
    <w:p>
      <w:pPr>
        <w:ind w:left="300" w:right="80" w:firstLine="532"/>
        <w:spacing w:after="0" w:line="239" w:lineRule="auto"/>
        <w:rPr>
          <w:sz w:val="20"/>
          <w:szCs w:val="20"/>
          <w:color w:val="auto"/>
        </w:rPr>
      </w:pPr>
      <w:r>
        <w:rPr>
          <w:rFonts w:ascii="Arial" w:cs="Arial" w:eastAsia="Arial" w:hAnsi="Arial"/>
          <w:sz w:val="18"/>
          <w:szCs w:val="18"/>
          <w:color w:val="auto"/>
        </w:rPr>
        <w:t>Merck generally has a one-time right to exercise its option to an exclusive, worldwide license when a program completes a human proof-of-concept trial. In November 2018, Merck exercised its option to license MK-3655 (formerly NGM313), an agonistic antibody selectively activating fibroblast growth factor receptor 1c/beta-klotho, or FGFR1c/KLB, which is a potential treatment for non-alcoholic steatohepatitis, or NASH. The collaboration enables us to develop more product candidates for major indications than we could likely advance on our own. We retain an option, when a product candidate has advanced to Phase 3 clinical trials, to participate in up to 50% of the economic return from that product candidate if it becomes an approved medicine by agreeing to share up to 50% of the costs of development. If we do not elect this option, we will instead receive milestone and royalty payments and we will not be required to share in development costs. Overall, the Merck collaboration provides us with robust research and development support, while allowing us to retain our research independence and the option to split costs and profits on individual product candidates Merck elects to advance.</w:t>
      </w:r>
    </w:p>
    <w:p>
      <w:pPr>
        <w:spacing w:after="0" w:line="180"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In 2020, we suspended development activities related to multiple product candidates for portfolio management considerations in order to concentrate our resources on aldafermin and certain other product candidates subject to our Merck collaboration. Most recently, in December 2020, based on the overall clinical experience with both NGM386 (a once-daily growth differentiating factor 15, or GDF15, agonist product candidate we suspended development of earlier in 2020) and NGM395 (a long-acting GDF15 agonist product candidate), we decided to suspend development of the NGM395 program after we have completed the ongoing Phase 1 clinical trial evaluating safety, tolerability and pharmacokinetics, or PK, in obese but otherwise healthy adults. We remain interested in the potential applications of a GDF15 agonist, but we believe antagonizing the GDF15 receptor, glial-cell derived neurotropin factor receptor alpha-like, or GFRAL, with NGM120, one of our product candidates described below, in patients with cancer has a stronger near-term rationale for development.</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All of our product candidates other than aldafermin, NGM395 and NGM386 are subject to our Merck collaboration.</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Aldafermin in NASH</w:t>
      </w:r>
    </w:p>
    <w:p>
      <w:pPr>
        <w:spacing w:after="0" w:line="104"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Aldafermin, an engineered version of the human hormone FGF19 that is administered through a once-daily subcutaneous injection, has demonstrated the ability to rapidly improve NASH and reverse liver fibrosis in clinical and preclinical studies. We believe the combination of breadth, magnitude and speed of effect demonstrated by aldafermin in these studies results in an agent that, if ultimately approved, could provide a needed medicine for physicians to treat NASH patients with moderate to advanced fibrosis. Aldafermin is currently being tested in the ongoing Phase 2b ALPINE 2/3 trial in patients with NASH with stage 2 and 3, or F2-F3, liver fibrosis, which completed enrollment in September 2020, and in the ongoing ALPINE 4 trial in patients with NASH with stage 4, or F4, liver fibrosis and well-compensated cirrhosis, which commenced enrollment in February 2020. We expect to report topline data from the ALPINE 2/3 trial in the second quarter of 2021. Aldafermin was excluded from the Merck collaboration at the inception of the collaboration and remains wholly-owned by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5" w:right="6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60" w:firstLine="532"/>
        <w:spacing w:after="0" w:line="248" w:lineRule="auto"/>
        <w:rPr>
          <w:sz w:val="20"/>
          <w:szCs w:val="20"/>
          <w:color w:val="auto"/>
        </w:rPr>
      </w:pPr>
      <w:r>
        <w:rPr>
          <w:rFonts w:ascii="Arial" w:cs="Arial" w:eastAsia="Arial" w:hAnsi="Arial"/>
          <w:sz w:val="18"/>
          <w:szCs w:val="18"/>
          <w:color w:val="auto"/>
        </w:rPr>
        <w:t>In August 2020, we announced final data from our completed double-blind, randomized, placebo-controlled Phase 2 clinical study (Cohort 4) of aldafermin, which enrolled patients with biopsy-confirmed NASH with F2-F3 liver fibrosis, including a new analysis of Cohort 4 data from NASH patients with F3 liver fibrosis. Cohort 4 was the final reported cohort from our adaptive Phase 2 clinical study of aldafermin in NASH.</w:t>
      </w:r>
    </w:p>
    <w:p>
      <w:pPr>
        <w:spacing w:after="0" w:line="170" w:lineRule="exact"/>
        <w:rPr>
          <w:sz w:val="20"/>
          <w:szCs w:val="20"/>
          <w:color w:val="auto"/>
        </w:rPr>
      </w:pPr>
    </w:p>
    <w:p>
      <w:pPr>
        <w:ind w:left="300" w:right="40" w:firstLine="532"/>
        <w:spacing w:after="0" w:line="242" w:lineRule="auto"/>
        <w:rPr>
          <w:sz w:val="20"/>
          <w:szCs w:val="20"/>
          <w:color w:val="auto"/>
        </w:rPr>
      </w:pPr>
      <w:r>
        <w:rPr>
          <w:rFonts w:ascii="Arial" w:cs="Arial" w:eastAsia="Arial" w:hAnsi="Arial"/>
          <w:sz w:val="18"/>
          <w:szCs w:val="18"/>
          <w:color w:val="auto"/>
        </w:rPr>
        <w:t xml:space="preserve">Cohort 4 was statistically powered to demonstrate the effect of 1 mg aldafermin treatment versus placebo on the primary endpoint of change in absolute liver fat content, or LFC, which achieved statistical significance. In addition, the study assessed secondary and exploratory endpoints of liver histology and biomarkers of disease activity. The histology results revealed that treatment with aldafermin led to clinically meaningful improvements at 24 weeks versus placebo in fibrosis improvement of </w:t>
      </w:r>
      <w:r>
        <w:rPr>
          <w:rFonts w:ascii="Times New Roman" w:cs="Times New Roman" w:eastAsia="Times New Roman" w:hAnsi="Times New Roman"/>
          <w:sz w:val="18"/>
          <w:szCs w:val="18"/>
          <w:color w:val="auto"/>
        </w:rPr>
        <w:t>³</w:t>
      </w:r>
      <w:r>
        <w:rPr>
          <w:rFonts w:ascii="Arial" w:cs="Arial" w:eastAsia="Arial" w:hAnsi="Arial"/>
          <w:sz w:val="18"/>
          <w:szCs w:val="18"/>
          <w:color w:val="auto"/>
        </w:rPr>
        <w:t>1 stage with no worsening of NASH (38% of aldafermin-treated patients vs. 18% placebo) and in resolution of NASH with no worsening of liver fibrosis (24% of aldafermin-treated patients vs. 9% placebo). The study also demonstrated a statistically significant impact on the combined endpoint of both fibrosis improvement and resolution of NASH (22% in aldafermin-treated patients vs. 0% placebo), which the FDA has indicated in draft industry guidance may be an acceptable development pathway.</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of Cohort 4 Histology Data</w:t>
      </w:r>
      <w:r>
        <w:rPr>
          <w:rFonts w:ascii="Arial" w:cs="Arial" w:eastAsia="Arial" w:hAnsi="Arial"/>
          <w:sz w:val="24"/>
          <w:szCs w:val="24"/>
          <w:b w:val="1"/>
          <w:bCs w:val="1"/>
          <w:color w:val="auto"/>
          <w:vertAlign w:val="superscript"/>
        </w:rPr>
        <w:t>1</w:t>
      </w:r>
    </w:p>
    <w:tbl>
      <w:tblPr>
        <w:tblLayout w:type="fixed"/>
        <w:tblInd w:w="300" w:type="dxa"/>
        <w:tblCellMar>
          <w:top w:w="0" w:type="dxa"/>
          <w:left w:w="0" w:type="dxa"/>
          <w:bottom w:w="0" w:type="dxa"/>
          <w:right w:w="0" w:type="dxa"/>
        </w:tblCellMar>
      </w:tblPr>
      <w:tr>
        <w:trPr>
          <w:trHeight w:val="140"/>
        </w:trPr>
        <w:tc>
          <w:tcPr>
            <w:tcW w:w="7100" w:type="dxa"/>
            <w:vAlign w:val="bottom"/>
            <w:tcBorders>
              <w:top w:val="single" w:sz="8" w:color="auto"/>
            </w:tcBorders>
            <w:vMerge w:val="restart"/>
          </w:tcPr>
          <w:p>
            <w:pPr>
              <w:ind w:left="2060"/>
              <w:spacing w:after="0"/>
              <w:rPr>
                <w:sz w:val="20"/>
                <w:szCs w:val="20"/>
                <w:color w:val="auto"/>
              </w:rPr>
            </w:pPr>
            <w:r>
              <w:rPr>
                <w:rFonts w:ascii="Arial" w:cs="Arial" w:eastAsia="Arial" w:hAnsi="Arial"/>
                <w:sz w:val="14"/>
                <w:szCs w:val="14"/>
                <w:b w:val="1"/>
                <w:bCs w:val="1"/>
                <w:color w:val="auto"/>
              </w:rPr>
              <w:t>Proportion of Patients Achieving Endpoints</w:t>
            </w:r>
          </w:p>
        </w:tc>
        <w:tc>
          <w:tcPr>
            <w:tcW w:w="740" w:type="dxa"/>
            <w:vAlign w:val="bottom"/>
            <w:tcBorders>
              <w:top w:val="single" w:sz="8" w:color="auto"/>
            </w:tcBorders>
            <w:vMerge w:val="restart"/>
          </w:tcPr>
          <w:p>
            <w:pPr>
              <w:spacing w:after="0"/>
              <w:rPr>
                <w:sz w:val="12"/>
                <w:szCs w:val="12"/>
                <w:color w:val="auto"/>
              </w:rPr>
            </w:pPr>
          </w:p>
        </w:tc>
        <w:tc>
          <w:tcPr>
            <w:tcW w:w="204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Aldafermin 1</w:t>
            </w:r>
          </w:p>
        </w:tc>
        <w:tc>
          <w:tcPr>
            <w:tcW w:w="760" w:type="dxa"/>
            <w:vAlign w:val="bottom"/>
            <w:tcBorders>
              <w:top w:val="single" w:sz="8" w:color="auto"/>
            </w:tcBorders>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Placebo</w:t>
            </w:r>
          </w:p>
        </w:tc>
        <w:tc>
          <w:tcPr>
            <w:tcW w:w="0" w:type="dxa"/>
            <w:vAlign w:val="bottom"/>
          </w:tcPr>
          <w:p>
            <w:pPr>
              <w:spacing w:after="0"/>
              <w:rPr>
                <w:sz w:val="1"/>
                <w:szCs w:val="1"/>
                <w:color w:val="auto"/>
              </w:rPr>
            </w:pPr>
          </w:p>
        </w:tc>
      </w:tr>
      <w:tr>
        <w:trPr>
          <w:trHeight w:val="177"/>
        </w:trPr>
        <w:tc>
          <w:tcPr>
            <w:tcW w:w="7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mg (n=50)</w:t>
            </w:r>
          </w:p>
        </w:tc>
        <w:tc>
          <w:tcPr>
            <w:tcW w:w="11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(n=22)</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Fibrosis improvement (&gt;1 stage) with no worsening of NASH</w:t>
            </w:r>
            <w:r>
              <w:rPr>
                <w:rFonts w:ascii="Arial" w:cs="Arial" w:eastAsia="Arial" w:hAnsi="Arial"/>
                <w:sz w:val="15"/>
                <w:szCs w:val="15"/>
                <w:color w:val="auto"/>
              </w:rPr>
              <w:t>2</w:t>
            </w:r>
          </w:p>
        </w:tc>
        <w:tc>
          <w:tcPr>
            <w:tcW w:w="74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680"/>
              <w:spacing w:after="0" w:line="196" w:lineRule="exact"/>
              <w:rPr>
                <w:sz w:val="20"/>
                <w:szCs w:val="20"/>
                <w:color w:val="auto"/>
              </w:rPr>
            </w:pPr>
            <w:r>
              <w:rPr>
                <w:rFonts w:ascii="Arial" w:cs="Arial" w:eastAsia="Arial" w:hAnsi="Arial"/>
                <w:sz w:val="18"/>
                <w:szCs w:val="18"/>
                <w:color w:val="auto"/>
              </w:rPr>
              <w:t>38%</w:t>
            </w: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Resolution of NASH with no worsening of liver fibrosis</w:t>
            </w:r>
            <w:r>
              <w:rPr>
                <w:rFonts w:ascii="Arial" w:cs="Arial" w:eastAsia="Arial" w:hAnsi="Arial"/>
                <w:sz w:val="15"/>
                <w:szCs w:val="15"/>
                <w:color w:val="auto"/>
              </w:rPr>
              <w:t>3</w:t>
            </w:r>
          </w:p>
        </w:tc>
        <w:tc>
          <w:tcPr>
            <w:tcW w:w="204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Fibrosis Improvement and resolution of NASH</w:t>
            </w:r>
            <w:r>
              <w:rPr>
                <w:rFonts w:ascii="Arial" w:cs="Arial" w:eastAsia="Arial" w:hAnsi="Arial"/>
                <w:sz w:val="15"/>
                <w:szCs w:val="15"/>
                <w:color w:val="auto"/>
              </w:rPr>
              <w:t>4</w:t>
            </w:r>
          </w:p>
        </w:tc>
        <w:tc>
          <w:tcPr>
            <w:tcW w:w="204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22%*</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NAS reduction of &gt;2 points with no worsening of liver fibrosis</w:t>
            </w:r>
          </w:p>
        </w:tc>
        <w:tc>
          <w:tcPr>
            <w:tcW w:w="2040" w:type="dxa"/>
            <w:vAlign w:val="bottom"/>
            <w:gridSpan w:val="2"/>
          </w:tcPr>
          <w:p>
            <w:pPr>
              <w:ind w:left="680"/>
              <w:spacing w:after="0"/>
              <w:rPr>
                <w:sz w:val="20"/>
                <w:szCs w:val="20"/>
                <w:color w:val="auto"/>
              </w:rPr>
            </w:pPr>
            <w:r>
              <w:rPr>
                <w:rFonts w:ascii="Arial" w:cs="Arial" w:eastAsia="Arial" w:hAnsi="Arial"/>
                <w:sz w:val="18"/>
                <w:szCs w:val="18"/>
                <w:color w:val="auto"/>
              </w:rPr>
              <w:t>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*p=0.015; ***p&lt;0.001</w:t>
      </w:r>
    </w:p>
    <w:p>
      <w:pPr>
        <w:ind w:left="720" w:hanging="422"/>
        <w:spacing w:after="0" w:line="188" w:lineRule="auto"/>
        <w:tabs>
          <w:tab w:leader="none" w:pos="720"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Per protocol, analyzed using the “liver histologic population,” defined as the subset of enrolled patients who had valid, non-missing biopsy data at both baseline</w:t>
      </w:r>
    </w:p>
    <w:p>
      <w:pPr>
        <w:ind w:left="720"/>
        <w:spacing w:after="0" w:line="231" w:lineRule="auto"/>
        <w:rPr>
          <w:sz w:val="20"/>
          <w:szCs w:val="20"/>
          <w:color w:val="auto"/>
        </w:rPr>
      </w:pPr>
      <w:r>
        <w:rPr>
          <w:rFonts w:ascii="Arial" w:cs="Arial" w:eastAsia="Arial" w:hAnsi="Arial"/>
          <w:sz w:val="14"/>
          <w:szCs w:val="14"/>
          <w:color w:val="auto"/>
        </w:rPr>
        <w:t>and week 24 (n=72).</w:t>
      </w:r>
    </w:p>
    <w:p>
      <w:pPr>
        <w:ind w:left="720" w:right="100" w:hanging="422"/>
        <w:spacing w:after="0" w:line="182" w:lineRule="auto"/>
        <w:tabs>
          <w:tab w:leader="none" w:pos="7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 xml:space="preserve">Defined as patients having an improvement in liver fibrosis </w:t>
      </w:r>
      <w:r>
        <w:rPr>
          <w:rFonts w:ascii="Times New Roman" w:cs="Times New Roman" w:eastAsia="Times New Roman" w:hAnsi="Times New Roman"/>
          <w:sz w:val="14"/>
          <w:szCs w:val="14"/>
          <w:color w:val="auto"/>
        </w:rPr>
        <w:t>³</w:t>
      </w:r>
      <w:r>
        <w:rPr>
          <w:rFonts w:ascii="Arial" w:cs="Arial" w:eastAsia="Arial" w:hAnsi="Arial"/>
          <w:sz w:val="14"/>
          <w:szCs w:val="14"/>
          <w:color w:val="auto"/>
        </w:rPr>
        <w:t>1 stage and having no worsening of hepatocellular ballooning, no worsening of lobular inflammation and no worsening of steatosis from baseline to week 24.</w:t>
      </w:r>
    </w:p>
    <w:p>
      <w:pPr>
        <w:spacing w:after="0" w:line="1" w:lineRule="exact"/>
        <w:rPr>
          <w:sz w:val="20"/>
          <w:szCs w:val="20"/>
          <w:color w:val="auto"/>
        </w:rPr>
      </w:pPr>
    </w:p>
    <w:p>
      <w:pPr>
        <w:ind w:left="720" w:right="40" w:hanging="422"/>
        <w:spacing w:after="0" w:line="182" w:lineRule="auto"/>
        <w:tabs>
          <w:tab w:leader="none" w:pos="72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Defined as patients having a non-alcoholic fatty liver disease activity score, or NAS, of 0 or 1 for lobular inflammation and 0 for hepatocellular ballooning, with no worsening of fibrosis (no progression of NASH fibrosis stage) from baseline to week 24 (as defined by Clinical Research Network criteria).</w:t>
      </w:r>
    </w:p>
    <w:p>
      <w:pPr>
        <w:spacing w:after="0" w:line="1" w:lineRule="exact"/>
        <w:rPr>
          <w:sz w:val="20"/>
          <w:szCs w:val="20"/>
          <w:color w:val="auto"/>
        </w:rPr>
      </w:pPr>
    </w:p>
    <w:p>
      <w:pPr>
        <w:ind w:left="720" w:right="240" w:hanging="422"/>
        <w:spacing w:after="0" w:line="189" w:lineRule="auto"/>
        <w:tabs>
          <w:tab w:leader="none" w:pos="72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 xml:space="preserve">Defined as patients having an improvement in liver fibrosis </w:t>
      </w:r>
      <w:r>
        <w:rPr>
          <w:rFonts w:ascii="Times New Roman" w:cs="Times New Roman" w:eastAsia="Times New Roman" w:hAnsi="Times New Roman"/>
          <w:sz w:val="14"/>
          <w:szCs w:val="14"/>
          <w:color w:val="auto"/>
        </w:rPr>
        <w:t>³</w:t>
      </w:r>
      <w:r>
        <w:rPr>
          <w:rFonts w:ascii="Arial" w:cs="Arial" w:eastAsia="Arial" w:hAnsi="Arial"/>
          <w:sz w:val="14"/>
          <w:szCs w:val="14"/>
          <w:color w:val="auto"/>
        </w:rPr>
        <w:t>1 stage and having a NAS of 0 or 1 for lobular inflammation and 0 for hepatocellular ballooning at week 24.</w:t>
      </w:r>
    </w:p>
    <w:p>
      <w:pPr>
        <w:spacing w:after="0" w:line="176" w:lineRule="exact"/>
        <w:rPr>
          <w:sz w:val="20"/>
          <w:szCs w:val="20"/>
          <w:color w:val="auto"/>
        </w:rPr>
      </w:pPr>
    </w:p>
    <w:p>
      <w:pPr>
        <w:ind w:left="300" w:right="80" w:firstLine="532"/>
        <w:spacing w:after="0" w:line="248" w:lineRule="auto"/>
        <w:rPr>
          <w:sz w:val="20"/>
          <w:szCs w:val="20"/>
          <w:color w:val="auto"/>
        </w:rPr>
      </w:pPr>
      <w:r>
        <w:rPr>
          <w:rFonts w:ascii="Arial" w:cs="Arial" w:eastAsia="Arial" w:hAnsi="Arial"/>
          <w:sz w:val="18"/>
          <w:szCs w:val="18"/>
          <w:color w:val="auto"/>
        </w:rPr>
        <w:t xml:space="preserve">Efficacy data from a secondary analysis of patients with advanced liver fibrosis enrolled in Cohort 4 was also provided. In this patient population, 30% of patients with F3 liver fibrosis treated with 1 mg aldafermin achieved fibrosis improvement </w:t>
      </w:r>
      <w:r>
        <w:rPr>
          <w:rFonts w:ascii="Arial" w:cs="Arial" w:eastAsia="Arial" w:hAnsi="Arial"/>
          <w:sz w:val="18"/>
          <w:szCs w:val="18"/>
          <w:u w:val="single" w:color="auto"/>
          <w:color w:val="auto"/>
        </w:rPr>
        <w:t>&gt;</w:t>
      </w:r>
      <w:r>
        <w:rPr>
          <w:rFonts w:ascii="Arial" w:cs="Arial" w:eastAsia="Arial" w:hAnsi="Arial"/>
          <w:sz w:val="18"/>
          <w:szCs w:val="18"/>
          <w:color w:val="auto"/>
        </w:rPr>
        <w:t xml:space="preserve">1 stage without worsening of NASH compared to 0% in the placebo arm. A responder analysis conducted in patients with F3 liver fibrosis who achieved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30% LFC reductions showed that 46% of patients treated with 1 mg aldafermin had fibrosis improvement of </w:t>
      </w:r>
      <w:r>
        <w:rPr>
          <w:rFonts w:ascii="Times New Roman" w:cs="Times New Roman" w:eastAsia="Times New Roman" w:hAnsi="Times New Roman"/>
          <w:sz w:val="18"/>
          <w:szCs w:val="18"/>
          <w:color w:val="auto"/>
        </w:rPr>
        <w:t>³</w:t>
      </w:r>
      <w:r>
        <w:rPr>
          <w:rFonts w:ascii="Arial" w:cs="Arial" w:eastAsia="Arial" w:hAnsi="Arial"/>
          <w:sz w:val="18"/>
          <w:szCs w:val="18"/>
          <w:color w:val="auto"/>
        </w:rPr>
        <w:t>1 stage without worsening of NASH compared to 0% of placebo patients.</w:t>
      </w:r>
    </w:p>
    <w:p>
      <w:pPr>
        <w:spacing w:after="0" w:line="172" w:lineRule="exact"/>
        <w:rPr>
          <w:sz w:val="20"/>
          <w:szCs w:val="20"/>
          <w:color w:val="auto"/>
        </w:rPr>
      </w:pPr>
    </w:p>
    <w:p>
      <w:pPr>
        <w:ind w:left="300" w:right="100" w:firstLine="532"/>
        <w:spacing w:after="0" w:line="241" w:lineRule="auto"/>
        <w:rPr>
          <w:sz w:val="20"/>
          <w:szCs w:val="20"/>
          <w:color w:val="auto"/>
        </w:rPr>
      </w:pPr>
      <w:r>
        <w:rPr>
          <w:rFonts w:ascii="Arial" w:cs="Arial" w:eastAsia="Arial" w:hAnsi="Arial"/>
          <w:sz w:val="18"/>
          <w:szCs w:val="18"/>
          <w:color w:val="auto"/>
        </w:rPr>
        <w:t>Similar to what has been observed in prior NASH clinical studies with aldafermin, Cohort 4 findings also demonstrated that patients treated with 1 mg aldafermin experienced a mean increase of 45 mg/dL LDL cholesterol, or LDL-C, at week two of treatment relative to baseline. Under the protocol, patients in both the placebo and aldafermin arms who experienced an increase in mean levels of LDL-C of at least 10 mg/dL at week two of treatment were directed to take rosuvastatin daily during the treatment period. LDL-C was effectively managed with the concomitant statin use and LDL-C levels for both the placebo and aldafermin arms were nearly identical at approximately 77 mg/dL at week 24. In addition, mean serum triglyceride levels were significantly reduced in patients treated with aldafermin versus placebo as early as week two and sustained through week 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120" w:right="80" w:firstLine="549"/>
        <w:spacing w:after="0" w:line="245" w:lineRule="auto"/>
        <w:rPr>
          <w:sz w:val="20"/>
          <w:szCs w:val="20"/>
          <w:color w:val="auto"/>
        </w:rPr>
      </w:pPr>
      <w:r>
        <w:rPr>
          <w:rFonts w:ascii="Arial" w:cs="Arial" w:eastAsia="Arial" w:hAnsi="Arial"/>
          <w:sz w:val="18"/>
          <w:szCs w:val="18"/>
          <w:color w:val="auto"/>
        </w:rPr>
        <w:t>In Cohort 4, aldafermin had an overall adverse event profile that was similar to that of placebo, with no meaningful difference in gastrointestinal or pruritus adverse events in aldafermin compared to placebo. Serious adverse events, or SAEs, were also similar to placebo (aldafermin 4% versus 12% placebo), with all SAEs determined not to be related to treatment by the site investigator. Aldafermin was generally well tolerated and there were no study withdrawals due to adverse events, or AEs, in the aldafermin arm as compared to one withdrawal due to an adverse event in the placebo arm. Specific AE information is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-666115</wp:posOffset>
            </wp:positionV>
            <wp:extent cx="6998970" cy="6090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20" w:firstLine="549"/>
        <w:spacing w:after="0" w:line="255" w:lineRule="auto"/>
        <w:rPr>
          <w:sz w:val="20"/>
          <w:szCs w:val="20"/>
          <w:color w:val="auto"/>
        </w:rPr>
      </w:pPr>
      <w:r>
        <w:rPr>
          <w:rFonts w:ascii="Arial" w:cs="Arial" w:eastAsia="Arial" w:hAnsi="Arial"/>
          <w:sz w:val="18"/>
          <w:szCs w:val="18"/>
          <w:color w:val="auto"/>
        </w:rPr>
        <w:t>Finally, in November 2020, additional Cohort 4 data was presented showing that statistically significant reductions in C4, a marker of bile acid synthesis, and bile acids were observed with aldafermin compared to placebo. In patients with NASH, the rate-limiting enzyme for bile acid synthesis, CYP7A1, is upregulated and an associated increase in serum levels of bile acids is also observed.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MK-3655 in NASH</w:t>
      </w:r>
    </w:p>
    <w:p>
      <w:pPr>
        <w:spacing w:after="0" w:line="104" w:lineRule="exact"/>
        <w:rPr>
          <w:sz w:val="20"/>
          <w:szCs w:val="20"/>
          <w:color w:val="auto"/>
        </w:rPr>
      </w:pPr>
    </w:p>
    <w:p>
      <w:pPr>
        <w:ind w:left="120" w:right="20" w:firstLine="549"/>
        <w:spacing w:after="0"/>
        <w:rPr>
          <w:sz w:val="20"/>
          <w:szCs w:val="20"/>
          <w:color w:val="auto"/>
        </w:rPr>
      </w:pPr>
      <w:r>
        <w:rPr>
          <w:rFonts w:ascii="Arial" w:cs="Arial" w:eastAsia="Arial" w:hAnsi="Arial"/>
          <w:sz w:val="18"/>
          <w:szCs w:val="18"/>
          <w:color w:val="auto"/>
        </w:rPr>
        <w:t>MK-3655 is an agonistic antibody selectively activating FGFR1c/KLB that we believe has the potential to be a once-monthly injectable insulin sensitizer for the treatment of NASH. In November 2018, Merck exercised its option for a license to further research, develop and commercialize MK-3655 and other FGFR1c/KLB agonists pursuant to our Collaboration Agreement. In Phase 1 clinical testing, MK-3655 demonstrated favorable tolerability and preliminary data has shown the agent is capable of reducing LFC and improving metabolic biomarkers in obese insulin resistant subjects with nonalcoholic fatty liver disease, or NAFLD, after a single dose. We conducted a Phase 1b randomized, open-label, parallel group trial to evaluate the safety, tolerability, PK and pharmacodynamics, or PD, of a single MK-3655 dose or the maximum approved dose of daily oral pioglitazone in 25 obese insulin resistant subjects with NAFLD. The Phase 1b clinical trial evaluated the ability of MK-3655 to decrease LFC to support the clinical development of MK-3655 in NASH. The primary objectives of the study were to</w:t>
      </w: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80"/>
          </w:cols>
          <w:pgMar w:left="320" w:top="455"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81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spacing w:after="0" w:line="245" w:lineRule="auto"/>
        <w:rPr>
          <w:sz w:val="20"/>
          <w:szCs w:val="20"/>
          <w:color w:val="auto"/>
        </w:rPr>
      </w:pPr>
      <w:r>
        <w:rPr>
          <w:rFonts w:ascii="Arial" w:cs="Arial" w:eastAsia="Arial" w:hAnsi="Arial"/>
          <w:sz w:val="18"/>
          <w:szCs w:val="18"/>
          <w:color w:val="auto"/>
        </w:rPr>
        <w:t>evaluate changes from baseline in LFC as measured by magnetic resonance imaging-estimated proton density fat fraction at day 36 and changes from baseline in whole body insulin sensitivity at day 29 in subjects treated with MK-3655 as compared to pioglitazone. This study indicated that MK-3655 was well tolerated, with no SAEs and no AE leading to study discontinuation. All AEs observed during the course of the study were deemed mild, with increased appetite (12%) and injection site reaction (12%) being the only AEs reported in at least 10% of MK-3655-treated subjects.</w:t>
      </w:r>
    </w:p>
    <w:p>
      <w:pPr>
        <w:spacing w:after="0" w:line="17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the fourth quarter of 2020, Merck initiated a Phase 2b trial of MK-3655 in patients with F2-F3 NASH.</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NGM621 in Geographic Atrophy</w:t>
      </w:r>
    </w:p>
    <w:p>
      <w:pPr>
        <w:spacing w:after="0" w:line="104" w:lineRule="exact"/>
        <w:rPr>
          <w:sz w:val="20"/>
          <w:szCs w:val="20"/>
          <w:color w:val="auto"/>
        </w:rPr>
      </w:pPr>
    </w:p>
    <w:p>
      <w:pPr>
        <w:ind w:left="300" w:right="60" w:firstLine="532"/>
        <w:spacing w:after="0" w:line="243" w:lineRule="auto"/>
        <w:rPr>
          <w:sz w:val="20"/>
          <w:szCs w:val="20"/>
          <w:color w:val="auto"/>
        </w:rPr>
      </w:pPr>
      <w:r>
        <w:rPr>
          <w:rFonts w:ascii="Arial" w:cs="Arial" w:eastAsia="Arial" w:hAnsi="Arial"/>
          <w:sz w:val="18"/>
          <w:szCs w:val="18"/>
          <w:color w:val="auto"/>
        </w:rPr>
        <w:t>NGM621 is an inhibitory antibody designed to bind and inactivate complement C3, a protein implicated in the pathology of geographic atrophy, or GA. We initiated a Phase 1 safety, tolerability and PK clinical trial of NGM621, administered via intravitreal, or IVT, injections, in patients with GA in the second half of 2019. NGM621 is currently being tested in the ongoing Phase 2 CATALINA trial in patients with GA to evaluate its effects on disease progression when given every four weeks or every eight weeks. The first patient was dosed in the CATALINA trial in July 2020. Merck has a one-time option to license NGM621 upon our completion of a proof-of-concept study in humans.</w:t>
      </w:r>
    </w:p>
    <w:p>
      <w:pPr>
        <w:spacing w:after="0" w:line="174"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In November 2020, we announced results from our completed Phase 1 clinical study of NGM621. The primary objective of the Phase 1 trial was to assess the safety and tolerability of single and multiple IVT injections of NGM621 in patients with GA. Secondary objectives were to characterize the serum PK of single or multiple doses of NGM621. The study enrolled 15 patients across three single-ascending dose cohorts of NGM621, 2 mg, 7.5 mg and 15 mg, the maximum planned dose in the study, and a multiple dose cohort that received two 15 mg doses separated by four weeks. Patients were dosed sequentially and followed closely over 12 weeks. In the study, NGM621 was well tolerated, with no patients experiencing SAEs, drug-related AEs, intraocular inflammation, endophthalmitis or choroidal neovascularization. No dose-related safety patterns or concerns were reported. Ocular AEs observed were mild in severity and representative of those commonly associated with IVT injections. No vision-related safety signals were detected. On average, patients maintained their visual acuity over the 12-week follow-up study duration. The serum PK of NGM621 was linear and dose-proportional. Ocular PK/PD preclinical modeling conducted by Merck and us suggests that NGM621 may potentially achieve &gt;90% reduction in free C3 in the eye for seven weeks following a single IVT dose of 15 mg. Taken together, we believe the PK profile of NGM621 demonstrated in the Phase 1 study and subsequent PK/PD preclinical modeling support the potential for up to an every eight week (or every other month) dosing regimen of NGM621 at the 15 mg dose level. NGM621 serum exposure was below concentrations expected to produce systemic complement inhibition after IVT injection of the 15 mg dose. No anti-drug antibodies were detected in any patient at any timepoint.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NGM120 in CACS and Cancer</w:t>
      </w:r>
    </w:p>
    <w:p>
      <w:pPr>
        <w:spacing w:after="0" w:line="104" w:lineRule="exact"/>
        <w:rPr>
          <w:sz w:val="20"/>
          <w:szCs w:val="20"/>
          <w:color w:val="auto"/>
        </w:rPr>
      </w:pPr>
    </w:p>
    <w:p>
      <w:pPr>
        <w:ind w:left="300" w:right="220" w:firstLine="532"/>
        <w:spacing w:after="0" w:line="263" w:lineRule="auto"/>
        <w:rPr>
          <w:sz w:val="20"/>
          <w:szCs w:val="20"/>
          <w:color w:val="auto"/>
        </w:rPr>
      </w:pPr>
      <w:r>
        <w:rPr>
          <w:rFonts w:ascii="Arial" w:cs="Arial" w:eastAsia="Arial" w:hAnsi="Arial"/>
          <w:sz w:val="17"/>
          <w:szCs w:val="17"/>
          <w:color w:val="auto"/>
        </w:rPr>
        <w:t>NGM120 is an inhibitory antibody binding GFRAL that is designed to block the effects of elevated GDF15 levels on cancer anorexia/cachexia syndrome, or CACS, and potentially on tumors. NGM120 works by selectively inhibiting the interaction between GDF15 and its cognate receptor, GFRAL, through which the autonomic nervous system and, possibly, the neuroendocrine axis influence the body’s metabolism to propel the cachectic state, and potentially the tumors, in cancer patients that have high serum levels of GDF15. Merck has a one-time option to license NGM120 upon our completion of a proof-of-concept study in humans.</w:t>
      </w: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60"/>
          </w:cols>
          <w:pgMar w:left="320" w:top="455" w:right="7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16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firstLine="532"/>
        <w:spacing w:after="0" w:line="248" w:lineRule="auto"/>
        <w:rPr>
          <w:sz w:val="20"/>
          <w:szCs w:val="20"/>
          <w:color w:val="auto"/>
        </w:rPr>
      </w:pPr>
      <w:r>
        <w:rPr>
          <w:rFonts w:ascii="Arial" w:cs="Arial" w:eastAsia="Arial" w:hAnsi="Arial"/>
          <w:sz w:val="18"/>
          <w:szCs w:val="18"/>
          <w:color w:val="auto"/>
        </w:rPr>
        <w:t>In 2019, we completed a Phase 1 clinical trial in single (n=48) and multiple (n=44) ascending cohorts of NGM120 in healthy volunteers that assessed its safety, tolerability and PK profile. This clinical trial demonstrated that NGM120 was well tolerated at all doses studied and the pharmacokinetics supported once-monthly dosing. No SAEs or AEs were identified. The PK profile of NGM120 had a terminal half-life of approximately 35 days.</w:t>
      </w:r>
    </w:p>
    <w:p>
      <w:pPr>
        <w:spacing w:after="0" w:line="170" w:lineRule="exact"/>
        <w:rPr>
          <w:sz w:val="20"/>
          <w:szCs w:val="20"/>
          <w:color w:val="auto"/>
        </w:rPr>
      </w:pPr>
    </w:p>
    <w:p>
      <w:pPr>
        <w:ind w:left="300" w:right="40" w:firstLine="532"/>
        <w:spacing w:after="0" w:line="241" w:lineRule="auto"/>
        <w:rPr>
          <w:sz w:val="20"/>
          <w:szCs w:val="20"/>
          <w:color w:val="auto"/>
        </w:rPr>
      </w:pPr>
      <w:r>
        <w:rPr>
          <w:rFonts w:ascii="Arial" w:cs="Arial" w:eastAsia="Arial" w:hAnsi="Arial"/>
          <w:sz w:val="18"/>
          <w:szCs w:val="18"/>
          <w:color w:val="auto"/>
        </w:rPr>
        <w:t>In the first quarter of 2020, we initiated a Phase 1a/1b clinical trial to assess the anti-CACS and anti-cancer effect of NGM120 in patients with advanced solid tumors. We recently completed enrollment in the Phase 1a dose finding portion of the study of NGM120 as a monotherapy in patients with select solid tumors and in the the Phase 1b dose finding portion of the study of NGM120 in combination with gemcitabine and abraxane in patients with metastatic pancreatic cancer. We expect to report data from the Phase 1a/1b dose finding study in the second half of 2021. A Phase 1b placebo-controlled expansion study of gemcitabine and abraxane and either NGM120 or placebo is planned in metastatic pancreatic carcinoma patients, and we anticipate initiating that study in the first quarter of 2021.</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NGM707</w:t>
      </w:r>
    </w:p>
    <w:p>
      <w:pPr>
        <w:spacing w:after="0" w:line="104" w:lineRule="exact"/>
        <w:rPr>
          <w:sz w:val="20"/>
          <w:szCs w:val="20"/>
          <w:color w:val="auto"/>
        </w:rPr>
      </w:pPr>
    </w:p>
    <w:p>
      <w:pPr>
        <w:ind w:left="300" w:right="20" w:firstLine="532"/>
        <w:spacing w:after="0" w:line="241" w:lineRule="auto"/>
        <w:rPr>
          <w:sz w:val="20"/>
          <w:szCs w:val="20"/>
          <w:color w:val="auto"/>
        </w:rPr>
      </w:pPr>
      <w:r>
        <w:rPr>
          <w:rFonts w:ascii="Arial" w:cs="Arial" w:eastAsia="Arial" w:hAnsi="Arial"/>
          <w:sz w:val="18"/>
          <w:szCs w:val="18"/>
          <w:color w:val="auto"/>
        </w:rPr>
        <w:t>NGM707 is a novel dual antagonist antibody that is designed to improve patient immune responses to tumors by inhibiting both the Immunoglobulin-like transcript 2, or ILT2 (also known as LILRB1), and Immunoglobulin-like transcript 4, or ILT4 (also known as LILRB2), receptors. NGM707 targets an epitope shared by both ILT2 and ILT4 to achieve inhibition of both receptor systems. We believe NGM707 has the potential to both reprogram ILT4-and ILT2-expressing myeloid cells to shift them from suppressing to activating immune detection and attacking tumors. ILT2 blockage may also reverse inhibition of certain ILT2-expressing lymphoid effector cells to promote further tumor response. Reversing myeloid suppression, or myeloid reprogramming, may represent a promising new therapeutic area of immuno-oncology aimed at increasing patient response rates to T cell checkpoint inhibitors.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ILT2/ILT4 receptors</w:t>
      </w:r>
    </w:p>
    <w:p>
      <w:pPr>
        <w:spacing w:after="0" w:line="102"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ILT2 and ILT4 receptors expressed on myeloid cells are implicated in suppressing anti-tumor immune responses in the tumor microenvironment and may represent checkpoints that enable tumors to evade immune detection. Suppressive myeloid cells enriched with ILT2 and ILT4 receptors are upregulated in certain cancer types, while ILT2 is also expressed on natural killer, or NK, cells, B cells and a subset of highly cytolytic T cells. Of note, ILT2 and ILT4 are upregulated on macrophages in the tumor microenvironment of certain cancer patients that are non-responders to T cell checkpoint inhibitor therapy and, therefore, implicate them as T cell checkpoint inhibitor resistance mechanisms.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9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Preclinical Studies and Planned Clinical Trials</w:t>
      </w:r>
    </w:p>
    <w:p>
      <w:pPr>
        <w:spacing w:after="0" w:line="102"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Preclinical studies of NGM707 suggest that blockade of ILT4 reverses myeloid cell immune suppression, while blockade of ILT2 promotes NK and CD8+ T cell killing of tumor cells and activates macrophage phagocytosis of tumor cells. In addition, preclinical studies of NGM707 have shown that the dual blockade of ILT2 and ILT4 acts synergistically to reverse suppression of fragment crystallizable, or Fc, receptor signaling. In preclinical tests of monocytes from two individuals, the combination of NGM707 and pembrolizumab acted additively to increase T cell activation and cytokine secretion as shown in the mixed lymphocyte reactions’ graphics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IFN</w:t>
      </w:r>
      <w:r>
        <w:rPr>
          <w:rFonts w:ascii="Times New Roman" w:cs="Times New Roman" w:eastAsia="Times New Roman" w:hAnsi="Times New Roman"/>
          <w:sz w:val="14"/>
          <w:szCs w:val="14"/>
          <w:color w:val="auto"/>
        </w:rPr>
        <w:t>g</w:t>
      </w:r>
      <w:r>
        <w:rPr>
          <w:rFonts w:ascii="Arial" w:cs="Arial" w:eastAsia="Arial" w:hAnsi="Arial"/>
          <w:sz w:val="14"/>
          <w:szCs w:val="14"/>
          <w:i w:val="1"/>
          <w:iCs w:val="1"/>
          <w:color w:val="auto"/>
        </w:rPr>
        <w:t xml:space="preserve"> = Interferon Gamma; TNF</w:t>
      </w:r>
      <w:r>
        <w:rPr>
          <w:rFonts w:ascii="Times New Roman" w:cs="Times New Roman" w:eastAsia="Times New Roman" w:hAnsi="Times New Roman"/>
          <w:sz w:val="14"/>
          <w:szCs w:val="14"/>
          <w:color w:val="auto"/>
        </w:rPr>
        <w:t>a</w:t>
      </w:r>
      <w:r>
        <w:rPr>
          <w:rFonts w:ascii="Arial" w:cs="Arial" w:eastAsia="Arial" w:hAnsi="Arial"/>
          <w:sz w:val="14"/>
          <w:szCs w:val="14"/>
          <w:i w:val="1"/>
          <w:iCs w:val="1"/>
          <w:color w:val="auto"/>
        </w:rPr>
        <w:t xml:space="preserve"> = Tumor Necrosis Factor alpha; Pembro= pembrolizumab; Combo = pembrolizumab and NGM707</w:t>
      </w:r>
    </w:p>
    <w:p>
      <w:pPr>
        <w:spacing w:after="0" w:line="205" w:lineRule="exact"/>
        <w:rPr>
          <w:sz w:val="20"/>
          <w:szCs w:val="20"/>
          <w:color w:val="auto"/>
        </w:rPr>
      </w:pPr>
    </w:p>
    <w:p>
      <w:pPr>
        <w:jc w:val="both"/>
        <w:ind w:left="300" w:right="260" w:firstLine="532"/>
        <w:spacing w:after="0" w:line="255" w:lineRule="auto"/>
        <w:rPr>
          <w:sz w:val="20"/>
          <w:szCs w:val="20"/>
          <w:color w:val="auto"/>
        </w:rPr>
      </w:pPr>
      <w:r>
        <w:rPr>
          <w:rFonts w:ascii="Arial" w:cs="Arial" w:eastAsia="Arial" w:hAnsi="Arial"/>
          <w:sz w:val="18"/>
          <w:szCs w:val="18"/>
          <w:color w:val="auto"/>
        </w:rPr>
        <w:t>All preclinical studies to enable an investigational new drug application, or IND, have been completed. We are preparing the final reports for a planned IND submission in early 2021, and plan to initiate a first-in-human study of NGM707 in mid-2021. Merck has a one-time option to license NGM707 upon our completion of a proof-of-concept study in humans.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NGM438</w:t>
      </w:r>
    </w:p>
    <w:p>
      <w:pPr>
        <w:spacing w:after="0" w:line="104" w:lineRule="exact"/>
        <w:rPr>
          <w:sz w:val="20"/>
          <w:szCs w:val="20"/>
          <w:color w:val="auto"/>
        </w:rPr>
      </w:pPr>
    </w:p>
    <w:p>
      <w:pPr>
        <w:ind w:left="300" w:right="80" w:firstLine="532"/>
        <w:spacing w:after="0" w:line="243" w:lineRule="auto"/>
        <w:rPr>
          <w:sz w:val="20"/>
          <w:szCs w:val="20"/>
          <w:color w:val="auto"/>
        </w:rPr>
      </w:pPr>
      <w:r>
        <w:rPr>
          <w:rFonts w:ascii="Arial" w:cs="Arial" w:eastAsia="Arial" w:hAnsi="Arial"/>
          <w:sz w:val="18"/>
          <w:szCs w:val="18"/>
          <w:color w:val="auto"/>
        </w:rPr>
        <w:t>NGM438 is a novel antagonistic antibody that is designed to inhibit leukocyte-associated immunoglobulin-like receptor 1, or LAIR1, and promote immune detection and activation against advanced solid tumors. NGM438 has the potential to block the binding of all collagens tested with high potency, including tumor cell-derived collagens, which are the endogenous natural forms of collagen produced by the tumor that are believed to bind to LAIR1 to drive an immuno-suppressive environment surrounding the tumor. Reinvigoration of these collagen-suppressed immune cells may address a key resistance mechanism that limits responses to current immunotherapies.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LAIR1 receptor</w:t>
      </w:r>
    </w:p>
    <w:p>
      <w:pPr>
        <w:spacing w:after="0" w:line="102" w:lineRule="exact"/>
        <w:rPr>
          <w:sz w:val="20"/>
          <w:szCs w:val="20"/>
          <w:color w:val="auto"/>
        </w:rPr>
      </w:pPr>
    </w:p>
    <w:p>
      <w:pPr>
        <w:ind w:left="300" w:right="300" w:firstLine="532"/>
        <w:spacing w:after="0" w:line="276" w:lineRule="auto"/>
        <w:rPr>
          <w:sz w:val="20"/>
          <w:szCs w:val="20"/>
          <w:color w:val="auto"/>
        </w:rPr>
      </w:pPr>
      <w:r>
        <w:rPr>
          <w:rFonts w:ascii="Arial" w:cs="Arial" w:eastAsia="Arial" w:hAnsi="Arial"/>
          <w:sz w:val="18"/>
          <w:szCs w:val="18"/>
          <w:color w:val="auto"/>
        </w:rPr>
        <w:t>LAIR1 is a collagen-binding inhibitory receptor expressed on immune cells that is implicated in immune suppression. LAIR1 and collagens are upregulated in multiple cancer types where collagens</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20"/>
          </w:cols>
          <w:pgMar w:left="32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76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spacing w:after="0" w:line="245" w:lineRule="auto"/>
        <w:rPr>
          <w:sz w:val="20"/>
          <w:szCs w:val="20"/>
          <w:color w:val="auto"/>
        </w:rPr>
      </w:pPr>
      <w:r>
        <w:rPr>
          <w:rFonts w:ascii="Arial" w:cs="Arial" w:eastAsia="Arial" w:hAnsi="Arial"/>
          <w:sz w:val="18"/>
          <w:szCs w:val="18"/>
          <w:color w:val="auto"/>
        </w:rPr>
        <w:t>are produced by activated stromal cells. These stromal-derived suppressive factors are associated with poor responses to checkpoint inhibitors. For such tumors, formation of the LAIR1-collagen complex may act as a stromal checkpoint to both physically exclude immune cells from the tumor and impose signaling-based immune suppression. Inhibiting this stromal checkpoint represents a potentially promising new therapeutic strategy to treat cancer by promoting the remodeling of the tumor architecture that restricts T cell infiltration of the tumor cell mass and reversing immune suppression in the tumor microenvironment.</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Preclinical Studies and Planned Clinical Trials</w:t>
      </w:r>
    </w:p>
    <w:p>
      <w:pPr>
        <w:spacing w:after="0" w:line="102"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Preclinical studies suggest that NGM438 may have the potential to reprogram collagen-suppressed myeloid cells to a stimulatory phenotype, induce inflammatory cytokine production by myeloid and T cells and relieve collagen-based suppression of T cell proliferation. For example, in a preclinical model as shown in the graphics below, collagen suppressed the mixture of myeloid cells and T cells in mixed lymphocyte reactions while the administration of NGM438 in vitro reversed this T cell suppression in a dose-dependent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MLR = Mixed Lymphocyte Reaction; mAb = monoclonal antibodies</w:t>
      </w:r>
    </w:p>
    <w:p>
      <w:pPr>
        <w:spacing w:after="0" w:line="205" w:lineRule="exact"/>
        <w:rPr>
          <w:sz w:val="20"/>
          <w:szCs w:val="20"/>
          <w:color w:val="auto"/>
        </w:rPr>
      </w:pPr>
    </w:p>
    <w:p>
      <w:pPr>
        <w:ind w:left="300" w:right="500" w:firstLine="532"/>
        <w:spacing w:after="0" w:line="306" w:lineRule="auto"/>
        <w:rPr>
          <w:sz w:val="20"/>
          <w:szCs w:val="20"/>
          <w:color w:val="auto"/>
        </w:rPr>
      </w:pPr>
      <w:r>
        <w:rPr>
          <w:rFonts w:ascii="Arial" w:cs="Arial" w:eastAsia="Arial" w:hAnsi="Arial"/>
          <w:sz w:val="17"/>
          <w:szCs w:val="17"/>
          <w:color w:val="auto"/>
        </w:rPr>
        <w:t>We plan to submit an IND in the second half of 2021 and expect to initiate a first-in-human study of NGM438 in the fourth quarter of 2021. Merck has a one-time option to license NGM438 upon our completion of a proof-of-concept study in humans.</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Financial Update</w:t>
      </w:r>
    </w:p>
    <w:p>
      <w:pPr>
        <w:spacing w:after="0" w:line="214" w:lineRule="exact"/>
        <w:rPr>
          <w:sz w:val="20"/>
          <w:szCs w:val="20"/>
          <w:color w:val="auto"/>
        </w:rPr>
      </w:pPr>
    </w:p>
    <w:p>
      <w:pPr>
        <w:jc w:val="both"/>
        <w:ind w:left="300" w:right="420" w:firstLine="532"/>
        <w:spacing w:after="0" w:line="255" w:lineRule="auto"/>
        <w:rPr>
          <w:sz w:val="20"/>
          <w:szCs w:val="20"/>
          <w:color w:val="auto"/>
        </w:rPr>
      </w:pPr>
      <w:r>
        <w:rPr>
          <w:rFonts w:ascii="Arial" w:cs="Arial" w:eastAsia="Arial" w:hAnsi="Arial"/>
          <w:sz w:val="18"/>
          <w:szCs w:val="18"/>
          <w:color w:val="auto"/>
        </w:rPr>
        <w:t>Our consolidated financial statements for the year ended December 31, 2020 will not be available until after this offering is completed and consequently will not be available to you prior to investing in this offering. Based upon preliminary estimates and information available to us as of the date of this</w:t>
      </w: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95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spacing w:after="0" w:line="243" w:lineRule="auto"/>
        <w:rPr>
          <w:sz w:val="20"/>
          <w:szCs w:val="20"/>
          <w:color w:val="auto"/>
        </w:rPr>
      </w:pPr>
      <w:r>
        <w:rPr>
          <w:rFonts w:ascii="Arial" w:cs="Arial" w:eastAsia="Arial" w:hAnsi="Arial"/>
          <w:sz w:val="18"/>
          <w:szCs w:val="18"/>
          <w:color w:val="auto"/>
        </w:rPr>
        <w:t>prospectus supplement, we expect to report that we had approximately $295 million of cash, cash equivalents and short-term marketable securities as of December 31, 2020. We have not yet completed our financial close process for the quarter and year ended December 31, 2020. This estimate of our cash, cash equivalents and short-term marketable securities as of December 31, 2020 is preliminary, has not been audited and is subject to change upon completion of our financial statement closing procedures and the audit of our consolidated financial statements. Additional information and disclosures would be required for a more complete understanding of our financial position and results of operations as of December 31, 2020.</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Risk Factors</w:t>
      </w:r>
    </w:p>
    <w:p>
      <w:pPr>
        <w:spacing w:after="0" w:line="214" w:lineRule="exact"/>
        <w:rPr>
          <w:sz w:val="20"/>
          <w:szCs w:val="20"/>
          <w:color w:val="auto"/>
        </w:rPr>
      </w:pPr>
    </w:p>
    <w:p>
      <w:pPr>
        <w:ind w:left="300" w:firstLine="532"/>
        <w:spacing w:after="0" w:line="248" w:lineRule="auto"/>
        <w:rPr>
          <w:rFonts w:ascii="Arial" w:cs="Arial" w:eastAsia="Arial" w:hAnsi="Arial"/>
          <w:sz w:val="18"/>
          <w:szCs w:val="18"/>
          <w:color w:val="auto"/>
        </w:rPr>
      </w:pPr>
      <w:r>
        <w:rPr>
          <w:rFonts w:ascii="Arial" w:cs="Arial" w:eastAsia="Arial" w:hAnsi="Arial"/>
          <w:sz w:val="18"/>
          <w:szCs w:val="18"/>
          <w:color w:val="auto"/>
        </w:rPr>
        <w:t>Below is a summary of the material factors that make an investment in our common stock speculative or risky. Importantly, this summary does not address all of the risks that we face. Our business involves significant risks that may have a material adverse effect on our business, financial condition, results of operations, prospects and stock price. These risks are more fully described under “</w:t>
      </w:r>
      <w:hyperlink w:anchor="page17">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S-14 of this prospectus supplement and include, among others:</w:t>
      </w:r>
    </w:p>
    <w:p>
      <w:pPr>
        <w:spacing w:after="0" w:line="76" w:lineRule="exact"/>
        <w:rPr>
          <w:sz w:val="20"/>
          <w:szCs w:val="20"/>
          <w:color w:val="auto"/>
        </w:rPr>
      </w:pPr>
    </w:p>
    <w:p>
      <w:pPr>
        <w:ind w:left="1020" w:right="20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most advanced product candidate, aldafermin, is still in Phase 2 development and may fail to demonstrate safety and efficacy in ongoing and future clinical trials, may never achieve regulatory approval and may not be able to be successfully commercialized due to competition or other factors;</w:t>
      </w:r>
    </w:p>
    <w:p>
      <w:pPr>
        <w:spacing w:after="0" w:line="69" w:lineRule="exact"/>
        <w:rPr>
          <w:rFonts w:ascii="Arial" w:cs="Arial" w:eastAsia="Arial" w:hAnsi="Arial"/>
          <w:sz w:val="18"/>
          <w:szCs w:val="18"/>
          <w:color w:val="auto"/>
        </w:rPr>
      </w:pPr>
    </w:p>
    <w:p>
      <w:pPr>
        <w:ind w:left="1020" w:right="58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similarly, clinical trials of our other product candidates may fail to demonstrate safety and efficacy to the satisfaction of regulatory authorities or may otherwise fail to produce positive results;</w:t>
      </w:r>
    </w:p>
    <w:p>
      <w:pPr>
        <w:spacing w:after="0" w:line="50" w:lineRule="exact"/>
        <w:rPr>
          <w:rFonts w:ascii="Arial" w:cs="Arial" w:eastAsia="Arial" w:hAnsi="Arial"/>
          <w:sz w:val="18"/>
          <w:szCs w:val="18"/>
          <w:color w:val="auto"/>
        </w:rPr>
      </w:pPr>
    </w:p>
    <w:p>
      <w:pPr>
        <w:ind w:left="1020" w:right="20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expect to incur significant and increasing operating losses and may never become profitable;</w:t>
      </w:r>
    </w:p>
    <w:p>
      <w:pPr>
        <w:spacing w:after="0" w:line="50" w:lineRule="exact"/>
        <w:rPr>
          <w:rFonts w:ascii="Arial" w:cs="Arial" w:eastAsia="Arial" w:hAnsi="Arial"/>
          <w:sz w:val="18"/>
          <w:szCs w:val="18"/>
          <w:color w:val="auto"/>
        </w:rPr>
      </w:pPr>
    </w:p>
    <w:p>
      <w:pPr>
        <w:ind w:left="1020" w:right="100" w:hanging="195"/>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revenue for recent periods has been received from a single collaboration partner, Merck, and Merck may choose not to extend the research phase of the collaboration beyond March 16, 2022 and, under certain circumstances, Merck may unilaterally terminate its funding of our research and development programs or shift the focus of its research and development funding;</w:t>
      </w:r>
    </w:p>
    <w:p>
      <w:pPr>
        <w:spacing w:after="0" w:line="75" w:lineRule="exact"/>
        <w:rPr>
          <w:rFonts w:ascii="Arial" w:cs="Arial" w:eastAsia="Arial" w:hAnsi="Arial"/>
          <w:sz w:val="18"/>
          <w:szCs w:val="18"/>
          <w:color w:val="auto"/>
        </w:rPr>
      </w:pPr>
    </w:p>
    <w:p>
      <w:pPr>
        <w:ind w:left="1020" w:right="16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our collaboration with Merck, and in the future may depend on collaborations with additional third parties, for the development and commercialization of our product candidates;</w:t>
      </w:r>
    </w:p>
    <w:p>
      <w:pPr>
        <w:spacing w:after="0" w:line="50" w:lineRule="exact"/>
        <w:rPr>
          <w:rFonts w:ascii="Arial" w:cs="Arial" w:eastAsia="Arial" w:hAnsi="Arial"/>
          <w:sz w:val="18"/>
          <w:szCs w:val="18"/>
          <w:color w:val="auto"/>
        </w:rPr>
      </w:pPr>
    </w:p>
    <w:p>
      <w:pPr>
        <w:ind w:left="1020" w:right="44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require additional capital following this offering to finance our operations, which may not be available to us on acceptable terms, or at all, and as a result, we may not complete the development and commercialization of our current product candidates or develop new product candidates;</w:t>
      </w:r>
    </w:p>
    <w:p>
      <w:pPr>
        <w:spacing w:after="0" w:line="69" w:lineRule="exact"/>
        <w:rPr>
          <w:rFonts w:ascii="Arial" w:cs="Arial" w:eastAsia="Arial" w:hAnsi="Arial"/>
          <w:sz w:val="18"/>
          <w:szCs w:val="18"/>
          <w:color w:val="auto"/>
        </w:rPr>
      </w:pPr>
    </w:p>
    <w:p>
      <w:pPr>
        <w:ind w:left="1020" w:right="60" w:hanging="195"/>
        <w:spacing w:after="0" w:line="30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currently have no approved products or product revenue, and we will need to successfully complete preclinical and clinical testing of our product candidates before we can seek regulatory approval and potentially generate commercial sales;</w:t>
      </w:r>
    </w:p>
    <w:p>
      <w:pPr>
        <w:spacing w:after="0" w:line="28" w:lineRule="exact"/>
        <w:rPr>
          <w:rFonts w:ascii="Arial" w:cs="Arial" w:eastAsia="Arial" w:hAnsi="Arial"/>
          <w:sz w:val="17"/>
          <w:szCs w:val="17"/>
          <w:color w:val="auto"/>
        </w:rPr>
      </w:pPr>
    </w:p>
    <w:p>
      <w:pPr>
        <w:ind w:left="1020" w:right="58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must undergo rigorous clinical trials before seeking regulatory approvals, which could delay or prevent commercialization of our product candidates;</w:t>
      </w:r>
    </w:p>
    <w:p>
      <w:pPr>
        <w:spacing w:after="0" w:line="50" w:lineRule="exact"/>
        <w:rPr>
          <w:rFonts w:ascii="Arial" w:cs="Arial" w:eastAsia="Arial" w:hAnsi="Arial"/>
          <w:sz w:val="18"/>
          <w:szCs w:val="18"/>
          <w:color w:val="auto"/>
        </w:rPr>
      </w:pPr>
    </w:p>
    <w:p>
      <w:pPr>
        <w:jc w:val="both"/>
        <w:ind w:left="1020" w:right="8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process of manufacturing aldafermin and our other biologic product candidates is complex, highly regulated and subject to several risks, including difficulties in production, particularly in scaling up and validating initial production and ensuring the avoidance of contamination;</w:t>
      </w:r>
    </w:p>
    <w:p>
      <w:pPr>
        <w:spacing w:after="0" w:line="200" w:lineRule="exact"/>
        <w:rPr>
          <w:sz w:val="20"/>
          <w:szCs w:val="20"/>
          <w:color w:val="auto"/>
        </w:rPr>
      </w:pP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single source suppliers for the manufacture of our product candidates;</w:t>
      </w:r>
    </w:p>
    <w:p>
      <w:pPr>
        <w:spacing w:after="0" w:line="117" w:lineRule="exact"/>
        <w:rPr>
          <w:rFonts w:ascii="Arial" w:cs="Arial" w:eastAsia="Arial" w:hAnsi="Arial"/>
          <w:sz w:val="18"/>
          <w:szCs w:val="18"/>
          <w:color w:val="auto"/>
        </w:rPr>
      </w:pPr>
    </w:p>
    <w:p>
      <w:pPr>
        <w:ind w:left="1020" w:right="26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FDA, and comparable foreign regulatory authorities are lengthy, time-consuming and inherently unpredictable;</w:t>
      </w:r>
    </w:p>
    <w:p>
      <w:pPr>
        <w:spacing w:after="0" w:line="50" w:lineRule="exact"/>
        <w:rPr>
          <w:rFonts w:ascii="Arial" w:cs="Arial" w:eastAsia="Arial" w:hAnsi="Arial"/>
          <w:sz w:val="18"/>
          <w:szCs w:val="18"/>
          <w:color w:val="auto"/>
        </w:rPr>
      </w:pPr>
    </w:p>
    <w:p>
      <w:pPr>
        <w:ind w:left="1020" w:right="28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w:t>
      </w:r>
    </w:p>
    <w:p>
      <w:pPr>
        <w:spacing w:after="0" w:line="50" w:lineRule="exact"/>
        <w:rPr>
          <w:rFonts w:ascii="Arial" w:cs="Arial" w:eastAsia="Arial" w:hAnsi="Arial"/>
          <w:sz w:val="18"/>
          <w:szCs w:val="18"/>
          <w:color w:val="auto"/>
        </w:rPr>
      </w:pPr>
    </w:p>
    <w:p>
      <w:pPr>
        <w:ind w:left="102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continues to adversely impact our business and could materially and adversely affect our operations, as well as the businesses or operations of our manufacturers, clinical research organizations, or CROs, or other third parties with whom we conduct business;</w:t>
      </w:r>
    </w:p>
    <w:p>
      <w:pPr>
        <w:spacing w:after="0" w:line="69" w:lineRule="exact"/>
        <w:rPr>
          <w:rFonts w:ascii="Arial" w:cs="Arial" w:eastAsia="Arial" w:hAnsi="Arial"/>
          <w:sz w:val="18"/>
          <w:szCs w:val="18"/>
          <w:color w:val="auto"/>
        </w:rPr>
      </w:pPr>
    </w:p>
    <w:p>
      <w:pPr>
        <w:ind w:left="1020" w:right="10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50" w:lineRule="exact"/>
        <w:rPr>
          <w:rFonts w:ascii="Arial" w:cs="Arial" w:eastAsia="Arial" w:hAnsi="Arial"/>
          <w:sz w:val="18"/>
          <w:szCs w:val="18"/>
          <w:color w:val="auto"/>
        </w:rPr>
      </w:pPr>
    </w:p>
    <w:p>
      <w:pPr>
        <w:ind w:left="1020" w:right="92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upon our ability to obtain and maintain intellectual property protection for our products and technologies, and we may not be able to protect our intellectual property rights throughout the world;</w:t>
      </w:r>
    </w:p>
    <w:p>
      <w:pPr>
        <w:spacing w:after="0" w:line="50" w:lineRule="exact"/>
        <w:rPr>
          <w:rFonts w:ascii="Arial" w:cs="Arial" w:eastAsia="Arial" w:hAnsi="Arial"/>
          <w:sz w:val="18"/>
          <w:szCs w:val="18"/>
          <w:color w:val="auto"/>
        </w:rPr>
      </w:pPr>
    </w:p>
    <w:p>
      <w:pPr>
        <w:ind w:left="1020" w:right="20" w:hanging="195"/>
        <w:spacing w:after="0" w:line="30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28" w:lineRule="exact"/>
        <w:rPr>
          <w:rFonts w:ascii="Arial" w:cs="Arial" w:eastAsia="Arial" w:hAnsi="Arial"/>
          <w:sz w:val="17"/>
          <w:szCs w:val="17"/>
          <w:color w:val="auto"/>
        </w:rPr>
      </w:pPr>
    </w:p>
    <w:p>
      <w:pPr>
        <w:ind w:left="1020" w:right="6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and maintain the relationships with third parties that are necessary to develop, commercialize and manufacture some or all of our product candidates; and</w:t>
      </w:r>
    </w:p>
    <w:p>
      <w:pPr>
        <w:spacing w:after="0" w:line="50" w:lineRule="exact"/>
        <w:rPr>
          <w:rFonts w:ascii="Arial" w:cs="Arial" w:eastAsia="Arial" w:hAnsi="Arial"/>
          <w:sz w:val="18"/>
          <w:szCs w:val="18"/>
          <w:color w:val="auto"/>
        </w:rPr>
      </w:pPr>
    </w:p>
    <w:p>
      <w:pPr>
        <w:ind w:left="1020" w:right="50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Company Information</w:t>
      </w:r>
    </w:p>
    <w:p>
      <w:pPr>
        <w:spacing w:after="0" w:line="214"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California 94080-7014, and our telephone number is (650) 243-5555. Our website address is http://www.ngmbio.com. The contents of and information accessible through our website are not incorporated into this prospectus supplement or the accompanying prospectus, and our reference to the URL for our website is intended to be an inactive textual reference only.</w:t>
      </w:r>
    </w:p>
    <w:p>
      <w:pPr>
        <w:spacing w:after="0" w:line="172" w:lineRule="exact"/>
        <w:rPr>
          <w:sz w:val="20"/>
          <w:szCs w:val="20"/>
          <w:color w:val="auto"/>
        </w:rPr>
      </w:pPr>
    </w:p>
    <w:p>
      <w:pPr>
        <w:ind w:left="300" w:right="20" w:firstLine="532"/>
        <w:spacing w:after="0" w:line="241" w:lineRule="auto"/>
        <w:rPr>
          <w:sz w:val="20"/>
          <w:szCs w:val="20"/>
          <w:color w:val="auto"/>
        </w:rPr>
      </w:pPr>
      <w:r>
        <w:rPr>
          <w:rFonts w:ascii="Arial" w:cs="Arial" w:eastAsia="Arial" w:hAnsi="Arial"/>
          <w:sz w:val="18"/>
          <w:szCs w:val="18"/>
          <w:color w:val="auto"/>
        </w:rPr>
        <w:t>As used in this prospectus supplement and the accompanying prospectus, “NGM Biopharmaceuticals”, “NGM”, “we”, “us” and “our” refer to NGM Biopharmaceuticals, Inc. and its wholly-owned subsidiary taken as a whole. This prospectus supplement, the accompanying prospectus and the information incorporated herein by reference include trademarks, service marks and trade names owned by us or other companies. All trademarks, service marks and trade names included or incorporated by reference into this prospectus supplement, the accompanying prospectus or any related free writing prospectus are the property of their respective owners. We do not intend our use or display of other companies’ trademarks or trade names to imply a relationship with, or endorsement or sponsorship of us by, any other companies or products.</w:t>
      </w:r>
    </w:p>
    <w:p>
      <w:pPr>
        <w:spacing w:after="0" w:line="28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14" w:lineRule="exact"/>
        <w:rPr>
          <w:sz w:val="20"/>
          <w:szCs w:val="20"/>
          <w:color w:val="auto"/>
        </w:rPr>
      </w:pPr>
    </w:p>
    <w:p>
      <w:pPr>
        <w:ind w:left="300" w:firstLine="532"/>
        <w:spacing w:after="0" w:line="276"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We will remain an emerging growth company until the earliest to</w:t>
      </w: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840"/>
          </w:cols>
          <w:pgMar w:left="320" w:top="455" w:right="7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09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26098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20"/>
        <w:spacing w:after="0" w:line="241" w:lineRule="auto"/>
        <w:rPr>
          <w:sz w:val="20"/>
          <w:szCs w:val="20"/>
          <w:color w:val="auto"/>
        </w:rPr>
      </w:pPr>
      <w:r>
        <w:rPr>
          <w:rFonts w:ascii="Arial" w:cs="Arial" w:eastAsia="Arial" w:hAnsi="Arial"/>
          <w:sz w:val="18"/>
          <w:szCs w:val="18"/>
          <w:color w:val="auto"/>
        </w:rPr>
        <w:t>occur of: (i) the last day of the fiscal year in which we have more than $1.07 billion in annual revenue; (ii) the date we qualify as a “large accelerated filer,” under the rules of the SEC which, among other requirements, means that we have been subject to the reporting requirements of the Securities Exchange Act of 1934, as amended, or Exchange Act, for at least twelve calendar months, we have filed at least one annual report under the Exchange Act, and the market value of our equity securities that is held</w:t>
      </w:r>
    </w:p>
    <w:p>
      <w:pPr>
        <w:spacing w:after="0" w:line="1" w:lineRule="exact"/>
        <w:rPr>
          <w:sz w:val="20"/>
          <w:szCs w:val="20"/>
          <w:color w:val="auto"/>
        </w:rPr>
      </w:pPr>
    </w:p>
    <w:p>
      <w:pPr>
        <w:ind w:left="300" w:right="660"/>
        <w:spacing w:after="0" w:line="250" w:lineRule="auto"/>
        <w:rPr>
          <w:sz w:val="20"/>
          <w:szCs w:val="20"/>
          <w:color w:val="auto"/>
        </w:rPr>
      </w:pPr>
      <w:r>
        <w:rPr>
          <w:rFonts w:ascii="Arial" w:cs="Arial" w:eastAsia="Arial" w:hAnsi="Arial"/>
          <w:sz w:val="18"/>
          <w:szCs w:val="18"/>
          <w:color w:val="auto"/>
        </w:rPr>
        <w:t>by non-affiliates exceeds $700 million as of the prior June 30th; (iii) the issuance, in any three-year period, by us of more than $1.0 billion in non-convertible debt securities; and (iv) December 31, 2024.</w:t>
      </w:r>
    </w:p>
    <w:p>
      <w:pPr>
        <w:spacing w:after="0" w:line="168"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color w:val="auto"/>
        </w:rPr>
        <w:t>As a result of this status,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In addition, the JOBS Act provides that an emerging growth company may take advantage of an extended transition period for complying with new or revised accounting standards, delaying the adoption of these accounting standards until they would apply to private companies unless we otherwise irrevocably elect not to avail itself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20"/>
          </w:cols>
          <w:pgMar w:left="320" w:top="455" w:right="65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944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offered by us</w:t>
      </w:r>
    </w:p>
    <w:p>
      <w:pPr>
        <w:spacing w:after="0" w:line="104" w:lineRule="exact"/>
        <w:rPr>
          <w:sz w:val="20"/>
          <w:szCs w:val="20"/>
          <w:color w:val="auto"/>
        </w:rPr>
      </w:pPr>
    </w:p>
    <w:p>
      <w:pPr>
        <w:ind w:left="480" w:hanging="179"/>
        <w:spacing w:after="0" w:line="276"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37" w:lineRule="exact"/>
        <w:rPr>
          <w:sz w:val="20"/>
          <w:szCs w:val="20"/>
          <w:color w:val="auto"/>
        </w:rPr>
      </w:pPr>
    </w:p>
    <w:p>
      <w:pPr>
        <w:ind w:left="480" w:right="220" w:hanging="179"/>
        <w:spacing w:after="0" w:line="276" w:lineRule="auto"/>
        <w:rPr>
          <w:sz w:val="20"/>
          <w:szCs w:val="20"/>
          <w:color w:val="auto"/>
        </w:rPr>
      </w:pPr>
      <w:r>
        <w:rPr>
          <w:rFonts w:ascii="Arial" w:cs="Arial" w:eastAsia="Arial" w:hAnsi="Arial"/>
          <w:sz w:val="18"/>
          <w:szCs w:val="18"/>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OFFERING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4,629,630 shares of our common stock.</w:t>
      </w:r>
    </w:p>
    <w:p>
      <w:pPr>
        <w:spacing w:after="0" w:line="104"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73,564,397 shares, or 74,258,841 shares if the underwriters’ option to purchase additional shares is exercised in full.</w:t>
      </w:r>
    </w:p>
    <w:p>
      <w:pPr>
        <w:spacing w:after="0" w:line="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underwriters have the option to purchase up to an additional 694,444 shares of our common stock, which they may exercise, in whole or in part, for a period of 30 days from the date of this prospectus supplement.</w:t>
      </w:r>
    </w:p>
    <w:p>
      <w:pPr>
        <w:spacing w:after="0" w:line="56" w:lineRule="exact"/>
        <w:rPr>
          <w:sz w:val="20"/>
          <w:szCs w:val="20"/>
          <w:color w:val="auto"/>
        </w:rPr>
      </w:pPr>
    </w:p>
    <w:p>
      <w:pPr>
        <w:sectPr>
          <w:pgSz w:w="11900" w:h="16838" w:orient="portrait"/>
          <w:cols w:equalWidth="0" w:num="2">
            <w:col w:w="3940" w:space="300"/>
            <w:col w:w="6660"/>
          </w:cols>
          <w:pgMar w:left="320" w:top="455" w:right="679" w:bottom="1440" w:gutter="0" w:footer="0" w:header="0"/>
          <w:type w:val="continuous"/>
        </w:sectPr>
      </w:pPr>
    </w:p>
    <w:p>
      <w:pPr>
        <w:ind w:left="300"/>
        <w:spacing w:after="0"/>
        <w:tabs>
          <w:tab w:leader="none" w:pos="42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8"/>
          <w:szCs w:val="18"/>
          <w:color w:val="auto"/>
        </w:rPr>
        <w:t>The net proceeds from the issuance of our common stock in this offering will be</w:t>
      </w:r>
    </w:p>
    <w:p>
      <w:pPr>
        <w:spacing w:after="0" w:line="18" w:lineRule="exact"/>
        <w:rPr>
          <w:sz w:val="20"/>
          <w:szCs w:val="20"/>
          <w:color w:val="auto"/>
        </w:rPr>
      </w:pPr>
    </w:p>
    <w:p>
      <w:pPr>
        <w:ind w:left="4240"/>
        <w:spacing w:after="0" w:line="237" w:lineRule="auto"/>
        <w:rPr>
          <w:rFonts w:ascii="Arial" w:cs="Arial" w:eastAsia="Arial" w:hAnsi="Arial"/>
          <w:sz w:val="18"/>
          <w:szCs w:val="18"/>
          <w:color w:val="auto"/>
        </w:rPr>
      </w:pPr>
      <w:r>
        <w:rPr>
          <w:rFonts w:ascii="Arial" w:cs="Arial" w:eastAsia="Arial" w:hAnsi="Arial"/>
          <w:sz w:val="18"/>
          <w:szCs w:val="18"/>
          <w:color w:val="auto"/>
        </w:rPr>
        <w:t>approximately $117.0 million or approximately $134.7 million if the underwriters exercise their option in full, after deducting underwriting discounts and commissions and estimated offering expenses payable by us. We intend to use the net proceeds from this offering for working capital and other general corporate purposes, which may include funding our pipeline of development programs, general and administrative activities and capital expenditures. See “</w:t>
      </w:r>
      <w:hyperlink w:anchor="page17">
        <w:r>
          <w:rPr>
            <w:rFonts w:ascii="Arial" w:cs="Arial" w:eastAsia="Arial" w:hAnsi="Arial"/>
            <w:sz w:val="18"/>
            <w:szCs w:val="18"/>
            <w:u w:val="single" w:color="auto"/>
            <w:color w:val="0000EE"/>
          </w:rPr>
          <w:t>Use of Proceeds</w:t>
        </w:r>
      </w:hyperlink>
      <w:r>
        <w:rPr>
          <w:rFonts w:ascii="Arial" w:cs="Arial" w:eastAsia="Arial" w:hAnsi="Arial"/>
          <w:sz w:val="18"/>
          <w:szCs w:val="18"/>
          <w:color w:val="auto"/>
        </w:rPr>
        <w:t>” for additional information.</w:t>
      </w:r>
    </w:p>
    <w:p>
      <w:pPr>
        <w:spacing w:after="0" w:line="73" w:lineRule="exact"/>
        <w:rPr>
          <w:sz w:val="20"/>
          <w:szCs w:val="20"/>
          <w:color w:val="auto"/>
        </w:rPr>
      </w:pPr>
    </w:p>
    <w:p>
      <w:pPr>
        <w:ind w:left="300"/>
        <w:spacing w:after="0"/>
        <w:tabs>
          <w:tab w:leader="none" w:pos="4220" w:val="left"/>
        </w:tabs>
        <w:rPr>
          <w:rFonts w:ascii="Arial" w:cs="Arial" w:eastAsia="Arial" w:hAnsi="Arial"/>
          <w:sz w:val="17"/>
          <w:szCs w:val="17"/>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See “</w:t>
      </w:r>
      <w:hyperlink w:anchor="page17">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beginning on page S-14 of this prospectus supplement for a</w:t>
      </w:r>
    </w:p>
    <w:p>
      <w:pPr>
        <w:spacing w:after="0" w:line="18" w:lineRule="exact"/>
        <w:rPr>
          <w:sz w:val="20"/>
          <w:szCs w:val="20"/>
          <w:color w:val="auto"/>
        </w:rPr>
      </w:pPr>
    </w:p>
    <w:p>
      <w:pPr>
        <w:ind w:left="4240" w:right="140"/>
        <w:spacing w:after="0" w:line="250" w:lineRule="auto"/>
        <w:rPr>
          <w:sz w:val="20"/>
          <w:szCs w:val="20"/>
          <w:color w:val="auto"/>
        </w:rPr>
      </w:pPr>
      <w:r>
        <w:rPr>
          <w:rFonts w:ascii="Arial" w:cs="Arial" w:eastAsia="Arial" w:hAnsi="Arial"/>
          <w:sz w:val="18"/>
          <w:szCs w:val="18"/>
          <w:color w:val="auto"/>
        </w:rPr>
        <w:t>discussion of factors that make an investment in our common stock speculative or risky.</w:t>
      </w:r>
    </w:p>
    <w:p>
      <w:pPr>
        <w:spacing w:after="0" w:line="60" w:lineRule="exact"/>
        <w:rPr>
          <w:sz w:val="20"/>
          <w:szCs w:val="20"/>
          <w:color w:val="auto"/>
        </w:rPr>
      </w:pPr>
    </w:p>
    <w:p>
      <w:pPr>
        <w:ind w:left="300"/>
        <w:spacing w:after="0"/>
        <w:tabs>
          <w:tab w:leader="none" w:pos="422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Our common stock is listed on The Nasdaq Global Select Market under the symbol</w:t>
      </w:r>
    </w:p>
    <w:p>
      <w:pPr>
        <w:spacing w:after="0" w:line="1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“NGM.”</w:t>
      </w:r>
    </w:p>
    <w:p>
      <w:pPr>
        <w:spacing w:after="0" w:line="29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Outstanding Shares</w:t>
      </w:r>
    </w:p>
    <w:p>
      <w:pPr>
        <w:spacing w:after="0" w:line="214" w:lineRule="exact"/>
        <w:rPr>
          <w:sz w:val="20"/>
          <w:szCs w:val="20"/>
          <w:color w:val="auto"/>
        </w:rPr>
      </w:pPr>
    </w:p>
    <w:p>
      <w:pPr>
        <w:ind w:left="300" w:right="540" w:firstLine="532"/>
        <w:spacing w:after="0" w:line="276" w:lineRule="auto"/>
        <w:rPr>
          <w:sz w:val="20"/>
          <w:szCs w:val="20"/>
          <w:color w:val="auto"/>
        </w:rPr>
      </w:pPr>
      <w:r>
        <w:rPr>
          <w:rFonts w:ascii="Arial" w:cs="Arial" w:eastAsia="Arial" w:hAnsi="Arial"/>
          <w:sz w:val="18"/>
          <w:szCs w:val="18"/>
          <w:color w:val="auto"/>
        </w:rPr>
        <w:t>The number of shares of our common stock to be outstanding after this offering as stated above is based on 68,934,767 shares of our common stock outstanding as of September 30, 2020, and excludes as of that date:</w:t>
      </w:r>
    </w:p>
    <w:p>
      <w:pPr>
        <w:spacing w:after="0" w:line="50" w:lineRule="exact"/>
        <w:rPr>
          <w:sz w:val="20"/>
          <w:szCs w:val="20"/>
          <w:color w:val="auto"/>
        </w:rPr>
      </w:pPr>
    </w:p>
    <w:p>
      <w:pPr>
        <w:ind w:left="1020" w:right="22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10,651,475 shares of our common stock issuable upon the exercise of outstanding stock options with a weighted-average exercise price of $10.03 per share;</w:t>
      </w:r>
    </w:p>
    <w:p>
      <w:pPr>
        <w:spacing w:after="0" w:line="50" w:lineRule="exact"/>
        <w:rPr>
          <w:rFonts w:ascii="Arial" w:cs="Arial" w:eastAsia="Arial" w:hAnsi="Arial"/>
          <w:sz w:val="18"/>
          <w:szCs w:val="18"/>
          <w:color w:val="auto"/>
        </w:rPr>
      </w:pPr>
    </w:p>
    <w:p>
      <w:pPr>
        <w:ind w:left="1020" w:right="6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6,309,573 shares of our common stock available for issuance or future grant under our Amended and Restated 2018 Equity Incentive Plan, or EIP;</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788,120 shares of our common stock available for issuance under our 2019 Employee Stock Purchase Plan, or ESPP; and</w:t>
      </w:r>
    </w:p>
    <w:p>
      <w:pPr>
        <w:spacing w:after="0" w:line="117" w:lineRule="exact"/>
        <w:rPr>
          <w:rFonts w:ascii="Arial" w:cs="Arial" w:eastAsia="Arial" w:hAnsi="Arial"/>
          <w:sz w:val="18"/>
          <w:szCs w:val="18"/>
          <w:color w:val="auto"/>
        </w:rPr>
      </w:pPr>
    </w:p>
    <w:p>
      <w:pPr>
        <w:ind w:left="1020" w:right="8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21,930 shares of our common stock reserved for future issuance under our NGM Biopharmaceuticals Matching Plan, or the Matching Plan.</w:t>
      </w:r>
    </w:p>
    <w:p>
      <w:pPr>
        <w:spacing w:after="0" w:line="145" w:lineRule="exact"/>
        <w:rPr>
          <w:sz w:val="20"/>
          <w:szCs w:val="20"/>
          <w:color w:val="auto"/>
        </w:rPr>
      </w:pPr>
    </w:p>
    <w:p>
      <w:pPr>
        <w:ind w:left="300" w:right="20" w:firstLine="532"/>
        <w:spacing w:after="0" w:line="248" w:lineRule="auto"/>
        <w:rPr>
          <w:sz w:val="20"/>
          <w:szCs w:val="20"/>
          <w:color w:val="auto"/>
        </w:rPr>
      </w:pPr>
      <w:r>
        <w:rPr>
          <w:rFonts w:ascii="Arial" w:cs="Arial" w:eastAsia="Arial" w:hAnsi="Arial"/>
          <w:sz w:val="18"/>
          <w:szCs w:val="18"/>
          <w:color w:val="auto"/>
        </w:rPr>
        <w:t>The number of shares of common stock to be outstanding immediately following this offering does not reflect any automatic (or other) increases in the number of shares of common stock reserved for future issuance under the EIP, the ESPP or the Matching Plan, including the 2,823,565 shares of common stock automatically added to the EIP on January 1, 2021 in accordance with the terms of the EIP. In addition, the number of shares of common stock to be outstanding immediately following this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00"/>
          </w:cols>
          <w:pgMar w:left="320" w:top="455" w:right="67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452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14528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spacing w:after="0" w:line="243" w:lineRule="auto"/>
        <w:rPr>
          <w:sz w:val="20"/>
          <w:szCs w:val="20"/>
          <w:color w:val="auto"/>
        </w:rPr>
      </w:pPr>
      <w:r>
        <w:rPr>
          <w:rFonts w:ascii="Arial" w:cs="Arial" w:eastAsia="Arial" w:hAnsi="Arial"/>
          <w:sz w:val="18"/>
          <w:szCs w:val="18"/>
          <w:color w:val="auto"/>
        </w:rPr>
        <w:t>offering as shown above also does not include up to $150.0 million of our common stock that remained available for sale at September 30, 2020 under our Open Market Sale Agreement</w:t>
      </w:r>
      <w:r>
        <w:rPr>
          <w:rFonts w:ascii="Arial" w:cs="Arial" w:eastAsia="Arial" w:hAnsi="Arial"/>
          <w:sz w:val="15"/>
          <w:szCs w:val="15"/>
          <w:color w:val="auto"/>
        </w:rPr>
        <w:t>SM</w:t>
      </w:r>
      <w:r>
        <w:rPr>
          <w:rFonts w:ascii="Arial" w:cs="Arial" w:eastAsia="Arial" w:hAnsi="Arial"/>
          <w:sz w:val="18"/>
          <w:szCs w:val="18"/>
          <w:color w:val="auto"/>
        </w:rPr>
        <w:t>, dated June 5, 2020, with Jefferies LLC, as agent, or the Sales Agreement. Between September 30, 2020 and the date of this prospectus supplement, 809,700 shares were sold under the Sales Agreement at an average price of $27.94 per share for net proceeds of $21.9 million, after deducting sales commissions. As of the date of this prospectus supplement, $127.4 million of common stock remained available to be sold under the Sales Agreement, subject to certain conditions as specified in the Sales Agreement.</w:t>
      </w:r>
    </w:p>
    <w:p>
      <w:pPr>
        <w:spacing w:after="0" w:line="174" w:lineRule="exact"/>
        <w:rPr>
          <w:sz w:val="20"/>
          <w:szCs w:val="20"/>
          <w:color w:val="auto"/>
        </w:rPr>
      </w:pPr>
    </w:p>
    <w:p>
      <w:pPr>
        <w:ind w:left="300" w:firstLine="532"/>
        <w:spacing w:after="0" w:line="276" w:lineRule="auto"/>
        <w:rPr>
          <w:sz w:val="20"/>
          <w:szCs w:val="20"/>
          <w:color w:val="auto"/>
        </w:rPr>
      </w:pPr>
      <w:r>
        <w:rPr>
          <w:rFonts w:ascii="Arial" w:cs="Arial" w:eastAsia="Arial" w:hAnsi="Arial"/>
          <w:sz w:val="18"/>
          <w:szCs w:val="18"/>
          <w:color w:val="auto"/>
        </w:rPr>
        <w:t>Unless otherwise indicated, all information in this prospectus supplement assumes no exercise of the underwriters’ option to purchase additional shares of common stock from us.</w:t>
      </w:r>
    </w:p>
    <w:p>
      <w:pPr>
        <w:spacing w:after="0" w:line="200" w:lineRule="exact"/>
        <w:rPr>
          <w:sz w:val="20"/>
          <w:szCs w:val="20"/>
          <w:color w:val="auto"/>
        </w:rPr>
      </w:pPr>
    </w:p>
    <w:p>
      <w:pPr>
        <w:spacing w:after="0" w:line="37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680"/>
          </w:cols>
          <w:pgMar w:left="320" w:top="455" w:right="8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together with all the other information included or incorporated by reference in this prospectus supplement and the accompanying prospectus and in any free writing prospectus that we may authorize for use in connection with this offering. The risks described below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4" w:lineRule="exact"/>
        <w:rPr>
          <w:sz w:val="20"/>
          <w:szCs w:val="20"/>
          <w:color w:val="auto"/>
        </w:rPr>
      </w:pPr>
    </w:p>
    <w:p>
      <w:pPr>
        <w:ind w:left="120" w:right="20"/>
        <w:spacing w:after="0" w:line="285"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biopharmaceutical company that was incorporated in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For the three and nine months ended September 30, 2020, our net losses were $ 29.8 million and $74.5 million, respectively, compared to net losses of $10.9 million and $26.9 million for the three and nine months ended September 30, 2019, respectively. As of September 30, 2020, we had an accumulated deficit of $270.6 million.</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will require substantial additional capital to achieve our development and commercialization goals for our aldafermin program that is being conducted outside of the Merck collaboration, for any future programs that Merck does not opt to license under the Collaboration Agreement and that we choose to develop, for any Merck-licensed programs that we opt to co-develop and for any programs that Merck chooses to license under the Collaboration Agreement and later elects to terminate. If our research and development expenses for product candidates subject to the Merck collaboration exceed the funding caps provided in our Collaboration Agreement, which happened in the fiscal year ended December 31, 2020 and could potentially happen in the future, we will be required to devote our own financial resources toward the development of such product candidates or pause or suspend such development to remain within the funding caps. We expect to incur substantial and increasing operating losses over the next several years as our research, development, manufacturing, preclinical studies, clinical trial and related activities increase. As a result, our accumulated deficit will also increase significantly.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color w:val="auto"/>
        </w:rPr>
        <w:t>expenses and our ability to continue to generate revenue under the Merck collaboration and to generate revenue outside of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10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Since 2017, all of our revenue has been from our collaboration partner, Merck. Under the collaboration, Merck initially committed to reimburse us for research and development activities up to $50.0 million per year for at least five years. If our research and development expenses exceed $50.0 million in a given year and we are conducting IND-enabling or later-staged activities, Merck is required to elect either to reimburse up to an additional $25.0 million for use in funding IND-enabling or later-staged activities or to provide us with the equivalent value in in-kind services for preclinical and clinical development activities. In March 2019, Merck exercised its option to extend the initial five-year research and early development program, which we refer to as the research phase of the collaboration, for an additional two years through March 16, 2022. In connection with this extension, Merck agreed to continue to fund our research and development efforts during the extension at the same levels as existed during the five-year initial term and, in lieu of a $20.0 million extension fee that would have otherwise been payable to us, Merck agreed to make additional payments totaling up to $20.0 million in support of our research and development program activities under the collaboration across 2021 and the first quarter of 2022. Accordingly, the total Merck reimbursement for our research and development activities could reach up to $75.0 million per year through the current two-year extension of the research phase of the collaboration, plus up to $ 20.0 million in support of our research and development activities across 2021 and the first quarter of 2022. During the fiscal years ended December 31, 2019 and 2020, the total Merck reimbursement reached $75.0 million per year. Merck has the right to extend the research phase of the collaboration again through March 16, 2024. If our research and development expenses for product candidates subject to the Merck collaboration exceed the funding caps provided in our Collaboration Agreement, which happened in the fiscal year ended December 31, 2020 and could potentially happen in the future, we will be required to devote our own financial resources toward the development of such product candidates or pause or suspend such development to remain within the funding caps. For example, in 2020 we decided to suspend activities related to NGM386, NGM395 and NGM217 to concentrate our resources on our other Merck collaboration product candidates and aldafermin. In addition, if Merck elects not to exercise its remaining option to extend the research phase of the collaboration beyond March 16, 2022, which Merck may unilaterally elect to do at its sole discretion at any time before March 16, 2021, we would require significant additional capital in order to proceed with development and commercialization of any product candidates that had been subject to the Merck collaboration but Merck decides not to proceed with after termination of the research phase, or we will need to enter into additional collaboration or license agreements in order to fund such development and commercialization, which may not be possible, or we may be required to delay, scale back or discontinue development of such product candidates.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Our ability to generate future product revenue from our current or future product candidates also depends on a number of additional factors, including our or our current collaborator’s and potential future collaborators’ ability to:</w:t>
      </w:r>
    </w:p>
    <w:p>
      <w:pPr>
        <w:spacing w:after="0" w:line="50" w:lineRule="exact"/>
        <w:rPr>
          <w:sz w:val="20"/>
          <w:szCs w:val="20"/>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50"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2"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applicable endpoints in clinical trials, we are unable to predict if or when we will achieve or maintain profitability. Even if we successfully complete development and regulatory processes, we anticipate incurring significant costs associated with launching and commercializing these products.</w:t>
      </w:r>
    </w:p>
    <w:p>
      <w:pPr>
        <w:spacing w:after="0" w:line="170"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we may be unable to continue our operations at planned levels and be forced to reduce or cease our operations.</w:t>
      </w:r>
    </w:p>
    <w:p>
      <w:pPr>
        <w:spacing w:after="0" w:line="272" w:lineRule="exact"/>
        <w:rPr>
          <w:sz w:val="20"/>
          <w:szCs w:val="20"/>
          <w:color w:val="auto"/>
        </w:rPr>
      </w:pPr>
    </w:p>
    <w:p>
      <w:pPr>
        <w:ind w:left="120" w:right="460"/>
        <w:spacing w:after="0" w:line="260" w:lineRule="auto"/>
        <w:rPr>
          <w:sz w:val="20"/>
          <w:szCs w:val="20"/>
          <w:color w:val="auto"/>
        </w:rPr>
      </w:pPr>
      <w:r>
        <w:rPr>
          <w:rFonts w:ascii="Arial" w:cs="Arial" w:eastAsia="Arial" w:hAnsi="Arial"/>
          <w:sz w:val="18"/>
          <w:szCs w:val="18"/>
          <w:b w:val="1"/>
          <w:bCs w:val="1"/>
          <w:i w:val="1"/>
          <w:iCs w:val="1"/>
          <w:color w:val="auto"/>
        </w:rPr>
        <w:t>We will require additional capital following this offering to finance our operations, which may not be available to us on acceptable terms, or at all. As a result, we may not complete the development and commercialization of our current product candidates or develop new product candidates.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a research and development company, our operations have consumed substantial amounts of cash since inception and we will require additional capital following this offering to finance our operations and pursue our strategy, which may not be available to us on acceptable terms, or at all. We expect our research and development expenses to increase substantially in connection with our ongoing activities, particularly to the extent that product candidates whose costs are not included in the Merck collaboration, such as aldafermin, advance in clinical development. In addition, we may be required to develop and implement additional clinical study policies and procedures to mitigate the evolving effects of the COVID-19 pandemic, which could significantly increase our research and development expenses. We believe that the net proceeds from this offering, together with our existing cash, cash equivalents and short-term marketable securities, will be sufficient to fund our operations for at least the next twelve months. We plan to continue to fund our operations and pursue our strategy through the Sales Agreement or other public or private equity or debt financings, government or other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color w:val="auto"/>
        </w:rPr>
        <w:t>third-party funding, collaborations, strategic alliances, licensing arrangements or a combination of these. However,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spacing w:after="0" w:line="170"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We have based this estimate on assumptions that may prove to be wrong, and we could utilize our available capital resources sooner than we currently expect.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880" w:right="4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product candidates and any future product candidates we may develop;</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proof-of-concept studies for each such candidate in humans;</w:t>
      </w:r>
    </w:p>
    <w:p>
      <w:pPr>
        <w:spacing w:after="0" w:line="50"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Collaboration Agreement or terminates a program that it has licensed (such as Merck’s termination of its license for NGM395 and NGM386);</w:t>
      </w:r>
    </w:p>
    <w:p>
      <w:pPr>
        <w:spacing w:after="0" w:line="69" w:lineRule="exact"/>
        <w:rPr>
          <w:rFonts w:ascii="Arial" w:cs="Arial" w:eastAsia="Arial" w:hAnsi="Arial"/>
          <w:sz w:val="18"/>
          <w:szCs w:val="18"/>
          <w:color w:val="auto"/>
        </w:rPr>
      </w:pPr>
    </w:p>
    <w:p>
      <w:pPr>
        <w:ind w:left="880" w:right="80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the collaboration, which would trigger an extension payment to us;</w:t>
      </w:r>
    </w:p>
    <w:p>
      <w:pPr>
        <w:spacing w:after="0" w:line="50" w:lineRule="exact"/>
        <w:rPr>
          <w:rFonts w:ascii="Arial" w:cs="Arial" w:eastAsia="Arial" w:hAnsi="Arial"/>
          <w:sz w:val="18"/>
          <w:szCs w:val="18"/>
          <w:color w:val="auto"/>
        </w:rPr>
      </w:pPr>
    </w:p>
    <w:p>
      <w:pPr>
        <w:ind w:left="880" w:right="360" w:hanging="224"/>
        <w:spacing w:after="0" w:line="24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exceed the funding caps provided in our Collaboration Agreement, which happened in the fiscal year ended December 31, 2020 and could potentially happen in the future, which would require us to devote our own financial resources toward the development of programs and product candidates subject to the Merck collaboration during the current two-year extension of the research phase (and during a second extension should Merck unilaterally determine to trigger a second extension) or delay, scale back or discontinue such development to remain within the funding caps;</w:t>
      </w:r>
    </w:p>
    <w:p>
      <w:pPr>
        <w:spacing w:after="0" w:line="77" w:lineRule="exact"/>
        <w:rPr>
          <w:rFonts w:ascii="Arial" w:cs="Arial" w:eastAsia="Arial" w:hAnsi="Arial"/>
          <w:sz w:val="18"/>
          <w:szCs w:val="18"/>
          <w:color w:val="auto"/>
        </w:rPr>
      </w:pPr>
    </w:p>
    <w:p>
      <w:pPr>
        <w:ind w:left="880" w:right="360" w:hanging="224"/>
        <w:spacing w:after="0" w:line="25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to change their requirements on studies that had previously been agreed to;</w:t>
      </w:r>
    </w:p>
    <w:p>
      <w:pPr>
        <w:spacing w:after="0" w:line="69" w:lineRule="exact"/>
        <w:rPr>
          <w:rFonts w:ascii="Arial" w:cs="Arial" w:eastAsia="Arial" w:hAnsi="Arial"/>
          <w:sz w:val="18"/>
          <w:szCs w:val="18"/>
          <w:color w:val="auto"/>
        </w:rPr>
      </w:pPr>
    </w:p>
    <w:p>
      <w:pPr>
        <w:jc w:val="both"/>
        <w:ind w:left="880" w:right="140" w:hanging="224"/>
        <w:spacing w:after="0" w:line="255"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117"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17" w:lineRule="exact"/>
        <w:rPr>
          <w:rFonts w:ascii="Arial" w:cs="Arial" w:eastAsia="Arial" w:hAnsi="Arial"/>
          <w:sz w:val="18"/>
          <w:szCs w:val="18"/>
          <w:color w:val="auto"/>
        </w:rPr>
      </w:pPr>
    </w:p>
    <w:p>
      <w:pPr>
        <w:ind w:left="880" w:right="640" w:hanging="224"/>
        <w:spacing w:after="0" w:line="276"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extent to which any of the foregoing costs are the responsibility of Merck.</w:t>
      </w:r>
    </w:p>
    <w:p>
      <w:pPr>
        <w:spacing w:after="0" w:line="320"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intellectual property.</w:t>
      </w:r>
    </w:p>
    <w:p>
      <w:pPr>
        <w:spacing w:after="0" w:line="21"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Unless and until we can generate a sufficient amount of revenue from approved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unilaterally terminated by Merck under certain circumstances.</w:t>
      </w:r>
    </w:p>
    <w:p>
      <w:pPr>
        <w:spacing w:after="0" w:line="170"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We plan to finance our future cash needs through the Sales Agreement or other public or private equity or debt offerings, government or other third-party funding, product collaborations, strategic alliances, licensing arrangements or a combination of these. Additional capital may not be available in sufficient amounts, on reasonable terms or when we need it, if at all, including pursuant to the Sales Agreement,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Our existing stockholders could suffer dilution or be negatively affected by fixed payment obligations we may incur if we raise additional funds through the issuance of additional equity securities or debt, including equity securities already sold and that may in the future be sold pursuant to the Sales Agreement.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76" w:lineRule="exact"/>
        <w:rPr>
          <w:sz w:val="20"/>
          <w:szCs w:val="20"/>
          <w:color w:val="auto"/>
        </w:rPr>
      </w:pPr>
    </w:p>
    <w:p>
      <w:pPr>
        <w:jc w:val="both"/>
        <w:ind w:left="120" w:right="40" w:firstLine="551"/>
        <w:spacing w:after="0" w:line="255" w:lineRule="auto"/>
        <w:rPr>
          <w:sz w:val="20"/>
          <w:szCs w:val="20"/>
          <w:color w:val="auto"/>
        </w:rPr>
      </w:pPr>
      <w:r>
        <w:rPr>
          <w:rFonts w:ascii="Arial" w:cs="Arial" w:eastAsia="Arial" w:hAnsi="Arial"/>
          <w:sz w:val="18"/>
          <w:szCs w:val="18"/>
          <w:color w:val="auto"/>
        </w:rPr>
        <w:t>If we are unable to raise adequate additional capital, including pursuant to the Sales Agreement, we may not be able to expand our operations or otherwise capitalize on our business opportunities, our business and financial condition will be negatively impacted, and we may need to:</w:t>
      </w:r>
    </w:p>
    <w:p>
      <w:pPr>
        <w:spacing w:after="0" w:line="69" w:lineRule="exact"/>
        <w:rPr>
          <w:sz w:val="20"/>
          <w:szCs w:val="20"/>
          <w:color w:val="auto"/>
        </w:rPr>
      </w:pPr>
    </w:p>
    <w:p>
      <w:pPr>
        <w:ind w:left="880" w:right="300" w:hanging="224"/>
        <w:spacing w:after="0" w:line="27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at an earlier stage than we would otherwise desire or on terms less favorable than might otherwise be available; or</w:t>
      </w:r>
    </w:p>
    <w:p>
      <w:pPr>
        <w:spacing w:after="0" w:line="50"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product collaborations that would generally require us to relinquish, or license on potentially unfavorable terms, our rights to intellectual property, product candidates or products that we otherwise would seek to develop or commercialize ourselves, and we may not be able to enter into such agreements on acceptable terms, if at all.</w:t>
      </w:r>
    </w:p>
    <w:p>
      <w:pPr>
        <w:spacing w:after="0" w:line="164" w:lineRule="exact"/>
        <w:rPr>
          <w:sz w:val="20"/>
          <w:szCs w:val="20"/>
          <w:color w:val="auto"/>
        </w:rPr>
      </w:pPr>
    </w:p>
    <w:p>
      <w:pPr>
        <w:ind w:left="120" w:right="940" w:firstLine="551"/>
        <w:spacing w:after="0" w:line="276" w:lineRule="auto"/>
        <w:rPr>
          <w:sz w:val="20"/>
          <w:szCs w:val="20"/>
          <w:color w:val="auto"/>
        </w:rPr>
      </w:pPr>
      <w:r>
        <w:rPr>
          <w:rFonts w:ascii="Arial" w:cs="Arial" w:eastAsia="Arial" w:hAnsi="Arial"/>
          <w:sz w:val="18"/>
          <w:szCs w:val="18"/>
          <w:color w:val="auto"/>
        </w:rPr>
        <w:t>Accordingly, if we are unable to raise adequate additional capital, we may be prevented from pursuing development and commercialization efforts, which will have a material adverse effect on our business, operating results and prospects.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104" w:lineRule="exact"/>
        <w:rPr>
          <w:sz w:val="20"/>
          <w:szCs w:val="20"/>
          <w:color w:val="auto"/>
        </w:rPr>
      </w:pPr>
    </w:p>
    <w:p>
      <w:pPr>
        <w:ind w:left="120" w:right="200" w:firstLine="551"/>
        <w:spacing w:after="0" w:line="277"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years ending on or prior to December 31, 2017 are only permitted to be carried forward for 20 years under applicable U.S. tax law. Under the Tax Cuts and Jobs Act, or the 2017 Tax Act, as modified by the Coronavirus Aid, Relief and Economic Security Act, or the CARES Act, our federal net operating losses generated in tax years beginning after December 31, 2017 may be carried forward indefinitely, but the deductibility of such federal net operating losses generated in tax years beginning after December 31, 2020, is limited to 80% of taxable income. It is uncertain if and to what extent various states will conform to the 2017 Tax Act or the CARES Act.</w:t>
      </w:r>
    </w:p>
    <w:p>
      <w:pPr>
        <w:spacing w:after="0" w:line="172"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17"/>
          <w:szCs w:val="17"/>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w:t>
      </w:r>
    </w:p>
    <w:p>
      <w:pPr>
        <w:spacing w:after="0" w:line="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Due to our initial public offering, or the IPO, and subsequent shifts in our stock ownership, we have experienced ownership changes in the past and may experience ownership changes in the future as a result of this offering and other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Any such limitations may result in greater tax liabilities than we would incur in the absence of such limitations and any increased liabilities could adversely affect our business, results of operations, financial position and cash flows.</w:t>
      </w: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4"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21"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All of our product candidates will be subject to rigorous and extensive clinical trials before we can seek regulatory approval from the FDA and comparable foreign regulatory authorities. Clinical trials may be delayed, suspended or terminated at any time for reasons including:</w:t>
      </w:r>
    </w:p>
    <w:p>
      <w:pPr>
        <w:spacing w:after="0" w:line="69" w:lineRule="exact"/>
        <w:rPr>
          <w:sz w:val="20"/>
          <w:szCs w:val="20"/>
          <w:color w:val="auto"/>
        </w:rPr>
      </w:pPr>
    </w:p>
    <w:p>
      <w:pPr>
        <w:ind w:left="880" w:right="8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 including discussions with the FDA regarding initiation of our planned Phase 3 trial of aldafermin;</w:t>
      </w:r>
    </w:p>
    <w:p>
      <w:pPr>
        <w:spacing w:after="0" w:line="50"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or other governing entities at clinical trial sites selected for participation in our clinical trials;</w:t>
      </w:r>
    </w:p>
    <w:p>
      <w:pPr>
        <w:spacing w:after="0" w:line="50"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 such as the slower pace of enrollment we have experienced, from time to time, in our ALPINE 4 and CATALINA trials, including as a result of the evolving effects of the COVID-19 pandemic;</w:t>
      </w:r>
    </w:p>
    <w:p>
      <w:pPr>
        <w:spacing w:after="0" w:line="50" w:lineRule="exact"/>
        <w:rPr>
          <w:rFonts w:ascii="Arial" w:cs="Arial" w:eastAsia="Arial" w:hAnsi="Arial"/>
          <w:sz w:val="18"/>
          <w:szCs w:val="18"/>
          <w:color w:val="auto"/>
        </w:rPr>
      </w:pPr>
    </w:p>
    <w:p>
      <w:pPr>
        <w:ind w:left="880" w:right="200" w:hanging="224"/>
        <w:spacing w:after="0" w:line="306"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in key trial activities and patient enrollment or diversion of healthcare resources as a result of the evolving effects of the COVID-19 pandemic, such as the slower pace of clinical trial site initiation in our ALPINE 4, CATALINA and NGM120 trials;</w:t>
      </w:r>
    </w:p>
    <w:p>
      <w:pPr>
        <w:spacing w:after="0" w:line="28" w:lineRule="exact"/>
        <w:rPr>
          <w:rFonts w:ascii="Arial" w:cs="Arial" w:eastAsia="Arial" w:hAnsi="Arial"/>
          <w:sz w:val="17"/>
          <w:szCs w:val="17"/>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17" w:lineRule="exact"/>
        <w:rPr>
          <w:rFonts w:ascii="Arial" w:cs="Arial" w:eastAsia="Arial" w:hAnsi="Arial"/>
          <w:sz w:val="18"/>
          <w:szCs w:val="18"/>
          <w:color w:val="auto"/>
        </w:rPr>
      </w:pPr>
    </w:p>
    <w:p>
      <w:pPr>
        <w:ind w:left="880" w:hanging="224"/>
        <w:spacing w:after="0" w:line="24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for the development of products for the treatment of NASH that issued in 2018 and 2019 and from the European Medicines Agency, or EMA, that issued in 2018;</w:t>
      </w:r>
    </w:p>
    <w:p>
      <w:pPr>
        <w:spacing w:after="0" w:line="75"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 by the FDA or comparable foreign authorities;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36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w:t>
      </w:r>
    </w:p>
    <w:p>
      <w:pPr>
        <w:spacing w:after="0" w:line="50"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FDA or comparable foreign authority inspection and review of a clinical trial site or records of any clinical or preclinical investigation;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limited experience in conducting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safe or effective. Additional clinical trials may be required if clinical trial results are negative or inconclusive, which will require us to incur additional costs and significant delays. If we do not successfully conduct clinical trials supporting the necessary regulatory approvals, we will not be able to generate product revenue and may not become profitable.</w:t>
      </w:r>
    </w:p>
    <w:p>
      <w:pPr>
        <w:spacing w:after="0" w:line="282" w:lineRule="exact"/>
        <w:rPr>
          <w:sz w:val="20"/>
          <w:szCs w:val="20"/>
          <w:color w:val="auto"/>
        </w:rPr>
      </w:pPr>
    </w:p>
    <w:p>
      <w:pPr>
        <w:jc w:val="both"/>
        <w:ind w:left="120" w:right="200"/>
        <w:spacing w:after="0" w:line="260"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A failure of one or more clinical trials can occur at any stage of testing.</w:t>
      </w:r>
    </w:p>
    <w:p>
      <w:pPr>
        <w:spacing w:after="0" w:line="170" w:lineRule="exact"/>
        <w:rPr>
          <w:sz w:val="20"/>
          <w:szCs w:val="20"/>
          <w:color w:val="auto"/>
        </w:rPr>
      </w:pPr>
    </w:p>
    <w:p>
      <w:pPr>
        <w:ind w:left="120" w:right="60" w:firstLine="551"/>
        <w:spacing w:after="0" w:line="256" w:lineRule="auto"/>
        <w:rPr>
          <w:sz w:val="20"/>
          <w:szCs w:val="20"/>
          <w:color w:val="auto"/>
        </w:rPr>
      </w:pPr>
      <w:r>
        <w:rPr>
          <w:rFonts w:ascii="Arial" w:cs="Arial" w:eastAsia="Arial" w:hAnsi="Arial"/>
          <w:sz w:val="17"/>
          <w:szCs w:val="17"/>
          <w:color w:val="auto"/>
        </w:rPr>
        <w:t>To date, the data supporting our drug discovery and development programs are derived from laboratory and preclinical studies and earlier-stage clinical trials. Despite the results reported in our Phase 1 and 2 clinical trials for aldafermin, in Phase 1 clinical trials for MK-3655 (NGM313), NGM621 and NGM120 and in preclinical studies for our other product candidates, including NGM707 and NGM438, future clinical trials in humans may show that one or more of our product candidates are not safe and effective, in which event we may need to abandon development of such product candidates. It is impossible to predict when or if any of our product candidates will prove safe and effective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168"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45" w:lineRule="auto"/>
        <w:rPr>
          <w:sz w:val="20"/>
          <w:szCs w:val="20"/>
          <w:color w:val="auto"/>
        </w:rPr>
      </w:pPr>
      <w:r>
        <w:rPr>
          <w:rFonts w:ascii="Arial" w:cs="Arial" w:eastAsia="Arial" w:hAnsi="Arial"/>
          <w:sz w:val="18"/>
          <w:szCs w:val="18"/>
          <w:color w:val="auto"/>
        </w:rPr>
        <w:t>comply, we may not be able to generate clinical data in our trials acceptable to the FDA or foreign regulatory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172" w:lineRule="exact"/>
        <w:rPr>
          <w:sz w:val="20"/>
          <w:szCs w:val="20"/>
          <w:color w:val="auto"/>
        </w:rPr>
      </w:pPr>
    </w:p>
    <w:p>
      <w:pPr>
        <w:ind w:left="120" w:right="620" w:firstLine="551"/>
        <w:spacing w:after="0" w:line="276"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our product candidates. Similarly, preliminary data and interim results from clinical trials may not be predictive of final results. Frequently, product candidates that have shown promising results in early clinical trials have subsequently suffered significant setbacks in later clinical trials. For example, the results we obtained in our Phase 1 trials of aldafermin and in our completed Phase 2 trial, including the data from the fourth and final 24-week expansion cohort of that trial in patients with fibrosis stage F2 or F3 NASH, may not be indicative of the future results we obtain from our ongoing ALPINE 2/3 and ALPINE 4 trials and any Phase 3 trial.</w:t>
      </w:r>
    </w:p>
    <w:p>
      <w:pPr>
        <w:spacing w:after="0" w:line="179"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Some of our clinical trials involve small patient populations, sometimes at single sites, and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172"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7" w:lineRule="exact"/>
        <w:rPr>
          <w:sz w:val="20"/>
          <w:szCs w:val="20"/>
          <w:color w:val="auto"/>
        </w:rPr>
      </w:pPr>
    </w:p>
    <w:p>
      <w:pPr>
        <w:ind w:left="120" w:right="160"/>
        <w:spacing w:after="0" w:line="285" w:lineRule="auto"/>
        <w:rPr>
          <w:sz w:val="20"/>
          <w:szCs w:val="20"/>
          <w:color w:val="auto"/>
        </w:rPr>
      </w:pPr>
      <w:r>
        <w:rPr>
          <w:rFonts w:ascii="Arial" w:cs="Arial" w:eastAsia="Arial" w:hAnsi="Arial"/>
          <w:sz w:val="18"/>
          <w:szCs w:val="18"/>
          <w:b w:val="1"/>
          <w:bCs w:val="1"/>
          <w:i w:val="1"/>
          <w:iCs w:val="1"/>
          <w:color w:val="auto"/>
        </w:rPr>
        <w:t>If we continue to experience delays in clinical testing, we will be delayed in commercializing our product candidates, our costs may increase and our business may be harmed.</w:t>
      </w:r>
    </w:p>
    <w:p>
      <w:pPr>
        <w:spacing w:after="0" w:line="21"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Conducting clinical trials for any of our product candidates for approval in the United States requires filing an IND application and reaching agreement with the FDA on clinical protocols, finding appropriate clinical trial sites and clinical investigators, securing approvals for such studies from the IRB for each such site, manufacturing clinical quantities of product candidates and supplying drug product to clinical trial sites. Currently, we have regulatory approval to conduct clinical trials in the United States for aldafermin for the treatment of NASH and primary biliary cholangitis, or PBC, for NGM621 for the treatment of GA secondary to AMD and for systemic administration and for NGM120</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77" w:lineRule="auto"/>
        <w:rPr>
          <w:sz w:val="20"/>
          <w:szCs w:val="20"/>
          <w:color w:val="auto"/>
        </w:rPr>
      </w:pPr>
      <w:r>
        <w:rPr>
          <w:rFonts w:ascii="Arial" w:cs="Arial" w:eastAsia="Arial" w:hAnsi="Arial"/>
          <w:sz w:val="17"/>
          <w:szCs w:val="17"/>
          <w:color w:val="auto"/>
        </w:rPr>
        <w:t>for treatment of solid tumors and pancreatic cancer. We also have regulatory approval to conduct clinical trials in Australia for aldafermin for the treatment of NASH and for NGM395 for the treatment of metabolic syndrome. More recently, we obtained regulatory approval to conduct clinical trials in Germany, Spain, France, the United Kingdom, Belgium and Poland for aldafermin for the treatment of NASH.</w:t>
      </w:r>
    </w:p>
    <w:p>
      <w:pPr>
        <w:spacing w:after="0" w:line="14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For example, we have experienced, from time to time, a slower pace of clinical trial site initiation and enrollment than originally anticipated in certain of our clinical trials, including the ALPINE 4, CATALINA and NGM120 trials, as a result of the evolving effects of the COVID-19 pandemic, and if the evolving effects of the COVID-19 pandemic become more severe, we could experience significant disruptions to our clinical development timelines, which would adversely affect our business, financial condition, results of operations and growth prospects. In any event, we do not know whether any of our clinical trials will begin as planned, will need to be restructured or will be completed on schedule, or at all. 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failure to successfully complete clinical development include:</w:t>
      </w:r>
    </w:p>
    <w:p>
      <w:pPr>
        <w:spacing w:after="0" w:line="86" w:lineRule="exact"/>
        <w:rPr>
          <w:sz w:val="20"/>
          <w:szCs w:val="20"/>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17" w:lineRule="exact"/>
        <w:rPr>
          <w:rFonts w:ascii="Arial" w:cs="Arial" w:eastAsia="Arial" w:hAnsi="Arial"/>
          <w:sz w:val="18"/>
          <w:szCs w:val="18"/>
          <w:color w:val="auto"/>
        </w:rPr>
      </w:pPr>
    </w:p>
    <w:p>
      <w:pPr>
        <w:ind w:left="880" w:right="92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50"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17" w:lineRule="exact"/>
        <w:rPr>
          <w:rFonts w:ascii="Arial" w:cs="Arial" w:eastAsia="Arial" w:hAnsi="Arial"/>
          <w:sz w:val="18"/>
          <w:szCs w:val="18"/>
          <w:color w:val="auto"/>
        </w:rPr>
      </w:pPr>
    </w:p>
    <w:p>
      <w:pPr>
        <w:ind w:left="880" w:right="76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to clinical trial sites of the product candidates or other study materials;</w:t>
      </w:r>
    </w:p>
    <w:p>
      <w:pPr>
        <w:spacing w:after="0" w:line="50" w:lineRule="exact"/>
        <w:rPr>
          <w:rFonts w:ascii="Arial" w:cs="Arial" w:eastAsia="Arial" w:hAnsi="Arial"/>
          <w:sz w:val="18"/>
          <w:szCs w:val="18"/>
          <w:color w:val="auto"/>
        </w:rPr>
      </w:pPr>
    </w:p>
    <w:p>
      <w:pPr>
        <w:ind w:left="880" w:right="28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key trial activities, clinical trial site initiation and patient enrollment or diversion of healthcare resources as a result of the evolving effects of the COVID-19 pandemic;</w:t>
      </w:r>
    </w:p>
    <w:p>
      <w:pPr>
        <w:spacing w:after="0" w:line="50"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patient enrollment, such as the slower pace of enrollment we have experienced, from time to time, in our ALPINE 4 and CATALINA trials, including as a result of the evolving effects of the COVID-19 pandemic;</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17"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including due to side effects, disease progression or concerns about the COVID-19 pandemic;</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product candidate;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0" w:hanging="224"/>
        <w:spacing w:after="0" w:line="255"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for the development of NASH that issued in 2018 and 2019 and from the EMA that issued in 2018;</w:t>
      </w:r>
    </w:p>
    <w:p>
      <w:pPr>
        <w:spacing w:after="0" w:line="69"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2"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 we enroll;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location of clinical trial sites;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enrollment due to travel or quarantine policies, behaviors or other factors related to COVID-19;</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other companies for clinical trial sites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17" w:lineRule="exact"/>
        <w:rPr>
          <w:rFonts w:ascii="Arial" w:cs="Arial" w:eastAsia="Arial" w:hAnsi="Arial"/>
          <w:sz w:val="18"/>
          <w:szCs w:val="18"/>
          <w:color w:val="auto"/>
        </w:rPr>
      </w:pPr>
    </w:p>
    <w:p>
      <w:pPr>
        <w:jc w:val="both"/>
        <w:ind w:left="880" w:right="480" w:hanging="224"/>
        <w:spacing w:after="0" w:line="306"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2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particular, there is significant competition for recruiting NASH patients in clinical trials. In the first quarter of 2020, we announced that enrollment in our ALPINE 2/3 clinical trial of aldafermin had been delayed beyond our initial projections. In addition, clinical trial enrollment generally continues to be affected by the effects of the COVID-19 pandemic, including in our ongoing ALPINE 4 and CATALINA trials, including due to delays in additional clinical trial site initiation, suspension of enrollment at clinical trial sites or patient reluctance to participate in a clinical trial during quarantines or shelter-in-place orders or otherwise, particularly in medically vulnerable patient populations. We or our partners may be unable to enroll the patients we need to complete clinical trials on a timely basis, or at all.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our product candidates.</w:t>
      </w:r>
    </w:p>
    <w:p>
      <w:pPr>
        <w:spacing w:after="0" w:line="104"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Our research efforts may initially show promise in discovering potential new protein and antibody therapeutics, yet fail to yield product candidates for clinical development for a number of reasons, including:</w:t>
      </w:r>
    </w:p>
    <w:p>
      <w:pPr>
        <w:spacing w:after="0" w:line="69" w:lineRule="exact"/>
        <w:rPr>
          <w:sz w:val="20"/>
          <w:szCs w:val="20"/>
          <w:color w:val="auto"/>
        </w:rPr>
      </w:pPr>
    </w:p>
    <w:p>
      <w:pPr>
        <w:ind w:left="880" w:right="16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 relevant protein or antibody therapeutics or potential product candidates;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drug discovery efforts tend to identify and select novel, untested proteins in the particular disease indication we are pursuing, which we may fail to validate after further research work;</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17" w:lineRule="exact"/>
        <w:rPr>
          <w:rFonts w:ascii="Arial" w:cs="Arial" w:eastAsia="Arial" w:hAnsi="Arial"/>
          <w:sz w:val="18"/>
          <w:szCs w:val="18"/>
          <w:color w:val="auto"/>
        </w:rPr>
      </w:pPr>
    </w:p>
    <w:p>
      <w:pPr>
        <w:ind w:left="880" w:right="78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partners may change their development profiles or plans for product candidates or abandon a therapeutic area, the development of a partnered product or the commercialization of any future approved partnered product.</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For example, we have suspended activities related to NGM386 and NGM217, and will be suspending activities related to NGM395 after the ongoing Phase 1 trial is completed, in all cases to concentrate our resources on our other product candidates. We may focus our efforts and resources on potential programs or product candidates that ultimately prove to be unsuccessful.</w:t>
      </w:r>
    </w:p>
    <w:p>
      <w:pPr>
        <w:spacing w:after="0" w:line="280"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21"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To date, aldafermin and our other product candidates have been manufactured by third-party manufacturers solely for preclinical studies and relatively small clinical trials. These manufacturers may not be able to scale production to the larger quantities required for large clinical trials and for commercialization. The process of manufacturing aldafermin and our other product candidates is complex, highly regulated and subject to several risks, including:</w:t>
      </w:r>
    </w:p>
    <w:p>
      <w:pPr>
        <w:spacing w:after="0" w:line="76" w:lineRule="exact"/>
        <w:rPr>
          <w:sz w:val="20"/>
          <w:szCs w:val="20"/>
          <w:color w:val="auto"/>
        </w:rPr>
      </w:pPr>
    </w:p>
    <w:p>
      <w:pPr>
        <w:ind w:left="880" w:right="40" w:hanging="224"/>
        <w:spacing w:after="0" w:line="24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79"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third-party manufacturer of a product candidate subject to our collaboration with Merck may fail to qualify upon an audit by Merck;</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300"/>
        <w:spacing w:after="0" w:line="276" w:lineRule="auto"/>
        <w:rPr>
          <w:sz w:val="20"/>
          <w:szCs w:val="20"/>
          <w:color w:val="auto"/>
        </w:rPr>
      </w:pPr>
      <w:r>
        <w:rPr>
          <w:rFonts w:ascii="Arial" w:cs="Arial" w:eastAsia="Arial" w:hAnsi="Arial"/>
          <w:sz w:val="18"/>
          <w:szCs w:val="18"/>
          <w:color w:val="auto"/>
        </w:rPr>
        <w:t>manufacturers, including as a result of the evolving effects of the COVID-19 pandemic, natural disasters, power failures, local political unrest and numerous other factors; and</w:t>
      </w:r>
    </w:p>
    <w:p>
      <w:pPr>
        <w:spacing w:after="0" w:line="50" w:lineRule="exact"/>
        <w:rPr>
          <w:sz w:val="20"/>
          <w:szCs w:val="20"/>
          <w:color w:val="auto"/>
        </w:rPr>
      </w:pPr>
    </w:p>
    <w:p>
      <w:pPr>
        <w:ind w:left="880" w:hanging="224"/>
        <w:spacing w:after="0" w:line="245"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or the scale up of manufacturing operations for our products may result in shipment delays, inventory shortages, lot failures, product withdrawals or recalls or other interruptions in the supply of our product candidates. We may also have to record inventory write-offs and incur other charges and expenses for product candidates or drug substances that fail to meet specifications, undertake costly remediation efforts or seek costlier manufacturing alternatives.</w:t>
      </w:r>
    </w:p>
    <w:p>
      <w:pPr>
        <w:spacing w:after="0" w:line="172"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contract manufacturers, who may take advantage of our reliance on them to increase the pricing of their manufacturing services. Single sourcing also imposes a risk of interruption in supply in the event of manufacturing, quality or compliance difficulties. If one of our suppliers fails or refuses to supply us for any reason, it would take a significant amount of time and cost to implement and execute the necessary technology transfer to, and to qualify, a new supplier. The FDA or comparable foreign regulatory authority must approve manufacturers of drug substance and drug product. If there are any delays in qualifying new suppliers or facilities or a new supplier is unable to meet the requirements of the FDA or comparable foreign regulatory authority for approval, there could be a shortage of drug substance or drug product for use in clinical trials with respect to the affected product candidates.</w:t>
      </w:r>
    </w:p>
    <w:p>
      <w:pPr>
        <w:spacing w:after="0" w:line="176"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addition, the operations of our third-party manufacturers may be requisitioned, diverted or allocated by U.S. or foreign government orders such as under emergency, disaster and civil defense declarations in connection with the COVID-19 pandemic or otherwise. As an example, President Trump has invoked the Defense Production Act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in a way that delays or interrupts our supply of clinical trial material.</w:t>
      </w:r>
    </w:p>
    <w:p>
      <w:pPr>
        <w:spacing w:after="0" w:line="174"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Specifically, we have entered into a Development and Manufacturing Services Agreement with Lonza Sales AG, or Lonza, for the production of Phase 3 and commercial supplies of the aldafermin drug substance. If Lonza or our drug product manufacturer are not able to provide us with sufficient quantities of aldafermin for our clinical trials on a timely basis, or at all, whether due to production shortages or other supply delays or interruptions resulting from the ongoing COVID-19 pandemic or otherwise, our clinical trials or regulatory approval may be delayed. In this regard, although significant portions of our research and development resources are focused, and will continue to be focused, on activities required to prepare aldafermin for potential regulatory approval for the treatment of NASH, including manufacturing of clinical trial material and preparation for potential Phase 3 testing, if Lonza and/or our drug product manufacturer experience difficulties in scaling production or experience product loss due to contamination, equipment failure, improper installation or operation of equipment, vendor or operator error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Sales AG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the potential Phase 3 testing of aldafermin which could materially and adversely affect our business. Refer also to the risk factor entitled “Our business is currently adversely affected and could be materially and adversely affected in the future by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16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Some of these materials only have a single supplier and are purchased as necessary without a long-term supply agreement in place.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170"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ensure that any stability or other issues relating to the manufacture of our product candidates will not occur in the future.</w:t>
      </w:r>
    </w:p>
    <w:p>
      <w:pPr>
        <w:spacing w:after="0" w:line="17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80"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Serious adverse events that were reported in the aldafermin treatment arms from our completed Phase 1 and Phase 2 clinical trials of aldafermin include: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primary sclerosing cholangitis, or PSC, intervertebral discitis, rectal bleeding and post-biopsy bleeding. SAEs reported in our ongoing Phase 2 trials with aldafermin include gallbladder injury due to biopsy, suicide attempt and bronchogenic cyst, and no SAEs were deemed by investigators to be related to the treatment with aldafermin. In our completed Phase 1 and Phase 1b clinical trials of MK-3655 (NGM313), there were two reported SAEs in the MK-3655 (NGM313) treatment arms: cholecystitis and rectal bleeding due to hemorrhoids, both of which were deemed by the investigators to be unrelated to treatment with MK-3655 (NGM313). In our completed Phase 1 clinical trial of NGM120, there were two reported SAEs in the NGM120 treatment arms: renal colic and bipolar disorder, both of which were deemed by the investigators to be unrelated to treatment with NGM120. In our ongoing Phase 1a/1b trial of NGM120 evaluating NGM120 as a monotherapy in patients with</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5" w:lineRule="auto"/>
        <w:rPr>
          <w:sz w:val="20"/>
          <w:szCs w:val="20"/>
          <w:color w:val="auto"/>
        </w:rPr>
      </w:pPr>
      <w:r>
        <w:rPr>
          <w:rFonts w:ascii="Arial" w:cs="Arial" w:eastAsia="Arial" w:hAnsi="Arial"/>
          <w:sz w:val="18"/>
          <w:szCs w:val="18"/>
          <w:color w:val="auto"/>
        </w:rPr>
        <w:t>select advanced tumors and in combination with two chemotherapeutic agents in patients with metastatic pancreatic cancer, there have been a number of SAEs, including sepsis, neutropenia, pulmonary embolism, pleural effusion, non -cardiac chest pain, renal failure, acute kidney injury and encephalopathy, none of which were deemed related to treatment with NGM120 after medical safety review. In our completed Phase 1 and ongoing Phase 2 clinical trials of NGM621, there have been no reported SAEs deemed related to treatment with NGM621.</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Significant increases in serum levels of low-density lipoprotein, or LDL, cholesterol were observed in clinical trials of aldafermin in NASH and type 2 diabetes. The drug-induced changes in LDL cholesterol were brought back to baseline levels with concomitant statin use in NASH patients, however, sustained LDL cholesterol elevations in untreated patients can be associated with cardiovascular disease. We have not observed any significant changes in LDL cholesterol with aldafermin in trials we have conducted in patients with cholestatic liver disease, such as PBC and PSC.</w:t>
      </w:r>
    </w:p>
    <w:p>
      <w:pPr>
        <w:spacing w:after="0" w:line="17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Protein and antibody therapeutics can sometimes induce host immune responses that can cause the production of anti-drug - antibodies, or ADA. Our product candidates, including aldafermin, which is an engineered variant of the human FGF19 protein, are protein and antibody therapeutics. In some instances, certain ADA called neutralizing antibodies can neutralize the therapeutic effects of the treatment. ADA can also sometimes cross react with substances naturally occurring in a subject’s body (in the case of aldafermin, FGF19), which can cause unintended effects, including potential impacts on efficacy and, in rare cases, even adverse events. One subject in a Phase 2 clinical trial investigating aldafermin as an intervention for type 2 diabetes developed ADA against aldafermin; however, this patient did not demonstrate any biochemical or clinically relevant safety concerns while in the study, and we have not identified any safety concerns while monitoring the subject following the study. In the Phase 2 PBC extension clinical trial of aldafermin, 18 of the 36 subjects tested positive for aldafermin-specific ADA at one or more time points using a preliminary assay. Six of these 36 subjects tested positive for neutralizing antibodies using an assay that was subsequently validated, of which two subjects developed antibodies that appeared to cross-react with their naturally occurring FGF19. These subjects have not demonstrated any biochemical or clinically relevant safety signals that were different from observations in subjects that did not generate ADA against aldafermin. We are developing an assay to measure the presence of ADA against aldafermin for our ongoing NASH program, which will need to be evaluated by regulatory agencies. The subjects who were found to develop ADA in both the type 2 diabetic and PBC populations may not be predictive of future test results in NASH patients due to differences in disease setting, study design, dose regimen and the use of a different ADA assay. If we are required to do substantial additional testing as a result of the detection of high amounts of ADA in subjects using aldafermin or any other product candidate, the costs of our clinical trials may increase.</w:t>
      </w:r>
    </w:p>
    <w:p>
      <w:pPr>
        <w:spacing w:after="0" w:line="18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or ADAs that have negative effects or other unexpected characteristics. In such an event, we may need to suspend or terminate our trials or the FDA or comparable foreign regulatory authorities could order us to cease clinical trials or deny approval of our product candidates for any or all targeted indications. Drug-related side effects could affect patient recruitment, the ability of enrolled subjects to complete the trial or result in potential product liability claims. Any of these occurrences could materially and adversely affect our business, financial condition and prospects.</w:t>
      </w:r>
    </w:p>
    <w:p>
      <w:pPr>
        <w:spacing w:after="0" w:line="282"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21"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Aldafermin is an engineered variant of the human hormone FGF19 that has been associated with liver cancer in rodent testing. The IND that we filed in February 2014 for type 2 diabetes was placed 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aldafermin.</w:t>
      </w:r>
    </w:p>
    <w:p>
      <w:pPr>
        <w:spacing w:after="0" w:line="292" w:lineRule="exact"/>
        <w:rPr>
          <w:sz w:val="20"/>
          <w:szCs w:val="20"/>
          <w:color w:val="auto"/>
        </w:rPr>
      </w:pPr>
    </w:p>
    <w:p>
      <w:pPr>
        <w:ind w:left="120" w:right="100"/>
        <w:spacing w:after="0" w:line="285"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21"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91" w:lineRule="exact"/>
        <w:rPr>
          <w:sz w:val="20"/>
          <w:szCs w:val="20"/>
          <w:color w:val="auto"/>
        </w:rPr>
      </w:pPr>
    </w:p>
    <w:p>
      <w:pPr>
        <w:ind w:left="120" w:right="780"/>
        <w:spacing w:after="0" w:line="285"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21"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8" w:lineRule="auto"/>
        <w:rPr>
          <w:sz w:val="20"/>
          <w:szCs w:val="20"/>
          <w:color w:val="auto"/>
        </w:rPr>
      </w:pPr>
      <w:r>
        <w:rPr>
          <w:rFonts w:ascii="Arial" w:cs="Arial" w:eastAsia="Arial" w:hAnsi="Arial"/>
          <w:sz w:val="18"/>
          <w:szCs w:val="18"/>
          <w:color w:val="auto"/>
        </w:rPr>
        <w:t>development of viable commercial products and may divert resources from better opportunities. Similarly, our decisions to delay or terminate drug development programs, such as our decision to suspend activities related to NGM386, NGM395, NGM621 administered systemically and NGM217 to concentrate our resources on our other product candidates, may also be incorrect and could cause us to miss valuable opportunities.</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84"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or continue to attract and retain qualified scientific, technical and business personnel, our business will suffer.</w:t>
      </w:r>
    </w:p>
    <w:p>
      <w:pPr>
        <w:spacing w:after="0" w:line="4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research and development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179"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personnel. There is intense competition for qualified personnel, including management, in the technical fields in which we operate,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88"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21"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Any agreements we have or may enter into with third parties, such as collaboration, license, supplier, manufacturing, sponsored research, CRO or clinical trial agreements, may give rise to</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00"/>
          </w:cols>
          <w:pgMar w:left="32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179"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remote work policies, reporting systems and operational, financial and management controls, particularly in light of the evolving effects of the COVID-19 pandemic.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76"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We may acquire additional assets, intellectual property and complementary businesses in the future. Acquisitions involve many risks, any of which could materially harm our business, including the diversion of management’s attention from core business concerns, failure to effectively exploit acquired assets or intellectual property, failure to successfully integrate the acquired business or realize expected synergies or the loss of key employees from either our business or the acquired businesses.</w:t>
      </w:r>
    </w:p>
    <w:p>
      <w:pPr>
        <w:spacing w:after="0" w:line="278" w:lineRule="exact"/>
        <w:rPr>
          <w:sz w:val="20"/>
          <w:szCs w:val="20"/>
          <w:color w:val="auto"/>
        </w:rPr>
      </w:pPr>
    </w:p>
    <w:p>
      <w:pPr>
        <w:ind w:left="120" w:right="420"/>
        <w:spacing w:after="0" w:line="28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 Bayer, Boerhinger Ingelheim, Bristol-Myers Squibb, Eisai, Eli Lilly, GlaxoSmithKline, Johnson &amp; Johnson, Merck, Novartis, Novo Nordisk, Pfizer, Roche, Sanofi and Takeda, as well as large and small biotechnology companies such as 89Bio, Akero, Albireo, Alentis, Amgen Inc., or Amgen, Apellis, Ascletis, Axcella, Bird Rock, Can-Fite, Cirius, Enanta, Galectin, Galmed, Gilead, Glympse, Immuron, Intercept, Inventiva, Iveric, Madrigal, MannKind,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00"/>
          </w:cols>
          <w:pgMar w:left="32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MediciNova, Metacrine, Mirum, North Sea, Promethera, Salix, Scholar Rock, Seal Rock, Terns, Tiziana, Viking and Vivus, are pursuing the development or marketing of pharmaceuticals that target the same diseases that are targeted by our most advanced product candidates. It is probable that the number of companies seeking to develop products and therapies for the treatment of liver and metabolic diseases, retinal diseases and cancer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8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0"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176"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color w:val="auto"/>
        </w:rPr>
        <w:t>If aldafermin or MK-3655 (NGM313) were approved for the treatment of NASH, future competition could also arise from products currently in development, including: cenicriviroc, an immunomodulator that blocks CCR2 and CCR5, from Allergan; firsocostat, an ACC inhibitor, and cilofexor, an FXR agonist, both from Gilead; OCA, an FXR agonist, from Intercept; resmetirom, a beta-thyroid hormone receptor agonist, from Madrigal; pegbelfermin, a PEGylated FGF21 analog, from Bristol-Myers Squibb; AKR-001, an Fc conjugated FGF21 analog, from Akero; FXR agonists from Metacrine; FXR agonists from Novartis; a beta-thyroid hormone receptor agonist from Viking; semaglutide, a GLP-1 analog, from Novo Nordisk; and lanifibranor, a pan-PPAR agonist from Inventiva. The foregoing competitive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risks apply to aldafermin, any variants of aldafermin, including the second-generation, half-life extended version of FGF19 we are currently developing, and MK-3655 (NGM313).</w:t>
      </w:r>
    </w:p>
    <w:p>
      <w:pPr>
        <w:spacing w:after="0" w:line="253"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21" w:lineRule="exact"/>
        <w:rPr>
          <w:sz w:val="20"/>
          <w:szCs w:val="20"/>
          <w:color w:val="auto"/>
        </w:rPr>
      </w:pPr>
    </w:p>
    <w:p>
      <w:pPr>
        <w:ind w:left="120" w:right="340" w:firstLine="551"/>
        <w:spacing w:after="0" w:line="248"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76"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17" w:lineRule="exact"/>
        <w:rPr>
          <w:rFonts w:ascii="Arial" w:cs="Arial" w:eastAsia="Arial" w:hAnsi="Arial"/>
          <w:sz w:val="18"/>
          <w:szCs w:val="18"/>
          <w:color w:val="auto"/>
        </w:rPr>
      </w:pPr>
    </w:p>
    <w:p>
      <w:pPr>
        <w:ind w:left="880" w:right="5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 as described below;</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12"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87" w:lineRule="exact"/>
        <w:rPr>
          <w:sz w:val="20"/>
          <w:szCs w:val="20"/>
          <w:color w:val="auto"/>
        </w:rPr>
      </w:pPr>
    </w:p>
    <w:p>
      <w:pPr>
        <w:jc w:val="both"/>
        <w:ind w:left="120" w:right="460"/>
        <w:spacing w:after="0" w:line="260"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43"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the pricing of prescription drugs is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 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7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183"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04" w:lineRule="exact"/>
        <w:rPr>
          <w:sz w:val="20"/>
          <w:szCs w:val="20"/>
          <w:color w:val="auto"/>
        </w:rPr>
      </w:pPr>
    </w:p>
    <w:p>
      <w:pPr>
        <w:ind w:left="120" w:right="560" w:firstLine="551"/>
        <w:spacing w:after="0" w:line="255"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system that could prevent or delay marketing approval of our product candidates, restrict or regulate post-approval activities and affect our ability to profitably sell any product for which we obtain marketing approval.</w:t>
      </w:r>
    </w:p>
    <w:p>
      <w:pPr>
        <w:spacing w:after="0" w:line="145"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or, collectively, the ACA, was enacted, which includes measures that have significantly changed the way health care is financed by both governmental and private insurers. There remain executive, judicial and congressional challenges to certain aspects of the ACA.</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while Congress has not passed comprehensive legislation repealing the ACA, it has introduced legislation to modify certain provisions. Congress will likely consider other legislation to modify or replace additional elements of the ACA. It is unclear how these efforts to repeal and replace the ACA, or other appeals, will impact the ACA and our business. For example,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The Supreme Court of the United States is currently reviewing this case, although it is unclear when a decision will be made. It is also unclear how such litigation and other efforts to challenge, repeal, or replace the ACA will impact the ACA or our business.</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Other legislative changes that have affected or may affect our industry include the Budget Control Act of 2011 which has triggered automatic reduction to several government programs. This includes aggregate reductions to Medicare payments to providers of, on average, 2% per fiscal year through 2030 unless Congress takes additional action.</w:t>
      </w:r>
    </w:p>
    <w:p>
      <w:pPr>
        <w:spacing w:after="0" w:line="16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Recently, there has also been increasing executive, legislative and enforcement interest in the United States with respect to drug pricing practices. There have been several recent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It is also possible that additional governmental action is taken in response to the COVID-19 pandemic.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72"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particularly as a result of the recent presidential election.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79" w:lineRule="exact"/>
        <w:rPr>
          <w:sz w:val="20"/>
          <w:szCs w:val="20"/>
          <w:color w:val="auto"/>
        </w:rPr>
      </w:pPr>
    </w:p>
    <w:p>
      <w:pPr>
        <w:ind w:left="880" w:right="42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880" w:right="100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supply or manufacturing capabilities abroad, including those that may result from the ongoing COVID-19 pandemic;</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50"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w:t>
      </w:r>
    </w:p>
    <w:p>
      <w:pPr>
        <w:spacing w:after="0" w:line="69" w:lineRule="exact"/>
        <w:rPr>
          <w:rFonts w:ascii="Arial" w:cs="Arial" w:eastAsia="Arial" w:hAnsi="Arial"/>
          <w:sz w:val="18"/>
          <w:szCs w:val="18"/>
          <w:color w:val="auto"/>
        </w:rPr>
      </w:pPr>
    </w:p>
    <w:p>
      <w:pPr>
        <w:jc w:val="both"/>
        <w:ind w:left="880" w:right="200" w:hanging="224"/>
        <w:spacing w:after="0" w:line="255"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16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21"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78"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88" w:lineRule="exact"/>
        <w:rPr>
          <w:sz w:val="20"/>
          <w:szCs w:val="20"/>
          <w:color w:val="auto"/>
        </w:rPr>
      </w:pPr>
    </w:p>
    <w:p>
      <w:pPr>
        <w:ind w:left="120" w:right="140"/>
        <w:spacing w:after="0" w:line="282" w:lineRule="auto"/>
        <w:rPr>
          <w:sz w:val="20"/>
          <w:szCs w:val="20"/>
          <w:color w:val="auto"/>
        </w:rPr>
      </w:pPr>
      <w:r>
        <w:rPr>
          <w:rFonts w:ascii="Arial" w:cs="Arial" w:eastAsia="Arial" w:hAnsi="Arial"/>
          <w:sz w:val="17"/>
          <w:szCs w:val="17"/>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2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76" w:lineRule="auto"/>
        <w:rPr>
          <w:sz w:val="20"/>
          <w:szCs w:val="20"/>
          <w:color w:val="auto"/>
        </w:rPr>
      </w:pPr>
      <w:r>
        <w:rPr>
          <w:rFonts w:ascii="Arial" w:cs="Arial" w:eastAsia="Arial" w:hAnsi="Arial"/>
          <w:sz w:val="18"/>
          <w:szCs w:val="18"/>
          <w:color w:val="auto"/>
        </w:rPr>
        <w:t>market, sell and distribute our products for which we or our collaborator obtains marketing approval. Restrictions under applicable federal and state healthcare laws and regulations, include the following:</w:t>
      </w:r>
    </w:p>
    <w:p>
      <w:pPr>
        <w:spacing w:after="0" w:line="50" w:lineRule="exact"/>
        <w:rPr>
          <w:sz w:val="20"/>
          <w:szCs w:val="20"/>
          <w:color w:val="auto"/>
        </w:rPr>
      </w:pPr>
    </w:p>
    <w:p>
      <w:pPr>
        <w:ind w:left="880" w:right="40" w:hanging="224"/>
        <w:spacing w:after="0" w:line="24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77"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5" w:lineRule="exact"/>
        <w:rPr>
          <w:rFonts w:ascii="Arial" w:cs="Arial" w:eastAsia="Arial" w:hAnsi="Arial"/>
          <w:sz w:val="18"/>
          <w:szCs w:val="18"/>
          <w:color w:val="auto"/>
        </w:rPr>
      </w:pPr>
    </w:p>
    <w:p>
      <w:pPr>
        <w:ind w:left="880" w:right="100" w:hanging="224"/>
        <w:spacing w:after="0" w:line="24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75" w:lineRule="exact"/>
        <w:rPr>
          <w:rFonts w:ascii="Arial" w:cs="Arial" w:eastAsia="Arial" w:hAnsi="Arial"/>
          <w:sz w:val="18"/>
          <w:szCs w:val="18"/>
          <w:color w:val="auto"/>
        </w:rPr>
      </w:pPr>
    </w:p>
    <w:p>
      <w:pPr>
        <w:ind w:left="880" w:hanging="224"/>
        <w:spacing w:after="0" w:line="24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w:t>
      </w:r>
    </w:p>
    <w:p>
      <w:pPr>
        <w:spacing w:after="0" w:line="77" w:lineRule="exact"/>
        <w:rPr>
          <w:rFonts w:ascii="Arial" w:cs="Arial" w:eastAsia="Arial" w:hAnsi="Arial"/>
          <w:sz w:val="18"/>
          <w:szCs w:val="18"/>
          <w:color w:val="auto"/>
        </w:rPr>
      </w:pPr>
    </w:p>
    <w:p>
      <w:pPr>
        <w:ind w:left="880" w:right="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Beginning in 2022, applicable manufacturers also will be required to report such information regarding its relationships with physician assistants, nurse practitioners, anesthesiologist assistants, clinical nurse specialists, certified registered nurse anesthetists and certified nurse midwives during the previous year; and</w:t>
      </w:r>
    </w:p>
    <w:p>
      <w:pPr>
        <w:spacing w:after="0" w:line="81" w:lineRule="exact"/>
        <w:rPr>
          <w:rFonts w:ascii="Arial" w:cs="Arial" w:eastAsia="Arial" w:hAnsi="Arial"/>
          <w:sz w:val="18"/>
          <w:szCs w:val="18"/>
          <w:color w:val="auto"/>
        </w:rPr>
      </w:pPr>
    </w:p>
    <w:p>
      <w:pPr>
        <w:ind w:left="880" w:right="2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in significant ways and often are not preempted by HIPAA, thus complicating compliance efforts.</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84" w:lineRule="exact"/>
        <w:rPr>
          <w:sz w:val="20"/>
          <w:szCs w:val="20"/>
          <w:color w:val="auto"/>
        </w:rPr>
      </w:pPr>
    </w:p>
    <w:p>
      <w:pPr>
        <w:ind w:left="120" w:right="220"/>
        <w:spacing w:after="0" w:line="285"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Our former facility was subject to electrical blackouts as a result of a shortage of available electrical power. Future blackouts, which may be implemented by the local electricity provider in the face of high winds and dry conditions, could disrupt the operations of our current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Our sole supplier of clinical drug substance for MK-3655 (NGM313), NGM120, NGM621, NGM707 and NGM438 is located in a region that has experienced recent political unrest.</w:t>
      </w:r>
    </w:p>
    <w:p>
      <w:pPr>
        <w:spacing w:after="0" w:line="288" w:lineRule="exact"/>
        <w:rPr>
          <w:sz w:val="20"/>
          <w:szCs w:val="20"/>
          <w:color w:val="auto"/>
        </w:rPr>
      </w:pPr>
    </w:p>
    <w:p>
      <w:pPr>
        <w:ind w:left="120" w:right="220"/>
        <w:spacing w:after="0" w:line="251" w:lineRule="auto"/>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5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180"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materially and adversely affect our operations. Based on guidance issued by federal, state and local authorities, we transitioned to a remote work environment for a vast majority of our employees in March 2020, while maintaining essential in-person laboratory functions in order to advance key research and development initiatives, supported by the implementation of updated onsite safety procedures. In June 2020, following updated guidance issued by federal, state and local authorities, we re-opened our laboratory facilities for research activities that cannot be conducted remotely with heightened safety measures designed to minimize occupational exposure and reduce transmission of COVID-19 within our workplace. Although we have re-opened our laboratory facilities under these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 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materially and adversely impact our business, financial condition, results of operations and growth prospects.</w:t>
      </w:r>
    </w:p>
    <w:p>
      <w:pPr>
        <w:spacing w:after="0" w:line="17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the pandemic continues, there may be continuing negative impacts on our ability to initiate new clinical trial sites, maintain enrollment of existing patients and enroll new patients, which may impact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we have experienced, from to time, a slower pace of clinical site initiation and enrollment than anticipated in certain of our clinical trials, including the ALPINE 4, CATALINA and NGM120 trials, and may experience higher dropout rates than normal, due to factors such as the vulnerability of our studied patient populations, clinical trial site suspensions, reallocation of medical resources and the challenges of working remotely due to shelter-in-place and similar government orders, among other factors. Enrolled patients may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patients from COVID-19 exposure as a result of their trial participation, which include the use of telemedicine visits, remote monitoring of patients and clinical trial sites, and other measures designed to ensure that data from clinical trials that may be disrupted as result of the pandemic are collected pursuant to the study protocol and consistent with current Good Clinical Practices, or cGCPs, with any material protocol deviation reviewed and approved by the clinical trial site IRB. If any of the foregoing efforts to mitigate the impact of the COVID-19 pandemic are not successful, or if the effects of the COVID-19 pandemic become more severe, it could materially and adversely affect our clinical development timelines and our ability to obtain regulatory approvals of our product candidates and could significantly increase our costs.</w:t>
      </w:r>
    </w:p>
    <w:p>
      <w:pPr>
        <w:spacing w:after="0" w:line="193" w:lineRule="exact"/>
        <w:rPr>
          <w:sz w:val="20"/>
          <w:szCs w:val="20"/>
          <w:color w:val="auto"/>
        </w:rPr>
      </w:pPr>
    </w:p>
    <w:p>
      <w:pPr>
        <w:ind w:left="120" w:right="660" w:firstLine="551"/>
        <w:spacing w:after="0" w:line="276" w:lineRule="auto"/>
        <w:rPr>
          <w:sz w:val="20"/>
          <w:szCs w:val="20"/>
          <w:color w:val="auto"/>
        </w:rPr>
      </w:pPr>
      <w:r>
        <w:rPr>
          <w:rFonts w:ascii="Arial" w:cs="Arial" w:eastAsia="Arial" w:hAnsi="Arial"/>
          <w:sz w:val="18"/>
          <w:szCs w:val="18"/>
          <w:color w:val="auto"/>
        </w:rPr>
        <w:t>We could also see an adverse impact on our ability to report clinical trial results, or interact with regulators, IRBs and ethics committees or other important agencies due to limitations in regulatory</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40"/>
        <w:spacing w:after="0" w:line="255" w:lineRule="auto"/>
        <w:rPr>
          <w:sz w:val="20"/>
          <w:szCs w:val="20"/>
          <w:color w:val="auto"/>
        </w:rPr>
      </w:pPr>
      <w:r>
        <w:rPr>
          <w:rFonts w:ascii="Arial" w:cs="Arial" w:eastAsia="Arial" w:hAnsi="Arial"/>
          <w:sz w:val="18"/>
          <w:szCs w:val="18"/>
          <w:color w:val="auto"/>
        </w:rPr>
        <w:t>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16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quarantines, shelter-in-place and similar government orders could impact personnel at third-party manufacturing facilities in the United States and other countries, or the availability or cost of materials, which would disrupt our supply chain. Likewise, the operations of our third-party manufacturers may be requisitioned, diverted or allocated by U.S. or foreign government orders such as under emergency, disaster and civil defense declarations in connection with the COVID-19 pandemic or otherwise. In particular, some of our suppliers of certain materials used in the production of our drug products are located in Europe. In this regard,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For example, although significant portions of our research and development resources are focused, and will continue to be focused, on activities required to prepare aldafermin for potential regulatory approval for the treatment of NASH, including manufacturing of clinical trial material and preparation for potential Phase 3 testing, if Lonza and/or our drug product manufacturer experience difficulties in scaling production or experience product loss due to contamination, equipment failure, improper installation or operation of equipment, vendor or operator error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Sales AG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the potential Phase 3 testing of aldafermin which could materially and adversely affect our business. In any event, if the evolving effects of the COVID-19 pandemic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19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Collaboration Agreement or to exercise its remaining option to extend the research phase of the collaboration beyond March 16, 2022.</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ultimate duration and severity of the pandemic, travel restrictions, quarantines, social distancing and business closure requirements in the United States and in other countries, and the effectiveness of actions taken globally to contain and</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5" w:right="4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treat COVID-19. In addition, to the extent the evolving effects of the COVID-19 pandemic adversely affects our business and results of operations, it may also have the effect of heightening many of the other risks and uncertainties described elsewhere in this ‘‘Risk Factors’’ section.</w:t>
      </w:r>
    </w:p>
    <w:p>
      <w:pPr>
        <w:spacing w:after="0" w:line="272"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Similar to other companies in our industry, we face substantial cybersecurity risk. Despite the implementation of security measures, our internal computer systems and those of our current and future CROs and other contractors, collaborators and consultants may fail and are vulnerable to damage from computer viruses and unauthorized access. While we have not, to our knowledge,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similar events relating to their computer systems could also have a material adverse effect on our business.</w:t>
      </w:r>
    </w:p>
    <w:p>
      <w:pPr>
        <w:spacing w:after="0" w:line="180"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As a result of the ongoing COVID-19 pandemic, certain functional areas of our workforce remain in a remote work environment, which imposes additional risks to our business, including increased risk associated with working outside our corporate network security protection boundaries, increased risk of industrial espionage, phishing and other cybersecurity attacks and the increased risk of unauthorized dissemination of sensitive personal information or proprietary confidential information, any of which could have a material adverse effect on our business. Despite our efforts to increase security and authentication measures, we have experienced an overall increase in cybersecurity incidents, none of which have caused disruption to our business or resulted in a material security breach. However, if such an event were to occur and cause interruptions in our operations, it could result in a material disruption of our development programs and our business operations.</w:t>
      </w:r>
    </w:p>
    <w:p>
      <w:pPr>
        <w:spacing w:after="0" w:line="180"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In 2017, a security breach of the internal computer systems of our collaborator, Merck, caused material damage to its operations, but did not affect our internal operations. In June 2019, a vendor that conducted bioanalytical services for some of our aldafermin clinical trials was affected by a ransomware attack that resulted in a significant disruption to its IT systems. This cybersecurity incident at our vendor did not result in an integrity loss of certain clinical sample data for aldafermin, as verified by independent vendors. More recently, an attacker gained access to a single system on our network and attempted to use that access to stage a broader attack against us. We detected the suspicious activity on the night of December 15, 2020 and believe we fully contained the incident the next day. The event had minimal impact on our operations and we have no evidence suggesting any ongoing threat or data exfiltration. However, to the extent that any disruption or security breach were to result in a loss of, or damage to, our data or applications, or inappropriate disclosure of confidential or proprietary information, we could incur material costs, be exposed to liability, our competitive position could be harmed and the further development and commercialization of our product candidates could be hindered or delayed.</w:t>
      </w:r>
    </w:p>
    <w:p>
      <w:pPr>
        <w:spacing w:after="0" w:line="288" w:lineRule="exact"/>
        <w:rPr>
          <w:sz w:val="20"/>
          <w:szCs w:val="20"/>
          <w:color w:val="auto"/>
        </w:rPr>
      </w:pPr>
    </w:p>
    <w:p>
      <w:pPr>
        <w:ind w:left="120" w:right="480"/>
        <w:spacing w:after="0" w:line="285"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21"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We may collect, process, use or transfer personal information from individuals located in the EU in connection with our business, including in connection with conducting clinical trials in the EU. Additionally, if any of our product candidates are approved, we may seek to commercialize those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products in the EU. The collection and use of personal health data in the EU are governed by the provisions of the General Data Protection Regulation ((EU) 2016/679), or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 may result in substantial fines, other administrative penalties and civil claims being brought against us, which could have a material adverse effect on our business, financial condition and results of operations.</w:t>
      </w:r>
    </w:p>
    <w:p>
      <w:pPr>
        <w:spacing w:after="0" w:line="18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United Kingdom and Switzerland, to the United States and most other countries unless the parties to the transfer have implemented specific safeguards to protect the transferred personal information. One of the primary safeguards allowing United States companies to import personal information from Europe has been certification to the EU-U.S. Privacy Shield and Swiss-U.S. Privacy Shield frameworks administered by the United States Department of Commerce. However, the Court of Justice of the EU recently invalidated the EU-U.S. Privacy Shield.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At present, there are few, if any, viable alternatives to the EU-U.S. Privacy Shield and the Standard Contractual Clauses. Although we rely primarily on individuals’ explicit consent to transfer their personal information from Europe to the United States and other countries, in certain cases we have relied or may rely on the Standard Contractual Clauses. Authorities in the United Kingdom and Switzerland, whose data protection laws are similar to those of the EU, may similarly invalidate use of the EU-U.S. Privacy Shield and Swiss-U.S. Privacy Shield, respectively, as mechanisms for lawful personal information transfers from those countries to the United States. As such, if we are unable to rely on explicit consent to transfer individuals’ personal information from Europe, which can be revoked, or implement another valid compliance solution, we will face increased exposure to substantial fines under European data protection laws as well as injunctions against processing personal information from Europe. Inability to import personal information from the European Economic Area, United Kingdom or Switzerland may also restrict our clinical trial activities in Europe; limit our ability to collaborate with CROs, service providers, contractors and other companies subject to European data protection laws; and require us to increase our data processing capabilities in Europe at significant expense.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4"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43"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excluding aldafermin, and including a license to our GDF15 receptor agonist program product candidates, NGM386 and NGM395. In November 2018, Merck exercised its option to license MK-3655 (NGM313). In 2019, Merck exercised its option to extend the research phase of the collaboration for an additional two years, from March 17, 2020 through March 16, 2022, and terminated its license to the GDF15 receptor agonist program in May 2019.</w:t>
      </w:r>
    </w:p>
    <w:p>
      <w:pPr>
        <w:spacing w:after="0" w:line="17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Merck collaboration involves a complex allocation of rights, provides for substantial research and development support, provides for additional payments upon Merck’s election, if exercised in its unilateral discretion, to further extend the term of the research program for an additional two years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whether Merck will exercise its remaining option to extend the research phase of the collaboration or whether Merck will exercise its option to license additional product candidates or whether Merck will terminate its license to a licensed program.</w:t>
      </w:r>
    </w:p>
    <w:p>
      <w:pPr>
        <w:spacing w:after="0" w:line="180"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NGM395 and NGM386.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ind w:left="880" w:right="80" w:hanging="224"/>
        <w:spacing w:after="0" w:line="248"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in humans has been generated and Merck has exercised its option to acquire an exclusive license for a product candidate, our ability to influence the resources Merck devotes to such product candidate are substantially reduced until such time, if any, that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40"/>
        <w:spacing w:after="0" w:line="276" w:lineRule="auto"/>
        <w:rPr>
          <w:sz w:val="20"/>
          <w:szCs w:val="20"/>
          <w:color w:val="auto"/>
        </w:rPr>
      </w:pPr>
      <w:r>
        <w:rPr>
          <w:rFonts w:ascii="Arial" w:cs="Arial" w:eastAsia="Arial" w:hAnsi="Arial"/>
          <w:sz w:val="18"/>
          <w:szCs w:val="18"/>
          <w:color w:val="auto"/>
        </w:rPr>
        <w:t>we exercise our right to participate in a cost and profit-sharing arrangement. Even after we exercise that right to participate in a cost and profit-sharing arrangement, our ability to influence Merck will be limited.</w:t>
      </w:r>
    </w:p>
    <w:p>
      <w:pPr>
        <w:spacing w:after="0" w:line="50" w:lineRule="exact"/>
        <w:rPr>
          <w:sz w:val="20"/>
          <w:szCs w:val="20"/>
          <w:color w:val="auto"/>
        </w:rPr>
      </w:pPr>
    </w:p>
    <w:p>
      <w:pPr>
        <w:ind w:left="880" w:hanging="224"/>
        <w:spacing w:after="0" w:line="241"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under our agreement with Merck, it is possible for Merck to unilaterally terminate the MK-3655 (NGM313) program and any other program (whether or not we have exercised our cost and profit-sharing option) upon prior written notice, such as it did for NGM386 and NGM395, without triggering a termination of the remainder of the collaboration arrangement. In addition, Merck might opt not to exercise its option to acquire a license to a product candidate that has generated proof-of-concept data.</w:t>
      </w:r>
    </w:p>
    <w:p>
      <w:pPr>
        <w:spacing w:after="0" w:line="84" w:lineRule="exact"/>
        <w:rPr>
          <w:rFonts w:ascii="Arial" w:cs="Arial" w:eastAsia="Arial" w:hAnsi="Arial"/>
          <w:sz w:val="18"/>
          <w:szCs w:val="18"/>
          <w:color w:val="auto"/>
        </w:rPr>
      </w:pPr>
    </w:p>
    <w:p>
      <w:pPr>
        <w:jc w:val="both"/>
        <w:ind w:left="880" w:right="300" w:hanging="224"/>
        <w:spacing w:after="0" w:line="306"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880" w:right="38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69"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50" w:lineRule="exact"/>
        <w:rPr>
          <w:rFonts w:ascii="Arial" w:cs="Arial" w:eastAsia="Arial" w:hAnsi="Arial"/>
          <w:sz w:val="18"/>
          <w:szCs w:val="18"/>
          <w:color w:val="auto"/>
        </w:rPr>
      </w:pPr>
    </w:p>
    <w:p>
      <w:pPr>
        <w:ind w:left="880" w:hanging="224"/>
        <w:spacing w:after="0" w:line="24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the Collaboration Agreement with respect to certain licensed programs and, although we may have the right to assume the maintenance and defense of our intellectual property rights if Merck does not, our ability to do so may be compromised by Merck’s actions.</w:t>
      </w:r>
    </w:p>
    <w:p>
      <w:pPr>
        <w:spacing w:after="0" w:line="77"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69"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50" w:lineRule="exact"/>
        <w:rPr>
          <w:rFonts w:ascii="Arial" w:cs="Arial" w:eastAsia="Arial" w:hAnsi="Arial"/>
          <w:sz w:val="18"/>
          <w:szCs w:val="18"/>
          <w:color w:val="auto"/>
        </w:rPr>
      </w:pPr>
    </w:p>
    <w:p>
      <w:pPr>
        <w:ind w:left="880" w:right="20" w:hanging="224"/>
        <w:spacing w:after="0" w:line="248"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278"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or terminate or shift the focus of its research and development funding, any of which would materially and adversely affect our business.</w:t>
      </w:r>
    </w:p>
    <w:p>
      <w:pPr>
        <w:spacing w:after="0" w:line="43" w:lineRule="exact"/>
        <w:rPr>
          <w:sz w:val="20"/>
          <w:szCs w:val="20"/>
          <w:color w:val="auto"/>
        </w:rPr>
      </w:pPr>
    </w:p>
    <w:p>
      <w:pPr>
        <w:ind w:left="120" w:right="360" w:firstLine="551"/>
        <w:spacing w:after="0" w:line="276" w:lineRule="auto"/>
        <w:rPr>
          <w:sz w:val="20"/>
          <w:szCs w:val="20"/>
          <w:color w:val="auto"/>
        </w:rPr>
      </w:pPr>
      <w:r>
        <w:rPr>
          <w:rFonts w:ascii="Arial" w:cs="Arial" w:eastAsia="Arial" w:hAnsi="Arial"/>
          <w:sz w:val="18"/>
          <w:szCs w:val="18"/>
          <w:color w:val="auto"/>
        </w:rPr>
        <w:t>Under the Collaboration Agreement, Merck has the unilateral right to terminate all or part of the agreement at certain times and under certain circumstances. Merck may unilaterally terminate the</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research phase of the collaboration program effective March 17, 2022 by providing notice to us prior to March 17, 2021. Merck may also unilaterally terminate its annual funding of the research program prior to March 17, 2022 if we are acquired by a third party or if we are in material uncured breach of our obligations under the research and early development program. After the current research phase of the collaboration or, if Merck again exercises its option to extend the research phase of the collaboration, after such extension period, Merck may unilaterally terminate the overall agreement for convenience upon written notice and subject to certain limitations.</w:t>
      </w:r>
    </w:p>
    <w:p>
      <w:pPr>
        <w:spacing w:after="0" w:line="172"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Subject to certain limitations, Merck may partially terminate the Collaboration Agreement for convenience as it relates to MK-3655 (NGM313) or any future licensed program. For example, Merck terminated its license to our GDF15 receptor agonist program, including NGM395 and NGM386, in May 2019. Merck may also unilaterally terminate the agreement as it relates to its rights to research and develop small molecule compounds. It may also unilaterally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would delay or preclude our ability complete our research and development programs, which would materially and adversely affect our business. For example, if Merck elects not to exercise its remaining option to extend the research phase of the collaboration beyond March 16, 2022, which Merck may unilaterally elect to do at its sole discretion, we would require significant additional capital in order to proceed with development and commercialization of any product candidates that had been subject to the Merck collaboration but Merck decides not to proceed with after termination of the research phase, or we will need to enter into additional collaboration or license agreements in order to fund such development and commercialization, which may not be possible, or we may be required to delay, scale back or discontinue development of such product candidates.</w:t>
      </w:r>
    </w:p>
    <w:p>
      <w:pPr>
        <w:spacing w:after="0" w:line="284"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21"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CROs, clinical investigators, manufacturers and other third parties to support our discovery efforts, to formulate product candidates, to conduct clinical trials for some or all of our product candidates,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17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172"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aldafermin, NGM120, NGM621, NGM707</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NGM438, to the extent we advance these product candidates, and will rely on Merck to determine whether to utilize a third-party manufacturer or internal manufacturing capacity for MK-3655 (NGM313) and other licensed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current Good Manufacturing Practices, or cGMP, and to pass inspections of the manufacturing facilities by the FDA or other regulatory agencies could seriously harm our business.</w:t>
      </w:r>
    </w:p>
    <w:p>
      <w:pPr>
        <w:spacing w:after="0" w:line="180"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CROs,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172" w:lineRule="exact"/>
        <w:rPr>
          <w:sz w:val="20"/>
          <w:szCs w:val="20"/>
          <w:color w:val="auto"/>
        </w:rPr>
      </w:pPr>
    </w:p>
    <w:p>
      <w:pPr>
        <w:ind w:left="120" w:right="140" w:firstLine="551"/>
        <w:spacing w:after="0" w:line="258" w:lineRule="auto"/>
        <w:rPr>
          <w:sz w:val="20"/>
          <w:szCs w:val="20"/>
          <w:color w:val="auto"/>
        </w:rPr>
      </w:pPr>
      <w:r>
        <w:rPr>
          <w:rFonts w:ascii="Arial" w:cs="Arial" w:eastAsia="Arial" w:hAnsi="Arial"/>
          <w:sz w:val="17"/>
          <w:szCs w:val="17"/>
          <w:color w:val="auto"/>
        </w:rPr>
        <w:t>We expect to expend substantial management time and effort to enter into relationships with third parties and, if we successfully enter into such relationships, to manage these relationships. In addition, substantial capital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271" w:lineRule="exact"/>
        <w:rPr>
          <w:sz w:val="20"/>
          <w:szCs w:val="20"/>
          <w:color w:val="auto"/>
        </w:rPr>
      </w:pPr>
    </w:p>
    <w:p>
      <w:pPr>
        <w:ind w:left="120" w:right="20"/>
        <w:spacing w:after="0" w:line="28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21"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NGM395 and NGM386, we may decide to collaborate with other pharmaceutical and biotechnology companies for their development and potential commercialization.</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and the existence of uncertainty with respect to our ownership of intellectual property, which can exist if there is a challenge to such ownership without regard to the merits of the challenge and industry and market conditions generally. Potential collaborators may also consider alternative product candidates or intellectual property for similar indications that may be available for collaboration and whether such an alternative collaboration could be more attractive than the one with us for our product candidate.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060"/>
          </w:cols>
          <w:pgMar w:left="320" w:top="455" w:right="5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8"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Collaboration Agreement, any medicine or product candidate that modulates a target then subject to the collaboration with specified activity. The FGF19 program, including aldafermin, is excluded from this provision, notwithstanding that both aldafermin and MK-3655 (NGM313) signal, in part, through the FGFR1c pathway. During the tail period following the research term of the collaboration, we may not directly or indirectly research, develop or commercialize, outside of the collaboration, any medicine or product candidate with specified activity against any collaboration target that has been designated a tail target.</w:t>
      </w:r>
    </w:p>
    <w:p>
      <w:pPr>
        <w:spacing w:after="0" w:line="163" w:lineRule="exact"/>
        <w:rPr>
          <w:sz w:val="20"/>
          <w:szCs w:val="20"/>
          <w:color w:val="auto"/>
        </w:rPr>
      </w:pPr>
    </w:p>
    <w:p>
      <w:pPr>
        <w:jc w:val="both"/>
        <w:ind w:left="120" w:right="180" w:firstLine="551"/>
        <w:spacing w:after="0" w:line="306" w:lineRule="auto"/>
        <w:rPr>
          <w:sz w:val="20"/>
          <w:szCs w:val="20"/>
          <w:color w:val="auto"/>
        </w:rPr>
      </w:pPr>
      <w:r>
        <w:rPr>
          <w:rFonts w:ascii="Arial" w:cs="Arial" w:eastAsia="Arial" w:hAnsi="Arial"/>
          <w:sz w:val="17"/>
          <w:szCs w:val="17"/>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23"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delay, scale back or discontinue the development of any product candidate for which we are seeking a collaboration,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jc w:val="both"/>
        <w:ind w:left="120" w:right="160"/>
        <w:spacing w:after="0" w:line="314"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preclinical studies, and those third parties may not perform satisfactorily, including failing to meet deadlines for the completion of such trials, research or testing.</w:t>
      </w:r>
    </w:p>
    <w:p>
      <w:pPr>
        <w:spacing w:after="0" w:line="2" w:lineRule="exact"/>
        <w:rPr>
          <w:sz w:val="20"/>
          <w:szCs w:val="20"/>
          <w:color w:val="auto"/>
        </w:rPr>
      </w:pPr>
    </w:p>
    <w:p>
      <w:pPr>
        <w:ind w:left="120" w:right="40" w:firstLine="551"/>
        <w:spacing w:after="0" w:line="268" w:lineRule="auto"/>
        <w:rPr>
          <w:sz w:val="20"/>
          <w:szCs w:val="20"/>
          <w:color w:val="auto"/>
        </w:rPr>
      </w:pPr>
      <w:r>
        <w:rPr>
          <w:rFonts w:ascii="Arial" w:cs="Arial" w:eastAsia="Arial" w:hAnsi="Arial"/>
          <w:sz w:val="17"/>
          <w:szCs w:val="17"/>
          <w:color w:val="auto"/>
        </w:rPr>
        <w:t>We currently rely on, and expect to continue to rely on, third parties, such as CROs, clinical data management organizations, medical institutions, consultants and clinical investigators, to conduct our clinical trials and certain aspects of our research and preclinical studies.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153"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commercialize our medicines. In this regard, we cannot guarantee that these third parties will continue to perform their contractual duties in a timely and satisfactory manner as a result of the COVID-19 pandemic or otherwise.</w:t>
      </w:r>
    </w:p>
    <w:p>
      <w:pPr>
        <w:spacing w:after="0" w:line="145"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We also expect to rely on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164" w:lineRule="exact"/>
        <w:rPr>
          <w:sz w:val="20"/>
          <w:szCs w:val="20"/>
          <w:color w:val="auto"/>
        </w:rPr>
      </w:pPr>
    </w:p>
    <w:p>
      <w:pPr>
        <w:ind w:left="120" w:right="480" w:firstLine="551"/>
        <w:spacing w:after="0" w:line="255" w:lineRule="auto"/>
        <w:rPr>
          <w:sz w:val="20"/>
          <w:szCs w:val="20"/>
          <w:color w:val="auto"/>
        </w:rPr>
      </w:pPr>
      <w:r>
        <w:rPr>
          <w:rFonts w:ascii="Arial" w:cs="Arial" w:eastAsia="Arial" w:hAnsi="Arial"/>
          <w:sz w:val="18"/>
          <w:szCs w:val="18"/>
          <w:color w:val="auto"/>
        </w:rPr>
        <w:t>In addition, we rely on these third parties to provide accurate financial information related to our research and development activities and if any inaccurate financial information were provided by these third parties, our results of operations could be adversely impacted.</w:t>
      </w:r>
    </w:p>
    <w:p>
      <w:pPr>
        <w:spacing w:after="0" w:line="272"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and clinical studies and expect to continue to do so for commercialization. This reliance on third parties increases the risk that we will not have sufficient quantities of our product candidates or that such supply will not be available to us on our requested timeline or at an acceptable cost, which could delay, prevent or impair our development or commercialization efforts.</w:t>
      </w:r>
    </w:p>
    <w:p>
      <w:pPr>
        <w:spacing w:after="0" w:line="52"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studies and for commercial supply of any of these product candidates for which we or our collaborator obtains marketing approval. To date, we have obtained aldafermin, MK-3655 (NGM313), NGM120, NGM621, NGM707 and NGM438 for preclinical and clinical studies from third-party manufacturers. Other than our supply agreement with Lonza for aldafermin drug substance, we do not have a long-term supply agreement with any third-party manufacturer.</w:t>
      </w:r>
    </w:p>
    <w:p>
      <w:pPr>
        <w:spacing w:after="0" w:line="172"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50" w:lineRule="exact"/>
        <w:rPr>
          <w:sz w:val="20"/>
          <w:szCs w:val="20"/>
          <w:color w:val="auto"/>
        </w:rPr>
      </w:pPr>
    </w:p>
    <w:p>
      <w:pPr>
        <w:ind w:left="880" w:right="6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the failure to supply product on the timelines and at the cost agreed to;</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12"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Third-party manufacturers may not be able to comply with cGMP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172"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our product candidates.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In this regard, remote work policies and quarantines, shelter-in-place and similar government orders related to the COVID-19 pandemic could impact personnel at third-party manufacturing facilities in the United States and other countries, or the availability or cost of materials, which would disrupt our supply chain and delay our clinical development efforts. In particular, some of our suppliers of certain materials used in the production of our drug products are located in Europe. For example,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We do not currently have arrangements in place for redundant supply for bulk drug substances or drug product. If any one of our current contract manufacturers cannot perform as agreed, we may be required to replace that manufacturer, if possible. Although there may be potential alternative manufacturers who could manufacture our product candidates, we would incur additional costs and experience delays in identifying and qualifying any such replacement.</w:t>
      </w:r>
    </w:p>
    <w:p>
      <w:pPr>
        <w:spacing w:after="0" w:line="176"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any future products may adversely affect our future profit margins and our ability to commercialize any products that receive marketing approval on a timely and competitive basis. Refer also to the risk factor entitled “We are subject to many manufacturing risks, any of which could substantially increase our costs and limit supply of our product candidates and any future products.”</w:t>
      </w: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 If we are unable to obtain regulatory approvals to market one or more of our product candidates, our business will be adversely affected.</w:t>
      </w:r>
    </w:p>
    <w:p>
      <w:pPr>
        <w:spacing w:after="0" w:line="2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The approval process is typically lengthy and expensive, and approval is never certain.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9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necessary to gain approval may change during the course of a product candidate’s development and may vary among jurisdictions. It is possible that none of our existing or future product candidates will ever obtain regulatory approval.</w:t>
      </w:r>
    </w:p>
    <w:p>
      <w:pPr>
        <w:spacing w:after="0" w:line="14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50"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7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Fast Track designation applies to the combination of the product and the specific indication for which it is being studied. Unique to a Fast Track product, the FDA may consider sections of the BLA for review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176" w:lineRule="exact"/>
        <w:rPr>
          <w:sz w:val="20"/>
          <w:szCs w:val="20"/>
          <w:color w:val="auto"/>
        </w:rPr>
      </w:pPr>
    </w:p>
    <w:p>
      <w:pPr>
        <w:ind w:left="120" w:right="80" w:firstLine="551"/>
        <w:spacing w:after="0" w:line="260" w:lineRule="auto"/>
        <w:rPr>
          <w:sz w:val="20"/>
          <w:szCs w:val="20"/>
          <w:color w:val="auto"/>
        </w:rPr>
      </w:pPr>
      <w:r>
        <w:rPr>
          <w:rFonts w:ascii="Arial" w:cs="Arial" w:eastAsia="Arial" w:hAnsi="Arial"/>
          <w:sz w:val="17"/>
          <w:szCs w:val="17"/>
          <w:color w:val="auto"/>
        </w:rPr>
        <w:t>Although aldafermin has received Fast Track designation from the FDA for NASH and PBC, we may not necessarily experience faster development timelines or achieve faster review or approval compared to conventional FDA procedures. Many agents in development for NASH have, or are expected to, opt for an accelerated approval pathway and rely on surrogate endpoints for initial approval. If we seek accelerated approval for one of our product candidates, including aldafermin for NASH, based on a surrogate endpoint, the FDA may not accept such endpoint, may require additional studies or analysis or may not approve our product candidate on an accelerated basis, or at all. For example, in June 2020, Intercept announced that it had received a complete response letter regarding</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its New Drug Application for OCA for the treatment of NASH, in which the FDA indicated that it had determined that the predicted benefit of OCA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w:t>
      </w:r>
    </w:p>
    <w:p>
      <w:pPr>
        <w:spacing w:after="0" w:line="172" w:lineRule="exact"/>
        <w:rPr>
          <w:sz w:val="20"/>
          <w:szCs w:val="20"/>
          <w:color w:val="auto"/>
        </w:rPr>
      </w:pPr>
    </w:p>
    <w:p>
      <w:pPr>
        <w:ind w:left="120" w:right="200" w:firstLine="551"/>
        <w:spacing w:after="0" w:line="277" w:lineRule="auto"/>
        <w:rPr>
          <w:sz w:val="20"/>
          <w:szCs w:val="20"/>
          <w:color w:val="auto"/>
        </w:rPr>
      </w:pPr>
      <w:r>
        <w:rPr>
          <w:rFonts w:ascii="Arial" w:cs="Arial" w:eastAsia="Arial" w:hAnsi="Arial"/>
          <w:sz w:val="17"/>
          <w:szCs w:val="17"/>
          <w:color w:val="auto"/>
        </w:rPr>
        <w:t>Further,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aldafermin or any other product candidate that we are developing or may develop.</w:t>
      </w:r>
    </w:p>
    <w:p>
      <w:pPr>
        <w:spacing w:after="0" w:line="255" w:lineRule="exact"/>
        <w:rPr>
          <w:sz w:val="20"/>
          <w:szCs w:val="20"/>
          <w:color w:val="auto"/>
        </w:rPr>
      </w:pPr>
    </w:p>
    <w:p>
      <w:pPr>
        <w:ind w:left="120" w:right="160"/>
        <w:spacing w:after="0" w:line="285"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2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04"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6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84" w:lineRule="exact"/>
        <w:rPr>
          <w:sz w:val="20"/>
          <w:szCs w:val="20"/>
          <w:color w:val="auto"/>
        </w:rPr>
      </w:pPr>
    </w:p>
    <w:p>
      <w:pPr>
        <w:ind w:left="880" w:right="260" w:hanging="224"/>
        <w:spacing w:after="0" w:line="27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17"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12" w:lineRule="exact"/>
        <w:rPr>
          <w:sz w:val="20"/>
          <w:szCs w:val="20"/>
          <w:color w:val="auto"/>
        </w:rPr>
      </w:pPr>
    </w:p>
    <w:p>
      <w:pPr>
        <w:ind w:left="120" w:right="660" w:firstLine="551"/>
        <w:spacing w:after="0" w:line="27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45"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72"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3" w:lineRule="auto"/>
        <w:rPr>
          <w:sz w:val="20"/>
          <w:szCs w:val="20"/>
          <w:color w:val="auto"/>
        </w:rPr>
      </w:pPr>
      <w:r>
        <w:rPr>
          <w:rFonts w:ascii="Arial" w:cs="Arial" w:eastAsia="Arial" w:hAnsi="Arial"/>
          <w:sz w:val="18"/>
          <w:szCs w:val="18"/>
          <w:color w:val="auto"/>
        </w:rPr>
        <w:t>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17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78"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43" w:lineRule="exact"/>
        <w:rPr>
          <w:sz w:val="20"/>
          <w:szCs w:val="20"/>
          <w:color w:val="auto"/>
        </w:rPr>
      </w:pPr>
    </w:p>
    <w:p>
      <w:pPr>
        <w:ind w:left="120" w:right="180" w:firstLine="551"/>
        <w:spacing w:after="0" w:line="239"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147"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 of matter, methods of use, formulations, combination therapy and other technologies relating to our product candidates. However,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18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patent examination process may require us or our current or future licensors, licensees or collaborators to narrow the scope of the claims of pending and future patent applications, which would limit the scope of patent protection that is obtained, if any.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Success in obtaining and maintaining patents and other intellectual property rights may depend upon being the first to make a particular invention or being the first inventor to file a patent application on that invention. However, the publication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an invention, or the first inventors to file a patent application claiming an invention in our owned or licensed patents or pending patent applications.</w:t>
      </w:r>
    </w:p>
    <w:p>
      <w:pPr>
        <w:spacing w:after="0" w:line="17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179"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We do not currently own or have a license to any issued patents that cover our NGM621 product candidate, although it is disclosed and claimed in our pending U.S. non-provisional and/or national</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stage applications in particular foreign countries. Likewise, we do not currently own or have a license to any issued patents that cover our NGM707 and NGM438 product candidates, although these product candidates are disclosed and claimed in our pending U.S. provisional applications. The patent landscape surrounding NGM621, NGM707 and NGM438 are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172"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Any changes we make to our product candidates, including aldafermin, MK-3655 (NGM313), NGM120, NGM621, NGM707 and NGM 438,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MK-3655 (NGM313), NGM120, NGM621, NGM707 and NGM438 or any of our other product candidates.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Thus, our existing patents and any future patents we obtain may not be sufficiently broad to prevent others from practicing our inventions or technologies, or from developing or commercializing competing products.</w:t>
      </w:r>
    </w:p>
    <w:p>
      <w:pPr>
        <w:spacing w:after="0" w:line="17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intellectual property rights in some countries outside the United States are less extensive than those in the United States. Competitors may use our technology and that of our current or future licensors, licensees or collaborators in jurisdictions where we have not obtained patent protection to develop their own products and, in some cases, may export otherwise infringing products to territories where we and our collaborator have patent protection, but enforcement is not as strong as that in the United States. These products may compete with our products and product candidates, and our patents or other intellectual property rights may not be effective or sufficient to prevent that competition.</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Europe and other countries impose limitations on inventions related to methods for treating the human body. Differences in national law and practice may limit the breadth and strength of any patents obtained by us or our current or future licensors, licensees or collaborators.</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India, certain countries in Europe, and certain developing countries, including Thailand, have compulsory licensing laws under which a patent owner may be compelled to grant licenses to third parties. Additionally, many countries limit the enforceability of patents against government agencies or government contractors. We or our licensors, licensees or collaborators may have limited remedies if patents are infringed or if compelled to grant a license to a third party, which could materially diminish the value of those patents and could limit our potential revenue opportunities.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Patent applications, issued patents and/or parts thereof must be translated into the native language in many foreign countries. If our patent applications or issued patents are translated incorrectly, they may not adequately cover our products, product candidates, or other technologies and it may not be possible to rectify an incorrect translation.</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or our current or future licensors, licensees or collaborators to stop the infringement of the patents or the marketing of competing products in violation of the patent or other proprietary rights. Proceedings to enforce patent rights in foreign jurisdictions could result in substantial costs and divert the attention of us or our current or future licensors, licensees or collaborators from other aspects of our business, could put the patents at risk of being invalidated or interpreted narrowly, could place the patent applications at risk of not issuing, and/or could provoke third parties to assert claims against us or our current or future licensors, licensees or collaborators. We or our current or future licensors, licensees or collaborators may not prevail in any lawsuits that are initiated and the damages or other remedies awarded, if any, may not be commercially meaningful.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duration of our intellectual property rights is limited.</w:t>
      </w:r>
    </w:p>
    <w:p>
      <w:pPr>
        <w:spacing w:after="0" w:line="10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Patents generally have a term of 20 years from the earliest effective filing date of the application that first discloses the claimed invention or an obvious variant thereof.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and we may need to rely solely on regulatory or similar protections, if they are available.</w:t>
      </w:r>
    </w:p>
    <w:p>
      <w:pPr>
        <w:spacing w:after="0" w:line="17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expect to seek extensions of patent terms for our issued patents, where available. In the United States, this includes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the patent are not enforceable over their full scope, but instead are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291" w:lineRule="exact"/>
        <w:rPr>
          <w:sz w:val="20"/>
          <w:szCs w:val="20"/>
          <w:color w:val="auto"/>
        </w:rPr>
      </w:pPr>
    </w:p>
    <w:p>
      <w:pPr>
        <w:ind w:left="120" w:right="20"/>
        <w:spacing w:after="0" w:line="285" w:lineRule="auto"/>
        <w:rPr>
          <w:sz w:val="20"/>
          <w:szCs w:val="20"/>
          <w:color w:val="auto"/>
        </w:rPr>
      </w:pPr>
      <w:r>
        <w:rPr>
          <w:rFonts w:ascii="Arial" w:cs="Arial" w:eastAsia="Arial" w:hAnsi="Arial"/>
          <w:sz w:val="18"/>
          <w:szCs w:val="18"/>
          <w:b w:val="1"/>
          <w:bCs w:val="1"/>
          <w:i w:val="1"/>
          <w:iCs w:val="1"/>
          <w:color w:val="auto"/>
        </w:rPr>
        <w:t>Non-compliance with various procedural, document submission, fee payment and other requirements imposed by governmental patent agencies could adversely affect our patent protection.</w:t>
      </w:r>
    </w:p>
    <w:p>
      <w:pPr>
        <w:spacing w:after="0" w:line="21"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or USPTO, and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be cured, in some cases,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or future licensors, licensees or collaborators fail to maintain the patents and patent applications covering our product candidates, our competitors might be able to enter the market with similar or identical products or technologies, which would have a material adverse effect on our business, financial condition and results of operations.</w:t>
      </w:r>
    </w:p>
    <w:p>
      <w:pPr>
        <w:spacing w:after="0" w:line="28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 and product candidates.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could weaken the ability of us and our current or future licensors, licensees or collaborators to obtain new patents or to enforce existing patents and patents we may obtain in the future.</w:t>
      </w:r>
    </w:p>
    <w:p>
      <w:pPr>
        <w:spacing w:after="0" w:line="288" w:lineRule="exact"/>
        <w:rPr>
          <w:sz w:val="20"/>
          <w:szCs w:val="20"/>
          <w:color w:val="auto"/>
        </w:rPr>
      </w:pPr>
    </w:p>
    <w:p>
      <w:pPr>
        <w:ind w:left="120" w:right="220"/>
        <w:spacing w:after="0" w:line="285"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21"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Several third parties are actively researching and seeking and obtaining patent protection in the liver and metabolic diseases, retinal diseases and cancer fields, and there are issued third-party patents and published third-party patent applications in these fields. The patent landscape around our aldafermin, MK-3655 (NGM313), NGM120, NGM621, NGM707 and NGM438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179"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020"/>
          </w:cols>
          <w:pgMar w:left="320" w:top="455" w:right="5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60"/>
        <w:spacing w:after="0" w:line="306" w:lineRule="auto"/>
        <w:rPr>
          <w:sz w:val="20"/>
          <w:szCs w:val="20"/>
          <w:color w:val="auto"/>
        </w:rPr>
      </w:pPr>
      <w:r>
        <w:rPr>
          <w:rFonts w:ascii="Arial" w:cs="Arial" w:eastAsia="Arial" w:hAnsi="Arial"/>
          <w:sz w:val="17"/>
          <w:szCs w:val="17"/>
          <w:color w:val="auto"/>
        </w:rPr>
        <w:t>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12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under which we license cell lines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 -licenses to third parties, which could affect our ability or Merck’s ability to use certain desired manufacturers in order to manufacture our product candidates.</w:t>
      </w:r>
    </w:p>
    <w:p>
      <w:pPr>
        <w:spacing w:after="0" w:line="180" w:lineRule="exact"/>
        <w:rPr>
          <w:sz w:val="20"/>
          <w:szCs w:val="20"/>
          <w:color w:val="auto"/>
        </w:rPr>
      </w:pPr>
    </w:p>
    <w:p>
      <w:pPr>
        <w:ind w:left="120" w:right="80" w:firstLine="551"/>
        <w:spacing w:after="0" w:line="268" w:lineRule="auto"/>
        <w:rPr>
          <w:sz w:val="20"/>
          <w:szCs w:val="20"/>
          <w:color w:val="auto"/>
        </w:rPr>
      </w:pPr>
      <w:r>
        <w:rPr>
          <w:rFonts w:ascii="Arial" w:cs="Arial" w:eastAsia="Arial" w:hAnsi="Arial"/>
          <w:sz w:val="17"/>
          <w:szCs w:val="17"/>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61" w:lineRule="exact"/>
        <w:rPr>
          <w:sz w:val="20"/>
          <w:szCs w:val="20"/>
          <w:color w:val="auto"/>
        </w:rPr>
      </w:pPr>
    </w:p>
    <w:p>
      <w:pPr>
        <w:ind w:left="120" w:right="68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21"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8"/>
          <w:szCs w:val="18"/>
          <w:color w:val="auto"/>
        </w:rPr>
        <w:t>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18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Third-party pre -issuance submission of prior art to the USPTO, opposition, derivation, revocation, reexamination, inter partes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4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commercial success depends upon our ability and that of our current or future licensors, licensees or collaborators to develop, manufacture, market and sell any product candidates that we may develop and use our proprietary technologies without infringing, misappropriating or otherwise violating the intellectual property and proprietary rights of third parties. 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inter partes review or derivation proceedings before the USPTO or its counterparts in other jurisdictions. These proceedings can be expensive, lengthy and time-consuming, and many of our adversaries may have the ability to dedicate substantially greater resources to prosecuting these legal actions than us.</w:t>
      </w:r>
    </w:p>
    <w:p>
      <w:pPr>
        <w:spacing w:after="0" w:line="18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pacing w:after="0" w:line="17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of our product candidates. Such searches generally are conducted based on keywords, amino acid and nucleic acid sequences, inventors/authors and assignees/entities to capture U.S. and European patents and patent applications, PCT publications and scientific journal articles. There can be no assurance that these searches will identify all potentially relevant patents or patent applications, and the failure to identify any such patents or patent applications could have a material adverse effect on the commercialization of our product candidates.</w:t>
      </w:r>
    </w:p>
    <w:p>
      <w:pPr>
        <w:spacing w:after="0" w:line="17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are aware of several third-party patents and patent applications containing claims directed to compositions of matter, methods of use and related subject matter, some of which pertain, at least in part, to subject matter that might be relevant to our aldafermin, MK-3655 (NGM313), NGM120, NGM621 NGM707 and NGM438 product candidates.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below, or any appeals stemming therefrom. As to pending third-party applications, we cannot predict with any certainty the claims that will issue, if any, or the scope of such issued claims.</w:t>
      </w:r>
    </w:p>
    <w:p>
      <w:pPr>
        <w:spacing w:after="0" w:line="179"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filed an opposition in the European Patent Office, or EPO, against a patent, granted to St. Vincent’s Hospital Sydney Limited, or St. Vincent’s, claiming the use of MIC-1, also known as GDF15, for the treatment of obesity. The Opposition Division of the EPO upheld the patent as granted in the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first instance proceedings. We appealed this decision to the Board of Appeals but subsequently withdrew from the opposition. The opposition proceedings were terminated with the patent being maintained. If we were to decide to continue development of NGM395, we may not be able to commercially launch NGM395 in Europe for the treatment of obesity without a license from St. Vincent’s or until after the patent’s expiration, which is currently scheduled for April 2025. There is no assurance that such a license, if necessary, can be obtained from St. Vincent’s on commercially reasonable terms, or at all.</w:t>
      </w:r>
    </w:p>
    <w:p>
      <w:pPr>
        <w:spacing w:after="0" w:line="1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filed an opposition in the EPO against a patent, granted to Amgen, claiming the use of GDF15 polypeptides for the treatment of several metabolic disorders, including obesity. At the first instance proceedings, the Opposition Division of the EPO maintained the patent in view of amendments to the patent and statements by Amgen disclaiming the treatment of obesity. We appealed to the Board of Appeals at the EPO the Opposition Division’s decision to maintain the Amgen patent. If we were to decide to continue development of NGM395 and should the patent be upheld on appeal or should we decide not to pursue the appeal, we may not be able to commercially launch NGM395 in Europe for the treatment of any metabolic orders encompassed by the claims without a license from Amgen or until after the patent’s expiration, which is currently scheduled for April 2032. There is no assurance that such a license, if necessary, can be obtained from Amgen on commercially reasonable terms, or at all.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91"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or our employees have misappropriated their intellectual property or claiming ownership of what we regard as our own intellectual property.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Most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100"/>
          </w:cols>
          <w:pgMar w:left="320" w:top="455"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such claims, we may lose valuable intellectual property rights or personnel, pay monetary damages and/or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78" w:lineRule="exact"/>
        <w:rPr>
          <w:sz w:val="20"/>
          <w:szCs w:val="20"/>
          <w:color w:val="auto"/>
        </w:rPr>
      </w:pPr>
    </w:p>
    <w:p>
      <w:pPr>
        <w:ind w:left="120" w:right="100"/>
        <w:spacing w:after="0" w:line="285" w:lineRule="auto"/>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 or otherwise be unable to secure ownership of our intellectual property.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and other claims. If we fail in defending any such claims, in addition to paying monetary damages, we may lose valuable intellectual property rights, such as exclusive ownership of, or right to use, intellectual property that is important to our products and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9" w:lineRule="exact"/>
        <w:rPr>
          <w:sz w:val="20"/>
          <w:szCs w:val="20"/>
          <w:color w:val="auto"/>
        </w:rPr>
      </w:pPr>
    </w:p>
    <w:p>
      <w:pPr>
        <w:ind w:left="120" w:right="300" w:firstLine="551"/>
        <w:spacing w:after="0" w:line="241" w:lineRule="auto"/>
        <w:rPr>
          <w:sz w:val="20"/>
          <w:szCs w:val="20"/>
          <w:color w:val="auto"/>
        </w:rPr>
      </w:pPr>
      <w:r>
        <w:rPr>
          <w:rFonts w:ascii="Arial" w:cs="Arial" w:eastAsia="Arial" w:hAnsi="Arial"/>
          <w:sz w:val="18"/>
          <w:szCs w:val="18"/>
          <w:color w:val="auto"/>
        </w:rPr>
        <w:t>It is our policy to require our employees and contractors who may be involved in the conception or development of intellectual property to execute agreements assigning such intellectual property to us. However,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0" w:lineRule="exact"/>
        <w:rPr>
          <w:sz w:val="20"/>
          <w:szCs w:val="20"/>
          <w:color w:val="auto"/>
        </w:rPr>
      </w:pPr>
    </w:p>
    <w:p>
      <w:pPr>
        <w:ind w:left="880" w:right="18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technologies that are not covered by the claims of the patents that we license or may own in the future;</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make the inventions covered by the issued patents and pending patent applications that we license or may own in the future;</w:t>
      </w:r>
    </w:p>
    <w:p>
      <w:pPr>
        <w:spacing w:after="0" w:line="50"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file patent applications covering certain of our or their inventions;</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or unenforceable, including as a result of legal challenges by our competitors;</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060"/>
          </w:cols>
          <w:pgMar w:left="320" w:top="455" w:right="51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45" w:lineRule="exact"/>
        <w:rPr>
          <w:sz w:val="20"/>
          <w:szCs w:val="20"/>
          <w:color w:val="auto"/>
        </w:rPr>
      </w:pPr>
    </w:p>
    <w:p>
      <w:pPr>
        <w:ind w:left="120" w:right="740" w:firstLine="551"/>
        <w:spacing w:after="0" w:line="27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4" w:lineRule="exact"/>
        <w:rPr>
          <w:sz w:val="20"/>
          <w:szCs w:val="20"/>
          <w:color w:val="auto"/>
        </w:rPr>
      </w:pPr>
    </w:p>
    <w:p>
      <w:pPr>
        <w:ind w:left="120" w:right="860"/>
        <w:spacing w:after="0" w:line="285"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21"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$32.05 on December 30, 2020 and a low of $8.81 on October 7, 2019.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76" w:lineRule="exact"/>
        <w:rPr>
          <w:sz w:val="20"/>
          <w:szCs w:val="20"/>
          <w:color w:val="auto"/>
        </w:rPr>
      </w:pPr>
    </w:p>
    <w:p>
      <w:pPr>
        <w:ind w:left="880" w:right="40" w:hanging="224"/>
        <w:spacing w:after="0" w:line="255"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Merck’s failure to exercise its remaining unilateral option to extend the research phase of the collaboration, any termination of the collaboration or other change in our relationship with Merck;</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88" w:lineRule="exact"/>
        <w:rPr>
          <w:sz w:val="20"/>
          <w:szCs w:val="20"/>
          <w:color w:val="auto"/>
        </w:rPr>
      </w:pPr>
    </w:p>
    <w:p>
      <w:pPr>
        <w:ind w:left="120" w:right="820"/>
        <w:spacing w:after="0" w:line="285"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also to the risk factor entitled “Sales of a substantial number of shares of our common stock in the public market could cause our stock price to fall.”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0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272" w:lineRule="exact"/>
        <w:rPr>
          <w:sz w:val="20"/>
          <w:szCs w:val="20"/>
          <w:color w:val="auto"/>
        </w:rPr>
      </w:pPr>
    </w:p>
    <w:p>
      <w:pPr>
        <w:ind w:left="120" w:right="540"/>
        <w:spacing w:after="0" w:line="285"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yield a return.</w:t>
      </w:r>
    </w:p>
    <w:p>
      <w:pPr>
        <w:spacing w:after="0" w:line="21"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We will have broad discretion over the use of proceeds from this offering. You may not agree with our decisions, and our use of the proceeds may not yield any return on your investment in us. Our failure to apply the net proceeds of this offering effectively could result in financial losses that could materially impair our ability to pursue our growth strategy, cause the price of our common stock to decline, delay development of our product candidates or require us to raise additional capital.</w:t>
      </w:r>
    </w:p>
    <w:p>
      <w:pPr>
        <w:spacing w:after="0" w:line="278" w:lineRule="exact"/>
        <w:rPr>
          <w:sz w:val="20"/>
          <w:szCs w:val="20"/>
          <w:color w:val="auto"/>
        </w:rPr>
      </w:pPr>
    </w:p>
    <w:p>
      <w:pPr>
        <w:ind w:left="120" w:right="500"/>
        <w:spacing w:after="0" w:line="314" w:lineRule="auto"/>
        <w:rPr>
          <w:sz w:val="20"/>
          <w:szCs w:val="20"/>
          <w:color w:val="auto"/>
        </w:rPr>
      </w:pPr>
      <w:r>
        <w:rPr>
          <w:rFonts w:ascii="Arial" w:cs="Arial" w:eastAsia="Arial" w:hAnsi="Arial"/>
          <w:sz w:val="17"/>
          <w:szCs w:val="17"/>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2" w:lineRule="exact"/>
        <w:rPr>
          <w:sz w:val="20"/>
          <w:szCs w:val="20"/>
          <w:color w:val="auto"/>
        </w:rPr>
      </w:pPr>
    </w:p>
    <w:p>
      <w:pPr>
        <w:ind w:left="120" w:right="180" w:firstLine="551"/>
        <w:spacing w:after="0" w:line="276"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280"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43" w:lineRule="exact"/>
        <w:rPr>
          <w:sz w:val="20"/>
          <w:szCs w:val="20"/>
          <w:color w:val="auto"/>
        </w:rPr>
      </w:pPr>
    </w:p>
    <w:p>
      <w:pPr>
        <w:ind w:left="120" w:right="900" w:firstLine="551"/>
        <w:spacing w:after="0" w:line="306" w:lineRule="auto"/>
        <w:rPr>
          <w:sz w:val="20"/>
          <w:szCs w:val="20"/>
          <w:color w:val="auto"/>
        </w:rPr>
      </w:pPr>
      <w:r>
        <w:rPr>
          <w:rFonts w:ascii="Arial" w:cs="Arial" w:eastAsia="Arial" w:hAnsi="Arial"/>
          <w:sz w:val="17"/>
          <w:szCs w:val="17"/>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28" w:lineRule="exact"/>
        <w:rPr>
          <w:sz w:val="20"/>
          <w:szCs w:val="20"/>
          <w:color w:val="auto"/>
        </w:rPr>
      </w:pPr>
    </w:p>
    <w:p>
      <w:pPr>
        <w:ind w:left="880" w:right="48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requiring that our independent registered public accounting firm provide an attestation report on the effectiveness of our internal control over financial reporting;</w:t>
      </w:r>
    </w:p>
    <w:p>
      <w:pPr>
        <w:spacing w:after="0" w:line="50" w:lineRule="exact"/>
        <w:rPr>
          <w:rFonts w:ascii="Arial" w:cs="Arial" w:eastAsia="Arial" w:hAnsi="Arial"/>
          <w:sz w:val="18"/>
          <w:szCs w:val="18"/>
          <w:color w:val="auto"/>
        </w:rPr>
      </w:pPr>
    </w:p>
    <w:p>
      <w:pPr>
        <w:ind w:left="880" w:right="60" w:hanging="224"/>
        <w:spacing w:after="0" w:line="245"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or the Dodd-Frank Act, and some of the disclosure requirements of the Dodd-Frank Act relating to compensation of our chief executive officer; and</w:t>
      </w:r>
    </w:p>
    <w:p>
      <w:pPr>
        <w:spacing w:after="0" w:line="77"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Exchange Act, and instead provide a reduced level of disclosure concerning executive compensation.</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Because our independent registered public accounting firm is not required to provide an attestation report on the effectiveness of our internal control over financial reporting so long as we qualify as an “emerging growth company,” the risk that material weaknesses or significant deficiencies in our internal control over financial reporting go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SEC, may make it more difficult for investors and securities analysts to evaluate our company.</w:t>
      </w:r>
    </w:p>
    <w:p>
      <w:pPr>
        <w:spacing w:after="0" w:line="174"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172" w:lineRule="exact"/>
        <w:rPr>
          <w:sz w:val="20"/>
          <w:szCs w:val="20"/>
          <w:color w:val="auto"/>
        </w:rPr>
      </w:pPr>
    </w:p>
    <w:p>
      <w:pPr>
        <w:ind w:left="120" w:right="440" w:firstLine="551"/>
        <w:spacing w:after="0" w:line="255" w:lineRule="auto"/>
        <w:rPr>
          <w:sz w:val="20"/>
          <w:szCs w:val="20"/>
          <w:color w:val="auto"/>
        </w:rPr>
      </w:pPr>
      <w:r>
        <w:rPr>
          <w:rFonts w:ascii="Arial" w:cs="Arial" w:eastAsia="Arial" w:hAnsi="Arial"/>
          <w:sz w:val="18"/>
          <w:szCs w:val="18"/>
          <w:color w:val="auto"/>
        </w:rPr>
        <w:t>With respect to the JOBS Act, we are also taking advantage of some, but not all, of the reduced regulatory and reporting requirements that are available to us so long as we qualify as an “emerging growth company.” For example, we are not subject to the same new or revised accounting standards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55" w:lineRule="auto"/>
        <w:rPr>
          <w:sz w:val="20"/>
          <w:szCs w:val="20"/>
          <w:color w:val="auto"/>
        </w:rPr>
      </w:pPr>
      <w:r>
        <w:rPr>
          <w:rFonts w:ascii="Arial" w:cs="Arial" w:eastAsia="Arial" w:hAnsi="Arial"/>
          <w:sz w:val="18"/>
          <w:szCs w:val="18"/>
          <w:color w:val="auto"/>
        </w:rPr>
        <w:t>as other public companies that are not “emerging growth companies.” As a result, changes in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64"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and reduced requirements. If some investors find our common stock less attractive as a result, there may be a less active trading market for our common stock, and our stock price may be more volatile and may decline. In addition, if we lose our “emerging growth company” status sooner than anticipated, we may incur additional costs to comply with rules and regulations required for public companies, which may impact our financial position and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For the trading days during the three months ended September 30, 2020, the average daily trading volume for our common stock on The Nasdaq Global Select Market was only 180,030 shares. As a result, sales of a substantial number of shares of our common stock in the public market, including pursuant to the Sales Agreement or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 Shares issued to Merck in the private placement that occurred concurrently with our IPO became available for sale in the public market beginning on March 17, 2020, subject to the conditions of Rule 144 under the Securities Act of 1933, as amended, or the Securities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0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The price of our common stock in this offering is higher than the net tangible book value per share of our common stock. Therefore, if you purchase shares of our common stock in this offering, you will pay a price per share that substantially exceeds our net tangible book value per share after this offering. To the extent outstanding options are exercised, you will incur further dilution. Our net tangible book value as of September 30, 2020 was $276.1 million, or $ 4.01 per share. As a result, if you purchase shares of our common stock in this offering, you will incur an immediate dilution of $21.66 in net tangible book value per share from the price you paid. See the section of this prospectus supplement entitled “Dilution” for a more detailed discussion of the dilution you will incur if you purchase common stock in this offering.</w:t>
      </w:r>
    </w:p>
    <w:p>
      <w:pPr>
        <w:spacing w:after="0" w:line="179"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If we issue additional shares of common stock, or securities convertible into or exchangeable or exercisable for shares of common stock, including pursuant to the Sales Agreement, our stockholders, including investors who purchase shares of common stock in this offering, will experience additional dilution, and any such issuances may result in downward pressure on the price of our common stock. We also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jc w:val="both"/>
        <w:ind w:left="120" w:right="40" w:firstLine="551"/>
        <w:spacing w:after="0" w:line="255"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investors in this offering will therefore be limited to the appreciation of their stock, if any.</w:t>
      </w:r>
    </w:p>
    <w:p>
      <w:pPr>
        <w:spacing w:after="0" w:line="27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43"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69" w:lineRule="exact"/>
        <w:rPr>
          <w:sz w:val="20"/>
          <w:szCs w:val="20"/>
          <w:color w:val="auto"/>
        </w:rPr>
      </w:pPr>
    </w:p>
    <w:p>
      <w:pPr>
        <w:ind w:left="880" w:right="4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50"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50" w:lineRule="exact"/>
        <w:rPr>
          <w:rFonts w:ascii="Arial" w:cs="Arial" w:eastAsia="Arial" w:hAnsi="Arial"/>
          <w:sz w:val="18"/>
          <w:szCs w:val="18"/>
          <w:color w:val="auto"/>
        </w:rPr>
      </w:pPr>
    </w:p>
    <w:p>
      <w:pPr>
        <w:ind w:left="880" w:right="64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45"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78" w:lineRule="exact"/>
        <w:rPr>
          <w:sz w:val="20"/>
          <w:szCs w:val="20"/>
          <w:color w:val="auto"/>
        </w:rPr>
      </w:pPr>
    </w:p>
    <w:p>
      <w:pPr>
        <w:ind w:left="120" w:right="50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5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ind w:left="120" w:right="180"/>
        <w:spacing w:after="0" w:line="285"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21"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280" w:lineRule="exact"/>
        <w:rPr>
          <w:sz w:val="20"/>
          <w:szCs w:val="20"/>
          <w:color w:val="auto"/>
        </w:rPr>
      </w:pPr>
    </w:p>
    <w:p>
      <w:pPr>
        <w:ind w:left="120" w:right="380"/>
        <w:spacing w:after="0" w:line="285"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288"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8" w:lineRule="exact"/>
        <w:rPr>
          <w:sz w:val="20"/>
          <w:szCs w:val="20"/>
          <w:color w:val="auto"/>
        </w:rPr>
      </w:pPr>
    </w:p>
    <w:p>
      <w:pPr>
        <w:ind w:left="120" w:right="28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080"/>
          </w:cols>
          <w:pgMar w:left="320" w:top="455"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This prospectus supplement, the accompanying prospectus and the documents we have filed with the SEC that are incorporated by reference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79" w:lineRule="exact"/>
        <w:rPr>
          <w:sz w:val="20"/>
          <w:szCs w:val="20"/>
          <w:color w:val="auto"/>
        </w:rPr>
      </w:pPr>
    </w:p>
    <w:p>
      <w:pPr>
        <w:ind w:left="880" w:right="84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and the initiation of, enrollment in, availability of data for and other events related to such trials;</w:t>
      </w:r>
    </w:p>
    <w:p>
      <w:pPr>
        <w:spacing w:after="0" w:line="50" w:lineRule="exact"/>
        <w:rPr>
          <w:rFonts w:ascii="Arial" w:cs="Arial" w:eastAsia="Arial" w:hAnsi="Arial"/>
          <w:sz w:val="18"/>
          <w:szCs w:val="18"/>
          <w:color w:val="auto"/>
        </w:rPr>
      </w:pPr>
    </w:p>
    <w:p>
      <w:pPr>
        <w:jc w:val="both"/>
        <w:ind w:left="880" w:right="120" w:hanging="224"/>
        <w:spacing w:after="0" w:line="255"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or our partners’ ability to obtain and maintain regulatory approval for aldafermin (NGM282), MK-3655 (NGM313), NGM621, NGM120, NGM707, NGM438 and any of our future product candidates, and any related restrictions, limitations and/or warnings in the label of an approved product candidate;</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belief that aldafermin may have the potential to be a treatment for NASH patients with moderate to advanced fibrosis;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roles of ILT2, ILT4 and LAIR1 in cancer and the potential consequences of ILT2, ILT4 and LAIR1 blockade;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 side effects and our ability to effectively manage these side effects;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belief that MK-3655 (NGM313) may have the potential to be a treatment for NASH patients with early to moderate fibrosis;</w:t>
      </w:r>
    </w:p>
    <w:p>
      <w:pPr>
        <w:spacing w:after="0" w:line="117" w:lineRule="exact"/>
        <w:rPr>
          <w:rFonts w:ascii="Arial" w:cs="Arial" w:eastAsia="Arial" w:hAnsi="Arial"/>
          <w:sz w:val="18"/>
          <w:szCs w:val="18"/>
          <w:color w:val="auto"/>
        </w:rPr>
      </w:pPr>
    </w:p>
    <w:p>
      <w:pPr>
        <w:ind w:left="880" w:right="220" w:hanging="224"/>
        <w:spacing w:after="0" w:line="255"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renewal of our research collaboration, product development and license agreement with Merck and the possibility that Merck will decide to exercise its option to license certain programs upon our completion of a proof-of-concept study in humans;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potential commercialization of aldafermin, MK-3655 (NGM313), NGM621, NGM120, NGM707, NGM438 or any other future approved product;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 in a timely manner from, third-party suppliers and manufacturers;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this prospectus supplement.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the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We estimate that the net proceeds from this offering will be approximately $117.0 million, or approximately $134.7 million if the underwriters exercise in full their option to purchase additional shares of common stock, after deducting underwriting discounts and commissions and estimated offering expenses payable by us.</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intend to use the net proceeds from this offering for working capital and other general corporate purposes, which may include funding our pipeline of development programs, general and administrative activities and capital expenditures. Pending the application of the net proceeds, we expect to invest the proceeds in investment-grade, interest-bearing instruments or other securities. We will retain broad discretion over the use of the net proceeds from this offering.</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0920"/>
          </w:cols>
          <w:pgMar w:left="320" w:top="455" w:right="6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jc w:val="both"/>
        <w:ind w:left="120" w:right="40" w:firstLine="551"/>
        <w:spacing w:after="0" w:line="248" w:lineRule="auto"/>
        <w:rPr>
          <w:sz w:val="20"/>
          <w:szCs w:val="20"/>
          <w:color w:val="auto"/>
        </w:rPr>
      </w:pPr>
      <w:r>
        <w:rPr>
          <w:rFonts w:ascii="Arial" w:cs="Arial" w:eastAsia="Arial" w:hAnsi="Arial"/>
          <w:sz w:val="18"/>
          <w:szCs w:val="18"/>
          <w:color w:val="auto"/>
        </w:rPr>
        <w:t>Dilution is the amount by which the price paid by the purchasers of the shares of common stock sold in the offering exceeds the net tangible book value per share of common stock after the offering. Net tangible book value per share is determined by subtracting our total liabilities from the total book value of our tangible assets and dividing the difference by the number of shares of common stock deemed to be outstanding at that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historical net tangible book value as of September 30, 2020 was $276.1 million, or $4.01 per share.</w:t>
      </w:r>
    </w:p>
    <w:p>
      <w:pPr>
        <w:spacing w:after="0" w:line="212"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After giving effect to the sale of 4,629,630 shares of common stock in this offering at the public offering price of $27.00 per share, and after deducting underwriting discounts and commissions and estimated offering expenses payable by us, our as adjusted net tangible book value as of September 30, 2020 would have been approximately $393.1 million, or $5.34 per share. This represents an immediate increase in as adjusted net tangible book value of $1.33 per share to our existing stockholders and immediate dilution of $21.66 per share to new investors purchasing common stock in this offering.</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share basis to new investors participating in this offering:</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27.00</w:t>
            </w: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September 30, 2020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4.01</w:t>
            </w: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per share attributable to new investors participating in this offering</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1.33</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844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adjusted net tangible book value per share to new investors participating in this offering</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21.66</w:t>
            </w:r>
          </w:p>
        </w:tc>
      </w:tr>
      <w:tr>
        <w:trPr>
          <w:trHeight w:val="20"/>
        </w:trPr>
        <w:tc>
          <w:tcPr>
            <w:tcW w:w="8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If the underwriters exercise in full their option to purchase additional shares of our common stock at the public offering price of $27.00 per share, the as adjusted net tangible book value per share after giving effect to this offering would be $5.53 per share, representing an immediate increase to existing stockholders of $1.52 per share, and immediate dilution to new investors participating in this offering of $21.47 per share.</w:t>
      </w:r>
    </w:p>
    <w:p>
      <w:pPr>
        <w:spacing w:after="0" w:line="170" w:lineRule="exact"/>
        <w:rPr>
          <w:sz w:val="20"/>
          <w:szCs w:val="20"/>
          <w:color w:val="auto"/>
        </w:rPr>
      </w:pPr>
    </w:p>
    <w:p>
      <w:pPr>
        <w:ind w:left="120" w:right="180" w:firstLine="551"/>
        <w:spacing w:after="0" w:line="276" w:lineRule="auto"/>
        <w:rPr>
          <w:sz w:val="20"/>
          <w:szCs w:val="20"/>
          <w:color w:val="auto"/>
        </w:rPr>
      </w:pPr>
      <w:r>
        <w:rPr>
          <w:rFonts w:ascii="Arial" w:cs="Arial" w:eastAsia="Arial" w:hAnsi="Arial"/>
          <w:sz w:val="18"/>
          <w:szCs w:val="18"/>
          <w:color w:val="auto"/>
        </w:rPr>
        <w:t>The foregoing discussion and table are based on 68,934,767 shares of our common stock outstanding as of September 30, 2020, and exclude, in each case as of September 30, 2020, the following:</w:t>
      </w:r>
    </w:p>
    <w:p>
      <w:pPr>
        <w:spacing w:after="0" w:line="50" w:lineRule="exact"/>
        <w:rPr>
          <w:sz w:val="20"/>
          <w:szCs w:val="20"/>
          <w:color w:val="auto"/>
        </w:rPr>
      </w:pPr>
    </w:p>
    <w:p>
      <w:pPr>
        <w:ind w:left="880" w:right="600" w:hanging="224"/>
        <w:spacing w:after="0" w:line="27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10,651,475 shares of our common stock issuable upon the exercise of outstanding stock options with a weighted-average exercise price of $10.03 per share;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6,309,573 shares of our common stock available for issuance or future grant under the EIP;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788,120 shares of our common stock available for issuance under the ESPP;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21,930 shares of our common stock reserved for future issuance under the Matching Plan.</w:t>
      </w:r>
    </w:p>
    <w:p>
      <w:pPr>
        <w:spacing w:after="0" w:line="21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The foregoing discussion and table do not reflect any automatic (or other) increases in the number of shares of common stock reserved for future issuance under the EIP, the ESPP or the Matching Plan, including the 2,823,565 shares of common stock automatically added to the EIP on January 1, 2021 in accordance with the terms of the EIP. In addition, the foregoing discussion and</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140"/>
          </w:cols>
          <w:pgMar w:left="32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table also do not include up to $150.0 million of our common stock that remained available for sale at September 30, 2020 under the Sales Agreement. Between September 30, 2020 and the date of this prospectus supplement, 809,700 shares were sold under the Sales Agreement at an average price of $27.94 per share for net proceeds of $21.9 million, after deducting sales commissions. As of the date of this prospectus supplement, $127.4 million of common stock remained available to be sold under the Sales Agreement, subject to certain conditions as specified in the agreement.</w:t>
      </w:r>
    </w:p>
    <w:p>
      <w:pPr>
        <w:spacing w:after="0" w:line="172" w:lineRule="exact"/>
        <w:rPr>
          <w:sz w:val="20"/>
          <w:szCs w:val="20"/>
          <w:color w:val="auto"/>
        </w:rPr>
      </w:pPr>
    </w:p>
    <w:p>
      <w:pPr>
        <w:ind w:left="120" w:right="220" w:firstLine="551"/>
        <w:spacing w:after="0" w:line="268" w:lineRule="auto"/>
        <w:rPr>
          <w:sz w:val="20"/>
          <w:szCs w:val="20"/>
          <w:color w:val="auto"/>
        </w:rPr>
      </w:pPr>
      <w:r>
        <w:rPr>
          <w:rFonts w:ascii="Arial" w:cs="Arial" w:eastAsia="Arial" w:hAnsi="Arial"/>
          <w:sz w:val="17"/>
          <w:szCs w:val="17"/>
          <w:color w:val="auto"/>
        </w:rPr>
        <w:t>To the extent that any of the outstanding options are exercised there could be further dilution to new investors participating in this offering. In addition, we may choose to raise additional capital, including pursuant to the Sales Agreement, due to market conditions or strategic considerations even if we believe we have sufficient funds for our current or future operating plans. To the extent that we raise additional capital through the sale of equity securities, the issuance of such securities could result in further dilution to our stockholders.</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0920"/>
          </w:cols>
          <w:pgMar w:left="320" w:top="455" w:right="6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1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following is a discussion of the material U.S. federal income tax consequences applicable to non-U.S. holders (as defined below) with respect to their purchase, ownership and disposition of shares of our common stock issued pursuant to this offering, but does not purport to be a complete analysis of all potential tax effects. All prospective non-U.S. holders of our common stock should consult their tax advisors with respect to the U.S. federal income tax consequences of the purchase, ownership and disposition of our common stock, as well as any consequences arising under the laws of any other taxing jurisdiction, including any state, local and non-U.S. tax consequences and any U.S. federal non-income tax consequences. In general, a non-U.S. holder means a beneficial owner of our common stock (other than a partnership or an entity or arrangement treated as a partnership for U.S. federal income tax purposes) that is not a U.S. holder. A U.S. holder is, for U.S. federal income tax purposes:</w:t>
      </w:r>
    </w:p>
    <w:p>
      <w:pPr>
        <w:spacing w:after="0" w:line="86"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trust if (1) a U.S. court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This discussion is based on current provisions of the Code, existing U.S. Treasury Regulations promulgated thereunder, published administrative rulings and judicial decisions, all as in effect as of the date of this prospectus supplement. These laws are subject to change and to differing interpretation, possibly with retroactive effect. Any change or differing interpretation could alter the tax consequences to non-U.S. holders described in this prospectus supplement.</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discussion is limited to non-U.S. holders that purchase our common stock pursuant to this offering and hold shares of our common stock as a capital asset within the meaning of Section 1221 of the Code (generally, for investment). This discussion does not address all aspects of U.S. federal income taxation that may be relevant to a particular non-U.S. holder in light of that non-U.S. holder’s individual circumstances, nor does it address certain special tax rules applicable to particular non-U.S. holders, such as holders that own, or are deemed to own, more than 5% of our capital stock (except to the extent specifically set forth below), corporations that accumulate earnings to avoid U.S. federal income tax, tax-exempt organizations, banks, financial institutions, insurance companies, brokers, dealers or traders in securities, commodities or currencies, tax-qualified retirement plans, holders who hold or receive our common stock pursuant to the exercise of employee stock options or otherwise as compensation, holders holding our common stock as part of a hedge, straddle or other risk reduction strategy, conversion transaction or other integrated investment, holders deemed to sell our common stock under the constructive sale provisions of the Code, “qualified foreign pension funds” as defined in Section 897(l)(2) of the Code and entities all of the interests of which are held by qualified foreign pension funds, controlled foreign corporations, passive foreign investment companies and certain former citizens or long-term residents of the United States. This discussion also does not address the effect of the alternative minimum tax or the Medicare contribution tax on net investment income, the impact of special tax accounting rules under Section 451(b) of the Code, or any aspects of U.S. estate or gift tax.</w:t>
      </w:r>
    </w:p>
    <w:p>
      <w:pPr>
        <w:spacing w:after="0" w:line="177"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color w:val="auto"/>
        </w:rPr>
        <w:t>hold our common stock through such partnerships, entities or arrangements. If a partnership, including any entity or arrangement treated as a partnership for U.S. federal income tax purposes, holds shares of our common stock, the U.S. federal income tax treatment of a partner in such partnership will generally depend upon the status of the partner, the activities of the partnership and certain determinations made at the partner level. Such partners and partnerships should consult their tax advisors regarding the tax consequences of the purchase, ownership and disposition of our common stock.</w:t>
      </w:r>
    </w:p>
    <w:p>
      <w:pPr>
        <w:spacing w:after="0" w:line="172"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There can be no assurance that the IRS will not challenge one or more of the tax consequences described herein, and we have not obtained, nor do we intend to obtain, a ruling from the IRS regarding the U.S. federal income tax consequences with respect to the matters discussed below.</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 on our Common Stock</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Any remaining excess will be treated as capital gain from the sale or exchange of such common stock, subject to the tax treatment described below in “Gain on Sale, Exchange or Other Disposition of Our Common Stock.”</w:t>
      </w:r>
    </w:p>
    <w:p>
      <w:pPr>
        <w:spacing w:after="0" w:line="179"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Subject to the discussions below regarding effectively connected income, backup withholding and foreign accounts, dividends paid to a non-U.S. holder generally will be subject to withholding of U.S. federal income tax at a 30% rate, or such lower rate as may be specified by an applicable income tax treaty. A non-U.S. holder that is eligible for a reduced rate of U.S. withholding tax under an income tax treaty may obtain a refund or credit of any excess amounts withheld by timely filing an appropriate claim for refund with the IRS.</w:t>
      </w:r>
    </w:p>
    <w:p>
      <w:pPr>
        <w:spacing w:after="0" w:line="1" w:lineRule="exact"/>
        <w:rPr>
          <w:sz w:val="20"/>
          <w:szCs w:val="20"/>
          <w:color w:val="auto"/>
        </w:rPr>
      </w:pPr>
    </w:p>
    <w:p>
      <w:pPr>
        <w:ind w:left="120" w:right="280"/>
        <w:spacing w:after="0" w:line="234" w:lineRule="auto"/>
        <w:rPr>
          <w:sz w:val="20"/>
          <w:szCs w:val="20"/>
          <w:color w:val="auto"/>
        </w:rPr>
      </w:pPr>
      <w:r>
        <w:rPr>
          <w:rFonts w:ascii="Arial" w:cs="Arial" w:eastAsia="Arial" w:hAnsi="Arial"/>
          <w:sz w:val="18"/>
          <w:szCs w:val="18"/>
          <w:color w:val="auto"/>
        </w:rPr>
        <w:t>A non-U.S. holder of our common stock who claims the benefit of an applicable income tax treaty generally will be required to provide a properly executed IRS Form W-8BEN or W-8BEN-E (or successor form) and satisfy relevant certification and other</w:t>
      </w:r>
    </w:p>
    <w:p>
      <w:pPr>
        <w:spacing w:after="0" w:line="1"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color w:val="auto"/>
        </w:rPr>
        <w:t>requirements. Non-U.S. holders are urged to consult their tax advisors regarding their entitlement to benefits under a relevant income tax treaty.</w:t>
      </w:r>
    </w:p>
    <w:p>
      <w:pPr>
        <w:spacing w:after="0" w:line="168"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generally are exempt from the 30% withholding tax if the non-U.S. holder satisfies applicable certification requirements. To claim the exemption, the non-U.S. holder must furnish to us or the applicable withholding agent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at the U.S. federal income tax rates applicable to a “United States person” (as defined in the Code), unless a specific treaty exemption applies. Any U.S. effectively connected income received by a non-U.S. holder that is a corporation may also, under certain circumstances, be subject to an additional “branch profits tax” at a 30% rate or such lower rate as may be specified by an applicable income tax treaty.</w:t>
      </w:r>
    </w:p>
    <w:p>
      <w:pPr>
        <w:spacing w:after="0" w:line="180"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Non-U.S. holders that do not provide the required certification on a timely basis, but qualify for a reduced treaty rate, may obtain a refund of any excess amounts withheld by timely filing an appropriate claim for refund with the IRS. Non U.S. holders should consult their tax advisors regarding any applicable income tax treaties that may provide for different rules.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Gain on Sale, Exchange or Other Disposition of our Common Stock</w:t>
      </w:r>
    </w:p>
    <w:p>
      <w:pPr>
        <w:spacing w:after="0" w:line="214" w:lineRule="exact"/>
        <w:rPr>
          <w:sz w:val="20"/>
          <w:szCs w:val="20"/>
          <w:color w:val="auto"/>
        </w:rPr>
      </w:pPr>
    </w:p>
    <w:p>
      <w:pPr>
        <w:ind w:left="120" w:right="480" w:firstLine="551"/>
        <w:spacing w:after="0" w:line="255" w:lineRule="auto"/>
        <w:rPr>
          <w:sz w:val="20"/>
          <w:szCs w:val="20"/>
          <w:color w:val="auto"/>
        </w:rPr>
      </w:pPr>
      <w:r>
        <w:rPr>
          <w:rFonts w:ascii="Arial" w:cs="Arial" w:eastAsia="Arial" w:hAnsi="Arial"/>
          <w:sz w:val="18"/>
          <w:szCs w:val="18"/>
          <w:color w:val="auto"/>
        </w:rPr>
        <w:t>Subject to the discussions below regarding backup withholding and foreign accounts, in general, a non-U.S. holder will not be subject to any U.S. federal income tax on any gain realized upon such holder’s sale, exchange or other disposition of shares of our common stock unless:</w:t>
      </w:r>
    </w:p>
    <w:p>
      <w:pPr>
        <w:spacing w:after="0" w:line="69" w:lineRule="exact"/>
        <w:rPr>
          <w:sz w:val="20"/>
          <w:szCs w:val="20"/>
          <w:color w:val="auto"/>
        </w:rPr>
      </w:pPr>
    </w:p>
    <w:p>
      <w:pPr>
        <w:ind w:left="880" w:right="160" w:hanging="224"/>
        <w:spacing w:after="0" w:line="245"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U.S. federal income tax rates applicable to United States persons and, if the non-U.S. holder is a foreign corporation, the branch profits tax described above in “Distributions on our Common Stock” also may apply;</w:t>
      </w:r>
    </w:p>
    <w:p>
      <w:pPr>
        <w:spacing w:after="0" w:line="77" w:lineRule="exact"/>
        <w:rPr>
          <w:rFonts w:ascii="Arial" w:cs="Arial" w:eastAsia="Arial" w:hAnsi="Arial"/>
          <w:sz w:val="18"/>
          <w:szCs w:val="18"/>
          <w:color w:val="auto"/>
        </w:rPr>
      </w:pPr>
    </w:p>
    <w:p>
      <w:pPr>
        <w:ind w:left="880" w:right="60" w:hanging="224"/>
        <w:spacing w:after="0" w:line="24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certain U.S. source capital losses of the non-U.S. holder, if any (even though the individual is not considered a resident of the United States), provided the non-U.S. holder has timely filed U.S. federal income tax returns with respect to such losses; or</w:t>
      </w:r>
    </w:p>
    <w:p>
      <w:pPr>
        <w:spacing w:after="0" w:line="79"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because we are, or have been, at any time during the five-year period preceding such disposition (or the non-U.S. holder’s holding period, if shorter) a “United States real property holding corporation.” Even if we are or become a United States real property holding corporation, provided that our common stock is “regularly traded” (as defined by U.S. Treasury Regulations) on an established securities market, our common stock will be treated as a U.S. real property interest only with respect to a non-U.S. holder that holds more than 5% of our outstanding common stock, directly or indirectly, actually or constructively, during the shorter of the five-year period ending on the date of the disposition or the period that the non-U.S. holder held our common stock. In such case, such non-U.S. holder generally will be taxed on its net gain derived from the disposition at the U.S. federal income tax rates applicable to United States persons. Generally, a corporation is a United States real property holding corporation only if the fair market value of its U.S. real property interests equals or exceeds 50% of the sum of (i) the fair market value of its worldwide real property interests and (ii) its other assets used or held for use in a trade or business. Although there can be no assurance, we do not believe that we are, or have been, a United States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14"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We must report annually to the IRS and to each non-U.S. holder the gross amount of distributions on our common stock paid to such holder, regardless of whether such distributions constitute dividends or whether any tax was withheld. A non-U.S. holder will have to comply with specific certification procedures to establish that it is not a United States person in order to avoid backup withholding at the applicable rate with respect to dividends on our common stock. U.S. backup withholding generally will not apply to a non-U.S. holder who provides a properly executed IRS Form W-8BEN or W-8BEN-E (or successor form) or otherwise establishes an exemption.</w:t>
      </w:r>
    </w:p>
    <w:p>
      <w:pPr>
        <w:spacing w:after="0" w:line="172" w:lineRule="exact"/>
        <w:rPr>
          <w:sz w:val="20"/>
          <w:szCs w:val="20"/>
          <w:color w:val="auto"/>
        </w:rPr>
      </w:pPr>
    </w:p>
    <w:p>
      <w:pPr>
        <w:ind w:left="120" w:right="780" w:firstLine="551"/>
        <w:spacing w:after="0" w:line="247"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foreign, unless the holder certifies its status as</w:t>
      </w:r>
    </w:p>
    <w:p>
      <w:pPr>
        <w:spacing w:after="0" w:line="1" w:lineRule="exact"/>
        <w:rPr>
          <w:sz w:val="20"/>
          <w:szCs w:val="20"/>
          <w:color w:val="auto"/>
        </w:rPr>
      </w:pPr>
    </w:p>
    <w:p>
      <w:pPr>
        <w:ind w:left="120" w:right="260"/>
        <w:spacing w:after="0" w:line="250" w:lineRule="auto"/>
        <w:rPr>
          <w:sz w:val="20"/>
          <w:szCs w:val="20"/>
          <w:color w:val="auto"/>
        </w:rPr>
      </w:pPr>
      <w:r>
        <w:rPr>
          <w:rFonts w:ascii="Arial" w:cs="Arial" w:eastAsia="Arial" w:hAnsi="Arial"/>
          <w:sz w:val="18"/>
          <w:szCs w:val="18"/>
          <w:color w:val="auto"/>
        </w:rPr>
        <w:t>a non-U.S. holder and satisfies certain other requirements, or otherwise establishes an exemption. Generally, information reporting and backup</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48" w:lineRule="auto"/>
        <w:rPr>
          <w:sz w:val="20"/>
          <w:szCs w:val="20"/>
          <w:color w:val="auto"/>
        </w:rPr>
      </w:pPr>
      <w:r>
        <w:rPr>
          <w:rFonts w:ascii="Arial" w:cs="Arial" w:eastAsia="Arial" w:hAnsi="Arial"/>
          <w:sz w:val="18"/>
          <w:szCs w:val="18"/>
          <w:color w:val="auto"/>
        </w:rPr>
        <w:t>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70"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w:t>
      </w:r>
    </w:p>
    <w:p>
      <w:pPr>
        <w:spacing w:after="0" w:line="145"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w:t>
      </w:r>
    </w:p>
    <w:p>
      <w:pPr>
        <w:spacing w:after="0" w:line="18" w:lineRule="exact"/>
        <w:rPr>
          <w:sz w:val="20"/>
          <w:szCs w:val="20"/>
          <w:color w:val="auto"/>
        </w:rPr>
      </w:pPr>
    </w:p>
    <w:p>
      <w:pPr>
        <w:ind w:left="120" w:right="280"/>
        <w:spacing w:after="0" w:line="250" w:lineRule="auto"/>
        <w:rPr>
          <w:sz w:val="20"/>
          <w:szCs w:val="20"/>
          <w:color w:val="auto"/>
        </w:rPr>
      </w:pPr>
      <w:r>
        <w:rPr>
          <w:rFonts w:ascii="Arial" w:cs="Arial" w:eastAsia="Arial" w:hAnsi="Arial"/>
          <w:sz w:val="18"/>
          <w:szCs w:val="18"/>
          <w:color w:val="auto"/>
        </w:rPr>
        <w:t>a non-U.S. holder may be allowed as a credit against the non-U.S. holder’s U.S. federal income tax liability, if any, and may entitle such holder to a refund, provided that the required information is timely furnished to the IRS.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Accounts</w:t>
      </w:r>
    </w:p>
    <w:p>
      <w:pPr>
        <w:spacing w:after="0" w:line="21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Sections 1471 through 1474 of the Code, or commonly referred to as FATCA, generally impose a U.S. federal withholding tax of 30% on certain payments made to a “foreign financial institution” (as specifically defined for this purpose), unless such institution enters into an agreement with the U.S. government to, among other things, withhold on certain payments and collect and provide to the U.S. tax authorities substantial information regarding U.S. account holders of such institution (which may include certain equity and debt holders of such institution, as well as certain account holders that are foreign entities with U.S. owners). Foreign financial institutions located in jurisdictions that have an intergovernmental agreement with the United States governing these withholding and reporting requirements may be subject to different rules. FATCA also generally imposes a 30% withholding tax on certain payments made to</w:t>
      </w:r>
    </w:p>
    <w:p>
      <w:pPr>
        <w:spacing w:after="0" w:line="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 non-financial foreign entity, unless such entity provides the withholding agent with either a certification that it does not have any substantial direct or indirect U.S. owners, or information regarding substantial direct and indirect U.S. owners of the entity. The withholding tax under FATCA described above will not apply if the foreign financial institution or non-financial foreign entity otherwise qualifies for an exemption from the rules. The FATCA withholding provisions described above currently apply to dividends on our common stock. The FATCA withholding provisions also would apply to the gross proceeds of a disposition of our common stock, except that the U.S. Treasury Department has released proposed regulations which, if finalized in their present form, would eliminate such withholding. In its preamble to such proposed regulations, the U.S. Treasury Department stated that taxpayers generally may rely on the proposed regulations until final regulations are issued.</w:t>
      </w:r>
    </w:p>
    <w:p>
      <w:pPr>
        <w:spacing w:after="0" w:line="179" w:lineRule="exact"/>
        <w:rPr>
          <w:sz w:val="20"/>
          <w:szCs w:val="20"/>
          <w:color w:val="auto"/>
        </w:rPr>
      </w:pPr>
    </w:p>
    <w:p>
      <w:pPr>
        <w:ind w:left="120" w:right="500" w:firstLine="551"/>
        <w:spacing w:after="0" w:line="306" w:lineRule="auto"/>
        <w:rPr>
          <w:sz w:val="20"/>
          <w:szCs w:val="20"/>
          <w:color w:val="auto"/>
        </w:rPr>
      </w:pPr>
      <w:r>
        <w:rPr>
          <w:rFonts w:ascii="Arial" w:cs="Arial" w:eastAsia="Arial" w:hAnsi="Arial"/>
          <w:sz w:val="17"/>
          <w:szCs w:val="17"/>
          <w:color w:val="auto"/>
        </w:rPr>
        <w:t>Under certain circumstances, a non-U.S. holder might be eligible for refunds or credits of such taxes. Non-U.S. holders are encouraged to consult with their tax advisors regarding the possible implications of FATCA on their investment in our common stock.</w:t>
      </w:r>
    </w:p>
    <w:p>
      <w:pPr>
        <w:spacing w:after="0" w:line="123"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EACH PROSPECTIVE INVESTOR SHOULD CONSULT ITS TAX ADVISORS REGARDING THE TAX CONSEQUENCES OF PURCHASING, HOLDING AND DISPOSING OF OUR COMMON STOCK, AS WELL AS TAX CONSEQUENCES ARISING UNDER ANY STATE, LOCAL, NON-U.S. OR U.S. FEDERAL NON-INCOME TAX LAWS.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ind w:left="120"/>
        <w:spacing w:after="0"/>
        <w:rPr>
          <w:sz w:val="20"/>
          <w:szCs w:val="20"/>
          <w:color w:val="auto"/>
        </w:rPr>
      </w:pPr>
      <w:r>
        <w:rPr>
          <w:rFonts w:ascii="Arial" w:cs="Arial" w:eastAsia="Arial" w:hAnsi="Arial"/>
          <w:sz w:val="18"/>
          <w:szCs w:val="18"/>
          <w:color w:val="auto"/>
        </w:rPr>
        <w:t>Goldman Sachs &amp; Co. LLC, Citigroup Global Markets Inc. and Cowen and Company, LLC are the representatives of the underwriters.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4"/>
        </w:trPr>
        <w:tc>
          <w:tcPr>
            <w:tcW w:w="9900" w:type="dxa"/>
            <w:vAlign w:val="bottom"/>
            <w:gridSpan w:val="2"/>
            <w:vMerge w:val="continue"/>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9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1,990,741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1,203,704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925,926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Raymond James &amp; Associates, Inc.</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277,778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 Riley Securities, Inc.</w:t>
            </w: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231,481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9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4,629,630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The underwriters have an option to buy up to an additional 694,444 shares of common stock from us.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jc w:val="both"/>
        <w:ind w:left="120" w:right="380" w:firstLine="551"/>
        <w:spacing w:after="0" w:line="25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694,444 additional shares.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by Us</w:t>
            </w:r>
          </w:p>
        </w:tc>
        <w:tc>
          <w:tcPr>
            <w:tcW w:w="7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Full Exercise</w:t>
            </w:r>
          </w:p>
        </w:tc>
      </w:tr>
      <w:tr>
        <w:trPr>
          <w:trHeight w:val="190"/>
        </w:trPr>
        <w:tc>
          <w:tcPr>
            <w:tcW w:w="8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1.62</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1.62</w:t>
            </w:r>
          </w:p>
        </w:tc>
        <w:tc>
          <w:tcPr>
            <w:tcW w:w="80" w:type="dxa"/>
            <w:vAlign w:val="bottom"/>
            <w:tcBorders>
              <w:top w:val="single" w:sz="8" w:color="CCEEFF"/>
            </w:tcBorders>
            <w:shd w:val="clear" w:color="auto" w:fill="CCEEFF"/>
          </w:tcPr>
          <w:p>
            <w:pPr>
              <w:spacing w:after="0"/>
              <w:rPr>
                <w:sz w:val="16"/>
                <w:szCs w:val="16"/>
                <w:color w:val="auto"/>
              </w:rPr>
            </w:pPr>
          </w:p>
        </w:tc>
      </w:tr>
      <w:tr>
        <w:trPr>
          <w:trHeight w:val="243"/>
        </w:trPr>
        <w:tc>
          <w:tcPr>
            <w:tcW w:w="8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7,500,001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8,625,000</w:t>
            </w:r>
          </w:p>
        </w:tc>
      </w:tr>
    </w:tbl>
    <w:p>
      <w:pPr>
        <w:spacing w:after="0" w:line="153"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Any shares sold by the underwriters to securities dealers may be sold at a discount of up to $0.972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2"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We, our executive officers and our directors have agreed with the underwriters, subject to certain exceptions, not to dispose of or hedge any of our common stock or securities convertible into or exchangeable for shares of our common stock during the period from the date of this prospectus supplement continuing through (i) the date 90 days after the date of this prospectus supplement with respect to us, and (ii) the date 60 days after the date of this prospectus supplement with respect to our executive officers and directors, except with the prior written consent of the representatives. This agreement does not apply to any existing employee benefit plans.</w:t>
      </w:r>
    </w:p>
    <w:p>
      <w:pPr>
        <w:spacing w:after="0" w:line="172" w:lineRule="exact"/>
        <w:rPr>
          <w:sz w:val="20"/>
          <w:szCs w:val="20"/>
          <w:color w:val="auto"/>
        </w:rPr>
      </w:pPr>
    </w:p>
    <w:p>
      <w:pPr>
        <w:ind w:left="120" w:right="80" w:firstLine="551"/>
        <w:spacing w:after="0" w:line="262" w:lineRule="auto"/>
        <w:rPr>
          <w:sz w:val="20"/>
          <w:szCs w:val="20"/>
          <w:color w:val="auto"/>
        </w:rPr>
      </w:pPr>
      <w:r>
        <w:rPr>
          <w:rFonts w:ascii="Arial" w:cs="Arial" w:eastAsia="Arial" w:hAnsi="Arial"/>
          <w:sz w:val="17"/>
          <w:szCs w:val="17"/>
          <w:color w:val="auto"/>
        </w:rPr>
        <w:t>The restrictions in the immediately preceding paragraph do not apply to our executive officers or directors in certain circumstances, including (i) the transfers not for value of our common stock as bona fide gifts, by will, to an immediate family member or to certain trusts;</w:t>
      </w:r>
    </w:p>
    <w:p>
      <w:pPr>
        <w:ind w:left="360" w:hanging="244"/>
        <w:spacing w:after="0" w:line="235" w:lineRule="auto"/>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the party to the lock-up agreement is an entity, the transfer of our common stock to affiliates, limited partners, general</w:t>
      </w:r>
    </w:p>
    <w:p>
      <w:pPr>
        <w:ind w:left="120" w:right="180"/>
        <w:spacing w:after="0" w:line="250" w:lineRule="auto"/>
        <w:rPr>
          <w:rFonts w:ascii="Arial" w:cs="Arial" w:eastAsia="Arial" w:hAnsi="Arial"/>
          <w:sz w:val="18"/>
          <w:szCs w:val="18"/>
          <w:color w:val="auto"/>
        </w:rPr>
      </w:pPr>
      <w:r>
        <w:rPr>
          <w:rFonts w:ascii="Arial" w:cs="Arial" w:eastAsia="Arial" w:hAnsi="Arial"/>
          <w:sz w:val="18"/>
          <w:szCs w:val="18"/>
          <w:color w:val="auto"/>
        </w:rPr>
        <w:t>partners, limited liability company members or stockholders; (iii) transfers of our common stock pursuant to a bona fide third-party tender offer, merger, consolidation or other similar transaction made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to all of our stockholders and involving a change of control of us; (iv) in connection with a sale of shares of our common stock acquired in open market transactions after the date of this prospectus and, other than for our directors and officers, shares of our common stock purchased in this offering, whether or not issuer-directed; (v) transfers of our common stock to us for the net exercise of options granted pursuant to our equity incentive plans described elsewhere in this prospectus or to cover tax withholding for grants pursuant to our equity incentive plans or in connection with the repurchase of shares of our common stock issued pursuant to an employee benefit plan described elsewhere in this prospectus; and (vi) transfers of our common stock pursuant to existing 10b5-1 trading plans under the Exchange Act. The exceptions described in (i) through (iii) above are subject to a requirement that the transferee enter into a lockup agreement with the underwriters containing similar restrictions, the exceptions described in (i) and (ii) above are subject to a requirement that no public announcement or filing under Section 16 of the Exchange Act shall be required or voluntarily made during the restricted period and any such transfer shall not involve a disposition for value, the exceptions described in (iv) and (v) above are subject to a requirement that no public announcement or filing under Section 16 of the Exchange Act shall be required or voluntarily made during the restricted period and the exception described in (vi) above is subject to a requirement that any public reports or filings including filings under Sections 13 or 16 of the Exchange Act that shall be required to be made or voluntarily made shall clearly indicate in the footnotes that such sale was made pursuant to a trading plan established pursuant to Rule 10b5-1 under the Exchange Act. The restrictions in the immediately preceding paragraph do not apply to us in certain circumstances, including (i) the sale of shares in this offering, (ii) the issuance of shares upon the exercise of an option or warrant or conversion of a security outstanding on the date of this prospectus supplement, (iii) the issuance of securities pursuant to our equity incentive plans, (iv) the filing of any registration statement (including amendments or prospectuses thereto) (A) on Form S-8 or any successor form thereto with respect to the registration of securities to be offered under an employee benefit or equity incentive plans or (B) that we may be required to file pursuant to that certain Amended and Restated Investor Rights Agreement, dated as of March 20, 2015, by and between us and the investor parties thereto, (v) the issuance of shares of common stock to Merck and/or its designate affilate(s) and the entry into a purchase agreement related thereto, in each case pursuant to the exercise by Merck of its option to acquire shares of common stock from us pursuant to that certain Letter Agreement, dated as of March 20, 2015, by and between Merck and us, or (vi) the issuance of securities in connection with transactions that include a commercial relationship (including without limitation, joint ventures, marketing or distribution arrangements, collaboration agreements or intellectual property license agreements) or any acquisition by us of any of our subsidiaries of the securities, business, property or other assets of another person or entity pursuant to any employee benefit plan assumed by us in connection with such acquisition, and the issuance of any such securities pursuant to such agreement; provided further, that, in the case of clause (vi), the aggregate number of shares that we may sell or issue or agree to sell or issue pursuant to clause (vi) shall not exceed 5% of the total number of shares of common stock issued and outstanding immediately following the completion of this offering, and provided further that we shall cause each recipient of such securities pursuant to clause (vi) to execute and deliver to the representatives a lock-up agreements described above.</w:t>
      </w:r>
    </w:p>
    <w:p>
      <w:pPr>
        <w:spacing w:after="0" w:line="386"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“NGM.”</w:t>
      </w:r>
    </w:p>
    <w:p>
      <w:pPr>
        <w:spacing w:after="0" w:line="21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060"/>
          </w:cols>
          <w:pgMar w:left="320" w:top="455" w:right="5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180"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over-the-counter market or otherwise.</w:t>
      </w:r>
    </w:p>
    <w:p>
      <w:pPr>
        <w:spacing w:after="0" w:line="19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 $465,000. We have agreed to reimburse the underwriters for expenses of up to $ 15,000 related to the clearance of this offering with the Financial Industry Regulatory Authority, Inc. and compliance with state securities or “blue sky” laws.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72"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060"/>
          </w:cols>
          <w:pgMar w:left="320" w:top="455" w:right="5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76" w:lineRule="auto"/>
        <w:rPr>
          <w:sz w:val="20"/>
          <w:szCs w:val="20"/>
          <w:color w:val="auto"/>
        </w:rPr>
      </w:pPr>
      <w:r>
        <w:rPr>
          <w:rFonts w:ascii="Arial" w:cs="Arial" w:eastAsia="Arial" w:hAnsi="Arial"/>
          <w:sz w:val="18"/>
          <w:szCs w:val="18"/>
          <w:color w:val="auto"/>
        </w:rPr>
        <w:t>independent research views in respect of such assets, securities or instruments and may at any time hold, or recommend to clients that they should acquire, long and/or short positions in such assets, securities and instruments.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06"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common shares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9" w:lineRule="exact"/>
        <w:rPr>
          <w:sz w:val="20"/>
          <w:szCs w:val="20"/>
          <w:color w:val="auto"/>
        </w:rPr>
      </w:pPr>
    </w:p>
    <w:p>
      <w:pPr>
        <w:ind w:left="1860" w:hanging="543"/>
        <w:spacing w:after="0"/>
        <w:tabs>
          <w:tab w:leader="none" w:pos="1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860" w:right="900" w:hanging="543"/>
        <w:spacing w:after="0" w:line="276" w:lineRule="auto"/>
        <w:tabs>
          <w:tab w:leader="none" w:pos="1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representatives for any such offer; or</w:t>
      </w:r>
    </w:p>
    <w:p>
      <w:pPr>
        <w:spacing w:after="0" w:line="50" w:lineRule="exact"/>
        <w:rPr>
          <w:rFonts w:ascii="Arial" w:cs="Arial" w:eastAsia="Arial" w:hAnsi="Arial"/>
          <w:sz w:val="18"/>
          <w:szCs w:val="18"/>
          <w:color w:val="auto"/>
        </w:rPr>
      </w:pPr>
    </w:p>
    <w:p>
      <w:pPr>
        <w:ind w:left="1860" w:hanging="543"/>
        <w:spacing w:after="0"/>
        <w:tabs>
          <w:tab w:leader="none" w:pos="1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680" w:firstLine="551"/>
        <w:spacing w:after="0" w:line="276"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06"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17"/>
          <w:szCs w:val="17"/>
          <w:color w:val="auto"/>
        </w:rPr>
        <w:t>This prospectus supplement and the accompanying prospectus are only being distributed to, and are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w:t>
      </w:r>
    </w:p>
    <w:p>
      <w:pPr>
        <w:spacing w:after="0" w:line="2" w:lineRule="exact"/>
        <w:rPr>
          <w:sz w:val="20"/>
          <w:szCs w:val="20"/>
          <w:color w:val="auto"/>
        </w:rPr>
      </w:pPr>
    </w:p>
    <w:p>
      <w:pPr>
        <w:ind w:left="120" w:right="140" w:hanging="4"/>
        <w:spacing w:after="0"/>
        <w:tabs>
          <w:tab w:leader="none" w:pos="3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06"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7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0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0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100"/>
          </w:cols>
          <w:pgMar w:left="320" w:top="455" w:right="4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06"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06"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our shares has been or will be lodged with the Australian Securities &amp; Investments Commission ( the “ASIC”). This document has not been lodged with ASIC and is only directed to certain categories of exempt persons. Accordingly, if you receive this document in Australia:</w:t>
      </w:r>
    </w:p>
    <w:p>
      <w:pPr>
        <w:spacing w:after="0" w:line="170" w:lineRule="exact"/>
        <w:rPr>
          <w:sz w:val="20"/>
          <w:szCs w:val="20"/>
          <w:color w:val="auto"/>
        </w:rPr>
      </w:pPr>
    </w:p>
    <w:p>
      <w:pPr>
        <w:ind w:left="1820" w:hanging="272"/>
        <w:spacing w:after="0"/>
        <w:tabs>
          <w:tab w:leader="none" w:pos="1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03" w:lineRule="exact"/>
        <w:rPr>
          <w:rFonts w:ascii="Arial" w:cs="Arial" w:eastAsia="Arial" w:hAnsi="Arial"/>
          <w:sz w:val="18"/>
          <w:szCs w:val="18"/>
          <w:color w:val="auto"/>
        </w:rPr>
      </w:pPr>
    </w:p>
    <w:p>
      <w:pPr>
        <w:ind w:left="2640" w:hanging="211"/>
        <w:spacing w:after="0"/>
        <w:tabs>
          <w:tab w:leader="none" w:pos="2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03" w:lineRule="exact"/>
        <w:rPr>
          <w:rFonts w:ascii="Arial" w:cs="Arial" w:eastAsia="Arial" w:hAnsi="Arial"/>
          <w:sz w:val="18"/>
          <w:szCs w:val="18"/>
          <w:color w:val="auto"/>
        </w:rPr>
      </w:pPr>
    </w:p>
    <w:p>
      <w:pPr>
        <w:ind w:left="120" w:right="200" w:firstLine="2309"/>
        <w:spacing w:after="0" w:line="255" w:lineRule="auto"/>
        <w:tabs>
          <w:tab w:leader="none" w:pos="268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55" w:lineRule="exact"/>
        <w:rPr>
          <w:rFonts w:ascii="Arial" w:cs="Arial" w:eastAsia="Arial" w:hAnsi="Arial"/>
          <w:sz w:val="18"/>
          <w:szCs w:val="18"/>
          <w:color w:val="auto"/>
        </w:rPr>
      </w:pPr>
    </w:p>
    <w:p>
      <w:pPr>
        <w:ind w:left="2720" w:hanging="291"/>
        <w:spacing w:after="0"/>
        <w:tabs>
          <w:tab w:leader="none" w:pos="2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person associated with us under section 708(12) of the Corporations Act; or</w:t>
      </w:r>
    </w:p>
    <w:p>
      <w:pPr>
        <w:spacing w:after="0" w:line="103" w:lineRule="exact"/>
        <w:rPr>
          <w:rFonts w:ascii="Arial" w:cs="Arial" w:eastAsia="Arial" w:hAnsi="Arial"/>
          <w:sz w:val="18"/>
          <w:szCs w:val="18"/>
          <w:color w:val="auto"/>
        </w:rPr>
      </w:pPr>
    </w:p>
    <w:p>
      <w:pPr>
        <w:ind w:left="120" w:right="220" w:firstLine="2309"/>
        <w:spacing w:after="0" w:line="255" w:lineRule="auto"/>
        <w:tabs>
          <w:tab w:leader="none" w:pos="273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080"/>
          </w:cols>
          <w:pgMar w:left="320" w:top="455" w:right="4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1758"/>
        <w:spacing w:after="0" w:line="255" w:lineRule="auto"/>
        <w:tabs>
          <w:tab w:leader="none" w:pos="21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our shares for resale in Australia within 12 months of that security being issued unless any such resale offer is exempt from the requirement to issue a disclosure document under section 708 of the Corporations Act.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06"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In the State of Israel this prospectus supplement shall not be regarded as an offer to the public to purchase shares of our common stock under the Israeli Securities Law, 5728 – 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We have not and will not distribute this prospectus supplement or make, distribute or direct an offer to subscribe for our common stock to any person within the State of Israel, other than to Qualified Investors and up to 35 Addressed Investors.</w:t>
      </w:r>
    </w:p>
    <w:p>
      <w:pPr>
        <w:spacing w:after="0" w:line="180"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In particular, we may request, as a condition to be offered shares of our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common stock; (iv) that the shares of our common stock and that it will be issued are subject to exemptions available under the Israeli Securities Law (a) for its own account, (b) 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Cooley LLP is serving as our counsel in this offering. Davis Polk &amp; Wardwell LLP of Menlo Park, California is representing the underwriters in connection with this offering. GC&amp;H Investments, LLC, an entity that includes current and former partners and associates of Cooley LLP, beneficially owns 10,000 shares of our common stock.</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2019, as set forth in their report (which contains an explanatory paragraph describing a change in accounting principle as described in Note 2 to the consolidated financial statements), which is incorporated by reference in this prospectus supplement and elsewhere in the registration statement. Our consolidated financial statements are incorporated by reference in reliance on Ernst &amp; Young LLP’s report, given on their authority as experts in accounting and auditing.</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prospectus supplement and the accompanying prospectus are part of the registration statement on Form S-3 that we filed with the SEC. The registration statement that contains this prospectus supplement, including the exhibits and schedules to the registration statement, contains additional information about us and the securities offered by this prospectus supplement and the accompanying prospectus. For further information with respect to us and the securities we are offering under this prospectus supplement and the accompanying prospectus, we refer you to the registration statement and the exhibits and schedules filed as a part of the registration statement. You should rely only on information contained in this prospectus supplement, the accompanying prospectus or incorporated by reference into this prospectus supplement and the accompanying prospectus. We have not authorized any person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by this prospectus supplement. We file annual, quarterly and current reports, proxy statements and other information with the SEC. Our SEC filings are available to the public at the SEC’s website at http://www.sec.gov.</w:t>
      </w:r>
    </w:p>
    <w:p>
      <w:pPr>
        <w:spacing w:after="0" w:line="183"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We maintain a website at www.ngmbio.com. Information contained in or accessible through our website does not constitute a part of this prospectus supplement or the accompanying prospectus and is not incorporated by reference into this prospectus supplement or the accompanying prospectus.</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080"/>
          </w:cols>
          <w:pgMar w:left="320" w:top="455"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14" w:lineRule="exact"/>
        <w:rPr>
          <w:sz w:val="20"/>
          <w:szCs w:val="20"/>
          <w:color w:val="auto"/>
        </w:rPr>
      </w:pPr>
    </w:p>
    <w:p>
      <w:pPr>
        <w:ind w:left="120" w:right="540" w:firstLine="551"/>
        <w:spacing w:after="0" w:line="268" w:lineRule="auto"/>
        <w:rPr>
          <w:sz w:val="20"/>
          <w:szCs w:val="20"/>
          <w:color w:val="auto"/>
        </w:rPr>
      </w:pPr>
      <w:r>
        <w:rPr>
          <w:rFonts w:ascii="Arial" w:cs="Arial" w:eastAsia="Arial" w:hAnsi="Arial"/>
          <w:sz w:val="17"/>
          <w:szCs w:val="17"/>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and the accompanying prospectus. We incorporate by reference the following information or documents that we have filed with the SEC (Commission File No. 000-38853):</w:t>
      </w:r>
    </w:p>
    <w:p>
      <w:pPr>
        <w:spacing w:after="0" w:line="58" w:lineRule="exact"/>
        <w:rPr>
          <w:sz w:val="20"/>
          <w:szCs w:val="20"/>
          <w:color w:val="auto"/>
        </w:rPr>
      </w:pPr>
    </w:p>
    <w:p>
      <w:pPr>
        <w:ind w:left="1320" w:hanging="435"/>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17, 2020;</w:t>
      </w:r>
    </w:p>
    <w:p>
      <w:pPr>
        <w:spacing w:after="0" w:line="117" w:lineRule="exact"/>
        <w:rPr>
          <w:rFonts w:ascii="Arial" w:cs="Arial" w:eastAsia="Arial" w:hAnsi="Arial"/>
          <w:sz w:val="18"/>
          <w:szCs w:val="18"/>
          <w:color w:val="auto"/>
        </w:rPr>
      </w:pPr>
    </w:p>
    <w:p>
      <w:pPr>
        <w:ind w:left="1320" w:right="140" w:hanging="435"/>
        <w:spacing w:after="0" w:line="276" w:lineRule="auto"/>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118">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8, 2020 (excluding those portions that are not incorporated by reference into our Annual Report on Form 10-K for the year ended December 31, 2019);</w:t>
      </w:r>
    </w:p>
    <w:p>
      <w:pPr>
        <w:spacing w:after="0" w:line="50" w:lineRule="exact"/>
        <w:rPr>
          <w:rFonts w:ascii="Arial" w:cs="Arial" w:eastAsia="Arial" w:hAnsi="Arial"/>
          <w:sz w:val="18"/>
          <w:szCs w:val="18"/>
          <w:color w:val="auto"/>
        </w:rPr>
      </w:pPr>
    </w:p>
    <w:p>
      <w:pPr>
        <w:ind w:left="1320" w:right="80" w:hanging="435"/>
        <w:spacing w:after="0" w:line="255" w:lineRule="auto"/>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 ended March 31, 2020, filed with the SEC on </w:t>
      </w:r>
      <w:hyperlink r:id="rId119">
        <w:r>
          <w:rPr>
            <w:rFonts w:ascii="Arial" w:cs="Arial" w:eastAsia="Arial" w:hAnsi="Arial"/>
            <w:sz w:val="18"/>
            <w:szCs w:val="18"/>
            <w:u w:val="single" w:color="auto"/>
            <w:color w:val="0000EE"/>
          </w:rPr>
          <w:t>May 13, 2020</w:t>
        </w:r>
      </w:hyperlink>
      <w:r>
        <w:rPr>
          <w:rFonts w:ascii="Arial" w:cs="Arial" w:eastAsia="Arial" w:hAnsi="Arial"/>
          <w:sz w:val="18"/>
          <w:szCs w:val="18"/>
          <w:color w:val="auto"/>
        </w:rPr>
        <w:t xml:space="preserve">, for the quarter ended June 30, 2020, filed with the SEC on </w:t>
      </w:r>
      <w:hyperlink r:id="rId120">
        <w:r>
          <w:rPr>
            <w:rFonts w:ascii="Arial" w:cs="Arial" w:eastAsia="Arial" w:hAnsi="Arial"/>
            <w:sz w:val="18"/>
            <w:szCs w:val="18"/>
            <w:u w:val="single" w:color="auto"/>
            <w:color w:val="0000EE"/>
          </w:rPr>
          <w:t>August 12,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for the quarter ended September 30, 2020, filed with the SEC on </w:t>
      </w:r>
      <w:hyperlink r:id="rId121">
        <w:r>
          <w:rPr>
            <w:rFonts w:ascii="Arial" w:cs="Arial" w:eastAsia="Arial" w:hAnsi="Arial"/>
            <w:sz w:val="18"/>
            <w:szCs w:val="18"/>
            <w:u w:val="single" w:color="auto"/>
            <w:color w:val="0000EE"/>
          </w:rPr>
          <w:t>November 12, 2020</w:t>
        </w:r>
      </w:hyperlink>
      <w:r>
        <w:rPr>
          <w:rFonts w:ascii="Arial" w:cs="Arial" w:eastAsia="Arial" w:hAnsi="Arial"/>
          <w:sz w:val="18"/>
          <w:szCs w:val="18"/>
          <w:color w:val="auto"/>
        </w:rPr>
        <w:t>;</w:t>
      </w:r>
    </w:p>
    <w:p>
      <w:pPr>
        <w:spacing w:after="0" w:line="69" w:lineRule="exact"/>
        <w:rPr>
          <w:rFonts w:ascii="Arial" w:cs="Arial" w:eastAsia="Arial" w:hAnsi="Arial"/>
          <w:sz w:val="18"/>
          <w:szCs w:val="18"/>
          <w:color w:val="auto"/>
        </w:rPr>
      </w:pPr>
    </w:p>
    <w:p>
      <w:pPr>
        <w:ind w:left="1320" w:right="180" w:hanging="435"/>
        <w:spacing w:after="0" w:line="276" w:lineRule="auto"/>
        <w:tabs>
          <w:tab w:leader="none" w:pos="1320" w:val="left"/>
        </w:tabs>
        <w:numPr>
          <w:ilvl w:val="0"/>
          <w:numId w:val="45"/>
        </w:numPr>
        <w:rPr>
          <w:rFonts w:ascii="Arial" w:cs="Arial" w:eastAsia="Arial" w:hAnsi="Arial"/>
          <w:sz w:val="18"/>
          <w:szCs w:val="18"/>
          <w:color w:val="0000EE"/>
        </w:rPr>
      </w:pPr>
      <w:hyperlink r:id="rId122">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9,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27,</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23">
        <w:r>
          <w:rPr>
            <w:rFonts w:ascii="Arial" w:cs="Arial" w:eastAsia="Arial" w:hAnsi="Arial"/>
            <w:sz w:val="18"/>
            <w:szCs w:val="18"/>
            <w:u w:val="single" w:color="auto"/>
            <w:color w:val="0000EE"/>
          </w:rPr>
          <w:t>June 8, 2020</w:t>
        </w:r>
      </w:hyperlink>
      <w:hyperlink r:id="rId122">
        <w:r>
          <w:rPr>
            <w:rFonts w:ascii="Arial" w:cs="Arial" w:eastAsia="Arial" w:hAnsi="Arial"/>
            <w:sz w:val="18"/>
            <w:szCs w:val="18"/>
            <w:color w:val="000000"/>
          </w:rPr>
          <w:t>; and</w:t>
        </w:r>
      </w:hyperlink>
    </w:p>
    <w:p>
      <w:pPr>
        <w:spacing w:after="0" w:line="50" w:lineRule="exact"/>
        <w:rPr>
          <w:rFonts w:ascii="Arial" w:cs="Arial" w:eastAsia="Arial" w:hAnsi="Arial"/>
          <w:sz w:val="18"/>
          <w:szCs w:val="18"/>
          <w:color w:val="0000EE"/>
        </w:rPr>
      </w:pPr>
    </w:p>
    <w:p>
      <w:pPr>
        <w:ind w:left="1320" w:right="240" w:hanging="435"/>
        <w:spacing w:after="0" w:line="255" w:lineRule="auto"/>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124">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filed with the SEC on March 29, 2019, including any amendment or report filed for the purpose of updating such description, including </w:t>
      </w:r>
      <w:hyperlink r:id="rId125">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for the year ended December 31, 2019.</w:t>
      </w:r>
    </w:p>
    <w:p>
      <w:pPr>
        <w:spacing w:after="0" w:line="164" w:lineRule="exact"/>
        <w:rPr>
          <w:rFonts w:ascii="Arial" w:cs="Arial" w:eastAsia="Arial" w:hAnsi="Arial"/>
          <w:sz w:val="18"/>
          <w:szCs w:val="18"/>
          <w:color w:val="auto"/>
        </w:rPr>
      </w:pPr>
    </w:p>
    <w:p>
      <w:pPr>
        <w:ind w:left="120" w:firstLine="551"/>
        <w:spacing w:after="0" w:line="239" w:lineRule="auto"/>
        <w:rPr>
          <w:sz w:val="20"/>
          <w:szCs w:val="20"/>
          <w:color w:val="auto"/>
        </w:rPr>
      </w:pPr>
      <w:r>
        <w:rPr>
          <w:rFonts w:ascii="Arial" w:cs="Arial" w:eastAsia="Arial" w:hAnsi="Arial"/>
          <w:sz w:val="18"/>
          <w:szCs w:val="18"/>
          <w:color w:val="auto"/>
        </w:rPr>
        <w:t>We also incorporate by reference any future filings (other than current reports furnished under Item 2.02 or Item 7.01 of Form 8-K and exhibits filed on such form that are related to such items) made with the SEC pursuant to Sections 13(a), 13(c), 14 or 15(d) of the Exchange Act, until we file a post-effective amendment which indicates the termination of the offering of the securities made by this prospectus supplement and the accompanying prospectus. Information in such future filings updates and supplements the information provided in this prospectus supplement and the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We will provide to each person, including any beneficial owner, to whom a prospectus supplement or the underlying prospectus is delivered, without charge upon the written or oral request, a copy of any or all of the documents that are incorporated by reference in this prospectus supplement but not delivered with the prospectus, including exhibits that are specifically incorporated by reference in such documents. You should direct any requests for documents to:</w:t>
      </w:r>
    </w:p>
    <w:p>
      <w:pPr>
        <w:spacing w:after="0" w:line="17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NGM Biopharmaceuticals, Inc.</w:t>
      </w:r>
    </w:p>
    <w:p>
      <w:pPr>
        <w:spacing w:after="0" w:line="1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333 Oyster Point Boulevard</w:t>
      </w:r>
    </w:p>
    <w:p>
      <w:pPr>
        <w:jc w:val="center"/>
        <w:ind w:right="-119"/>
        <w:spacing w:after="0" w:line="234" w:lineRule="auto"/>
        <w:rPr>
          <w:sz w:val="20"/>
          <w:szCs w:val="20"/>
          <w:color w:val="auto"/>
        </w:rPr>
      </w:pPr>
      <w:r>
        <w:rPr>
          <w:rFonts w:ascii="Arial" w:cs="Arial" w:eastAsia="Arial" w:hAnsi="Arial"/>
          <w:sz w:val="18"/>
          <w:szCs w:val="18"/>
          <w:color w:val="auto"/>
        </w:rPr>
        <w:t>South San Francisco, California 94080</w:t>
      </w:r>
    </w:p>
    <w:p>
      <w:pPr>
        <w:spacing w:after="0" w:line="1" w:lineRule="exact"/>
        <w:rPr>
          <w:rFonts w:ascii="Arial" w:cs="Arial" w:eastAsia="Arial" w:hAnsi="Arial"/>
          <w:sz w:val="18"/>
          <w:szCs w:val="18"/>
          <w:color w:val="auto"/>
        </w:rPr>
      </w:pPr>
    </w:p>
    <w:p>
      <w:pPr>
        <w:jc w:val="both"/>
        <w:ind w:left="5020" w:right="4900" w:hanging="11"/>
        <w:spacing w:after="0" w:line="250" w:lineRule="auto"/>
        <w:tabs>
          <w:tab w:leader="none" w:pos="54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392-1768 Attn: Secretary</w:t>
      </w:r>
    </w:p>
    <w:p>
      <w:pPr>
        <w:spacing w:after="0" w:line="10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167005</wp:posOffset>
            </wp:positionV>
            <wp:extent cx="1663065" cy="942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16630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740"/>
        <w:spacing w:after="0"/>
        <w:rPr>
          <w:sz w:val="20"/>
          <w:szCs w:val="20"/>
          <w:color w:val="auto"/>
        </w:rPr>
      </w:pPr>
      <w:r>
        <w:rPr>
          <w:rFonts w:ascii="Arial" w:cs="Arial" w:eastAsia="Arial" w:hAnsi="Arial"/>
          <w:sz w:val="29"/>
          <w:szCs w:val="29"/>
          <w:b w:val="1"/>
          <w:bCs w:val="1"/>
          <w:color w:val="auto"/>
        </w:rPr>
        <w:t>$400,000,000</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Preferred Stock</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Debt Securities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Warrants</w:t>
      </w:r>
    </w:p>
    <w:p>
      <w:pPr>
        <w:spacing w:after="0" w:line="201"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From time to time, we may offer and sell up to an aggregate amount of $400,000,000 of any combination of the securities described in this prospectus, either individually or in combination with other securities. We may also offer common stock or preferred stock upon conversion of debt securities, common stock upon conversion of preferred stock, or common stock, preferred stock or debt securities upon the exercise of warrants.</w:t>
      </w:r>
    </w:p>
    <w:p>
      <w:pPr>
        <w:spacing w:after="0" w:line="170"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into this prospectus, before buying any of the securities being offered.</w:t>
      </w:r>
    </w:p>
    <w:p>
      <w:pPr>
        <w:spacing w:after="0" w:line="172"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Our common stock is listed on The Nasdaq Global Select Market under the symbol “NGM.” On June 2, 2020, the last reported sale price of our common stock was $20.37 per share. The applicable prospectus supplement will contain information, where applicable, as to other listings, if any, on The Nasdaq Global Select Market or other securities exchange of the securities covered by the applicable prospectus supplement.</w:t>
      </w:r>
    </w:p>
    <w:p>
      <w:pPr>
        <w:spacing w:after="0" w:line="168" w:lineRule="exact"/>
        <w:rPr>
          <w:sz w:val="20"/>
          <w:szCs w:val="20"/>
          <w:color w:val="auto"/>
        </w:rPr>
      </w:pPr>
    </w:p>
    <w:p>
      <w:pPr>
        <w:ind w:left="120"/>
        <w:spacing w:after="0" w:line="25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Before making an investment decision, you should review carefully the risks described under the heading “</w:t>
      </w:r>
      <w:hyperlink w:anchor="page10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may not be used to consummate a sale of securities unless accompanied by a prospectus supplement.</w:t>
      </w:r>
    </w:p>
    <w:p>
      <w:pPr>
        <w:spacing w:after="0" w:line="212"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options to purchase additional shares will be set forth in a prospectus supplement. The price to the public of such securities and the net proceeds we expect to receive from such sale will also be set forth in a prospectus supplement.</w:t>
      </w:r>
    </w:p>
    <w:p>
      <w:pPr>
        <w:spacing w:after="0" w:line="174" w:lineRule="exact"/>
        <w:rPr>
          <w:sz w:val="20"/>
          <w:szCs w:val="20"/>
          <w:color w:val="auto"/>
        </w:rPr>
      </w:pPr>
    </w:p>
    <w:p>
      <w:pPr>
        <w:ind w:left="120" w:right="60"/>
        <w:spacing w:after="0" w:line="27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June 16, 2020.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252730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8000" w:type="dxa"/>
            <w:vAlign w:val="bottom"/>
          </w:tcPr>
          <w:p>
            <w:pPr>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PROSPECTUS SUMMARY</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0">
              <w:r>
                <w:rPr>
                  <w:rFonts w:ascii="Arial" w:cs="Arial" w:eastAsia="Arial" w:hAnsi="Arial"/>
                  <w:sz w:val="17"/>
                  <w:szCs w:val="17"/>
                  <w:u w:val="single" w:color="auto"/>
                  <w:color w:val="0000EE"/>
                </w:rPr>
                <w:t>RISK FACTORS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1">
              <w:r>
                <w:rPr>
                  <w:rFonts w:ascii="Arial" w:cs="Arial" w:eastAsia="Arial" w:hAnsi="Arial"/>
                  <w:sz w:val="17"/>
                  <w:szCs w:val="17"/>
                  <w:u w:val="single" w:color="auto"/>
                  <w:color w:val="0000EE"/>
                </w:rPr>
                <w:t>SPECIAL NOTE REGARDING FORWARD-LOOKING STATEMENTS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3">
              <w:r>
                <w:rPr>
                  <w:rFonts w:ascii="Arial" w:cs="Arial" w:eastAsia="Arial" w:hAnsi="Arial"/>
                  <w:sz w:val="17"/>
                  <w:szCs w:val="17"/>
                  <w:u w:val="single" w:color="auto"/>
                  <w:color w:val="0000EE"/>
                </w:rPr>
                <w:t>USE OF PROCEEDS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4">
              <w:r>
                <w:rPr>
                  <w:rFonts w:ascii="Arial" w:cs="Arial" w:eastAsia="Arial" w:hAnsi="Arial"/>
                  <w:sz w:val="17"/>
                  <w:szCs w:val="17"/>
                  <w:u w:val="single" w:color="auto"/>
                  <w:color w:val="0000EE"/>
                </w:rPr>
                <w:t>DESCRIPTION OF CAPITAL STOCK</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09">
              <w:r>
                <w:rPr>
                  <w:rFonts w:ascii="Arial" w:cs="Arial" w:eastAsia="Arial" w:hAnsi="Arial"/>
                  <w:sz w:val="17"/>
                  <w:szCs w:val="17"/>
                  <w:u w:val="single" w:color="auto"/>
                  <w:color w:val="0000EE"/>
                </w:rPr>
                <w:t>DESCRIPTION OF DEBT SECURITIES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15">
              <w:r>
                <w:rPr>
                  <w:rFonts w:ascii="Arial" w:cs="Arial" w:eastAsia="Arial" w:hAnsi="Arial"/>
                  <w:sz w:val="17"/>
                  <w:szCs w:val="17"/>
                  <w:u w:val="single" w:color="auto"/>
                  <w:color w:val="0000EE"/>
                </w:rPr>
                <w:t>DESCRIPTION OF WARRANTS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LEGAL OWNERSHIP OF SECURITIES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PLAN OF DISTRIBUTION</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LEGAL MATTERS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EXPERTS</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WHERE YOU CAN FIND ADDITIONAL INFORMATION</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05"/>
        </w:trPr>
        <w:tc>
          <w:tcPr>
            <w:tcW w:w="800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INCORPORATION OF CERTAIN INFORMATION BY REFERENCE</w:t>
              </w:r>
            </w:hyperlink>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3"/>
        </w:trPr>
        <w:tc>
          <w:tcPr>
            <w:tcW w:w="80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r>
    </w:tbl>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316"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$400,000,000 of any combination of the securities described in this prospectus.</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7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Persons outside the United States who come into possession of this prospectus must inform themselves about, and observe any restrictions relating to, the offering of the common stock and the distribution of this prospectus outside the United States.</w:t>
      </w:r>
    </w:p>
    <w:p>
      <w:pPr>
        <w:spacing w:after="0" w:line="126" w:lineRule="exact"/>
        <w:rPr>
          <w:sz w:val="20"/>
          <w:szCs w:val="20"/>
          <w:color w:val="auto"/>
        </w:rPr>
      </w:pPr>
    </w:p>
    <w:p>
      <w:pPr>
        <w:ind w:left="120" w:right="60"/>
        <w:spacing w:after="0" w:line="246"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117"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22" w:lineRule="exact"/>
        <w:rPr>
          <w:sz w:val="20"/>
          <w:szCs w:val="20"/>
          <w:color w:val="auto"/>
        </w:rPr>
      </w:pPr>
    </w:p>
    <w:p>
      <w:pPr>
        <w:ind w:left="120" w:right="260"/>
        <w:spacing w:after="0" w:line="242"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7033260" cy="57734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033260" cy="57734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280" w:right="140"/>
        <w:spacing w:after="0" w:line="239"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this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NGM Biopharmaceuticals, Inc.</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Overview</w:t>
      </w:r>
    </w:p>
    <w:p>
      <w:pPr>
        <w:spacing w:after="0" w:line="60" w:lineRule="exact"/>
        <w:rPr>
          <w:sz w:val="20"/>
          <w:szCs w:val="20"/>
          <w:color w:val="auto"/>
        </w:rPr>
      </w:pPr>
    </w:p>
    <w:p>
      <w:pPr>
        <w:ind w:left="280" w:right="20"/>
        <w:spacing w:after="0"/>
        <w:rPr>
          <w:sz w:val="20"/>
          <w:szCs w:val="20"/>
          <w:color w:val="auto"/>
        </w:rPr>
      </w:pPr>
      <w:r>
        <w:rPr>
          <w:rFonts w:ascii="Arial" w:cs="Arial" w:eastAsia="Arial" w:hAnsi="Arial"/>
          <w:sz w:val="17"/>
          <w:szCs w:val="17"/>
          <w:color w:val="auto"/>
        </w:rPr>
        <w:t xml:space="preserve">We are a biopharmaceutical company focused on developing novel therapeutics based on our scientific understanding of key biological pathways underlying cardio-metabolic, liver, oncologic and ophthalmic diseases. These diseases represent leading causes of morbidity and mortality and a significant burden for healthcare systems. Since the commencement of our operations in 2008, we have generated a robust portfolio of product candidates. We have created this portfolio using our research and drug discovery approach that employs unbiased,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vivo</w:t>
      </w:r>
      <w:r>
        <w:rPr>
          <w:rFonts w:ascii="Arial" w:cs="Arial" w:eastAsia="Arial" w:hAnsi="Arial"/>
          <w:sz w:val="17"/>
          <w:szCs w:val="17"/>
          <w:color w:val="auto"/>
        </w:rPr>
        <w:t>-based discovery to identify proprietary insights into critical biological processes. We combine this approach with our protein and antibody</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expertise to find the appropriate modality to enhance each product candidate’s therapeutic potential.</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most advanced programs are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Our five most advanced proprietary product candidates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60"/>
          </w:cols>
          <w:pgMar w:left="320" w:top="455" w:right="61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7033260" cy="56705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033260" cy="56705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Corporate Information</w:t>
      </w:r>
    </w:p>
    <w:p>
      <w:pPr>
        <w:spacing w:after="0" w:line="60" w:lineRule="exact"/>
        <w:rPr>
          <w:sz w:val="20"/>
          <w:szCs w:val="20"/>
          <w:color w:val="auto"/>
        </w:rPr>
      </w:pPr>
    </w:p>
    <w:p>
      <w:pPr>
        <w:ind w:left="280" w:right="60"/>
        <w:spacing w:after="0" w:line="246" w:lineRule="auto"/>
        <w:rPr>
          <w:sz w:val="20"/>
          <w:szCs w:val="20"/>
          <w:color w:val="auto"/>
        </w:rPr>
      </w:pPr>
      <w:r>
        <w:rPr>
          <w:rFonts w:ascii="Arial" w:cs="Arial" w:eastAsia="Arial" w:hAnsi="Arial"/>
          <w:sz w:val="17"/>
          <w:szCs w:val="17"/>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contents of and information accessible through our website are not incorporated into this prospectus and our reference to the URL for our website is intended to be an inactive textual reference only.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used in this prospectus, “NGM Biopharmaceuticals”, “NGM”, “we”, “us” and “our” refer to NGM Biopharmaceuticals, Inc. and its wholly-owned subsidiary taken as a whole. 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We do not intend our use or display of other companies’ trademarks or trade names to imply a relationship with, or endorsement or sponsorship of us by, any other companies or products.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common stock is currently listed on The Nasdaq Global Select Market under the symbol “NGM.”</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Securities We May Offer</w:t>
      </w:r>
    </w:p>
    <w:p>
      <w:pPr>
        <w:spacing w:after="0" w:line="73" w:lineRule="exact"/>
        <w:rPr>
          <w:sz w:val="20"/>
          <w:szCs w:val="20"/>
          <w:color w:val="auto"/>
        </w:rPr>
      </w:pPr>
    </w:p>
    <w:p>
      <w:pPr>
        <w:ind w:left="280" w:right="60"/>
        <w:spacing w:after="0" w:line="238" w:lineRule="auto"/>
        <w:rPr>
          <w:sz w:val="20"/>
          <w:szCs w:val="20"/>
          <w:color w:val="auto"/>
        </w:rPr>
      </w:pPr>
      <w:r>
        <w:rPr>
          <w:rFonts w:ascii="Arial" w:cs="Arial" w:eastAsia="Arial" w:hAnsi="Arial"/>
          <w:sz w:val="17"/>
          <w:szCs w:val="17"/>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may offer pursuant to the registration statement of which this prospectus is a part.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64" w:lineRule="exact"/>
        <w:rPr>
          <w:sz w:val="20"/>
          <w:szCs w:val="20"/>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designation or classification;</w:t>
      </w:r>
    </w:p>
    <w:p>
      <w:pPr>
        <w:spacing w:after="0" w:line="35"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aggregate principal amount or aggregate offering price;</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maturity date, if applicable;</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original issue discount, if any;</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rates and times of payment of interest or dividends, if any;</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redemption, conversion, exercise, exchange or sinking fund terms, if any;</w:t>
      </w:r>
    </w:p>
    <w:p>
      <w:pPr>
        <w:spacing w:after="0" w:line="34" w:lineRule="exact"/>
        <w:rPr>
          <w:rFonts w:ascii="MS PGothic" w:cs="MS PGothic" w:eastAsia="MS PGothic" w:hAnsi="MS PGothic"/>
          <w:sz w:val="13"/>
          <w:szCs w:val="13"/>
          <w:color w:val="auto"/>
        </w:rPr>
      </w:pPr>
    </w:p>
    <w:p>
      <w:pPr>
        <w:ind w:left="1100" w:hanging="408"/>
        <w:spacing w:after="0" w:line="256" w:lineRule="auto"/>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ranking;</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restrictive covenants, if any;</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voting or other rights, if any; and</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material or special U.S. federal income tax considerations, if any.</w:t>
      </w:r>
    </w:p>
    <w:p>
      <w:pPr>
        <w:spacing w:after="0" w:line="154" w:lineRule="exact"/>
        <w:rPr>
          <w:sz w:val="20"/>
          <w:szCs w:val="20"/>
          <w:color w:val="auto"/>
        </w:rPr>
      </w:pPr>
    </w:p>
    <w:p>
      <w:pPr>
        <w:ind w:left="280" w:right="80"/>
        <w:spacing w:after="0" w:line="246" w:lineRule="auto"/>
        <w:rPr>
          <w:sz w:val="20"/>
          <w:szCs w:val="20"/>
          <w:color w:val="auto"/>
        </w:rPr>
      </w:pPr>
      <w:r>
        <w:rPr>
          <w:rFonts w:ascii="Arial" w:cs="Arial" w:eastAsia="Arial" w:hAnsi="Arial"/>
          <w:sz w:val="17"/>
          <w:szCs w:val="17"/>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40"/>
          </w:cols>
          <w:pgMar w:left="320" w:top="455" w:right="6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7033260" cy="50190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033260" cy="50190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80" w:right="400"/>
        <w:spacing w:after="0" w:line="27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ind w:left="280"/>
        <w:spacing w:after="0" w:line="253" w:lineRule="auto"/>
        <w:rPr>
          <w:sz w:val="20"/>
          <w:szCs w:val="20"/>
          <w:color w:val="auto"/>
        </w:rPr>
      </w:pPr>
      <w:r>
        <w:rPr>
          <w:rFonts w:ascii="Arial" w:cs="Arial" w:eastAsia="Arial" w:hAnsi="Arial"/>
          <w:sz w:val="17"/>
          <w:szCs w:val="17"/>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70" w:lineRule="exact"/>
        <w:rPr>
          <w:sz w:val="20"/>
          <w:szCs w:val="20"/>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the names of those agents or underwriters;</w:t>
      </w:r>
    </w:p>
    <w:p>
      <w:pPr>
        <w:spacing w:after="0" w:line="35"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applicable fees, discounts and commissions to be paid to them;</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details regarding any options under which underwriters may purchase additional securities from us, if any; and</w:t>
      </w:r>
    </w:p>
    <w:p>
      <w:pPr>
        <w:spacing w:after="0" w:line="34" w:lineRule="exact"/>
        <w:rPr>
          <w:rFonts w:ascii="MS PGothic" w:cs="MS PGothic" w:eastAsia="MS PGothic" w:hAnsi="MS PGothic"/>
          <w:sz w:val="13"/>
          <w:szCs w:val="13"/>
          <w:color w:val="auto"/>
        </w:rPr>
      </w:pPr>
    </w:p>
    <w:p>
      <w:pPr>
        <w:ind w:left="1100" w:hanging="408"/>
        <w:spacing w:after="0"/>
        <w:tabs>
          <w:tab w:leader="none" w:pos="11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the net proceeds to us.</w:t>
      </w:r>
    </w:p>
    <w:p>
      <w:pPr>
        <w:spacing w:after="0" w:line="154" w:lineRule="exact"/>
        <w:rPr>
          <w:sz w:val="20"/>
          <w:szCs w:val="20"/>
          <w:color w:val="auto"/>
        </w:rPr>
      </w:pPr>
    </w:p>
    <w:p>
      <w:pPr>
        <w:ind w:left="280" w:right="20"/>
        <w:spacing w:after="0" w:line="237"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 We may issue shares of our common stock from time to time. The holders of our common stock are entitled to one vote for</w:t>
      </w:r>
      <w:r>
        <w:rPr>
          <w:rFonts w:ascii="Arial" w:cs="Arial" w:eastAsia="Arial" w:hAnsi="Arial"/>
          <w:sz w:val="17"/>
          <w:szCs w:val="17"/>
          <w:i w:val="1"/>
          <w:iCs w:val="1"/>
          <w:color w:val="auto"/>
        </w:rPr>
        <w:t xml:space="preserve"> </w:t>
      </w:r>
      <w:r>
        <w:rPr>
          <w:rFonts w:ascii="Arial" w:cs="Arial" w:eastAsia="Arial" w:hAnsi="Arial"/>
          <w:sz w:val="17"/>
          <w:szCs w:val="17"/>
          <w:color w:val="auto"/>
        </w:rPr>
        <w:t>each share held of record on all matters submitted to a vote of stockholders. Subject to preferences that may be applicable to any outstanding preferred stock, the holders of common stock are entitled to receive ratably any dividends that our board of directors may declare out of funds legally available for that purpose. In the event of our liquidation, dissolution or winding up, holders of our common stock are entitled to share ratably in all assets remaining after payment of liabilities and the liquidation preference of any outstanding preferred stock. Holders of our common stock have no preemptive, conversion, subscription or other rights, and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26" w:lineRule="exact"/>
        <w:rPr>
          <w:sz w:val="20"/>
          <w:szCs w:val="20"/>
          <w:color w:val="auto"/>
        </w:rPr>
      </w:pPr>
    </w:p>
    <w:p>
      <w:pPr>
        <w:ind w:left="280" w:right="20"/>
        <w:spacing w:after="0" w:line="236"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We may issue shares of our preferred stock from time to time, in one or more series. If we sell any series of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prospectus, our board of directors will fix the designations, voting powers, preferences and rights of the preferred stock of each series we issue under this prospectus,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in the certificate of designation relating to that series. Preferred stock may be convertible into our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23" w:lineRule="exact"/>
        <w:rPr>
          <w:sz w:val="20"/>
          <w:szCs w:val="20"/>
          <w:color w:val="auto"/>
        </w:rPr>
      </w:pPr>
    </w:p>
    <w:p>
      <w:pPr>
        <w:ind w:left="280" w:right="180"/>
        <w:spacing w:after="0" w:line="242"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60"/>
          </w:cols>
          <w:pgMar w:left="320" w:top="455" w:right="61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206375</wp:posOffset>
            </wp:positionV>
            <wp:extent cx="7033260" cy="4478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033260" cy="44786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0"/>
        <w:spacing w:after="0" w:line="238" w:lineRule="auto"/>
        <w:rPr>
          <w:sz w:val="20"/>
          <w:szCs w:val="20"/>
          <w:color w:val="auto"/>
        </w:rPr>
      </w:pPr>
      <w:r>
        <w:rPr>
          <w:rFonts w:ascii="Arial" w:cs="Arial" w:eastAsia="Arial" w:hAnsi="Arial"/>
          <w:sz w:val="17"/>
          <w:szCs w:val="17"/>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3" w:lineRule="exact"/>
        <w:rPr>
          <w:sz w:val="20"/>
          <w:szCs w:val="20"/>
          <w:color w:val="auto"/>
        </w:rPr>
      </w:pPr>
    </w:p>
    <w:p>
      <w:pPr>
        <w:ind w:left="280"/>
        <w:spacing w:after="0" w:line="237"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We may issue warrants for the purchase of common stock, preferred stock and/or debt securities in one or more series. We may</w:t>
      </w:r>
      <w:r>
        <w:rPr>
          <w:rFonts w:ascii="Arial" w:cs="Arial" w:eastAsia="Arial" w:hAnsi="Arial"/>
          <w:sz w:val="17"/>
          <w:szCs w:val="17"/>
          <w:i w:val="1"/>
          <w:iCs w:val="1"/>
          <w:color w:val="auto"/>
        </w:rPr>
        <w:t xml:space="preserve"> </w:t>
      </w:r>
      <w:r>
        <w:rPr>
          <w:rFonts w:ascii="Arial" w:cs="Arial" w:eastAsia="Arial" w:hAnsi="Arial"/>
          <w:sz w:val="17"/>
          <w:szCs w:val="17"/>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22" w:lineRule="exact"/>
        <w:rPr>
          <w:sz w:val="20"/>
          <w:szCs w:val="20"/>
          <w:color w:val="auto"/>
        </w:rPr>
      </w:pPr>
    </w:p>
    <w:p>
      <w:pPr>
        <w:ind w:left="280" w:right="200"/>
        <w:spacing w:after="0" w:line="253" w:lineRule="auto"/>
        <w:rPr>
          <w:sz w:val="20"/>
          <w:szCs w:val="20"/>
          <w:color w:val="auto"/>
        </w:rPr>
      </w:pPr>
      <w:r>
        <w:rPr>
          <w:rFonts w:ascii="Arial" w:cs="Arial" w:eastAsia="Arial" w:hAnsi="Arial"/>
          <w:sz w:val="17"/>
          <w:szCs w:val="17"/>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Use of Proceeds</w:t>
      </w:r>
    </w:p>
    <w:p>
      <w:pPr>
        <w:spacing w:after="0" w:line="60" w:lineRule="exact"/>
        <w:rPr>
          <w:sz w:val="20"/>
          <w:szCs w:val="20"/>
          <w:color w:val="auto"/>
        </w:rPr>
      </w:pPr>
    </w:p>
    <w:p>
      <w:pPr>
        <w:ind w:left="280" w:right="80"/>
        <w:spacing w:after="0" w:line="246" w:lineRule="auto"/>
        <w:rPr>
          <w:sz w:val="20"/>
          <w:szCs w:val="20"/>
          <w:color w:val="auto"/>
        </w:rPr>
      </w:pPr>
      <w:r>
        <w:rPr>
          <w:rFonts w:ascii="Arial" w:cs="Arial" w:eastAsia="Arial" w:hAnsi="Arial"/>
          <w:sz w:val="17"/>
          <w:szCs w:val="17"/>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other general corporate purposes, which may include funding research and development, general and administrative activities and capital expenditures. See “Use of Proceeds” in this prospectus.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Nasdaq Global Select Market Listing</w:t>
      </w:r>
    </w:p>
    <w:p>
      <w:pPr>
        <w:spacing w:after="0" w:line="73" w:lineRule="exact"/>
        <w:rPr>
          <w:sz w:val="20"/>
          <w:szCs w:val="20"/>
          <w:color w:val="auto"/>
        </w:rPr>
      </w:pPr>
    </w:p>
    <w:p>
      <w:pPr>
        <w:ind w:left="280" w:right="320"/>
        <w:spacing w:after="0" w:line="253" w:lineRule="auto"/>
        <w:rPr>
          <w:sz w:val="20"/>
          <w:szCs w:val="20"/>
          <w:color w:val="auto"/>
        </w:rPr>
      </w:pPr>
      <w:r>
        <w:rPr>
          <w:rFonts w:ascii="Arial" w:cs="Arial" w:eastAsia="Arial" w:hAnsi="Arial"/>
          <w:sz w:val="17"/>
          <w:szCs w:val="17"/>
          <w:color w:val="auto"/>
        </w:rPr>
        <w:t>Our common stock is listed on The Nasdaq Global Select Market under the symbol “NGM.” The applicable prospectus supplement will contain information, where applicable, as to other listings, if any, on The Nasdaq Global Select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40"/>
          </w:cols>
          <w:pgMar w:left="320" w:top="455" w:right="6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316" w:lineRule="exact"/>
        <w:rPr>
          <w:sz w:val="20"/>
          <w:szCs w:val="20"/>
          <w:color w:val="auto"/>
        </w:rPr>
      </w:pPr>
    </w:p>
    <w:p>
      <w:pPr>
        <w:ind w:left="100"/>
        <w:spacing w:after="0" w:line="236"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any applicable prospectus supplement,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60"/>
          </w:cols>
          <w:pgMar w:left="320" w:top="455" w:right="41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64" w:lineRule="exact"/>
        <w:rPr>
          <w:sz w:val="20"/>
          <w:szCs w:val="20"/>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success, cost and timing of our product development activities and clinical trials;</w:t>
      </w:r>
    </w:p>
    <w:p>
      <w:pPr>
        <w:spacing w:after="0" w:line="35" w:lineRule="exact"/>
        <w:rPr>
          <w:rFonts w:ascii="MS PGothic" w:cs="MS PGothic" w:eastAsia="MS PGothic" w:hAnsi="MS PGothic"/>
          <w:sz w:val="13"/>
          <w:szCs w:val="13"/>
          <w:color w:val="auto"/>
        </w:rPr>
      </w:pPr>
    </w:p>
    <w:p>
      <w:pPr>
        <w:ind w:left="960" w:hanging="438"/>
        <w:spacing w:after="0" w:line="248"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or our partners’ ability to obtain and maintain regulatory approval for aldafermin (NGM282), NGM313 (MK-3655), NGM120, NGM621, NGM395 and any of our future product candidates, and any related restrictions, limitations, and/or warnings in the label of an approved product candidate;</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belief that aldafermin may have the potential to be a treatment for non-alcoholic steatohepatitis, or NASH, patients with moderate to advanced fibrosis;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belief regarding the impact of our product candidate side effects and our ability to effectively manage these side effects;</w:t>
      </w:r>
    </w:p>
    <w:p>
      <w:pPr>
        <w:spacing w:after="0" w:line="34" w:lineRule="exact"/>
        <w:rPr>
          <w:rFonts w:ascii="MS PGothic" w:cs="MS PGothic" w:eastAsia="MS PGothic" w:hAnsi="MS PGothic"/>
          <w:sz w:val="13"/>
          <w:szCs w:val="13"/>
          <w:color w:val="auto"/>
        </w:rPr>
      </w:pPr>
    </w:p>
    <w:p>
      <w:pPr>
        <w:ind w:left="960" w:right="60" w:hanging="438"/>
        <w:spacing w:after="0" w:line="256"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belief that MK-3655 (formerly NGM313) may have the potential to be a treatment for NASH patients with early to moderate fibrosis with or without type 2 diabetes;</w:t>
      </w:r>
    </w:p>
    <w:p>
      <w:pPr>
        <w:spacing w:after="0" w:line="1" w:lineRule="exact"/>
        <w:rPr>
          <w:rFonts w:ascii="MS PGothic" w:cs="MS PGothic" w:eastAsia="MS PGothic" w:hAnsi="MS PGothic"/>
          <w:sz w:val="13"/>
          <w:szCs w:val="13"/>
          <w:color w:val="auto"/>
        </w:rPr>
      </w:pPr>
    </w:p>
    <w:p>
      <w:pPr>
        <w:ind w:left="960" w:right="100" w:hanging="438"/>
        <w:spacing w:after="0" w:line="248"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potential renewal of our research collaboration, product development and license agreement with Merck Sharp &amp; Dohme Corp., or Merck, and the possibility that Merck will decide to exercise its option to license certain programs upon our completion of a proof-of-concept study in humans;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commercialization of our product candidates, if approved;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plans to research, develop and commercialize our product candidates;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ability to attract additional collaborators with development, regulatory and commercialization expertise;</w:t>
      </w:r>
    </w:p>
    <w:p>
      <w:pPr>
        <w:spacing w:after="0" w:line="34" w:lineRule="exact"/>
        <w:rPr>
          <w:rFonts w:ascii="MS PGothic" w:cs="MS PGothic" w:eastAsia="MS PGothic" w:hAnsi="MS PGothic"/>
          <w:sz w:val="13"/>
          <w:szCs w:val="13"/>
          <w:color w:val="auto"/>
        </w:rPr>
      </w:pPr>
    </w:p>
    <w:p>
      <w:pPr>
        <w:ind w:left="960" w:right="80" w:hanging="438"/>
        <w:spacing w:after="0" w:line="256"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current and future agreements with third parties in connection with the commercialization of aldafermin, NGM313, NGM120, NGM621, NGM395 or any other future approved product;</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60" w:right="820" w:hanging="438"/>
        <w:spacing w:after="0" w:line="256"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 as well as the reimbursement coverage for our product candidates;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w:t>
      </w:r>
    </w:p>
    <w:p>
      <w:pPr>
        <w:spacing w:after="0" w:line="34" w:lineRule="exact"/>
        <w:rPr>
          <w:rFonts w:ascii="MS PGothic" w:cs="MS PGothic" w:eastAsia="MS PGothic" w:hAnsi="MS PGothic"/>
          <w:sz w:val="13"/>
          <w:szCs w:val="13"/>
          <w:color w:val="auto"/>
        </w:rPr>
      </w:pPr>
    </w:p>
    <w:p>
      <w:pPr>
        <w:ind w:left="960" w:right="60" w:hanging="438"/>
        <w:spacing w:after="0" w:line="256"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performance of, and our ability to obtain sufficient supply of clinical trial materials in a timely manner from, third-party suppliers and manufacturers;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development and management personnel;</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estimates regarding future expenses, revenue, capital requirements and needs for additional financing;</w:t>
      </w:r>
    </w:p>
    <w:p>
      <w:pPr>
        <w:spacing w:after="0" w:line="34" w:lineRule="exact"/>
        <w:rPr>
          <w:rFonts w:ascii="MS PGothic" w:cs="MS PGothic" w:eastAsia="MS PGothic" w:hAnsi="MS PGothic"/>
          <w:sz w:val="13"/>
          <w:szCs w:val="13"/>
          <w:color w:val="auto"/>
        </w:rPr>
      </w:pPr>
    </w:p>
    <w:p>
      <w:pPr>
        <w:ind w:left="960" w:right="380" w:hanging="438"/>
        <w:spacing w:after="0" w:line="256"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qualify as an emerging growth company under the Jumpstart Our Business Startups Act of 2012, as amended;</w:t>
      </w:r>
    </w:p>
    <w:p>
      <w:pPr>
        <w:spacing w:after="0" w:line="1" w:lineRule="exact"/>
        <w:rPr>
          <w:rFonts w:ascii="MS PGothic" w:cs="MS PGothic" w:eastAsia="MS PGothic" w:hAnsi="MS PGothic"/>
          <w:sz w:val="13"/>
          <w:szCs w:val="13"/>
          <w:color w:val="auto"/>
        </w:rPr>
      </w:pPr>
    </w:p>
    <w:p>
      <w:pPr>
        <w:ind w:left="960" w:right="880" w:hanging="438"/>
        <w:spacing w:after="0" w:line="256"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expectations regarding our ability to obtain, maintain, protect and enforce intellectual property protection for our product candidates;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our anticipated use of the net proceeds from offerings of our securities under this prospectus.</w:t>
      </w:r>
    </w:p>
    <w:p>
      <w:pPr>
        <w:spacing w:after="0" w:line="154"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140"/>
        <w:spacing w:after="0" w:line="245" w:lineRule="auto"/>
        <w:rPr>
          <w:sz w:val="20"/>
          <w:szCs w:val="20"/>
          <w:color w:val="auto"/>
        </w:rPr>
      </w:pPr>
      <w:r>
        <w:rPr>
          <w:rFonts w:ascii="Arial" w:cs="Arial" w:eastAsia="Arial" w:hAnsi="Arial"/>
          <w:sz w:val="17"/>
          <w:szCs w:val="17"/>
          <w:color w:val="auto"/>
        </w:rPr>
        <w:t>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w:t>
      </w:r>
    </w:p>
    <w:p>
      <w:pPr>
        <w:spacing w:after="0" w:line="1" w:lineRule="exact"/>
        <w:rPr>
          <w:sz w:val="20"/>
          <w:szCs w:val="20"/>
          <w:color w:val="auto"/>
        </w:rPr>
      </w:pPr>
    </w:p>
    <w:p>
      <w:pPr>
        <w:ind w:left="100"/>
        <w:spacing w:after="0" w:line="235" w:lineRule="auto"/>
        <w:rPr>
          <w:sz w:val="20"/>
          <w:szCs w:val="20"/>
          <w:color w:val="auto"/>
        </w:rPr>
      </w:pPr>
      <w:r>
        <w:rPr>
          <w:rFonts w:ascii="Arial" w:cs="Arial" w:eastAsia="Arial" w:hAnsi="Arial"/>
          <w:sz w:val="17"/>
          <w:szCs w:val="17"/>
          <w:color w:val="auto"/>
        </w:rPr>
        <w:t>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the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00"/>
        <w:spacing w:after="0" w:line="246" w:lineRule="auto"/>
        <w:rPr>
          <w:sz w:val="20"/>
          <w:szCs w:val="20"/>
          <w:color w:val="auto"/>
        </w:rPr>
      </w:pPr>
      <w:r>
        <w:rPr>
          <w:rFonts w:ascii="Arial" w:cs="Arial" w:eastAsia="Arial" w:hAnsi="Arial"/>
          <w:sz w:val="17"/>
          <w:szCs w:val="17"/>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other general corporate purposes, which may include funding research and development, general and administrative activities and capital expenditures.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60"/>
          </w:cols>
          <w:pgMar w:left="320" w:top="455" w:right="51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ind w:left="100" w:right="180"/>
        <w:spacing w:after="0" w:line="275" w:lineRule="auto"/>
        <w:rPr>
          <w:sz w:val="20"/>
          <w:szCs w:val="20"/>
          <w:color w:val="auto"/>
        </w:rPr>
      </w:pPr>
      <w:r>
        <w:rPr>
          <w:rFonts w:ascii="Arial" w:cs="Arial" w:eastAsia="Arial" w:hAnsi="Arial"/>
          <w:sz w:val="17"/>
          <w:szCs w:val="17"/>
          <w:color w:val="auto"/>
        </w:rPr>
        <w:t>As of the date of this prospectus, our authorized capital stock consists of 400,000,000 shares of common stock, $0.001 par value per share, and 10,000,000 shares of preferred stock, $0.001 par value per share.</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summary description of our capital stock is based on the provisions of our amended and restated certificate of incorporation, our amended and restated bylaws and applicable provisions of the General Corporation Law of the State of Delaware. The description is intended as a summary, and is qualified in its entirety by reference to our amended and restated certificate of incorporation, our amended and restated bylaws and the General Corporation Law of the State of Delaware. For information on how to obtain copies of our amended and restated certificate of incorporation and our amended and restated bylaws, which are exhibits to the registration statement of which this prospectus is a part, see “Where You Can Find Additional Information.”</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Common Stock</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Voting Rights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 addition to any vote of holders of a specific class or series, or required by law or the amended and restated certificate of incorporation, the affirmative vote of holders of at least 66 2/3% of the voting power of all of the then 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Dividends</w:t>
      </w:r>
    </w:p>
    <w:p>
      <w:pPr>
        <w:spacing w:after="0" w:line="73" w:lineRule="exact"/>
        <w:rPr>
          <w:sz w:val="20"/>
          <w:szCs w:val="20"/>
          <w:color w:val="auto"/>
        </w:rPr>
      </w:pPr>
    </w:p>
    <w:p>
      <w:pPr>
        <w:ind w:left="100" w:right="720"/>
        <w:spacing w:after="0" w:line="275" w:lineRule="auto"/>
        <w:rPr>
          <w:sz w:val="20"/>
          <w:szCs w:val="20"/>
          <w:color w:val="auto"/>
        </w:rPr>
      </w:pPr>
      <w:r>
        <w:rPr>
          <w:rFonts w:ascii="Arial" w:cs="Arial" w:eastAsia="Arial" w:hAnsi="Arial"/>
          <w:sz w:val="17"/>
          <w:szCs w:val="17"/>
          <w:color w:val="auto"/>
        </w:rPr>
        <w:t>Subject to preferences that may apply to any outstanding preferred stock, holders of our common stock are entitled to receive ratably any dividends that our board of directors may declare out of funds legally available for that purpose.</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Liquidation</w:t>
      </w:r>
    </w:p>
    <w:p>
      <w:pPr>
        <w:spacing w:after="0" w:line="59" w:lineRule="exact"/>
        <w:rPr>
          <w:sz w:val="20"/>
          <w:szCs w:val="20"/>
          <w:color w:val="auto"/>
        </w:rPr>
      </w:pPr>
    </w:p>
    <w:p>
      <w:pPr>
        <w:ind w:left="100" w:right="380"/>
        <w:spacing w:after="0" w:line="275" w:lineRule="auto"/>
        <w:rPr>
          <w:sz w:val="20"/>
          <w:szCs w:val="20"/>
          <w:color w:val="auto"/>
        </w:rPr>
      </w:pPr>
      <w:r>
        <w:rPr>
          <w:rFonts w:ascii="Arial" w:cs="Arial" w:eastAsia="Arial" w:hAnsi="Arial"/>
          <w:sz w:val="17"/>
          <w:szCs w:val="17"/>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Rights and Preferences</w:t>
      </w:r>
    </w:p>
    <w:p>
      <w:pPr>
        <w:spacing w:after="0" w:line="59" w:lineRule="exact"/>
        <w:rPr>
          <w:sz w:val="20"/>
          <w:szCs w:val="20"/>
          <w:color w:val="auto"/>
        </w:rPr>
      </w:pPr>
    </w:p>
    <w:p>
      <w:pPr>
        <w:ind w:left="100" w:right="40"/>
        <w:spacing w:after="0" w:line="253"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Fully Paid and Nonassessable</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When we issue shares of common stock under this prospectus, the shares will be fully paid and nonassessable.</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Preferred Stock</w:t>
      </w:r>
    </w:p>
    <w:p>
      <w:pPr>
        <w:spacing w:after="0" w:line="60" w:lineRule="exact"/>
        <w:rPr>
          <w:sz w:val="20"/>
          <w:szCs w:val="20"/>
          <w:color w:val="auto"/>
        </w:rPr>
      </w:pPr>
    </w:p>
    <w:p>
      <w:pPr>
        <w:jc w:val="both"/>
        <w:ind w:left="100" w:right="240"/>
        <w:spacing w:after="0" w:line="246"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w:t>
      </w:r>
    </w:p>
    <w:p>
      <w:pPr>
        <w:spacing w:after="0" w:line="117" w:lineRule="exact"/>
        <w:rPr>
          <w:sz w:val="20"/>
          <w:szCs w:val="20"/>
          <w:color w:val="auto"/>
        </w:rPr>
      </w:pPr>
    </w:p>
    <w:p>
      <w:pPr>
        <w:ind w:left="100" w:right="380"/>
        <w:spacing w:after="0" w:line="275" w:lineRule="auto"/>
        <w:rPr>
          <w:sz w:val="20"/>
          <w:szCs w:val="20"/>
          <w:color w:val="auto"/>
        </w:rPr>
      </w:pPr>
      <w:r>
        <w:rPr>
          <w:rFonts w:ascii="Arial" w:cs="Arial" w:eastAsia="Arial" w:hAnsi="Arial"/>
          <w:sz w:val="17"/>
          <w:szCs w:val="17"/>
          <w:color w:val="auto"/>
        </w:rPr>
        <w:t>Our board of directors will fix the designations, voting powers, preferences and rights of the preferred stock of each series we issue under this prospectus, as well as the qualifications, limitations or restrictions thereof, in the</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60"/>
          </w:cols>
          <w:pgMar w:left="320" w:top="455" w:right="41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spacing w:after="0" w:line="246" w:lineRule="auto"/>
        <w:rPr>
          <w:sz w:val="20"/>
          <w:szCs w:val="20"/>
          <w:color w:val="auto"/>
        </w:rPr>
      </w:pPr>
      <w:r>
        <w:rPr>
          <w:rFonts w:ascii="Arial" w:cs="Arial" w:eastAsia="Arial" w:hAnsi="Arial"/>
          <w:sz w:val="17"/>
          <w:szCs w:val="17"/>
          <w:color w:val="auto"/>
        </w:rPr>
        <w:t>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57" w:lineRule="exact"/>
        <w:rPr>
          <w:sz w:val="20"/>
          <w:szCs w:val="20"/>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title and stated value;</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number of shares we are offering;</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liquidation preference per share;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purchase price;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dividend rate, period and payment date and method of calculation for dividends;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whether dividends will be cumulative or non-cumulative and, if cumulative, the date from which dividends will accumulate;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procedures for any auction and remarketing;</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provisions for any sinking fund;</w:t>
      </w:r>
    </w:p>
    <w:p>
      <w:pPr>
        <w:spacing w:after="0" w:line="34" w:lineRule="exact"/>
        <w:rPr>
          <w:rFonts w:ascii="MS PGothic" w:cs="MS PGothic" w:eastAsia="MS PGothic" w:hAnsi="MS PGothic"/>
          <w:sz w:val="13"/>
          <w:szCs w:val="13"/>
          <w:color w:val="auto"/>
        </w:rPr>
      </w:pPr>
    </w:p>
    <w:p>
      <w:pPr>
        <w:ind w:left="960" w:right="62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provisions for redemption or repurchase, if applicable, and any restrictions on our ability to exercise those redemption and repurchase rights;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any listing of the preferred stock on any securities exchange or market;</w:t>
      </w:r>
    </w:p>
    <w:p>
      <w:pPr>
        <w:spacing w:after="0" w:line="34" w:lineRule="exact"/>
        <w:rPr>
          <w:rFonts w:ascii="MS PGothic" w:cs="MS PGothic" w:eastAsia="MS PGothic" w:hAnsi="MS PGothic"/>
          <w:sz w:val="13"/>
          <w:szCs w:val="13"/>
          <w:color w:val="auto"/>
        </w:rPr>
      </w:pPr>
    </w:p>
    <w:p>
      <w:pPr>
        <w:ind w:left="960" w:right="58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whether the preferred stock will be convertible into our common stock, and, if applicable, the conversion price, or how it will be calculated, and the conversion period;</w:t>
      </w:r>
    </w:p>
    <w:p>
      <w:pPr>
        <w:spacing w:after="0" w:line="1" w:lineRule="exact"/>
        <w:rPr>
          <w:rFonts w:ascii="MS PGothic" w:cs="MS PGothic" w:eastAsia="MS PGothic" w:hAnsi="MS PGothic"/>
          <w:sz w:val="13"/>
          <w:szCs w:val="13"/>
          <w:color w:val="auto"/>
        </w:rPr>
      </w:pPr>
    </w:p>
    <w:p>
      <w:pPr>
        <w:ind w:left="960" w:right="72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whether the preferred stock will be exchangeable into debt securities, and, if applicable, the exchange price, or how it will be calculated, and the exchange period;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voting rights of the preferred stock;</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preemptive rights;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restrictions on transfer, sale or other assignment;</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whether interests in the preferred stock will be represented by depositary shares;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 discussion of material U.S. federal income tax considerations applicable to the preferred stock;</w:t>
      </w:r>
    </w:p>
    <w:p>
      <w:pPr>
        <w:spacing w:after="0" w:line="34" w:lineRule="exact"/>
        <w:rPr>
          <w:rFonts w:ascii="MS PGothic" w:cs="MS PGothic" w:eastAsia="MS PGothic" w:hAnsi="MS PGothic"/>
          <w:sz w:val="13"/>
          <w:szCs w:val="13"/>
          <w:color w:val="auto"/>
        </w:rPr>
      </w:pPr>
    </w:p>
    <w:p>
      <w:pPr>
        <w:ind w:left="960" w:right="40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 w:lineRule="exact"/>
        <w:rPr>
          <w:rFonts w:ascii="MS PGothic" w:cs="MS PGothic" w:eastAsia="MS PGothic" w:hAnsi="MS PGothic"/>
          <w:sz w:val="13"/>
          <w:szCs w:val="13"/>
          <w:color w:val="auto"/>
        </w:rPr>
      </w:pPr>
    </w:p>
    <w:p>
      <w:pPr>
        <w:ind w:left="960" w:right="300" w:hanging="438"/>
        <w:spacing w:after="0" w:line="256" w:lineRule="auto"/>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preferred stock.</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When we issue shares of preferred stock under this prospectus, the shares will be fully paid and non-assessable.</w:t>
      </w:r>
    </w:p>
    <w:p>
      <w:pPr>
        <w:spacing w:after="0" w:line="156" w:lineRule="exact"/>
        <w:rPr>
          <w:sz w:val="20"/>
          <w:szCs w:val="20"/>
          <w:color w:val="auto"/>
        </w:rPr>
      </w:pPr>
    </w:p>
    <w:p>
      <w:pPr>
        <w:ind w:left="100" w:right="500"/>
        <w:spacing w:after="0" w:line="275" w:lineRule="auto"/>
        <w:rPr>
          <w:sz w:val="20"/>
          <w:szCs w:val="20"/>
          <w:color w:val="auto"/>
        </w:rPr>
      </w:pPr>
      <w:r>
        <w:rPr>
          <w:rFonts w:ascii="Arial" w:cs="Arial" w:eastAsia="Arial" w:hAnsi="Arial"/>
          <w:sz w:val="17"/>
          <w:szCs w:val="17"/>
          <w:color w:val="auto"/>
        </w:rPr>
        <w:t>Unless we specify otherwise in the applicable prospectus supplement, the preferred stock will rank, with respect to dividends and upon our liquidation, dissolution or winding up:</w:t>
      </w:r>
    </w:p>
    <w:p>
      <w:pPr>
        <w:spacing w:after="0" w:line="52" w:lineRule="exact"/>
        <w:rPr>
          <w:sz w:val="20"/>
          <w:szCs w:val="20"/>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senior to all classes or series of our common stock and to all of our equity securities ranking junior to the preferred stock;</w:t>
      </w:r>
    </w:p>
    <w:p>
      <w:pPr>
        <w:spacing w:after="0" w:line="35" w:lineRule="exact"/>
        <w:rPr>
          <w:rFonts w:ascii="MS PGothic" w:cs="MS PGothic" w:eastAsia="MS PGothic" w:hAnsi="MS PGothic"/>
          <w:sz w:val="13"/>
          <w:szCs w:val="13"/>
          <w:color w:val="auto"/>
        </w:rPr>
      </w:pPr>
    </w:p>
    <w:p>
      <w:pPr>
        <w:ind w:left="960" w:right="300" w:hanging="438"/>
        <w:spacing w:after="0" w:line="256"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on a parity with all of our equity securities the terms of which specifically provide that the equity securities rank on a parity with the preferred stock;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junior to all of our equity securities the terms of which specifically provide that the equity securities rank senior to the preferred stock.</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term “equity securities” does not include convertible debt securities.</w:t>
      </w:r>
    </w:p>
    <w:p>
      <w:pPr>
        <w:spacing w:after="0" w:line="156" w:lineRule="exact"/>
        <w:rPr>
          <w:sz w:val="20"/>
          <w:szCs w:val="20"/>
          <w:color w:val="auto"/>
        </w:rPr>
      </w:pPr>
    </w:p>
    <w:p>
      <w:pPr>
        <w:jc w:val="both"/>
        <w:ind w:left="100" w:right="180"/>
        <w:spacing w:after="0" w:line="253" w:lineRule="auto"/>
        <w:rPr>
          <w:sz w:val="20"/>
          <w:szCs w:val="20"/>
          <w:color w:val="auto"/>
        </w:rPr>
      </w:pPr>
      <w:r>
        <w:rPr>
          <w:rFonts w:ascii="Arial" w:cs="Arial" w:eastAsia="Arial" w:hAnsi="Arial"/>
          <w:sz w:val="17"/>
          <w:szCs w:val="17"/>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40"/>
          </w:cols>
          <w:pgMar w:left="320" w:top="455" w:right="5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60"/>
        <w:spacing w:after="0" w:line="253" w:lineRule="auto"/>
        <w:rPr>
          <w:sz w:val="20"/>
          <w:szCs w:val="20"/>
          <w:color w:val="auto"/>
        </w:rPr>
      </w:pPr>
      <w:r>
        <w:rPr>
          <w:rFonts w:ascii="Arial" w:cs="Arial" w:eastAsia="Arial" w:hAnsi="Arial"/>
          <w:sz w:val="17"/>
          <w:szCs w:val="17"/>
          <w:color w:val="auto"/>
        </w:rPr>
        <w:t>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Certificate of Incorporation and Bylaws</w:t>
      </w:r>
    </w:p>
    <w:p>
      <w:pPr>
        <w:spacing w:after="0" w:line="59" w:lineRule="exact"/>
        <w:rPr>
          <w:sz w:val="20"/>
          <w:szCs w:val="20"/>
          <w:color w:val="auto"/>
        </w:rPr>
      </w:pPr>
    </w:p>
    <w:p>
      <w:pPr>
        <w:ind w:left="100" w:right="20"/>
        <w:spacing w:after="0" w:line="275"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133" w:lineRule="exact"/>
        <w:rPr>
          <w:sz w:val="20"/>
          <w:szCs w:val="20"/>
          <w:color w:val="auto"/>
        </w:rPr>
      </w:pPr>
    </w:p>
    <w:p>
      <w:pPr>
        <w:ind w:left="960" w:right="220" w:hanging="438"/>
        <w:spacing w:after="0" w:line="244" w:lineRule="auto"/>
        <w:tabs>
          <w:tab w:leader="none" w:pos="960" w:val="left"/>
        </w:tabs>
        <w:numPr>
          <w:ilvl w:val="0"/>
          <w:numId w:val="52"/>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2" w:lineRule="exact"/>
        <w:rPr>
          <w:rFonts w:ascii="MS PGothic" w:cs="MS PGothic" w:eastAsia="MS PGothic" w:hAnsi="MS PGothic"/>
          <w:sz w:val="13"/>
          <w:szCs w:val="13"/>
          <w:color w:val="auto"/>
        </w:rPr>
      </w:pPr>
    </w:p>
    <w:p>
      <w:pPr>
        <w:ind w:left="960" w:right="20" w:hanging="438"/>
        <w:spacing w:after="0" w:line="244" w:lineRule="auto"/>
        <w:tabs>
          <w:tab w:leader="none" w:pos="960" w:val="left"/>
        </w:tabs>
        <w:numPr>
          <w:ilvl w:val="0"/>
          <w:numId w:val="52"/>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Classified Board: </w:t>
      </w:r>
      <w:r>
        <w:rPr>
          <w:rFonts w:ascii="Arial" w:cs="Arial" w:eastAsia="Arial" w:hAnsi="Arial"/>
          <w:sz w:val="17"/>
          <w:szCs w:val="17"/>
          <w:color w:val="auto"/>
        </w:rPr>
        <w:t>Our amended and restated certificate of incorporation provides for a classified board of directors consisting of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1" w:lineRule="exact"/>
        <w:rPr>
          <w:rFonts w:ascii="MS PGothic" w:cs="MS PGothic" w:eastAsia="MS PGothic" w:hAnsi="MS PGothic"/>
          <w:sz w:val="13"/>
          <w:szCs w:val="13"/>
          <w:color w:val="auto"/>
        </w:rPr>
      </w:pPr>
    </w:p>
    <w:p>
      <w:pPr>
        <w:ind w:left="960" w:right="120" w:hanging="438"/>
        <w:spacing w:after="0" w:line="241" w:lineRule="auto"/>
        <w:tabs>
          <w:tab w:leader="none" w:pos="960" w:val="left"/>
        </w:tabs>
        <w:numPr>
          <w:ilvl w:val="0"/>
          <w:numId w:val="52"/>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our board of directors to fill vacant directorships, subject to the rights of the holders of any series of preferred stock or as otherwise provided by applicable law.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4" w:lineRule="exact"/>
        <w:rPr>
          <w:rFonts w:ascii="MS PGothic" w:cs="MS PGothic" w:eastAsia="MS PGothic" w:hAnsi="MS PGothic"/>
          <w:sz w:val="13"/>
          <w:szCs w:val="13"/>
          <w:color w:val="auto"/>
        </w:rPr>
      </w:pPr>
    </w:p>
    <w:p>
      <w:pPr>
        <w:ind w:left="960" w:hanging="438"/>
        <w:spacing w:after="0" w:line="241" w:lineRule="auto"/>
        <w:tabs>
          <w:tab w:leader="none" w:pos="960" w:val="left"/>
        </w:tabs>
        <w:numPr>
          <w:ilvl w:val="0"/>
          <w:numId w:val="52"/>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Stockholder Action; Special Meetings of Stockholders: </w:t>
      </w:r>
      <w:r>
        <w:rPr>
          <w:rFonts w:ascii="Arial" w:cs="Arial" w:eastAsia="Arial" w:hAnsi="Arial"/>
          <w:sz w:val="17"/>
          <w:szCs w:val="17"/>
          <w:color w:val="auto"/>
        </w:rPr>
        <w:t>Our amended and restated certificate of incorporation provides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may not take action by written consent, but may only take action at annual or special meetings of our stockholders. Stockholders are not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4" w:lineRule="exact"/>
        <w:rPr>
          <w:rFonts w:ascii="MS PGothic" w:cs="MS PGothic" w:eastAsia="MS PGothic" w:hAnsi="MS PGothic"/>
          <w:sz w:val="13"/>
          <w:szCs w:val="13"/>
          <w:color w:val="auto"/>
        </w:rPr>
      </w:pPr>
    </w:p>
    <w:p>
      <w:pPr>
        <w:ind w:left="960" w:right="60" w:hanging="438"/>
        <w:spacing w:after="0" w:line="242" w:lineRule="auto"/>
        <w:tabs>
          <w:tab w:leader="none" w:pos="960" w:val="left"/>
        </w:tabs>
        <w:numPr>
          <w:ilvl w:val="0"/>
          <w:numId w:val="52"/>
        </w:numPr>
        <w:rPr>
          <w:rFonts w:ascii="MS PGothic" w:cs="MS PGothic" w:eastAsia="MS PGothic" w:hAnsi="MS PGothic"/>
          <w:sz w:val="13"/>
          <w:szCs w:val="13"/>
          <w:color w:val="auto"/>
        </w:rPr>
      </w:pPr>
      <w:r>
        <w:rPr>
          <w:rFonts w:ascii="Arial" w:cs="Arial" w:eastAsia="Arial" w:hAnsi="Arial"/>
          <w:sz w:val="17"/>
          <w:szCs w:val="17"/>
          <w:b w:val="1"/>
          <w:bCs w:val="1"/>
          <w:i w:val="1"/>
          <w:iCs w:val="1"/>
          <w:color w:val="auto"/>
        </w:rPr>
        <w:t xml:space="preserve">Advance Notice Requirements for Stockholder Proposals and Director Nominations: </w:t>
      </w:r>
      <w:r>
        <w:rPr>
          <w:rFonts w:ascii="Arial" w:cs="Arial" w:eastAsia="Arial" w:hAnsi="Arial"/>
          <w:sz w:val="17"/>
          <w:szCs w:val="17"/>
          <w:color w:val="auto"/>
        </w:rPr>
        <w:t>Our amended and restated bylaws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20" w:lineRule="exact"/>
        <w:rPr>
          <w:sz w:val="20"/>
          <w:szCs w:val="20"/>
          <w:color w:val="auto"/>
        </w:rPr>
      </w:pPr>
    </w:p>
    <w:p>
      <w:pPr>
        <w:ind w:left="100"/>
        <w:spacing w:after="0" w:line="242" w:lineRule="auto"/>
        <w:rPr>
          <w:sz w:val="20"/>
          <w:szCs w:val="20"/>
          <w:color w:val="auto"/>
        </w:rPr>
      </w:pPr>
      <w:r>
        <w:rPr>
          <w:rFonts w:ascii="Arial" w:cs="Arial" w:eastAsia="Arial" w:hAnsi="Arial"/>
          <w:sz w:val="17"/>
          <w:szCs w:val="17"/>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Section 203 of the Delaware General Corporation Law</w:t>
      </w:r>
    </w:p>
    <w:p>
      <w:pPr>
        <w:spacing w:after="0" w:line="73" w:lineRule="exact"/>
        <w:rPr>
          <w:sz w:val="20"/>
          <w:szCs w:val="20"/>
          <w:color w:val="auto"/>
        </w:rPr>
      </w:pPr>
    </w:p>
    <w:p>
      <w:pPr>
        <w:jc w:val="both"/>
        <w:ind w:left="100" w:right="360"/>
        <w:spacing w:after="0" w:line="253" w:lineRule="auto"/>
        <w:rPr>
          <w:sz w:val="20"/>
          <w:szCs w:val="20"/>
          <w:color w:val="auto"/>
        </w:rPr>
      </w:pPr>
      <w:r>
        <w:rPr>
          <w:rFonts w:ascii="Arial" w:cs="Arial" w:eastAsia="Arial" w:hAnsi="Arial"/>
          <w:sz w:val="17"/>
          <w:szCs w:val="17"/>
          <w:color w:val="auto"/>
        </w:rPr>
        <w:t>We are subject to Section 203 of the General Corporation Law of the State of Delaware, or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51" w:lineRule="exact"/>
        <w:rPr>
          <w:sz w:val="20"/>
          <w:szCs w:val="20"/>
          <w:color w:val="auto"/>
        </w:rPr>
      </w:pPr>
    </w:p>
    <w:p>
      <w:pPr>
        <w:ind w:left="960" w:right="80" w:hanging="438"/>
        <w:spacing w:after="0" w:line="257" w:lineRule="auto"/>
        <w:tabs>
          <w:tab w:leader="none" w:pos="96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holder;</w:t>
      </w:r>
    </w:p>
    <w:p>
      <w:pPr>
        <w:spacing w:after="0" w:line="1" w:lineRule="exact"/>
        <w:rPr>
          <w:rFonts w:ascii="MS PGothic" w:cs="MS PGothic" w:eastAsia="MS PGothic" w:hAnsi="MS PGothic"/>
          <w:sz w:val="13"/>
          <w:szCs w:val="13"/>
          <w:color w:val="auto"/>
        </w:rPr>
      </w:pPr>
    </w:p>
    <w:p>
      <w:pPr>
        <w:ind w:left="960" w:right="100" w:hanging="438"/>
        <w:spacing w:after="0"/>
        <w:tabs>
          <w:tab w:leader="none" w:pos="96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1" w:lineRule="exact"/>
        <w:rPr>
          <w:rFonts w:ascii="MS PGothic" w:cs="MS PGothic" w:eastAsia="MS PGothic" w:hAnsi="MS PGothic"/>
          <w:sz w:val="13"/>
          <w:szCs w:val="13"/>
          <w:color w:val="auto"/>
        </w:rPr>
      </w:pPr>
    </w:p>
    <w:p>
      <w:pPr>
        <w:ind w:left="960" w:right="180" w:hanging="438"/>
        <w:spacing w:after="0" w:line="252" w:lineRule="auto"/>
        <w:tabs>
          <w:tab w:leader="none" w:pos="96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general, Section 203 defines business combination to include the following:</w:t>
      </w:r>
    </w:p>
    <w:p>
      <w:pPr>
        <w:spacing w:after="0" w:line="196" w:lineRule="exact"/>
        <w:rPr>
          <w:sz w:val="20"/>
          <w:szCs w:val="20"/>
          <w:color w:val="auto"/>
        </w:rPr>
      </w:pPr>
    </w:p>
    <w:p>
      <w:pPr>
        <w:ind w:left="960" w:hanging="438"/>
        <w:spacing w:after="0"/>
        <w:tabs>
          <w:tab w:leader="none" w:pos="96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any merger or consolidation involving the corporation and the interested stockholder;</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34" w:lineRule="exact"/>
        <w:rPr>
          <w:rFonts w:ascii="MS PGothic" w:cs="MS PGothic" w:eastAsia="MS PGothic" w:hAnsi="MS PGothic"/>
          <w:sz w:val="13"/>
          <w:szCs w:val="13"/>
          <w:color w:val="auto"/>
        </w:rPr>
      </w:pPr>
    </w:p>
    <w:p>
      <w:pPr>
        <w:ind w:left="960" w:right="120" w:hanging="438"/>
        <w:spacing w:after="0" w:line="256" w:lineRule="auto"/>
        <w:tabs>
          <w:tab w:leader="none" w:pos="96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 w:lineRule="exact"/>
        <w:rPr>
          <w:rFonts w:ascii="MS PGothic" w:cs="MS PGothic" w:eastAsia="MS PGothic" w:hAnsi="MS PGothic"/>
          <w:sz w:val="13"/>
          <w:szCs w:val="13"/>
          <w:color w:val="auto"/>
        </w:rPr>
      </w:pPr>
    </w:p>
    <w:p>
      <w:pPr>
        <w:ind w:left="960" w:right="120" w:hanging="438"/>
        <w:spacing w:after="0" w:line="256" w:lineRule="auto"/>
        <w:tabs>
          <w:tab w:leader="none" w:pos="96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1" w:lineRule="exact"/>
        <w:rPr>
          <w:rFonts w:ascii="MS PGothic" w:cs="MS PGothic" w:eastAsia="MS PGothic" w:hAnsi="MS PGothic"/>
          <w:sz w:val="13"/>
          <w:szCs w:val="13"/>
          <w:color w:val="auto"/>
        </w:rPr>
      </w:pPr>
    </w:p>
    <w:p>
      <w:pPr>
        <w:ind w:left="960" w:right="300" w:hanging="438"/>
        <w:spacing w:after="0" w:line="273" w:lineRule="auto"/>
        <w:tabs>
          <w:tab w:leader="none" w:pos="96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94" w:lineRule="exact"/>
        <w:rPr>
          <w:sz w:val="20"/>
          <w:szCs w:val="20"/>
          <w:color w:val="auto"/>
        </w:rPr>
      </w:pPr>
    </w:p>
    <w:p>
      <w:pPr>
        <w:ind w:left="100" w:right="200"/>
        <w:spacing w:after="0" w:line="253" w:lineRule="auto"/>
        <w:rPr>
          <w:sz w:val="20"/>
          <w:szCs w:val="20"/>
          <w:color w:val="auto"/>
        </w:rPr>
      </w:pPr>
      <w:r>
        <w:rPr>
          <w:rFonts w:ascii="Arial" w:cs="Arial" w:eastAsia="Arial" w:hAnsi="Arial"/>
          <w:sz w:val="17"/>
          <w:szCs w:val="17"/>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11" w:lineRule="exact"/>
        <w:rPr>
          <w:sz w:val="20"/>
          <w:szCs w:val="20"/>
          <w:color w:val="auto"/>
        </w:rPr>
      </w:pPr>
    </w:p>
    <w:p>
      <w:pPr>
        <w:ind w:left="100" w:right="20"/>
        <w:spacing w:after="0" w:line="275" w:lineRule="auto"/>
        <w:rPr>
          <w:sz w:val="20"/>
          <w:szCs w:val="20"/>
          <w:color w:val="auto"/>
        </w:rPr>
      </w:pPr>
      <w:r>
        <w:rPr>
          <w:rFonts w:ascii="Arial" w:cs="Arial" w:eastAsia="Arial" w:hAnsi="Arial"/>
          <w:sz w:val="17"/>
          <w:szCs w:val="17"/>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Choice of Forum</w:t>
      </w:r>
    </w:p>
    <w:p>
      <w:pPr>
        <w:spacing w:after="0" w:line="60" w:lineRule="exact"/>
        <w:rPr>
          <w:sz w:val="20"/>
          <w:szCs w:val="20"/>
          <w:color w:val="auto"/>
        </w:rPr>
      </w:pPr>
    </w:p>
    <w:p>
      <w:pPr>
        <w:ind w:left="100"/>
        <w:spacing w:after="0" w:line="237"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the following types of actions or proceedings under Delaware statutory or common law: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Transfer Agent and Registrar</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Our transfer agent and registrar for our common stock is American Stock Transfer &amp; Trust Company, LLC.</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Our common stock is listed on The Nasdaq Global Select Market under the symbol “NGM.”</w:t>
      </w:r>
    </w:p>
    <w:p>
      <w:pPr>
        <w:spacing w:after="0" w:line="15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139"/>
          </w:cols>
          <w:pgMar w:left="320" w:top="455" w:right="1440"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DEBT SECURITIES</w:t>
      </w:r>
    </w:p>
    <w:p>
      <w:pPr>
        <w:spacing w:after="0" w:line="316" w:lineRule="exact"/>
        <w:rPr>
          <w:sz w:val="20"/>
          <w:szCs w:val="20"/>
          <w:color w:val="auto"/>
        </w:rPr>
      </w:pPr>
    </w:p>
    <w:p>
      <w:pPr>
        <w:ind w:left="100" w:right="100"/>
        <w:spacing w:after="0"/>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23" w:lineRule="exact"/>
        <w:rPr>
          <w:sz w:val="20"/>
          <w:szCs w:val="20"/>
          <w:color w:val="auto"/>
        </w:rPr>
      </w:pPr>
    </w:p>
    <w:p>
      <w:pPr>
        <w:ind w:left="100" w:right="20"/>
        <w:spacing w:after="0" w:line="242" w:lineRule="auto"/>
        <w:rPr>
          <w:sz w:val="20"/>
          <w:szCs w:val="20"/>
          <w:color w:val="auto"/>
        </w:rPr>
      </w:pPr>
      <w:r>
        <w:rPr>
          <w:rFonts w:ascii="Arial" w:cs="Arial" w:eastAsia="Arial" w:hAnsi="Arial"/>
          <w:sz w:val="17"/>
          <w:szCs w:val="17"/>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1"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ind w:left="100" w:right="20"/>
        <w:spacing w:after="0" w:line="242"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1" w:lineRule="exact"/>
        <w:rPr>
          <w:sz w:val="20"/>
          <w:szCs w:val="20"/>
          <w:color w:val="auto"/>
        </w:rPr>
      </w:pPr>
    </w:p>
    <w:p>
      <w:pPr>
        <w:ind w:left="100" w:right="20"/>
        <w:spacing w:after="0" w:line="242" w:lineRule="auto"/>
        <w:rPr>
          <w:sz w:val="20"/>
          <w:szCs w:val="20"/>
          <w:color w:val="auto"/>
        </w:rPr>
      </w:pPr>
      <w:r>
        <w:rPr>
          <w:rFonts w:ascii="Arial" w:cs="Arial" w:eastAsia="Arial" w:hAnsi="Arial"/>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will describe in the applicable prospectus supplement the terms of the series of debt securities being offered, including:</w:t>
      </w:r>
    </w:p>
    <w:p>
      <w:pPr>
        <w:spacing w:after="0" w:line="196" w:lineRule="exact"/>
        <w:rPr>
          <w:sz w:val="20"/>
          <w:szCs w:val="20"/>
          <w:color w:val="auto"/>
        </w:rPr>
      </w:pPr>
    </w:p>
    <w:p>
      <w:pPr>
        <w:ind w:left="960" w:hanging="438"/>
        <w:spacing w:after="0"/>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the title of the series of debt securities;</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any limit upon the aggregate principal amount that may be issued;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the maturity date or dates;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the form of the debt securities of the series;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the applicability of any guarantees;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whether or not the debt securities will be secured or unsecured, and the terms of any secured debt;</w:t>
      </w:r>
    </w:p>
    <w:p>
      <w:pPr>
        <w:spacing w:after="0" w:line="34" w:lineRule="exact"/>
        <w:rPr>
          <w:rFonts w:ascii="MS PGothic" w:cs="MS PGothic" w:eastAsia="MS PGothic" w:hAnsi="MS PGothic"/>
          <w:sz w:val="13"/>
          <w:szCs w:val="13"/>
          <w:color w:val="auto"/>
        </w:rPr>
      </w:pPr>
    </w:p>
    <w:p>
      <w:pPr>
        <w:ind w:left="960" w:hanging="438"/>
        <w:spacing w:after="0" w:line="256" w:lineRule="auto"/>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whether the debt securities rank as senior debt, senior subordinated debt, subordinated debt or any combination thereof, and the terms of any subordination;</w:t>
      </w:r>
    </w:p>
    <w:p>
      <w:pPr>
        <w:spacing w:after="0" w:line="1" w:lineRule="exact"/>
        <w:rPr>
          <w:rFonts w:ascii="MS PGothic" w:cs="MS PGothic" w:eastAsia="MS PGothic" w:hAnsi="MS PGothic"/>
          <w:sz w:val="13"/>
          <w:szCs w:val="13"/>
          <w:color w:val="auto"/>
        </w:rPr>
      </w:pPr>
    </w:p>
    <w:p>
      <w:pPr>
        <w:ind w:left="960" w:right="260" w:hanging="438"/>
        <w:spacing w:after="0" w:line="252" w:lineRule="auto"/>
        <w:tabs>
          <w:tab w:leader="none" w:pos="96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60" w:right="200"/>
        <w:spacing w:after="0" w:line="257" w:lineRule="auto"/>
        <w:rPr>
          <w:sz w:val="20"/>
          <w:szCs w:val="20"/>
          <w:color w:val="auto"/>
        </w:rPr>
      </w:pPr>
      <w:r>
        <w:rPr>
          <w:rFonts w:ascii="Arial" w:cs="Arial" w:eastAsia="Arial" w:hAnsi="Arial"/>
          <w:sz w:val="17"/>
          <w:szCs w:val="17"/>
          <w:color w:val="auto"/>
        </w:rPr>
        <w:t>of the principal amount of such debt securities that is convertible into another security or the method by which any such portion shall be determined;</w:t>
      </w:r>
    </w:p>
    <w:p>
      <w:pPr>
        <w:spacing w:after="0" w:line="1" w:lineRule="exact"/>
        <w:rPr>
          <w:sz w:val="20"/>
          <w:szCs w:val="20"/>
          <w:color w:val="auto"/>
        </w:rPr>
      </w:pPr>
    </w:p>
    <w:p>
      <w:pPr>
        <w:ind w:left="960" w:right="160" w:hanging="438"/>
        <w:spacing w:after="0" w:line="248"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right, if any, to defer payment of interest and the maximum length of any such deferral period;</w:t>
      </w:r>
    </w:p>
    <w:p>
      <w:pPr>
        <w:spacing w:after="0" w:line="34" w:lineRule="exact"/>
        <w:rPr>
          <w:rFonts w:ascii="MS PGothic" w:cs="MS PGothic" w:eastAsia="MS PGothic" w:hAnsi="MS PGothic"/>
          <w:sz w:val="13"/>
          <w:szCs w:val="13"/>
          <w:color w:val="auto"/>
        </w:rPr>
      </w:pPr>
    </w:p>
    <w:p>
      <w:pPr>
        <w:jc w:val="both"/>
        <w:ind w:left="960" w:right="480" w:hanging="438"/>
        <w:spacing w:after="0" w:line="248"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 w:lineRule="exact"/>
        <w:rPr>
          <w:rFonts w:ascii="MS PGothic" w:cs="MS PGothic" w:eastAsia="MS PGothic" w:hAnsi="MS PGothic"/>
          <w:sz w:val="13"/>
          <w:szCs w:val="13"/>
          <w:color w:val="auto"/>
        </w:rPr>
      </w:pPr>
    </w:p>
    <w:p>
      <w:pPr>
        <w:ind w:left="960" w:right="20" w:hanging="438"/>
        <w:spacing w:after="0" w:line="248"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 w:lineRule="exact"/>
        <w:rPr>
          <w:rFonts w:ascii="MS PGothic" w:cs="MS PGothic" w:eastAsia="MS PGothic" w:hAnsi="MS PGothic"/>
          <w:sz w:val="13"/>
          <w:szCs w:val="13"/>
          <w:color w:val="auto"/>
        </w:rPr>
      </w:pPr>
    </w:p>
    <w:p>
      <w:pPr>
        <w:ind w:left="960" w:right="160" w:hanging="438"/>
        <w:spacing w:after="0" w:line="248"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whether the debt securities of the series shall be issued in whole or in part in the form of a global security or securities;</w:t>
      </w:r>
    </w:p>
    <w:p>
      <w:pPr>
        <w:spacing w:after="0" w:line="34" w:lineRule="exact"/>
        <w:rPr>
          <w:rFonts w:ascii="MS PGothic" w:cs="MS PGothic" w:eastAsia="MS PGothic" w:hAnsi="MS PGothic"/>
          <w:sz w:val="13"/>
          <w:szCs w:val="13"/>
          <w:color w:val="auto"/>
        </w:rPr>
      </w:pPr>
    </w:p>
    <w:p>
      <w:pPr>
        <w:ind w:left="96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terms and conditions, if any, upon which such global security or securities may be exchanged in whole or in part for other individual securities, and the depositary for such global security or securities;</w:t>
      </w:r>
    </w:p>
    <w:p>
      <w:pPr>
        <w:spacing w:after="0" w:line="1" w:lineRule="exact"/>
        <w:rPr>
          <w:rFonts w:ascii="MS PGothic" w:cs="MS PGothic" w:eastAsia="MS PGothic" w:hAnsi="MS PGothic"/>
          <w:sz w:val="13"/>
          <w:szCs w:val="13"/>
          <w:color w:val="auto"/>
        </w:rPr>
      </w:pPr>
    </w:p>
    <w:p>
      <w:pPr>
        <w:ind w:left="960" w:right="60" w:hanging="438"/>
        <w:spacing w:after="0" w:line="244"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 w:lineRule="exact"/>
        <w:rPr>
          <w:rFonts w:ascii="MS PGothic" w:cs="MS PGothic" w:eastAsia="MS PGothic" w:hAnsi="MS PGothic"/>
          <w:sz w:val="13"/>
          <w:szCs w:val="13"/>
          <w:color w:val="auto"/>
        </w:rPr>
      </w:pPr>
    </w:p>
    <w:p>
      <w:pPr>
        <w:ind w:left="960" w:right="6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1" w:lineRule="exact"/>
        <w:rPr>
          <w:rFonts w:ascii="MS PGothic" w:cs="MS PGothic" w:eastAsia="MS PGothic" w:hAnsi="MS PGothic"/>
          <w:sz w:val="13"/>
          <w:szCs w:val="13"/>
          <w:color w:val="auto"/>
        </w:rPr>
      </w:pPr>
    </w:p>
    <w:p>
      <w:pPr>
        <w:ind w:left="960" w:right="66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covenants applicable to the particular debt securities being issued, including, among others, the consolidation, merger or sale covenant;</w:t>
      </w:r>
    </w:p>
    <w:p>
      <w:pPr>
        <w:spacing w:after="0" w:line="1" w:lineRule="exact"/>
        <w:rPr>
          <w:rFonts w:ascii="MS PGothic" w:cs="MS PGothic" w:eastAsia="MS PGothic" w:hAnsi="MS PGothic"/>
          <w:sz w:val="13"/>
          <w:szCs w:val="13"/>
          <w:color w:val="auto"/>
        </w:rPr>
      </w:pPr>
    </w:p>
    <w:p>
      <w:pPr>
        <w:ind w:left="96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additions to or changes in or deletions of the provisions relating to covenant defeasance and legal defeasance;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satisfaction and discharge of the indenture;</w:t>
      </w:r>
    </w:p>
    <w:p>
      <w:pPr>
        <w:spacing w:after="0" w:line="34" w:lineRule="exact"/>
        <w:rPr>
          <w:rFonts w:ascii="MS PGothic" w:cs="MS PGothic" w:eastAsia="MS PGothic" w:hAnsi="MS PGothic"/>
          <w:sz w:val="13"/>
          <w:szCs w:val="13"/>
          <w:color w:val="auto"/>
        </w:rPr>
      </w:pPr>
    </w:p>
    <w:p>
      <w:pPr>
        <w:ind w:left="960" w:right="26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the modification of the indenture both with and without the consent of holders of debt securities issued under the indenture;</w:t>
      </w:r>
    </w:p>
    <w:p>
      <w:pPr>
        <w:spacing w:after="0" w:line="1" w:lineRule="exact"/>
        <w:rPr>
          <w:rFonts w:ascii="MS PGothic" w:cs="MS PGothic" w:eastAsia="MS PGothic" w:hAnsi="MS PGothic"/>
          <w:sz w:val="13"/>
          <w:szCs w:val="13"/>
          <w:color w:val="auto"/>
        </w:rPr>
      </w:pPr>
    </w:p>
    <w:p>
      <w:pPr>
        <w:ind w:left="960" w:right="44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 w:lineRule="exact"/>
        <w:rPr>
          <w:rFonts w:ascii="MS PGothic" w:cs="MS PGothic" w:eastAsia="MS PGothic" w:hAnsi="MS PGothic"/>
          <w:sz w:val="13"/>
          <w:szCs w:val="13"/>
          <w:color w:val="auto"/>
        </w:rPr>
      </w:pPr>
    </w:p>
    <w:p>
      <w:pPr>
        <w:ind w:left="960" w:right="26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whether interest will be payable in cash or additional debt securities at our or the holders’ option and the terms and conditions upon which the election may be made;</w:t>
      </w:r>
    </w:p>
    <w:p>
      <w:pPr>
        <w:spacing w:after="0" w:line="1" w:lineRule="exact"/>
        <w:rPr>
          <w:rFonts w:ascii="MS PGothic" w:cs="MS PGothic" w:eastAsia="MS PGothic" w:hAnsi="MS PGothic"/>
          <w:sz w:val="13"/>
          <w:szCs w:val="13"/>
          <w:color w:val="auto"/>
        </w:rPr>
      </w:pPr>
    </w:p>
    <w:p>
      <w:pPr>
        <w:ind w:left="960" w:right="540" w:hanging="438"/>
        <w:spacing w:after="0" w:line="256"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any restrictions on transfer, sale or assignment of the debt securities of the series; and</w:t>
      </w:r>
    </w:p>
    <w:p>
      <w:pPr>
        <w:spacing w:after="0" w:line="34" w:lineRule="exact"/>
        <w:rPr>
          <w:rFonts w:ascii="MS PGothic" w:cs="MS PGothic" w:eastAsia="MS PGothic" w:hAnsi="MS PGothic"/>
          <w:sz w:val="13"/>
          <w:szCs w:val="13"/>
          <w:color w:val="auto"/>
        </w:rPr>
      </w:pPr>
    </w:p>
    <w:p>
      <w:pPr>
        <w:ind w:left="960" w:right="200" w:hanging="438"/>
        <w:spacing w:after="0" w:line="273" w:lineRule="auto"/>
        <w:tabs>
          <w:tab w:leader="none" w:pos="96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Conversion or Exchange Rights</w:t>
      </w:r>
    </w:p>
    <w:p>
      <w:pPr>
        <w:spacing w:after="0" w:line="73"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Consolidation, Merger or Sale</w:t>
      </w:r>
    </w:p>
    <w:p>
      <w:pPr>
        <w:spacing w:after="0" w:line="60" w:lineRule="exact"/>
        <w:rPr>
          <w:sz w:val="20"/>
          <w:szCs w:val="20"/>
          <w:color w:val="auto"/>
        </w:rPr>
      </w:pPr>
    </w:p>
    <w:p>
      <w:pPr>
        <w:ind w:left="100" w:right="20"/>
        <w:spacing w:after="0" w:line="246"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60" w:lineRule="exact"/>
        <w:rPr>
          <w:sz w:val="20"/>
          <w:szCs w:val="20"/>
          <w:color w:val="auto"/>
        </w:rPr>
      </w:pPr>
    </w:p>
    <w:p>
      <w:pPr>
        <w:ind w:left="100" w:right="220"/>
        <w:spacing w:after="0" w:line="275"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33" w:lineRule="exact"/>
        <w:rPr>
          <w:sz w:val="20"/>
          <w:szCs w:val="20"/>
          <w:color w:val="auto"/>
        </w:rPr>
      </w:pPr>
    </w:p>
    <w:p>
      <w:pPr>
        <w:ind w:left="960" w:right="100" w:hanging="438"/>
        <w:spacing w:after="0" w:line="244"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 w:lineRule="exact"/>
        <w:rPr>
          <w:rFonts w:ascii="MS PGothic" w:cs="MS PGothic" w:eastAsia="MS PGothic" w:hAnsi="MS PGothic"/>
          <w:sz w:val="13"/>
          <w:szCs w:val="13"/>
          <w:color w:val="auto"/>
        </w:rPr>
      </w:pPr>
    </w:p>
    <w:p>
      <w:pPr>
        <w:ind w:left="960" w:right="100" w:hanging="438"/>
        <w:spacing w:after="0" w:line="241"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4" w:lineRule="exact"/>
        <w:rPr>
          <w:rFonts w:ascii="MS PGothic" w:cs="MS PGothic" w:eastAsia="MS PGothic" w:hAnsi="MS PGothic"/>
          <w:sz w:val="13"/>
          <w:szCs w:val="13"/>
          <w:color w:val="auto"/>
        </w:rPr>
      </w:pPr>
    </w:p>
    <w:p>
      <w:pPr>
        <w:ind w:left="960" w:hanging="438"/>
        <w:spacing w:after="0" w:line="244" w:lineRule="auto"/>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if specified events of bankruptcy, insolvency or reorganization occur.</w:t>
      </w:r>
    </w:p>
    <w:p>
      <w:pPr>
        <w:spacing w:after="0" w:line="154" w:lineRule="exact"/>
        <w:rPr>
          <w:sz w:val="20"/>
          <w:szCs w:val="20"/>
          <w:color w:val="auto"/>
        </w:rPr>
      </w:pPr>
    </w:p>
    <w:p>
      <w:pPr>
        <w:ind w:left="100" w:right="40"/>
        <w:spacing w:after="0"/>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23" w:lineRule="exact"/>
        <w:rPr>
          <w:sz w:val="20"/>
          <w:szCs w:val="20"/>
          <w:color w:val="auto"/>
        </w:rPr>
      </w:pPr>
    </w:p>
    <w:p>
      <w:pPr>
        <w:jc w:val="both"/>
        <w:ind w:left="100" w:right="20"/>
        <w:spacing w:after="0" w:line="253"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11" w:lineRule="exact"/>
        <w:rPr>
          <w:sz w:val="20"/>
          <w:szCs w:val="20"/>
          <w:color w:val="auto"/>
        </w:rPr>
      </w:pPr>
    </w:p>
    <w:p>
      <w:pPr>
        <w:ind w:left="100"/>
        <w:spacing w:after="0" w:line="246"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to the trustee, or exercising any trust or power conferred on the trustee, with respect to the debt securities of that series, provided that:</w:t>
      </w:r>
    </w:p>
    <w:p>
      <w:pPr>
        <w:spacing w:after="0" w:line="196" w:lineRule="exact"/>
        <w:rPr>
          <w:sz w:val="20"/>
          <w:szCs w:val="20"/>
          <w:color w:val="auto"/>
        </w:rPr>
      </w:pPr>
    </w:p>
    <w:p>
      <w:pPr>
        <w:ind w:left="960" w:hanging="438"/>
        <w:spacing w:after="0"/>
        <w:tabs>
          <w:tab w:leader="none" w:pos="96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direction so given by the holder is not in conflict with any law or the applicable indenture; and</w:t>
      </w:r>
    </w:p>
    <w:p>
      <w:pPr>
        <w:spacing w:after="0" w:line="35" w:lineRule="exact"/>
        <w:rPr>
          <w:rFonts w:ascii="MS PGothic" w:cs="MS PGothic" w:eastAsia="MS PGothic" w:hAnsi="MS PGothic"/>
          <w:sz w:val="13"/>
          <w:szCs w:val="13"/>
          <w:color w:val="auto"/>
        </w:rPr>
      </w:pPr>
    </w:p>
    <w:p>
      <w:pPr>
        <w:ind w:left="960" w:right="20" w:hanging="438"/>
        <w:spacing w:after="0" w:line="273" w:lineRule="auto"/>
        <w:tabs>
          <w:tab w:leader="none" w:pos="96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94" w:lineRule="exact"/>
        <w:rPr>
          <w:sz w:val="20"/>
          <w:szCs w:val="20"/>
          <w:color w:val="auto"/>
        </w:rPr>
      </w:pPr>
    </w:p>
    <w:p>
      <w:pPr>
        <w:ind w:left="100"/>
        <w:spacing w:after="0" w:line="275" w:lineRule="auto"/>
        <w:rPr>
          <w:sz w:val="20"/>
          <w:szCs w:val="20"/>
          <w:color w:val="auto"/>
        </w:rPr>
      </w:pPr>
      <w:r>
        <w:rPr>
          <w:rFonts w:ascii="Arial" w:cs="Arial" w:eastAsia="Arial" w:hAnsi="Arial"/>
          <w:sz w:val="17"/>
          <w:szCs w:val="17"/>
          <w:color w:val="auto"/>
        </w:rPr>
        <w:t>A holder of the debt securities of any series will have the right to institute a proceeding under the indenture or to appoint a receiver or trustee, or to seek other remedies only if:</w:t>
      </w:r>
    </w:p>
    <w:p>
      <w:pPr>
        <w:spacing w:after="0" w:line="133" w:lineRule="exact"/>
        <w:rPr>
          <w:sz w:val="20"/>
          <w:szCs w:val="20"/>
          <w:color w:val="auto"/>
        </w:rPr>
      </w:pPr>
    </w:p>
    <w:p>
      <w:pPr>
        <w:ind w:left="960" w:hanging="438"/>
        <w:spacing w:after="0"/>
        <w:tabs>
          <w:tab w:leader="none" w:pos="96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holder has given written notice to the trustee of a continuing event of default with respect to that series;</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34" w:lineRule="exact"/>
        <w:rPr>
          <w:rFonts w:ascii="MS PGothic" w:cs="MS PGothic" w:eastAsia="MS PGothic" w:hAnsi="MS PGothic"/>
          <w:sz w:val="13"/>
          <w:szCs w:val="13"/>
          <w:color w:val="auto"/>
        </w:rPr>
      </w:pPr>
    </w:p>
    <w:p>
      <w:pPr>
        <w:ind w:left="960" w:right="360" w:hanging="438"/>
        <w:spacing w:after="0" w:line="256" w:lineRule="auto"/>
        <w:tabs>
          <w:tab w:leader="none" w:pos="96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such holders have offered to the trustee indemnity satisfactory to it against the costs, expenses and liabilities to be incurred by the trustee in compliance with the request; and</w:t>
      </w:r>
    </w:p>
    <w:p>
      <w:pPr>
        <w:spacing w:after="0" w:line="1" w:lineRule="exact"/>
        <w:rPr>
          <w:rFonts w:ascii="MS PGothic" w:cs="MS PGothic" w:eastAsia="MS PGothic" w:hAnsi="MS PGothic"/>
          <w:sz w:val="13"/>
          <w:szCs w:val="13"/>
          <w:color w:val="auto"/>
        </w:rPr>
      </w:pPr>
    </w:p>
    <w:p>
      <w:pPr>
        <w:ind w:left="960" w:right="120" w:hanging="438"/>
        <w:spacing w:after="0" w:line="273" w:lineRule="auto"/>
        <w:tabs>
          <w:tab w:leader="none" w:pos="96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94" w:lineRule="exact"/>
        <w:rPr>
          <w:sz w:val="20"/>
          <w:szCs w:val="20"/>
          <w:color w:val="auto"/>
        </w:rPr>
      </w:pPr>
    </w:p>
    <w:p>
      <w:pPr>
        <w:ind w:left="100" w:right="380"/>
        <w:spacing w:after="0" w:line="275"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will periodically file statements with the trustee regarding our compliance with specified covenants in the indenture.</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Modification of Indenture; Waiver</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and the trustee may change an indenture without the consent of any holders with respect to specific matters:</w:t>
      </w:r>
    </w:p>
    <w:p>
      <w:pPr>
        <w:spacing w:after="0" w:line="196" w:lineRule="exact"/>
        <w:rPr>
          <w:sz w:val="20"/>
          <w:szCs w:val="20"/>
          <w:color w:val="auto"/>
        </w:rPr>
      </w:pPr>
    </w:p>
    <w:p>
      <w:pPr>
        <w:ind w:left="960" w:hanging="438"/>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to cure any ambiguity, defect or inconsistency in the indenture or in the debt securities of any series;</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to comply with the provisions described above under “Description of Debt Securities-Consolidation, Merger or Sale;”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34" w:lineRule="exact"/>
        <w:rPr>
          <w:rFonts w:ascii="MS PGothic" w:cs="MS PGothic" w:eastAsia="MS PGothic" w:hAnsi="MS PGothic"/>
          <w:sz w:val="13"/>
          <w:szCs w:val="13"/>
          <w:color w:val="auto"/>
        </w:rPr>
      </w:pPr>
    </w:p>
    <w:p>
      <w:pPr>
        <w:ind w:left="960" w:right="20" w:hanging="438"/>
        <w:spacing w:after="0" w:line="244" w:lineRule="auto"/>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 w:lineRule="exact"/>
        <w:rPr>
          <w:rFonts w:ascii="MS PGothic" w:cs="MS PGothic" w:eastAsia="MS PGothic" w:hAnsi="MS PGothic"/>
          <w:sz w:val="13"/>
          <w:szCs w:val="13"/>
          <w:color w:val="auto"/>
        </w:rPr>
      </w:pPr>
    </w:p>
    <w:p>
      <w:pPr>
        <w:ind w:left="960" w:right="460" w:hanging="438"/>
        <w:spacing w:after="0" w:line="256" w:lineRule="auto"/>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 as set forth in the indenture;</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34" w:lineRule="exact"/>
        <w:rPr>
          <w:rFonts w:ascii="MS PGothic" w:cs="MS PGothic" w:eastAsia="MS PGothic" w:hAnsi="MS PGothic"/>
          <w:sz w:val="13"/>
          <w:szCs w:val="13"/>
          <w:color w:val="auto"/>
        </w:rPr>
      </w:pPr>
    </w:p>
    <w:p>
      <w:pPr>
        <w:ind w:left="960" w:right="40" w:hanging="438"/>
        <w:spacing w:after="0" w:line="248" w:lineRule="auto"/>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to evidence and provide for the acceptance of appointment under any indenture by a successor trustee; or</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140"/>
        <w:spacing w:after="0" w:line="246"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57" w:lineRule="exact"/>
        <w:rPr>
          <w:sz w:val="20"/>
          <w:szCs w:val="20"/>
          <w:color w:val="auto"/>
        </w:rPr>
      </w:pPr>
    </w:p>
    <w:p>
      <w:pPr>
        <w:ind w:left="960" w:hanging="438"/>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extending the fixed maturity of any debt securities of any series;</w:t>
      </w:r>
    </w:p>
    <w:p>
      <w:pPr>
        <w:spacing w:after="0" w:line="35" w:lineRule="exact"/>
        <w:rPr>
          <w:rFonts w:ascii="MS PGothic" w:cs="MS PGothic" w:eastAsia="MS PGothic" w:hAnsi="MS PGothic"/>
          <w:sz w:val="13"/>
          <w:szCs w:val="13"/>
          <w:color w:val="auto"/>
        </w:rPr>
      </w:pPr>
    </w:p>
    <w:p>
      <w:pPr>
        <w:ind w:left="960" w:right="440" w:hanging="438"/>
        <w:spacing w:after="0" w:line="256" w:lineRule="auto"/>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reducing the principal amount, reducing the rate of or extending the time of payment of interest, or reducing any premium payable upon the redemption of any series of any debt securities; or</w:t>
      </w:r>
    </w:p>
    <w:p>
      <w:pPr>
        <w:spacing w:after="0" w:line="1" w:lineRule="exact"/>
        <w:rPr>
          <w:rFonts w:ascii="MS PGothic" w:cs="MS PGothic" w:eastAsia="MS PGothic" w:hAnsi="MS PGothic"/>
          <w:sz w:val="13"/>
          <w:szCs w:val="13"/>
          <w:color w:val="auto"/>
        </w:rPr>
      </w:pPr>
    </w:p>
    <w:p>
      <w:pPr>
        <w:ind w:left="960" w:right="160" w:hanging="438"/>
        <w:spacing w:after="0" w:line="273" w:lineRule="auto"/>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reducing the percentage of debt securities, the holders of which are required to consent to any amendment, supplement, modification or waiver.</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Discharge</w:t>
      </w:r>
    </w:p>
    <w:p>
      <w:pPr>
        <w:spacing w:after="0" w:line="73" w:lineRule="exact"/>
        <w:rPr>
          <w:sz w:val="20"/>
          <w:szCs w:val="20"/>
          <w:color w:val="auto"/>
        </w:rPr>
      </w:pPr>
    </w:p>
    <w:p>
      <w:pPr>
        <w:ind w:left="100" w:right="240"/>
        <w:spacing w:after="0" w:line="275" w:lineRule="auto"/>
        <w:rPr>
          <w:sz w:val="20"/>
          <w:szCs w:val="20"/>
          <w:color w:val="auto"/>
        </w:rPr>
      </w:pPr>
      <w:r>
        <w:rPr>
          <w:rFonts w:ascii="Arial" w:cs="Arial" w:eastAsia="Arial" w:hAnsi="Arial"/>
          <w:sz w:val="17"/>
          <w:szCs w:val="17"/>
          <w:color w:val="auto"/>
        </w:rPr>
        <w:t>Each indenture provides that we can elect to be discharged from our obligations with respect to one or more series of debt securities, except for specified obligations, including obligations to:</w:t>
      </w:r>
    </w:p>
    <w:p>
      <w:pPr>
        <w:spacing w:after="0" w:line="133" w:lineRule="exact"/>
        <w:rPr>
          <w:sz w:val="20"/>
          <w:szCs w:val="20"/>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provide for payment;</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register the transfer or exchange of debt securities of the series;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replace stolen, lost or mutilated debt securities of the series;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pay principal of and premium and interest on any debt securities of the series;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maintain paying agencies;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hold monies for payment in trust;</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recover excess money held by the trustee;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compensate and indemnify the trustee; and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appoint any successor trustee.</w:t>
      </w:r>
    </w:p>
    <w:p>
      <w:pPr>
        <w:spacing w:after="0" w:line="154" w:lineRule="exact"/>
        <w:rPr>
          <w:sz w:val="20"/>
          <w:szCs w:val="20"/>
          <w:color w:val="auto"/>
        </w:rPr>
      </w:pPr>
    </w:p>
    <w:p>
      <w:pPr>
        <w:ind w:left="100"/>
        <w:spacing w:after="0" w:line="275" w:lineRule="auto"/>
        <w:rPr>
          <w:sz w:val="20"/>
          <w:szCs w:val="20"/>
          <w:color w:val="auto"/>
        </w:rPr>
      </w:pPr>
      <w:r>
        <w:rPr>
          <w:rFonts w:ascii="Arial" w:cs="Arial" w:eastAsia="Arial" w:hAnsi="Arial"/>
          <w:sz w:val="17"/>
          <w:szCs w:val="17"/>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Form, Exchange and Transfer</w:t>
      </w:r>
    </w:p>
    <w:p>
      <w:pPr>
        <w:spacing w:after="0" w:line="60" w:lineRule="exact"/>
        <w:rPr>
          <w:sz w:val="20"/>
          <w:szCs w:val="20"/>
          <w:color w:val="auto"/>
        </w:rPr>
      </w:pPr>
    </w:p>
    <w:p>
      <w:pPr>
        <w:ind w:left="100" w:right="20"/>
        <w:spacing w:after="0"/>
        <w:rPr>
          <w:sz w:val="20"/>
          <w:szCs w:val="20"/>
          <w:color w:val="auto"/>
        </w:rPr>
      </w:pPr>
      <w:r>
        <w:rPr>
          <w:rFonts w:ascii="Arial" w:cs="Arial" w:eastAsia="Arial" w:hAnsi="Arial"/>
          <w:sz w:val="17"/>
          <w:szCs w:val="17"/>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23" w:lineRule="exact"/>
        <w:rPr>
          <w:sz w:val="20"/>
          <w:szCs w:val="20"/>
          <w:color w:val="auto"/>
        </w:rPr>
      </w:pPr>
    </w:p>
    <w:p>
      <w:pPr>
        <w:jc w:val="both"/>
        <w:ind w:left="100" w:right="480"/>
        <w:spacing w:after="0" w:line="253" w:lineRule="auto"/>
        <w:rPr>
          <w:sz w:val="20"/>
          <w:szCs w:val="20"/>
          <w:color w:val="auto"/>
        </w:rPr>
      </w:pPr>
      <w:r>
        <w:rPr>
          <w:rFonts w:ascii="Arial" w:cs="Arial" w:eastAsia="Arial" w:hAnsi="Arial"/>
          <w:sz w:val="17"/>
          <w:szCs w:val="17"/>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11" w:lineRule="exact"/>
        <w:rPr>
          <w:sz w:val="20"/>
          <w:szCs w:val="20"/>
          <w:color w:val="auto"/>
        </w:rPr>
      </w:pPr>
    </w:p>
    <w:p>
      <w:pPr>
        <w:ind w:left="100"/>
        <w:spacing w:after="0" w:line="242"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60"/>
          </w:cols>
          <w:pgMar w:left="320" w:top="455" w:right="41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If we elect to redeem the debt securities of any series, we will not be required to:</w:t>
      </w:r>
    </w:p>
    <w:p>
      <w:pPr>
        <w:spacing w:after="0" w:line="196" w:lineRule="exact"/>
        <w:rPr>
          <w:sz w:val="20"/>
          <w:szCs w:val="20"/>
          <w:color w:val="auto"/>
        </w:rPr>
      </w:pPr>
    </w:p>
    <w:p>
      <w:pPr>
        <w:jc w:val="both"/>
        <w:ind w:left="960" w:right="180" w:hanging="438"/>
        <w:spacing w:after="0" w:line="249" w:lineRule="auto"/>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ind w:left="960" w:right="80" w:hanging="438"/>
        <w:spacing w:after="0" w:line="273" w:lineRule="auto"/>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register the transfer of or exchange any debt securities so selected for redemption, in whole or in part, except the unredeemed portion of any debt securities we are redeeming in part.</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Information Concerning the Trustee</w:t>
      </w:r>
    </w:p>
    <w:p>
      <w:pPr>
        <w:spacing w:after="0" w:line="73" w:lineRule="exact"/>
        <w:rPr>
          <w:sz w:val="20"/>
          <w:szCs w:val="20"/>
          <w:color w:val="auto"/>
        </w:rPr>
      </w:pPr>
    </w:p>
    <w:p>
      <w:pPr>
        <w:ind w:left="100" w:right="20"/>
        <w:spacing w:after="0" w:line="242" w:lineRule="auto"/>
        <w:rPr>
          <w:sz w:val="20"/>
          <w:szCs w:val="20"/>
          <w:color w:val="auto"/>
        </w:rPr>
      </w:pPr>
      <w:r>
        <w:rPr>
          <w:rFonts w:ascii="Arial" w:cs="Arial" w:eastAsia="Arial" w:hAnsi="Arial"/>
          <w:sz w:val="17"/>
          <w:szCs w:val="17"/>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Payment and Paying Agents</w:t>
      </w:r>
    </w:p>
    <w:p>
      <w:pPr>
        <w:spacing w:after="0" w:line="60" w:lineRule="exact"/>
        <w:rPr>
          <w:sz w:val="20"/>
          <w:szCs w:val="20"/>
          <w:color w:val="auto"/>
        </w:rPr>
      </w:pPr>
    </w:p>
    <w:p>
      <w:pPr>
        <w:ind w:left="100" w:right="20"/>
        <w:spacing w:after="0" w:line="253" w:lineRule="auto"/>
        <w:rPr>
          <w:sz w:val="20"/>
          <w:szCs w:val="20"/>
          <w:color w:val="auto"/>
        </w:rPr>
      </w:pPr>
      <w:r>
        <w:rPr>
          <w:rFonts w:ascii="Arial" w:cs="Arial" w:eastAsia="Arial" w:hAnsi="Arial"/>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23" w:lineRule="exact"/>
        <w:rPr>
          <w:sz w:val="20"/>
          <w:szCs w:val="20"/>
          <w:color w:val="auto"/>
        </w:rPr>
      </w:pPr>
    </w:p>
    <w:p>
      <w:pPr>
        <w:ind w:left="100" w:right="380"/>
        <w:spacing w:after="0" w:line="253" w:lineRule="auto"/>
        <w:rPr>
          <w:sz w:val="20"/>
          <w:szCs w:val="20"/>
          <w:color w:val="auto"/>
        </w:rPr>
      </w:pPr>
      <w:r>
        <w:rPr>
          <w:rFonts w:ascii="Arial" w:cs="Arial" w:eastAsia="Arial" w:hAnsi="Arial"/>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Governing Law</w:t>
      </w:r>
    </w:p>
    <w:p>
      <w:pPr>
        <w:spacing w:after="0" w:line="60" w:lineRule="exact"/>
        <w:rPr>
          <w:sz w:val="20"/>
          <w:szCs w:val="20"/>
          <w:color w:val="auto"/>
        </w:rPr>
      </w:pPr>
    </w:p>
    <w:p>
      <w:pPr>
        <w:ind w:left="100" w:right="180"/>
        <w:spacing w:after="0" w:line="275" w:lineRule="auto"/>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 except to the extent that the Trust Indenture Act of 1939 is applicable.</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WARRANTS</w:t>
      </w:r>
    </w:p>
    <w:p>
      <w:pPr>
        <w:spacing w:after="0" w:line="316" w:lineRule="exact"/>
        <w:rPr>
          <w:sz w:val="20"/>
          <w:szCs w:val="20"/>
          <w:color w:val="auto"/>
        </w:rPr>
      </w:pPr>
    </w:p>
    <w:p>
      <w:pPr>
        <w:ind w:left="100"/>
        <w:spacing w:after="0" w:line="238"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23" w:lineRule="exact"/>
        <w:rPr>
          <w:sz w:val="20"/>
          <w:szCs w:val="20"/>
          <w:color w:val="auto"/>
        </w:rPr>
      </w:pPr>
    </w:p>
    <w:p>
      <w:pPr>
        <w:ind w:left="100"/>
        <w:spacing w:after="0" w:line="237"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will describe in the applicable prospectus supplement the terms of the series of warrants being offered, including:</w:t>
      </w:r>
    </w:p>
    <w:p>
      <w:pPr>
        <w:spacing w:after="0" w:line="196" w:lineRule="exact"/>
        <w:rPr>
          <w:sz w:val="20"/>
          <w:szCs w:val="20"/>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offering price and aggregate number of warrants offered;</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currency for which the warrants may be purchased;</w:t>
      </w:r>
    </w:p>
    <w:p>
      <w:pPr>
        <w:spacing w:after="0" w:line="34" w:lineRule="exact"/>
        <w:rPr>
          <w:rFonts w:ascii="MS PGothic" w:cs="MS PGothic" w:eastAsia="MS PGothic" w:hAnsi="MS PGothic"/>
          <w:sz w:val="13"/>
          <w:szCs w:val="13"/>
          <w:color w:val="auto"/>
        </w:rPr>
      </w:pPr>
    </w:p>
    <w:p>
      <w:pPr>
        <w:ind w:left="960" w:right="300" w:hanging="438"/>
        <w:spacing w:after="0" w:line="256" w:lineRule="auto"/>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if applicable, the designation and terms of the securities with which the warrants are issued and the number of warrants issued with each such security or each principal amount of such security;</w:t>
      </w:r>
    </w:p>
    <w:p>
      <w:pPr>
        <w:spacing w:after="0" w:line="1" w:lineRule="exact"/>
        <w:rPr>
          <w:rFonts w:ascii="MS PGothic" w:cs="MS PGothic" w:eastAsia="MS PGothic" w:hAnsi="MS PGothic"/>
          <w:sz w:val="13"/>
          <w:szCs w:val="13"/>
          <w:color w:val="auto"/>
        </w:rPr>
      </w:pPr>
    </w:p>
    <w:p>
      <w:pPr>
        <w:ind w:left="960" w:right="200" w:hanging="438"/>
        <w:spacing w:after="0" w:line="256" w:lineRule="auto"/>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 w:lineRule="exact"/>
        <w:rPr>
          <w:rFonts w:ascii="MS PGothic" w:cs="MS PGothic" w:eastAsia="MS PGothic" w:hAnsi="MS PGothic"/>
          <w:sz w:val="13"/>
          <w:szCs w:val="13"/>
          <w:color w:val="auto"/>
        </w:rPr>
      </w:pPr>
    </w:p>
    <w:p>
      <w:pPr>
        <w:ind w:left="960" w:right="20" w:hanging="438"/>
        <w:spacing w:after="0" w:line="248" w:lineRule="auto"/>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effect of any merger, consolidation, sale or other disposition of our business on the warrant agreements and the warrants;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terms of any rights to redeem or call the warrants;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dates on which the right to exercise the warrants will commence and expire;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manner in which the warrant agreements and warrants may be modified;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 discussion of any material or special U.S. federal income tax considerations of holding or exercising the warrants;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terms of the securities issuable upon exercise of the warrants; and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warrants.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60"/>
          </w:cols>
          <w:pgMar w:left="320" w:top="455" w:right="41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60" w:right="120" w:hanging="438"/>
        <w:spacing w:after="0" w:line="257" w:lineRule="auto"/>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Before exercising their warrants, holders of warrants will not have any of the rights of holders of the securities purchasable upon such exercise, including:</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 w:lineRule="exact"/>
        <w:rPr>
          <w:rFonts w:ascii="MS PGothic" w:cs="MS PGothic" w:eastAsia="MS PGothic" w:hAnsi="MS PGothic"/>
          <w:sz w:val="13"/>
          <w:szCs w:val="13"/>
          <w:color w:val="auto"/>
        </w:rPr>
      </w:pPr>
    </w:p>
    <w:p>
      <w:pPr>
        <w:ind w:left="960" w:right="440" w:hanging="438"/>
        <w:spacing w:after="0" w:line="273" w:lineRule="auto"/>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common stock or preferred stock, the right to receive dividends, if any, or, payments upon our liquidation, dissolution or winding up or to exercise voting rights, if any.</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Exercise of Warrants</w:t>
      </w:r>
    </w:p>
    <w:p>
      <w:pPr>
        <w:spacing w:after="0" w:line="73" w:lineRule="exact"/>
        <w:rPr>
          <w:sz w:val="20"/>
          <w:szCs w:val="20"/>
          <w:color w:val="auto"/>
        </w:rPr>
      </w:pPr>
    </w:p>
    <w:p>
      <w:pPr>
        <w:ind w:left="100"/>
        <w:spacing w:after="0" w:line="242" w:lineRule="auto"/>
        <w:rPr>
          <w:sz w:val="20"/>
          <w:szCs w:val="20"/>
          <w:color w:val="auto"/>
        </w:rPr>
      </w:pPr>
      <w:r>
        <w:rPr>
          <w:rFonts w:ascii="Arial" w:cs="Arial" w:eastAsia="Arial" w:hAnsi="Arial"/>
          <w:sz w:val="17"/>
          <w:szCs w:val="17"/>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21" w:lineRule="exact"/>
        <w:rPr>
          <w:sz w:val="20"/>
          <w:szCs w:val="20"/>
          <w:color w:val="auto"/>
        </w:rPr>
      </w:pPr>
    </w:p>
    <w:p>
      <w:pPr>
        <w:ind w:left="100" w:right="20"/>
        <w:spacing w:after="0" w:line="246" w:lineRule="auto"/>
        <w:rPr>
          <w:sz w:val="20"/>
          <w:szCs w:val="20"/>
          <w:color w:val="auto"/>
        </w:rPr>
      </w:pPr>
      <w:r>
        <w:rPr>
          <w:rFonts w:ascii="Arial" w:cs="Arial" w:eastAsia="Arial" w:hAnsi="Arial"/>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Governing Law</w:t>
      </w:r>
    </w:p>
    <w:p>
      <w:pPr>
        <w:spacing w:after="0" w:line="60" w:lineRule="exact"/>
        <w:rPr>
          <w:sz w:val="20"/>
          <w:szCs w:val="20"/>
          <w:color w:val="auto"/>
        </w:rPr>
      </w:pPr>
    </w:p>
    <w:p>
      <w:pPr>
        <w:ind w:left="100" w:right="700"/>
        <w:spacing w:after="0" w:line="275" w:lineRule="auto"/>
        <w:rPr>
          <w:sz w:val="20"/>
          <w:szCs w:val="20"/>
          <w:color w:val="auto"/>
        </w:rPr>
      </w:pPr>
      <w:r>
        <w:rPr>
          <w:rFonts w:ascii="Arial" w:cs="Arial" w:eastAsia="Arial" w:hAnsi="Arial"/>
          <w:sz w:val="17"/>
          <w:szCs w:val="17"/>
          <w:color w:val="auto"/>
        </w:rPr>
        <w:t>Unless we otherwise specify in the applicable prospectus supplement, the warrants and any warrant agreements will be governed by and construed in accordance with the laws of the State of New York.</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OWNERSHIP OF SECURITIES</w:t>
      </w:r>
    </w:p>
    <w:p>
      <w:pPr>
        <w:spacing w:after="0" w:line="316" w:lineRule="exact"/>
        <w:rPr>
          <w:sz w:val="20"/>
          <w:szCs w:val="20"/>
          <w:color w:val="auto"/>
        </w:rPr>
      </w:pPr>
    </w:p>
    <w:p>
      <w:pPr>
        <w:ind w:left="100" w:right="20"/>
        <w:spacing w:after="0"/>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Book-Entry Holders</w:t>
      </w:r>
    </w:p>
    <w:p>
      <w:pPr>
        <w:spacing w:after="0" w:line="73" w:lineRule="exact"/>
        <w:rPr>
          <w:sz w:val="20"/>
          <w:szCs w:val="20"/>
          <w:color w:val="auto"/>
        </w:rPr>
      </w:pPr>
    </w:p>
    <w:p>
      <w:pPr>
        <w:ind w:left="100" w:right="120"/>
        <w:spacing w:after="0" w:line="246" w:lineRule="auto"/>
        <w:rPr>
          <w:sz w:val="20"/>
          <w:szCs w:val="20"/>
          <w:color w:val="auto"/>
        </w:rPr>
      </w:pPr>
      <w:r>
        <w:rPr>
          <w:rFonts w:ascii="Arial" w:cs="Arial" w:eastAsia="Arial" w:hAnsi="Arial"/>
          <w:sz w:val="17"/>
          <w:szCs w:val="17"/>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17" w:lineRule="exact"/>
        <w:rPr>
          <w:sz w:val="20"/>
          <w:szCs w:val="20"/>
          <w:color w:val="auto"/>
        </w:rPr>
      </w:pPr>
    </w:p>
    <w:p>
      <w:pPr>
        <w:ind w:left="100" w:right="40"/>
        <w:spacing w:after="0"/>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23" w:lineRule="exact"/>
        <w:rPr>
          <w:sz w:val="20"/>
          <w:szCs w:val="20"/>
          <w:color w:val="auto"/>
        </w:rPr>
      </w:pPr>
    </w:p>
    <w:p>
      <w:pPr>
        <w:jc w:val="both"/>
        <w:ind w:left="100"/>
        <w:spacing w:after="0" w:line="253" w:lineRule="auto"/>
        <w:rPr>
          <w:sz w:val="20"/>
          <w:szCs w:val="20"/>
          <w:color w:val="auto"/>
        </w:rPr>
      </w:pPr>
      <w:r>
        <w:rPr>
          <w:rFonts w:ascii="Arial" w:cs="Arial" w:eastAsia="Arial" w:hAnsi="Arial"/>
          <w:sz w:val="17"/>
          <w:szCs w:val="17"/>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Street Name Holders</w:t>
      </w:r>
    </w:p>
    <w:p>
      <w:pPr>
        <w:spacing w:after="0" w:line="60" w:lineRule="exact"/>
        <w:rPr>
          <w:sz w:val="20"/>
          <w:szCs w:val="20"/>
          <w:color w:val="auto"/>
        </w:rPr>
      </w:pPr>
    </w:p>
    <w:p>
      <w:pPr>
        <w:ind w:left="100" w:right="180"/>
        <w:spacing w:after="0" w:line="246" w:lineRule="auto"/>
        <w:rPr>
          <w:sz w:val="20"/>
          <w:szCs w:val="20"/>
          <w:color w:val="auto"/>
        </w:rPr>
      </w:pPr>
      <w:r>
        <w:rPr>
          <w:rFonts w:ascii="Arial" w:cs="Arial" w:eastAsia="Arial" w:hAnsi="Arial"/>
          <w:sz w:val="17"/>
          <w:szCs w:val="17"/>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17" w:lineRule="exact"/>
        <w:rPr>
          <w:sz w:val="20"/>
          <w:szCs w:val="20"/>
          <w:color w:val="auto"/>
        </w:rPr>
      </w:pPr>
    </w:p>
    <w:p>
      <w:pPr>
        <w:ind w:left="100" w:right="380"/>
        <w:spacing w:after="0" w:line="242"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Legal Holders</w:t>
      </w:r>
    </w:p>
    <w:p>
      <w:pPr>
        <w:spacing w:after="0" w:line="60" w:lineRule="exact"/>
        <w:rPr>
          <w:sz w:val="20"/>
          <w:szCs w:val="20"/>
          <w:color w:val="auto"/>
        </w:rPr>
      </w:pPr>
    </w:p>
    <w:p>
      <w:pPr>
        <w:ind w:left="100" w:right="180"/>
        <w:spacing w:after="0" w:line="246" w:lineRule="auto"/>
        <w:rPr>
          <w:sz w:val="20"/>
          <w:szCs w:val="20"/>
          <w:color w:val="auto"/>
        </w:rPr>
      </w:pPr>
      <w:r>
        <w:rPr>
          <w:rFonts w:ascii="Arial" w:cs="Arial" w:eastAsia="Arial" w:hAnsi="Arial"/>
          <w:sz w:val="17"/>
          <w:szCs w:val="17"/>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7" w:lineRule="exact"/>
        <w:rPr>
          <w:sz w:val="20"/>
          <w:szCs w:val="20"/>
          <w:color w:val="auto"/>
        </w:rPr>
      </w:pPr>
    </w:p>
    <w:p>
      <w:pPr>
        <w:ind w:left="100" w:right="260"/>
        <w:spacing w:after="0" w:line="253"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60"/>
          </w:cols>
          <w:pgMar w:left="320" w:top="455" w:right="41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240"/>
        <w:spacing w:after="0" w:line="253" w:lineRule="auto"/>
        <w:rPr>
          <w:sz w:val="20"/>
          <w:szCs w:val="20"/>
          <w:color w:val="auto"/>
        </w:rPr>
      </w:pPr>
      <w:r>
        <w:rPr>
          <w:rFonts w:ascii="Arial" w:cs="Arial" w:eastAsia="Arial" w:hAnsi="Arial"/>
          <w:sz w:val="17"/>
          <w:szCs w:val="17"/>
          <w:color w:val="auto"/>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73" w:lineRule="exact"/>
        <w:rPr>
          <w:sz w:val="20"/>
          <w:szCs w:val="20"/>
          <w:color w:val="auto"/>
        </w:rPr>
      </w:pPr>
    </w:p>
    <w:p>
      <w:pPr>
        <w:ind w:left="100" w:right="160"/>
        <w:spacing w:after="0" w:line="275" w:lineRule="auto"/>
        <w:rPr>
          <w:sz w:val="20"/>
          <w:szCs w:val="20"/>
          <w:color w:val="auto"/>
        </w:rPr>
      </w:pPr>
      <w:r>
        <w:rPr>
          <w:rFonts w:ascii="Arial" w:cs="Arial" w:eastAsia="Arial" w:hAnsi="Arial"/>
          <w:sz w:val="17"/>
          <w:szCs w:val="17"/>
          <w:color w:val="auto"/>
        </w:rPr>
        <w:t>If you hold securities through a bank, broker or other financial institution, either in book-entry form or in street name, you should check with your own institution to find out:</w:t>
      </w:r>
    </w:p>
    <w:p>
      <w:pPr>
        <w:spacing w:after="0" w:line="133" w:lineRule="exact"/>
        <w:rPr>
          <w:sz w:val="20"/>
          <w:szCs w:val="20"/>
          <w:color w:val="auto"/>
        </w:rPr>
      </w:pPr>
    </w:p>
    <w:p>
      <w:pPr>
        <w:ind w:left="960" w:hanging="438"/>
        <w:spacing w:after="0"/>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how it handles securities payments and notices;</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whether it imposes fees or charges;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how it would handle a request for the holders’ consent, if ever required;</w:t>
      </w:r>
    </w:p>
    <w:p>
      <w:pPr>
        <w:spacing w:after="0" w:line="34"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whether and how you can instruct it to send you securities registered in your own name so you can be a holder, if that is permitted in the future;</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how it would exercise rights under the securities if there were a default or other event triggering the need for holders to act to protect their interests; and</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if the securities are in book-entry form, how the depositary’s rules and procedures will affect these matters.</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Global Securities</w:t>
      </w:r>
    </w:p>
    <w:p>
      <w:pPr>
        <w:spacing w:after="0" w:line="60" w:lineRule="exact"/>
        <w:rPr>
          <w:sz w:val="20"/>
          <w:szCs w:val="20"/>
          <w:color w:val="auto"/>
        </w:rPr>
      </w:pPr>
    </w:p>
    <w:p>
      <w:pPr>
        <w:ind w:left="100" w:right="540"/>
        <w:spacing w:after="0" w:line="275" w:lineRule="auto"/>
        <w:rPr>
          <w:sz w:val="20"/>
          <w:szCs w:val="20"/>
          <w:color w:val="auto"/>
        </w:rPr>
      </w:pPr>
      <w:r>
        <w:rPr>
          <w:rFonts w:ascii="Arial" w:cs="Arial" w:eastAsia="Arial" w:hAnsi="Arial"/>
          <w:sz w:val="17"/>
          <w:szCs w:val="17"/>
          <w:color w:val="auto"/>
        </w:rPr>
        <w:t>A global security is a security that represents one or any other number of individual securities held by a depositary. Generally, all securities represented by the same global securities will have the same terms.</w:t>
      </w:r>
    </w:p>
    <w:p>
      <w:pPr>
        <w:spacing w:after="0" w:line="92" w:lineRule="exact"/>
        <w:rPr>
          <w:sz w:val="20"/>
          <w:szCs w:val="20"/>
          <w:color w:val="auto"/>
        </w:rPr>
      </w:pPr>
    </w:p>
    <w:p>
      <w:pPr>
        <w:ind w:left="100" w:right="560"/>
        <w:spacing w:after="0" w:line="253" w:lineRule="auto"/>
        <w:rPr>
          <w:sz w:val="20"/>
          <w:szCs w:val="20"/>
          <w:color w:val="auto"/>
        </w:rPr>
      </w:pPr>
      <w:r>
        <w:rPr>
          <w:rFonts w:ascii="Arial" w:cs="Arial" w:eastAsia="Arial" w:hAnsi="Arial"/>
          <w:sz w:val="17"/>
          <w:szCs w:val="17"/>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11" w:lineRule="exact"/>
        <w:rPr>
          <w:sz w:val="20"/>
          <w:szCs w:val="20"/>
          <w:color w:val="auto"/>
        </w:rPr>
      </w:pPr>
    </w:p>
    <w:p>
      <w:pPr>
        <w:ind w:left="100"/>
        <w:spacing w:after="0" w:line="239"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22" w:lineRule="exact"/>
        <w:rPr>
          <w:sz w:val="20"/>
          <w:szCs w:val="20"/>
          <w:color w:val="auto"/>
        </w:rPr>
      </w:pPr>
    </w:p>
    <w:p>
      <w:pPr>
        <w:ind w:left="100" w:right="200"/>
        <w:spacing w:after="0" w:line="253"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60" w:lineRule="exact"/>
        <w:rPr>
          <w:sz w:val="20"/>
          <w:szCs w:val="20"/>
          <w:color w:val="auto"/>
        </w:rPr>
      </w:pPr>
    </w:p>
    <w:p>
      <w:pPr>
        <w:jc w:val="both"/>
        <w:ind w:left="100" w:right="240"/>
        <w:spacing w:after="0" w:line="253" w:lineRule="auto"/>
        <w:rPr>
          <w:sz w:val="20"/>
          <w:szCs w:val="20"/>
          <w:color w:val="auto"/>
        </w:rPr>
      </w:pPr>
      <w:r>
        <w:rPr>
          <w:rFonts w:ascii="Arial" w:cs="Arial" w:eastAsia="Arial" w:hAnsi="Arial"/>
          <w:sz w:val="17"/>
          <w:szCs w:val="17"/>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If securities are issued only in the form of a global security, an investor should be aware of the following:</w:t>
      </w:r>
    </w:p>
    <w:p>
      <w:pPr>
        <w:spacing w:after="0" w:line="196" w:lineRule="exact"/>
        <w:rPr>
          <w:sz w:val="20"/>
          <w:szCs w:val="20"/>
          <w:color w:val="auto"/>
        </w:rPr>
      </w:pPr>
    </w:p>
    <w:p>
      <w:pPr>
        <w:ind w:left="960" w:right="360" w:hanging="438"/>
        <w:spacing w:after="0" w:line="257" w:lineRule="auto"/>
        <w:tabs>
          <w:tab w:leader="none" w:pos="96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an investor cannot cause the securities to be registered in his or her name, and cannot obtain non-global certificates for his or her interest in the securities, except in the special situations we describe below;</w:t>
      </w:r>
    </w:p>
    <w:p>
      <w:pPr>
        <w:spacing w:after="0" w:line="1" w:lineRule="exact"/>
        <w:rPr>
          <w:rFonts w:ascii="MS PGothic" w:cs="MS PGothic" w:eastAsia="MS PGothic" w:hAnsi="MS PGothic"/>
          <w:sz w:val="13"/>
          <w:szCs w:val="13"/>
          <w:color w:val="auto"/>
        </w:rPr>
      </w:pPr>
    </w:p>
    <w:p>
      <w:pPr>
        <w:ind w:left="960" w:right="200" w:hanging="438"/>
        <w:spacing w:after="0" w:line="273" w:lineRule="auto"/>
        <w:tabs>
          <w:tab w:leader="none" w:pos="96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an investor will be an indirect holder and must look to his or her own bank or broker for payments on the securities and protection of his or her legal rights relating to the securities, as we describe above;</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60" w:hanging="438"/>
        <w:spacing w:after="0" w:line="257" w:lineRule="auto"/>
        <w:tabs>
          <w:tab w:leader="none" w:pos="96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an investor may not be able to sell interests in the securities to some insurance companies and to other institutions that are required by law to own their securities in non-book-entry form;</w:t>
      </w:r>
    </w:p>
    <w:p>
      <w:pPr>
        <w:spacing w:after="0" w:line="1" w:lineRule="exact"/>
        <w:rPr>
          <w:rFonts w:ascii="MS PGothic" w:cs="MS PGothic" w:eastAsia="MS PGothic" w:hAnsi="MS PGothic"/>
          <w:sz w:val="13"/>
          <w:szCs w:val="13"/>
          <w:color w:val="auto"/>
        </w:rPr>
      </w:pPr>
    </w:p>
    <w:p>
      <w:pPr>
        <w:ind w:left="960" w:right="520" w:hanging="438"/>
        <w:spacing w:after="0" w:line="256" w:lineRule="auto"/>
        <w:tabs>
          <w:tab w:leader="none" w:pos="96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 w:lineRule="exact"/>
        <w:rPr>
          <w:rFonts w:ascii="MS PGothic" w:cs="MS PGothic" w:eastAsia="MS PGothic" w:hAnsi="MS PGothic"/>
          <w:sz w:val="13"/>
          <w:szCs w:val="13"/>
          <w:color w:val="auto"/>
        </w:rPr>
      </w:pPr>
    </w:p>
    <w:p>
      <w:pPr>
        <w:ind w:left="960" w:right="180" w:hanging="438"/>
        <w:spacing w:after="0" w:line="256" w:lineRule="auto"/>
        <w:tabs>
          <w:tab w:leader="none" w:pos="96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w:t>
      </w:r>
    </w:p>
    <w:p>
      <w:pPr>
        <w:spacing w:after="0" w:line="1" w:lineRule="exact"/>
        <w:rPr>
          <w:rFonts w:ascii="MS PGothic" w:cs="MS PGothic" w:eastAsia="MS PGothic" w:hAnsi="MS PGothic"/>
          <w:sz w:val="13"/>
          <w:szCs w:val="13"/>
          <w:color w:val="auto"/>
        </w:rPr>
      </w:pPr>
    </w:p>
    <w:p>
      <w:pPr>
        <w:ind w:left="960" w:right="100" w:hanging="438"/>
        <w:spacing w:after="0" w:line="256" w:lineRule="auto"/>
        <w:tabs>
          <w:tab w:leader="none" w:pos="96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1" w:lineRule="exact"/>
        <w:rPr>
          <w:rFonts w:ascii="MS PGothic" w:cs="MS PGothic" w:eastAsia="MS PGothic" w:hAnsi="MS PGothic"/>
          <w:sz w:val="13"/>
          <w:szCs w:val="13"/>
          <w:color w:val="auto"/>
        </w:rPr>
      </w:pPr>
    </w:p>
    <w:p>
      <w:pPr>
        <w:ind w:left="960" w:right="160" w:hanging="438"/>
        <w:spacing w:after="0" w:line="256" w:lineRule="auto"/>
        <w:tabs>
          <w:tab w:leader="none" w:pos="96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1" w:lineRule="exact"/>
        <w:rPr>
          <w:rFonts w:ascii="MS PGothic" w:cs="MS PGothic" w:eastAsia="MS PGothic" w:hAnsi="MS PGothic"/>
          <w:sz w:val="13"/>
          <w:szCs w:val="13"/>
          <w:color w:val="auto"/>
        </w:rPr>
      </w:pPr>
    </w:p>
    <w:p>
      <w:pPr>
        <w:ind w:left="960" w:right="180" w:hanging="438"/>
        <w:spacing w:after="0" w:line="273" w:lineRule="auto"/>
        <w:tabs>
          <w:tab w:leader="none" w:pos="96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94" w:lineRule="exact"/>
        <w:rPr>
          <w:sz w:val="20"/>
          <w:szCs w:val="20"/>
          <w:color w:val="auto"/>
        </w:rPr>
      </w:pPr>
    </w:p>
    <w:p>
      <w:pPr>
        <w:ind w:left="100" w:right="280"/>
        <w:spacing w:after="0" w:line="275" w:lineRule="auto"/>
        <w:rPr>
          <w:sz w:val="20"/>
          <w:szCs w:val="20"/>
          <w:color w:val="auto"/>
        </w:rPr>
      </w:pPr>
      <w:r>
        <w:rPr>
          <w:rFonts w:ascii="Arial" w:cs="Arial" w:eastAsia="Arial" w:hAnsi="Arial"/>
          <w:sz w:val="17"/>
          <w:szCs w:val="17"/>
          <w:color w:val="auto"/>
        </w:rPr>
        <w:t>There may be more than one financial intermediary in the chain of ownership for an investor. We do not monitor and are not responsible for the actions of any of those intermediaries.</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73" w:lineRule="exact"/>
        <w:rPr>
          <w:sz w:val="20"/>
          <w:szCs w:val="20"/>
          <w:color w:val="auto"/>
        </w:rPr>
      </w:pPr>
    </w:p>
    <w:p>
      <w:pPr>
        <w:ind w:left="100" w:right="240"/>
        <w:spacing w:after="0" w:line="246" w:lineRule="auto"/>
        <w:rPr>
          <w:sz w:val="20"/>
          <w:szCs w:val="20"/>
          <w:color w:val="auto"/>
        </w:rPr>
      </w:pPr>
      <w:r>
        <w:rPr>
          <w:rFonts w:ascii="Arial" w:cs="Arial" w:eastAsia="Arial" w:hAnsi="Arial"/>
          <w:sz w:val="17"/>
          <w:szCs w:val="17"/>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17" w:lineRule="exact"/>
        <w:rPr>
          <w:sz w:val="20"/>
          <w:szCs w:val="20"/>
          <w:color w:val="auto"/>
        </w:rPr>
      </w:pPr>
    </w:p>
    <w:p>
      <w:pPr>
        <w:ind w:left="100" w:right="460"/>
        <w:spacing w:after="0" w:line="275" w:lineRule="auto"/>
        <w:rPr>
          <w:sz w:val="20"/>
          <w:szCs w:val="20"/>
          <w:color w:val="auto"/>
        </w:rPr>
      </w:pPr>
      <w:r>
        <w:rPr>
          <w:rFonts w:ascii="Arial" w:cs="Arial" w:eastAsia="Arial" w:hAnsi="Arial"/>
          <w:sz w:val="17"/>
          <w:szCs w:val="17"/>
          <w:color w:val="auto"/>
        </w:rPr>
        <w:t>Unless we provide otherwise in the applicable prospectus supplement, the global security will terminate when the following special situations occur:</w:t>
      </w:r>
    </w:p>
    <w:p>
      <w:pPr>
        <w:spacing w:after="0" w:line="133" w:lineRule="exact"/>
        <w:rPr>
          <w:sz w:val="20"/>
          <w:szCs w:val="20"/>
          <w:color w:val="auto"/>
        </w:rPr>
      </w:pPr>
    </w:p>
    <w:p>
      <w:pPr>
        <w:ind w:left="960" w:right="80" w:hanging="438"/>
        <w:spacing w:after="0" w:line="257" w:lineRule="auto"/>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if the depositary notifies us that it is unwilling, unable or no longer qualified to continue as depositary for that global security and we do not appoint another institution to act as depositary within 90 days;</w:t>
      </w:r>
    </w:p>
    <w:p>
      <w:pPr>
        <w:spacing w:after="0" w:line="1" w:lineRule="exact"/>
        <w:rPr>
          <w:rFonts w:ascii="MS PGothic" w:cs="MS PGothic" w:eastAsia="MS PGothic" w:hAnsi="MS PGothic"/>
          <w:sz w:val="13"/>
          <w:szCs w:val="13"/>
          <w:color w:val="auto"/>
        </w:rPr>
      </w:pPr>
    </w:p>
    <w:p>
      <w:pPr>
        <w:ind w:left="960" w:hanging="438"/>
        <w:spacing w:after="0"/>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if we notify any applicable trustee that we wish to terminate that global security; or</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154" w:lineRule="exact"/>
        <w:rPr>
          <w:sz w:val="20"/>
          <w:szCs w:val="20"/>
          <w:color w:val="auto"/>
        </w:rPr>
      </w:pPr>
    </w:p>
    <w:p>
      <w:pPr>
        <w:ind w:left="100" w:right="300"/>
        <w:spacing w:after="0" w:line="253" w:lineRule="auto"/>
        <w:rPr>
          <w:sz w:val="20"/>
          <w:szCs w:val="20"/>
          <w:color w:val="auto"/>
        </w:rPr>
      </w:pPr>
      <w:r>
        <w:rPr>
          <w:rFonts w:ascii="Arial" w:cs="Arial" w:eastAsia="Arial" w:hAnsi="Arial"/>
          <w:sz w:val="17"/>
          <w:szCs w:val="17"/>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316" w:lineRule="exact"/>
        <w:rPr>
          <w:sz w:val="20"/>
          <w:szCs w:val="20"/>
          <w:color w:val="auto"/>
        </w:rPr>
      </w:pPr>
    </w:p>
    <w:p>
      <w:pPr>
        <w:ind w:left="100" w:right="180"/>
        <w:spacing w:after="0" w:line="253" w:lineRule="auto"/>
        <w:rPr>
          <w:sz w:val="20"/>
          <w:szCs w:val="20"/>
          <w:color w:val="auto"/>
        </w:rPr>
      </w:pPr>
      <w:r>
        <w:rPr>
          <w:rFonts w:ascii="Arial" w:cs="Arial" w:eastAsia="Arial" w:hAnsi="Arial"/>
          <w:sz w:val="17"/>
          <w:szCs w:val="17"/>
          <w:color w:val="auto"/>
        </w:rPr>
        <w:t>We may sell the securities from time to time pursuant to underwritten public offerings, direct sales to the public,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51" w:lineRule="exact"/>
        <w:rPr>
          <w:sz w:val="20"/>
          <w:szCs w:val="20"/>
          <w:color w:val="auto"/>
        </w:rPr>
      </w:pPr>
    </w:p>
    <w:p>
      <w:pPr>
        <w:ind w:left="960" w:hanging="438"/>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at a fixed price or prices, which may be changed;</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at market prices prevailing at the time of sale;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at prices related to such prevailing market prices; or</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at negotiated prices.</w:t>
      </w:r>
    </w:p>
    <w:p>
      <w:pPr>
        <w:spacing w:after="0" w:line="154" w:lineRule="exact"/>
        <w:rPr>
          <w:sz w:val="20"/>
          <w:szCs w:val="20"/>
          <w:color w:val="auto"/>
        </w:rPr>
      </w:pPr>
    </w:p>
    <w:p>
      <w:pPr>
        <w:ind w:left="100" w:right="140"/>
        <w:spacing w:after="0" w:line="275" w:lineRule="auto"/>
        <w:rPr>
          <w:sz w:val="20"/>
          <w:szCs w:val="20"/>
          <w:color w:val="auto"/>
        </w:rPr>
      </w:pPr>
      <w:r>
        <w:rPr>
          <w:rFonts w:ascii="Arial" w:cs="Arial" w:eastAsia="Arial" w:hAnsi="Arial"/>
          <w:sz w:val="17"/>
          <w:szCs w:val="17"/>
          <w:color w:val="auto"/>
        </w:rPr>
        <w:t>A prospectus supplement or supplements (and any related free writing prospectus that we may authorize to be provided to you) will describe the terms of the offering of the securities, including, to the extent applicable:</w:t>
      </w:r>
    </w:p>
    <w:p>
      <w:pPr>
        <w:spacing w:after="0" w:line="133" w:lineRule="exact"/>
        <w:rPr>
          <w:sz w:val="20"/>
          <w:szCs w:val="20"/>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name or names of the underwriters, if any;</w:t>
      </w:r>
    </w:p>
    <w:p>
      <w:pPr>
        <w:spacing w:after="0" w:line="35" w:lineRule="exact"/>
        <w:rPr>
          <w:rFonts w:ascii="MS PGothic" w:cs="MS PGothic" w:eastAsia="MS PGothic" w:hAnsi="MS PGothic"/>
          <w:sz w:val="13"/>
          <w:szCs w:val="13"/>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purchase price of the securities or other consideration therefor, and the proceeds, if any, we will receive from the sale;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any options under which underwriters may purchase additional securities from us;</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any agency fees or underwriting discounts and other items constituting agents’ or underwriters’ compensation;</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any public offering price;</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any discounts or concessions allowed or reallowed or paid to dealers; and</w:t>
      </w:r>
    </w:p>
    <w:p>
      <w:pPr>
        <w:spacing w:after="0" w:line="34" w:lineRule="exact"/>
        <w:rPr>
          <w:rFonts w:ascii="MS PGothic" w:cs="MS PGothic" w:eastAsia="MS PGothic" w:hAnsi="MS PGothic"/>
          <w:sz w:val="13"/>
          <w:szCs w:val="13"/>
          <w:color w:val="auto"/>
        </w:rPr>
      </w:pPr>
    </w:p>
    <w:p>
      <w:pPr>
        <w:ind w:left="960" w:hanging="438"/>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any securities exchange or market on which the securities may be listed.</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Only underwriters named in the prospectus supplement will be underwriters of the securities offered by the prospectus supplement.</w:t>
      </w:r>
    </w:p>
    <w:p>
      <w:pPr>
        <w:spacing w:after="0" w:line="156" w:lineRule="exact"/>
        <w:rPr>
          <w:sz w:val="20"/>
          <w:szCs w:val="20"/>
          <w:color w:val="auto"/>
        </w:rPr>
      </w:pPr>
    </w:p>
    <w:p>
      <w:pPr>
        <w:ind w:left="100"/>
        <w:spacing w:after="0" w:line="238"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from us.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23" w:lineRule="exact"/>
        <w:rPr>
          <w:sz w:val="20"/>
          <w:szCs w:val="20"/>
          <w:color w:val="auto"/>
        </w:rPr>
      </w:pPr>
    </w:p>
    <w:p>
      <w:pPr>
        <w:ind w:left="100" w:right="220"/>
        <w:spacing w:after="0" w:line="253" w:lineRule="auto"/>
        <w:rPr>
          <w:sz w:val="20"/>
          <w:szCs w:val="20"/>
          <w:color w:val="auto"/>
        </w:rPr>
      </w:pPr>
      <w:r>
        <w:rPr>
          <w:rFonts w:ascii="Arial" w:cs="Arial" w:eastAsia="Arial" w:hAnsi="Arial"/>
          <w:sz w:val="17"/>
          <w:szCs w:val="17"/>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1" w:lineRule="exact"/>
        <w:rPr>
          <w:sz w:val="20"/>
          <w:szCs w:val="20"/>
          <w:color w:val="auto"/>
        </w:rPr>
      </w:pPr>
    </w:p>
    <w:p>
      <w:pPr>
        <w:ind w:left="100" w:right="20"/>
        <w:spacing w:after="0" w:line="246" w:lineRule="auto"/>
        <w:rPr>
          <w:sz w:val="20"/>
          <w:szCs w:val="20"/>
          <w:color w:val="auto"/>
        </w:rPr>
      </w:pPr>
      <w:r>
        <w:rPr>
          <w:rFonts w:ascii="Arial" w:cs="Arial" w:eastAsia="Arial" w:hAnsi="Arial"/>
          <w:sz w:val="17"/>
          <w:szCs w:val="17"/>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17" w:lineRule="exact"/>
        <w:rPr>
          <w:sz w:val="20"/>
          <w:szCs w:val="20"/>
          <w:color w:val="auto"/>
        </w:rPr>
      </w:pPr>
    </w:p>
    <w:p>
      <w:pPr>
        <w:ind w:left="100" w:right="240"/>
        <w:spacing w:after="0" w:line="253" w:lineRule="auto"/>
        <w:rPr>
          <w:sz w:val="20"/>
          <w:szCs w:val="20"/>
          <w:color w:val="auto"/>
        </w:rPr>
      </w:pPr>
      <w:r>
        <w:rPr>
          <w:rFonts w:ascii="Arial" w:cs="Arial" w:eastAsia="Arial" w:hAnsi="Arial"/>
          <w:sz w:val="17"/>
          <w:szCs w:val="17"/>
          <w:color w:val="auto"/>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right="220"/>
        <w:spacing w:after="0" w:line="253" w:lineRule="auto"/>
        <w:rPr>
          <w:sz w:val="20"/>
          <w:szCs w:val="20"/>
          <w:color w:val="auto"/>
        </w:rPr>
      </w:pPr>
      <w:r>
        <w:rPr>
          <w:rFonts w:ascii="Arial" w:cs="Arial" w:eastAsia="Arial" w:hAnsi="Arial"/>
          <w:sz w:val="17"/>
          <w:szCs w:val="17"/>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11" w:lineRule="exact"/>
        <w:rPr>
          <w:sz w:val="20"/>
          <w:szCs w:val="20"/>
          <w:color w:val="auto"/>
        </w:rPr>
      </w:pPr>
    </w:p>
    <w:p>
      <w:pPr>
        <w:ind w:left="100"/>
        <w:spacing w:after="0" w:line="238" w:lineRule="auto"/>
        <w:rPr>
          <w:sz w:val="20"/>
          <w:szCs w:val="20"/>
          <w:color w:val="auto"/>
        </w:rPr>
      </w:pPr>
      <w:r>
        <w:rPr>
          <w:rFonts w:ascii="Arial" w:cs="Arial" w:eastAsia="Arial" w:hAnsi="Arial"/>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3" w:lineRule="exact"/>
        <w:rPr>
          <w:sz w:val="20"/>
          <w:szCs w:val="20"/>
          <w:color w:val="auto"/>
        </w:rPr>
      </w:pPr>
    </w:p>
    <w:p>
      <w:pPr>
        <w:ind w:left="100" w:right="60"/>
        <w:spacing w:after="0" w:line="238" w:lineRule="auto"/>
        <w:rPr>
          <w:sz w:val="20"/>
          <w:szCs w:val="20"/>
          <w:color w:val="auto"/>
        </w:rPr>
      </w:pPr>
      <w:r>
        <w:rPr>
          <w:rFonts w:ascii="Arial" w:cs="Arial" w:eastAsia="Arial" w:hAnsi="Arial"/>
          <w:sz w:val="17"/>
          <w:szCs w:val="17"/>
          <w:color w:val="auto"/>
        </w:rPr>
        <w:t>Any underwriters or agents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ind w:left="100" w:right="60"/>
        <w:spacing w:after="0" w:line="246" w:lineRule="auto"/>
        <w:rPr>
          <w:sz w:val="20"/>
          <w:szCs w:val="20"/>
          <w:color w:val="auto"/>
        </w:rPr>
      </w:pPr>
      <w:r>
        <w:rPr>
          <w:rFonts w:ascii="Arial" w:cs="Arial" w:eastAsia="Arial" w:hAnsi="Arial"/>
          <w:sz w:val="17"/>
          <w:szCs w:val="17"/>
          <w:color w:val="auto"/>
        </w:rPr>
        <w:t>Cooley LLP will pass upon the validity of the securities offered by this prospectus, and any supplement thereto, unless otherwise indicated in the applicable prospectus supplement. GC&amp;H Investments, LLC, an entity that includes current and former partners and associates of Cooley LLP, beneficially owns 10,000 shares of our common stock. Additional legal matters may be passed upon for us or any underwriters, dealers or agents by counsel that we will name in the applicable prospectus supplement.</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left="100" w:right="20"/>
        <w:spacing w:after="0" w:line="24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2019, as set forth in their report, which is incorporated by reference in this prospectus and elsewhere in this registration statement. Our consolidated financial statements are incorporated by reference in reliance on Ernst &amp; Young LLP’s report, given on their authority as experts in accounting and auditing.</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16" w:lineRule="exact"/>
        <w:rPr>
          <w:sz w:val="20"/>
          <w:szCs w:val="20"/>
          <w:color w:val="auto"/>
        </w:rPr>
      </w:pPr>
    </w:p>
    <w:p>
      <w:pPr>
        <w:ind w:left="100" w:right="80"/>
        <w:spacing w:after="0"/>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001-38853):</w:t>
      </w:r>
    </w:p>
    <w:p>
      <w:pPr>
        <w:spacing w:after="0" w:line="164" w:lineRule="exact"/>
        <w:rPr>
          <w:sz w:val="20"/>
          <w:szCs w:val="20"/>
          <w:color w:val="auto"/>
        </w:rPr>
      </w:pPr>
    </w:p>
    <w:p>
      <w:pPr>
        <w:ind w:left="960" w:hanging="438"/>
        <w:spacing w:after="0"/>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117">
        <w:r>
          <w:rPr>
            <w:rFonts w:ascii="Arial" w:cs="Arial" w:eastAsia="Arial" w:hAnsi="Arial"/>
            <w:sz w:val="17"/>
            <w:szCs w:val="17"/>
            <w:u w:val="single" w:color="auto"/>
            <w:color w:val="0000EE"/>
          </w:rPr>
          <w:t>Form 10-K</w:t>
        </w:r>
      </w:hyperlink>
      <w:r>
        <w:rPr>
          <w:rFonts w:ascii="Arial" w:cs="Arial" w:eastAsia="Arial" w:hAnsi="Arial"/>
          <w:sz w:val="17"/>
          <w:szCs w:val="17"/>
          <w:color w:val="auto"/>
        </w:rPr>
        <w:t>, for the year ended December 31, 2019, filed with the SEC on March 17, 2020;</w:t>
      </w:r>
    </w:p>
    <w:p>
      <w:pPr>
        <w:spacing w:after="0" w:line="35" w:lineRule="exact"/>
        <w:rPr>
          <w:rFonts w:ascii="Arial" w:cs="Arial" w:eastAsia="Arial" w:hAnsi="Arial"/>
          <w:sz w:val="17"/>
          <w:szCs w:val="17"/>
          <w:color w:val="auto"/>
        </w:rPr>
      </w:pPr>
    </w:p>
    <w:p>
      <w:pPr>
        <w:ind w:left="960" w:right="940" w:hanging="438"/>
        <w:spacing w:after="0" w:line="256" w:lineRule="auto"/>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our Definitive Proxy Statement on </w:t>
      </w:r>
      <w:hyperlink r:id="rId118">
        <w:r>
          <w:rPr>
            <w:rFonts w:ascii="Arial" w:cs="Arial" w:eastAsia="Arial" w:hAnsi="Arial"/>
            <w:sz w:val="17"/>
            <w:szCs w:val="17"/>
            <w:u w:val="single" w:color="auto"/>
            <w:color w:val="0000EE"/>
          </w:rPr>
          <w:t>Schedule 14A</w:t>
        </w:r>
      </w:hyperlink>
      <w:r>
        <w:rPr>
          <w:rFonts w:ascii="Arial" w:cs="Arial" w:eastAsia="Arial" w:hAnsi="Arial"/>
          <w:sz w:val="17"/>
          <w:szCs w:val="17"/>
          <w:color w:val="auto"/>
        </w:rPr>
        <w:t>, filed with the SEC on April 8, 2020 (excluding those portions that are not incorporated by reference into our Annual Report on Form 10-K for the year ended December 31, 2019);</w:t>
      </w:r>
    </w:p>
    <w:p>
      <w:pPr>
        <w:spacing w:after="0" w:line="1" w:lineRule="exact"/>
        <w:rPr>
          <w:rFonts w:ascii="Arial" w:cs="Arial" w:eastAsia="Arial" w:hAnsi="Arial"/>
          <w:sz w:val="17"/>
          <w:szCs w:val="17"/>
          <w:color w:val="auto"/>
        </w:rPr>
      </w:pPr>
    </w:p>
    <w:p>
      <w:pPr>
        <w:ind w:left="960" w:hanging="438"/>
        <w:spacing w:after="0"/>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our Quarterly Report on </w:t>
      </w:r>
      <w:hyperlink r:id="rId119">
        <w:r>
          <w:rPr>
            <w:rFonts w:ascii="Arial" w:cs="Arial" w:eastAsia="Arial" w:hAnsi="Arial"/>
            <w:sz w:val="17"/>
            <w:szCs w:val="17"/>
            <w:u w:val="single" w:color="auto"/>
            <w:color w:val="0000EE"/>
          </w:rPr>
          <w:t>Form 10-Q</w:t>
        </w:r>
      </w:hyperlink>
      <w:r>
        <w:rPr>
          <w:rFonts w:ascii="Arial" w:cs="Arial" w:eastAsia="Arial" w:hAnsi="Arial"/>
          <w:sz w:val="17"/>
          <w:szCs w:val="17"/>
          <w:color w:val="auto"/>
        </w:rPr>
        <w:t>, for the quarter ended March 31, 2020, filed with the SEC on May 13, 2020;</w:t>
      </w:r>
    </w:p>
    <w:p>
      <w:pPr>
        <w:spacing w:after="0" w:line="34" w:lineRule="exact"/>
        <w:rPr>
          <w:rFonts w:ascii="Arial" w:cs="Arial" w:eastAsia="Arial" w:hAnsi="Arial"/>
          <w:sz w:val="17"/>
          <w:szCs w:val="17"/>
          <w:color w:val="auto"/>
        </w:rPr>
      </w:pPr>
    </w:p>
    <w:p>
      <w:pPr>
        <w:ind w:left="960" w:hanging="438"/>
        <w:spacing w:after="0"/>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162">
        <w:r>
          <w:rPr>
            <w:rFonts w:ascii="Arial" w:cs="Arial" w:eastAsia="Arial" w:hAnsi="Arial"/>
            <w:sz w:val="17"/>
            <w:szCs w:val="17"/>
            <w:u w:val="single" w:color="auto"/>
            <w:color w:val="0000EE"/>
          </w:rPr>
          <w:t>February 13, 2020</w:t>
        </w:r>
      </w:hyperlink>
      <w:r>
        <w:rPr>
          <w:rFonts w:ascii="Arial" w:cs="Arial" w:eastAsia="Arial" w:hAnsi="Arial"/>
          <w:sz w:val="17"/>
          <w:szCs w:val="17"/>
          <w:color w:val="auto"/>
        </w:rPr>
        <w:t xml:space="preserve">, </w:t>
      </w:r>
      <w:hyperlink r:id="rId163">
        <w:r>
          <w:rPr>
            <w:rFonts w:ascii="Arial" w:cs="Arial" w:eastAsia="Arial" w:hAnsi="Arial"/>
            <w:sz w:val="17"/>
            <w:szCs w:val="17"/>
            <w:u w:val="single" w:color="auto"/>
            <w:color w:val="0000EE"/>
          </w:rPr>
          <w:t>February 24, 2020</w:t>
        </w:r>
      </w:hyperlink>
      <w:r>
        <w:rPr>
          <w:rFonts w:ascii="Arial" w:cs="Arial" w:eastAsia="Arial" w:hAnsi="Arial"/>
          <w:sz w:val="17"/>
          <w:szCs w:val="17"/>
          <w:color w:val="auto"/>
        </w:rPr>
        <w:t xml:space="preserve">, </w:t>
      </w:r>
      <w:hyperlink r:id="rId164">
        <w:r>
          <w:rPr>
            <w:rFonts w:ascii="Arial" w:cs="Arial" w:eastAsia="Arial" w:hAnsi="Arial"/>
            <w:sz w:val="17"/>
            <w:szCs w:val="17"/>
            <w:u w:val="single" w:color="auto"/>
            <w:color w:val="0000EE"/>
          </w:rPr>
          <w:t>March 9,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122">
        <w:r>
          <w:rPr>
            <w:rFonts w:ascii="Arial" w:cs="Arial" w:eastAsia="Arial" w:hAnsi="Arial"/>
            <w:sz w:val="17"/>
            <w:szCs w:val="17"/>
            <w:u w:val="single" w:color="auto"/>
            <w:color w:val="0000EE"/>
          </w:rPr>
          <w:t>May 27, 2020</w:t>
        </w:r>
      </w:hyperlink>
      <w:r>
        <w:rPr>
          <w:rFonts w:ascii="Arial" w:cs="Arial" w:eastAsia="Arial" w:hAnsi="Arial"/>
          <w:sz w:val="17"/>
          <w:szCs w:val="17"/>
          <w:color w:val="auto"/>
        </w:rPr>
        <w:t>; and</w:t>
      </w:r>
    </w:p>
    <w:p>
      <w:pPr>
        <w:spacing w:after="0" w:line="34" w:lineRule="exact"/>
        <w:rPr>
          <w:rFonts w:ascii="Arial" w:cs="Arial" w:eastAsia="Arial" w:hAnsi="Arial"/>
          <w:sz w:val="17"/>
          <w:szCs w:val="17"/>
          <w:color w:val="auto"/>
        </w:rPr>
      </w:pPr>
    </w:p>
    <w:p>
      <w:pPr>
        <w:ind w:left="960" w:right="620" w:hanging="438"/>
        <w:spacing w:after="0" w:line="273" w:lineRule="auto"/>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set forth in our registration statement on </w:t>
      </w:r>
      <w:hyperlink r:id="rId124">
        <w:r>
          <w:rPr>
            <w:rFonts w:ascii="Arial" w:cs="Arial" w:eastAsia="Arial" w:hAnsi="Arial"/>
            <w:sz w:val="17"/>
            <w:szCs w:val="17"/>
            <w:u w:val="single" w:color="auto"/>
            <w:color w:val="0000EE"/>
          </w:rPr>
          <w:t>Form 8-A</w:t>
        </w:r>
      </w:hyperlink>
      <w:r>
        <w:rPr>
          <w:rFonts w:ascii="Arial" w:cs="Arial" w:eastAsia="Arial" w:hAnsi="Arial"/>
          <w:sz w:val="17"/>
          <w:szCs w:val="17"/>
          <w:color w:val="auto"/>
        </w:rPr>
        <w:t>, filed with the SEC on March 29, 2019, including any amendment or report filed for the purpose of updating such description.</w:t>
      </w:r>
    </w:p>
    <w:p>
      <w:pPr>
        <w:spacing w:after="0" w:line="91"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00"/>
        <w:spacing w:after="0" w:line="236"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NGM Biopharmaceuticals,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333 Oyster Point Boulevard</w:t>
      </w:r>
    </w:p>
    <w:p>
      <w:pPr>
        <w:jc w:val="center"/>
        <w:ind w:right="-99"/>
        <w:spacing w:after="0" w:line="232" w:lineRule="auto"/>
        <w:rPr>
          <w:sz w:val="20"/>
          <w:szCs w:val="20"/>
          <w:color w:val="auto"/>
        </w:rPr>
      </w:pPr>
      <w:r>
        <w:rPr>
          <w:rFonts w:ascii="Arial" w:cs="Arial" w:eastAsia="Arial" w:hAnsi="Arial"/>
          <w:sz w:val="17"/>
          <w:szCs w:val="17"/>
          <w:color w:val="auto"/>
        </w:rPr>
        <w:t>South San Francisco, California 94080</w:t>
      </w:r>
    </w:p>
    <w:p>
      <w:pPr>
        <w:jc w:val="both"/>
        <w:ind w:left="5060" w:right="4960" w:hanging="20"/>
        <w:spacing w:after="0" w:line="278" w:lineRule="auto"/>
        <w:tabs>
          <w:tab w:leader="none" w:pos="5487" w:val="left"/>
        </w:tabs>
        <w:numPr>
          <w:ilvl w:val="0"/>
          <w:numId w:val="73"/>
        </w:numPr>
        <w:rPr>
          <w:rFonts w:ascii="Arial" w:cs="Arial" w:eastAsia="Arial" w:hAnsi="Arial"/>
          <w:sz w:val="16"/>
          <w:szCs w:val="16"/>
          <w:color w:val="auto"/>
        </w:rPr>
      </w:pPr>
      <w:r>
        <w:rPr>
          <w:rFonts w:ascii="Arial" w:cs="Arial" w:eastAsia="Arial" w:hAnsi="Arial"/>
          <w:sz w:val="16"/>
          <w:szCs w:val="16"/>
          <w:color w:val="auto"/>
        </w:rPr>
        <w:t>392-1768 Attn: Secretary</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60"/>
          </w:cols>
          <w:pgMar w:left="320" w:top="455" w:right="41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4,629,630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256540</wp:posOffset>
            </wp:positionV>
            <wp:extent cx="1345565" cy="7372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134556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340"/>
        </w:trPr>
        <w:tc>
          <w:tcPr>
            <w:tcW w:w="3460" w:type="dxa"/>
            <w:vAlign w:val="bottom"/>
          </w:tcPr>
          <w:p>
            <w:pPr>
              <w:spacing w:after="0"/>
              <w:rPr>
                <w:sz w:val="24"/>
                <w:szCs w:val="24"/>
                <w:color w:val="auto"/>
              </w:rPr>
            </w:pPr>
          </w:p>
        </w:tc>
        <w:tc>
          <w:tcPr>
            <w:tcW w:w="4900" w:type="dxa"/>
            <w:vAlign w:val="bottom"/>
          </w:tcPr>
          <w:p>
            <w:pPr>
              <w:jc w:val="center"/>
              <w:ind w:right="694"/>
              <w:spacing w:after="0"/>
              <w:rPr>
                <w:sz w:val="20"/>
                <w:szCs w:val="20"/>
                <w:color w:val="auto"/>
              </w:rPr>
            </w:pPr>
            <w:r>
              <w:rPr>
                <w:rFonts w:ascii="Arial" w:cs="Arial" w:eastAsia="Arial" w:hAnsi="Arial"/>
                <w:sz w:val="25"/>
                <w:szCs w:val="25"/>
                <w:color w:val="auto"/>
              </w:rPr>
              <w:t>Common Stock</w:t>
            </w:r>
          </w:p>
        </w:tc>
        <w:tc>
          <w:tcPr>
            <w:tcW w:w="2660" w:type="dxa"/>
            <w:vAlign w:val="bottom"/>
          </w:tcPr>
          <w:p>
            <w:pPr>
              <w:spacing w:after="0"/>
              <w:rPr>
                <w:sz w:val="24"/>
                <w:szCs w:val="24"/>
                <w:color w:val="auto"/>
              </w:rPr>
            </w:pPr>
          </w:p>
        </w:tc>
      </w:tr>
      <w:tr>
        <w:trPr>
          <w:trHeight w:val="500"/>
        </w:trPr>
        <w:tc>
          <w:tcPr>
            <w:tcW w:w="3460" w:type="dxa"/>
            <w:vAlign w:val="bottom"/>
          </w:tcPr>
          <w:p>
            <w:pPr>
              <w:spacing w:after="0"/>
              <w:rPr>
                <w:sz w:val="24"/>
                <w:szCs w:val="24"/>
                <w:color w:val="auto"/>
              </w:rPr>
            </w:pPr>
          </w:p>
        </w:tc>
        <w:tc>
          <w:tcPr>
            <w:tcW w:w="4900" w:type="dxa"/>
            <w:vAlign w:val="bottom"/>
          </w:tcPr>
          <w:p>
            <w:pPr>
              <w:jc w:val="center"/>
              <w:ind w:right="694"/>
              <w:spacing w:after="0"/>
              <w:rPr>
                <w:sz w:val="20"/>
                <w:szCs w:val="20"/>
                <w:color w:val="auto"/>
              </w:rPr>
            </w:pPr>
            <w:r>
              <w:rPr>
                <w:rFonts w:ascii="Arial" w:cs="Arial" w:eastAsia="Arial" w:hAnsi="Arial"/>
                <w:sz w:val="25"/>
                <w:szCs w:val="25"/>
                <w:b w:val="1"/>
                <w:bCs w:val="1"/>
                <w:color w:val="auto"/>
              </w:rPr>
              <w:t>PROSPECTUS SUPPLEMENT</w:t>
            </w:r>
          </w:p>
        </w:tc>
        <w:tc>
          <w:tcPr>
            <w:tcW w:w="2660" w:type="dxa"/>
            <w:vAlign w:val="bottom"/>
          </w:tcPr>
          <w:p>
            <w:pPr>
              <w:spacing w:after="0"/>
              <w:rPr>
                <w:sz w:val="24"/>
                <w:szCs w:val="24"/>
                <w:color w:val="auto"/>
              </w:rPr>
            </w:pPr>
          </w:p>
        </w:tc>
      </w:tr>
      <w:tr>
        <w:trPr>
          <w:trHeight w:val="513"/>
        </w:trPr>
        <w:tc>
          <w:tcPr>
            <w:tcW w:w="3460" w:type="dxa"/>
            <w:vAlign w:val="bottom"/>
          </w:tcPr>
          <w:p>
            <w:pPr>
              <w:spacing w:after="0"/>
              <w:rPr>
                <w:sz w:val="20"/>
                <w:szCs w:val="20"/>
                <w:color w:val="auto"/>
              </w:rPr>
            </w:pPr>
            <w:r>
              <w:rPr>
                <w:rFonts w:ascii="Arial" w:cs="Arial" w:eastAsia="Arial" w:hAnsi="Arial"/>
                <w:sz w:val="25"/>
                <w:szCs w:val="25"/>
                <w:b w:val="1"/>
                <w:bCs w:val="1"/>
                <w:color w:val="auto"/>
              </w:rPr>
              <w:t>Goldman Sachs &amp; Co. LLC</w:t>
            </w:r>
          </w:p>
        </w:tc>
        <w:tc>
          <w:tcPr>
            <w:tcW w:w="4900" w:type="dxa"/>
            <w:vAlign w:val="bottom"/>
          </w:tcPr>
          <w:p>
            <w:pPr>
              <w:ind w:left="3040"/>
              <w:spacing w:after="0"/>
              <w:rPr>
                <w:sz w:val="20"/>
                <w:szCs w:val="20"/>
                <w:color w:val="auto"/>
              </w:rPr>
            </w:pPr>
            <w:r>
              <w:rPr>
                <w:rFonts w:ascii="Arial" w:cs="Arial" w:eastAsia="Arial" w:hAnsi="Arial"/>
                <w:sz w:val="25"/>
                <w:szCs w:val="25"/>
                <w:b w:val="1"/>
                <w:bCs w:val="1"/>
                <w:color w:val="auto"/>
              </w:rPr>
              <w:t>Citigroup</w:t>
            </w:r>
          </w:p>
        </w:tc>
        <w:tc>
          <w:tcPr>
            <w:tcW w:w="2660" w:type="dxa"/>
            <w:vAlign w:val="bottom"/>
          </w:tcPr>
          <w:p>
            <w:pPr>
              <w:ind w:left="1200"/>
              <w:spacing w:after="0"/>
              <w:rPr>
                <w:sz w:val="20"/>
                <w:szCs w:val="20"/>
                <w:color w:val="auto"/>
              </w:rPr>
            </w:pPr>
            <w:r>
              <w:rPr>
                <w:rFonts w:ascii="Arial" w:cs="Arial" w:eastAsia="Arial" w:hAnsi="Arial"/>
                <w:sz w:val="25"/>
                <w:szCs w:val="25"/>
                <w:b w:val="1"/>
                <w:bCs w:val="1"/>
                <w:color w:val="auto"/>
              </w:rPr>
              <w:t>Cowen</w:t>
            </w:r>
          </w:p>
        </w:tc>
      </w:tr>
      <w:tr>
        <w:trPr>
          <w:trHeight w:val="458"/>
        </w:trPr>
        <w:tc>
          <w:tcPr>
            <w:tcW w:w="3460" w:type="dxa"/>
            <w:vAlign w:val="bottom"/>
          </w:tcPr>
          <w:p>
            <w:pPr>
              <w:spacing w:after="0"/>
              <w:rPr>
                <w:sz w:val="20"/>
                <w:szCs w:val="20"/>
                <w:color w:val="auto"/>
              </w:rPr>
            </w:pPr>
            <w:r>
              <w:rPr>
                <w:rFonts w:ascii="Arial" w:cs="Arial" w:eastAsia="Arial" w:hAnsi="Arial"/>
                <w:sz w:val="22"/>
                <w:szCs w:val="22"/>
                <w:b w:val="1"/>
                <w:bCs w:val="1"/>
                <w:color w:val="auto"/>
              </w:rPr>
              <w:t>Raymond James</w:t>
            </w:r>
          </w:p>
        </w:tc>
        <w:tc>
          <w:tcPr>
            <w:tcW w:w="4900" w:type="dxa"/>
            <w:vAlign w:val="bottom"/>
          </w:tcPr>
          <w:p>
            <w:pPr>
              <w:spacing w:after="0"/>
              <w:rPr>
                <w:sz w:val="24"/>
                <w:szCs w:val="24"/>
                <w:color w:val="auto"/>
              </w:rPr>
            </w:pPr>
          </w:p>
        </w:tc>
        <w:tc>
          <w:tcPr>
            <w:tcW w:w="2660" w:type="dxa"/>
            <w:vAlign w:val="bottom"/>
          </w:tcPr>
          <w:p>
            <w:pPr>
              <w:ind w:left="760"/>
              <w:spacing w:after="0"/>
              <w:rPr>
                <w:sz w:val="20"/>
                <w:szCs w:val="20"/>
                <w:color w:val="auto"/>
              </w:rPr>
            </w:pPr>
            <w:r>
              <w:rPr>
                <w:rFonts w:ascii="Arial" w:cs="Arial" w:eastAsia="Arial" w:hAnsi="Arial"/>
                <w:sz w:val="22"/>
                <w:szCs w:val="22"/>
                <w:b w:val="1"/>
                <w:bCs w:val="1"/>
                <w:color w:val="auto"/>
                <w:w w:val="97"/>
              </w:rPr>
              <w:t>B. Riley Securities</w:t>
            </w:r>
          </w:p>
        </w:tc>
      </w:tr>
      <w:tr>
        <w:trPr>
          <w:trHeight w:val="3754"/>
        </w:trPr>
        <w:tc>
          <w:tcPr>
            <w:tcW w:w="34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r>
        <w:trPr>
          <w:trHeight w:val="81"/>
        </w:trPr>
        <w:tc>
          <w:tcPr>
            <w:tcW w:w="3460" w:type="dxa"/>
            <w:vAlign w:val="bottom"/>
            <w:tcBorders>
              <w:bottom w:val="single" w:sz="8" w:color="auto"/>
            </w:tcBorders>
          </w:tcPr>
          <w:p>
            <w:pPr>
              <w:spacing w:after="0"/>
              <w:rPr>
                <w:sz w:val="7"/>
                <w:szCs w:val="7"/>
                <w:color w:val="auto"/>
              </w:rPr>
            </w:pPr>
          </w:p>
        </w:tc>
        <w:tc>
          <w:tcPr>
            <w:tcW w:w="490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
    </w:lvl>
  </w:abstractNum>
  <w:abstractNum w:abstractNumId="1">
    <w:nsid w:val="7724C67E"/>
    <w:multiLevelType w:val="hybridMultilevel"/>
    <w:lvl w:ilvl="0">
      <w:lvlJc w:val="left"/>
      <w:lvlText w:val="1"/>
      <w:numFmt w:val="bullet"/>
      <w:start w:val="1"/>
    </w:lvl>
  </w:abstractNum>
  <w:abstractNum w:abstractNumId="2">
    <w:nsid w:val="5C482A97"/>
    <w:multiLevelType w:val="hybridMultilevel"/>
    <w:lvl w:ilvl="0">
      <w:lvlJc w:val="left"/>
      <w:lvlText w:val="2"/>
      <w:numFmt w:val="bullet"/>
      <w:start w:val="1"/>
    </w:lvl>
  </w:abstractNum>
  <w:abstractNum w:abstractNumId="3">
    <w:nsid w:val="2463B9EA"/>
    <w:multiLevelType w:val="hybridMultilevel"/>
    <w:lvl w:ilvl="0">
      <w:lvlJc w:val="left"/>
      <w:lvlText w:val="3"/>
      <w:numFmt w:val="bullet"/>
      <w:start w:val="1"/>
    </w:lvl>
  </w:abstractNum>
  <w:abstractNum w:abstractNumId="4">
    <w:nsid w:val="5E884ADC"/>
    <w:multiLevelType w:val="hybridMultilevel"/>
    <w:lvl w:ilvl="0">
      <w:lvlJc w:val="left"/>
      <w:lvlText w:val="4"/>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1)"/>
      <w:numFmt w:val="lowerRoman"/>
      <w:start w:val="2"/>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Roman"/>
      <w:start w:val="2"/>
    </w:lvl>
  </w:abstractNum>
  <w:abstractNum w:abstractNumId="42">
    <w:nsid w:val="235BA861"/>
    <w:multiLevelType w:val="hybridMultilevel"/>
    <w:lvl w:ilvl="0">
      <w:lvlJc w:val="left"/>
      <w:lvlText w:val="(%1)"/>
      <w:numFmt w:val="lowerLetter"/>
      <w:start w:val="1"/>
    </w:lvl>
    <w:lvl w:ilvl="1">
      <w:lvlJc w:val="left"/>
      <w:lvlText w:val="(%2)"/>
      <w:numFmt w:val="lowerRoman"/>
      <w:start w:val="1"/>
    </w:lvl>
  </w:abstractNum>
  <w:abstractNum w:abstractNumId="43">
    <w:nsid w:val="47398C89"/>
    <w:multiLevelType w:val="hybridMultilevel"/>
    <w:lvl w:ilvl="0">
      <w:lvlJc w:val="left"/>
      <w:lvlText w:val="(%1)"/>
      <w:numFmt w:val="lowerLetter"/>
      <w:start w:val="2"/>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decimal"/>
      <w:start w:val="650"/>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jpe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jpeg"/><Relationship Id="rId117" Type="http://schemas.openxmlformats.org/officeDocument/2006/relationships/hyperlink" Target="http://www.sec.gov/Archives/edgar/data/1426332/000156459020011422/ngm-10k_20191231.htm" TargetMode="External"/><Relationship Id="rId118" Type="http://schemas.openxmlformats.org/officeDocument/2006/relationships/hyperlink" Target="http://www.sec.gov/Archives/edgar/data/1426332/000156459020015813/ngm-def14a_20200520.htm" TargetMode="External"/><Relationship Id="rId119" Type="http://schemas.openxmlformats.org/officeDocument/2006/relationships/hyperlink" Target="http://www.sec.gov/Archives/edgar/data/1426332/000156459020025077/ngm-10q_20200331.htm" TargetMode="External"/><Relationship Id="rId120" Type="http://schemas.openxmlformats.org/officeDocument/2006/relationships/hyperlink" Target="http://www.sec.gov/Archives/edgar/data/1426332/000156459020039692/ngm-10q_20200630.htm" TargetMode="External"/><Relationship Id="rId121" Type="http://schemas.openxmlformats.org/officeDocument/2006/relationships/hyperlink" Target="http://www.sec.gov/Archives/edgar/data/1426332/000156459020053614/ngm-10q_20200930.htm" TargetMode="External"/><Relationship Id="rId122" Type="http://schemas.openxmlformats.org/officeDocument/2006/relationships/hyperlink" Target="http://www.sec.gov/Archives/edgar/data/1426332/000156459020027030/ngm-8k_20200520.htm" TargetMode="External"/><Relationship Id="rId123" Type="http://schemas.openxmlformats.org/officeDocument/2006/relationships/hyperlink" Target="http://www.sec.gov/Archives/edgar/data/1426332/000156459020028617/ngm-8k_20200605.htm" TargetMode="External"/><Relationship Id="rId124" Type="http://schemas.openxmlformats.org/officeDocument/2006/relationships/hyperlink" Target="http://www.sec.gov/Archives/edgar/data/1426332/000119312519092888/d730351d8a12b.htm" TargetMode="External"/><Relationship Id="rId125" Type="http://schemas.openxmlformats.org/officeDocument/2006/relationships/hyperlink" Target="http://www.sec.gov/Archives/edgar/data/1426332/000156459020011422/ngm-ex43_293.htm" TargetMode="External"/><Relationship Id="rId162" Type="http://schemas.openxmlformats.org/officeDocument/2006/relationships/hyperlink" Target="http://www.sec.gov/Archives/edgar/data/1426332/000156459020004611/ngm-8k_20200211.htm" TargetMode="External"/><Relationship Id="rId163" Type="http://schemas.openxmlformats.org/officeDocument/2006/relationships/hyperlink" Target="http://www.sec.gov/Archives/edgar/data/1426332/000156459020005893/ngm-8k_20200224.htm" TargetMode="External"/><Relationship Id="rId164" Type="http://schemas.openxmlformats.org/officeDocument/2006/relationships/hyperlink" Target="http://www.sec.gov/Archives/edgar/data/1426332/000156459020009378/ngm-8k_202003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2021-01-06T15:25:39Z</dcterms:created>
  <dcterms:modified xsi:type="dcterms:W3CDTF">2021-01-06T15:25:39Z</dcterms:modified>
</cp:coreProperties>
</file>