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3"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001-38853</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395" w:right="319" w:bottom="1440" w:gutter="0" w:footer="0" w:header="0"/>
        </w:sectPr>
      </w:pPr>
    </w:p>
    <w:p>
      <w:pPr>
        <w:spacing w:after="0" w:line="167"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16" w:lineRule="exact"/>
        <w:rPr>
          <w:sz w:val="24"/>
          <w:szCs w:val="24"/>
          <w:color w:val="auto"/>
        </w:rPr>
      </w:pPr>
    </w:p>
    <w:p>
      <w:pPr>
        <w:sectPr>
          <w:pgSz w:w="11900" w:h="16838" w:orient="portrait"/>
          <w:cols w:equalWidth="0" w:num="2">
            <w:col w:w="7240" w:space="720"/>
            <w:col w:w="3300"/>
          </w:cols>
          <w:pgMar w:left="320" w:top="1395"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3"/>
          <w:szCs w:val="13"/>
          <w:b w:val="1"/>
          <w:bCs w:val="1"/>
          <w:color w:val="auto"/>
        </w:rPr>
        <w:t>(I.R.S. Employer</w:t>
      </w:r>
    </w:p>
    <w:p>
      <w:pPr>
        <w:jc w:val="center"/>
        <w:ind w:right="2340"/>
        <w:spacing w:after="0"/>
        <w:rPr>
          <w:sz w:val="20"/>
          <w:szCs w:val="20"/>
          <w:color w:val="auto"/>
        </w:rPr>
      </w:pPr>
      <w:r>
        <w:rPr>
          <w:rFonts w:ascii="Arial" w:cs="Arial" w:eastAsia="Arial" w:hAnsi="Arial"/>
          <w:sz w:val="12"/>
          <w:szCs w:val="12"/>
          <w:b w:val="1"/>
          <w:bCs w:val="1"/>
          <w:color w:val="auto"/>
        </w:rPr>
        <w:t>Identification No.)</w:t>
      </w:r>
    </w:p>
    <w:p>
      <w:pPr>
        <w:spacing w:after="0" w:line="37" w:lineRule="exact"/>
        <w:rPr>
          <w:sz w:val="24"/>
          <w:szCs w:val="24"/>
          <w:color w:val="auto"/>
        </w:rPr>
      </w:pPr>
    </w:p>
    <w:p>
      <w:pPr>
        <w:sectPr>
          <w:pgSz w:w="11900" w:h="16838" w:orient="portrait"/>
          <w:cols w:equalWidth="0" w:num="2">
            <w:col w:w="7140" w:space="720"/>
            <w:col w:w="3400"/>
          </w:cols>
          <w:pgMar w:left="320" w:top="1395" w:right="319" w:bottom="1440" w:gutter="0" w:footer="0" w:header="0"/>
          <w:type w:val="continuous"/>
        </w:sectPr>
      </w:pPr>
    </w:p>
    <w:p>
      <w:pPr>
        <w:jc w:val="center"/>
        <w:ind w:right="60"/>
        <w:spacing w:after="0"/>
        <w:rPr>
          <w:sz w:val="20"/>
          <w:szCs w:val="20"/>
          <w:color w:val="auto"/>
        </w:rPr>
      </w:pPr>
      <w:r>
        <w:rPr>
          <w:rFonts w:ascii="Arial" w:cs="Arial" w:eastAsia="Arial" w:hAnsi="Arial"/>
          <w:sz w:val="16"/>
          <w:szCs w:val="16"/>
          <w:b w:val="1"/>
          <w:bCs w:val="1"/>
          <w:color w:val="auto"/>
        </w:rPr>
        <w:t>333 Oyster Point Boulevard</w:t>
      </w:r>
    </w:p>
    <w:p>
      <w:pPr>
        <w:jc w:val="center"/>
        <w:ind w:right="60"/>
        <w:spacing w:after="0"/>
        <w:rPr>
          <w:sz w:val="20"/>
          <w:szCs w:val="20"/>
          <w:color w:val="auto"/>
        </w:rPr>
      </w:pPr>
      <w:r>
        <w:rPr>
          <w:rFonts w:ascii="Arial" w:cs="Arial" w:eastAsia="Arial" w:hAnsi="Arial"/>
          <w:sz w:val="16"/>
          <w:szCs w:val="16"/>
          <w:b w:val="1"/>
          <w:bCs w:val="1"/>
          <w:color w:val="auto"/>
        </w:rPr>
        <w:t>South San Francisco, CA 94080</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60"/>
          </w:cols>
          <w:pgMar w:left="320" w:top="1395" w:right="319" w:bottom="1440" w:gutter="0" w:footer="0" w:header="0"/>
          <w:type w:val="continuous"/>
        </w:sectPr>
      </w:pP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(650) 243-5555</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50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3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Trading</w:t>
            </w:r>
          </w:p>
        </w:tc>
        <w:tc>
          <w:tcPr>
            <w:tcW w:w="4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5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49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31" w:lineRule="exact"/>
        <w:rPr>
          <w:sz w:val="24"/>
          <w:szCs w:val="24"/>
          <w:color w:val="auto"/>
        </w:rPr>
      </w:pPr>
    </w:p>
    <w:p>
      <w:pPr>
        <w:jc w:val="both"/>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4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7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2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2022, the registrant had 81,726,113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95"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15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PART I.</w:t>
            </w:r>
          </w:p>
        </w:tc>
        <w:tc>
          <w:tcPr>
            <w:tcW w:w="8620" w:type="dxa"/>
            <w:vAlign w:val="bottom"/>
            <w:gridSpan w:val="22"/>
          </w:tcPr>
          <w:p>
            <w:pPr>
              <w:spacing w:after="0" w:line="156" w:lineRule="exact"/>
              <w:rPr>
                <w:sz w:val="20"/>
                <w:szCs w:val="20"/>
                <w:color w:val="auto"/>
              </w:rPr>
            </w:pPr>
            <w:r>
              <w:rPr>
                <w:rFonts w:ascii="Arial" w:cs="Arial" w:eastAsia="Arial" w:hAnsi="Arial"/>
                <w:sz w:val="18"/>
                <w:szCs w:val="18"/>
                <w:color w:val="0000FF"/>
              </w:rPr>
              <w:t>FINANCIAL INFORMATION</w:t>
            </w:r>
          </w:p>
        </w:tc>
        <w:tc>
          <w:tcPr>
            <w:tcW w:w="102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Financial Statements</w:t>
            </w:r>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Balance Sheets as of September 30, 2022 (Unaudited) and December 31, 2021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2022 and 2021 (Unaudited)</w:t>
            </w:r>
          </w:p>
        </w:tc>
        <w:tc>
          <w:tcPr>
            <w:tcW w:w="36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September 30, 2022 and 2021 (Unaudited)</w:t>
            </w:r>
          </w:p>
        </w:tc>
        <w:tc>
          <w:tcPr>
            <w:tcW w:w="4440" w:type="dxa"/>
            <w:vAlign w:val="bottom"/>
            <w:tcBorders>
              <w:top w:val="single" w:sz="8" w:color="0000FF"/>
            </w:tcBorders>
            <w:gridSpan w:val="6"/>
          </w:tcPr>
          <w:p>
            <w:pPr>
              <w:spacing w:after="0"/>
              <w:rPr>
                <w:sz w:val="13"/>
                <w:szCs w:val="13"/>
                <w:color w:val="auto"/>
              </w:rPr>
            </w:pPr>
          </w:p>
        </w:tc>
        <w:tc>
          <w:tcPr>
            <w:tcW w:w="48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Stockholders’ Equity for the three and nine months ended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September 30, 2022 and 2021 (Unaudited)</w:t>
            </w:r>
          </w:p>
        </w:tc>
        <w:tc>
          <w:tcPr>
            <w:tcW w:w="1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4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34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2021 (Unaudited)</w:t>
            </w: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3160" w:type="dxa"/>
            <w:vAlign w:val="bottom"/>
            <w:gridSpan w:val="7"/>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6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392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7"/>
              </w:rPr>
              <w:t>OTHER INFORMATION</w:t>
            </w:r>
          </w:p>
        </w:tc>
        <w:tc>
          <w:tcPr>
            <w:tcW w:w="60" w:type="dxa"/>
            <w:vAlign w:val="bottom"/>
            <w:tcBorders>
              <w:top w:val="single" w:sz="8" w:color="0000FF"/>
            </w:tcBorders>
          </w:tcPr>
          <w:p>
            <w:pPr>
              <w:spacing w:after="0"/>
              <w:rPr>
                <w:sz w:val="18"/>
                <w:szCs w:val="18"/>
                <w:color w:val="auto"/>
              </w:rPr>
            </w:pPr>
          </w:p>
        </w:tc>
        <w:tc>
          <w:tcPr>
            <w:tcW w:w="6640" w:type="dxa"/>
            <w:vAlign w:val="bottom"/>
            <w:gridSpan w:val="14"/>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3"/>
          </w:tcPr>
          <w:p>
            <w:pPr>
              <w:spacing w:after="0"/>
              <w:rPr>
                <w:sz w:val="18"/>
                <w:szCs w:val="18"/>
                <w:color w:val="auto"/>
              </w:rPr>
            </w:pPr>
          </w:p>
        </w:tc>
        <w:tc>
          <w:tcPr>
            <w:tcW w:w="7140" w:type="dxa"/>
            <w:vAlign w:val="bottom"/>
            <w:gridSpan w:val="17"/>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3780" w:type="dxa"/>
            <w:vAlign w:val="bottom"/>
            <w:gridSpan w:val="8"/>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Mine Safety Disclosures</w:t>
            </w:r>
          </w:p>
        </w:tc>
        <w:tc>
          <w:tcPr>
            <w:tcW w:w="6080" w:type="dxa"/>
            <w:vAlign w:val="bottom"/>
            <w:gridSpan w:val="11"/>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18"/>
                <w:szCs w:val="18"/>
                <w:color w:val="auto"/>
              </w:rPr>
            </w:pPr>
          </w:p>
        </w:tc>
        <w:tc>
          <w:tcPr>
            <w:tcW w:w="6700" w:type="dxa"/>
            <w:vAlign w:val="bottom"/>
            <w:gridSpan w:val="15"/>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02"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0"/>
        </w:trPr>
        <w:tc>
          <w:tcPr>
            <w:tcW w:w="778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Preferred stock, $0.001 par value; 10,000 shares authorized; no shares issued or outstanding</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as of September 30, 2022 and December 31, 2021, respectively</w:t>
            </w:r>
          </w:p>
        </w:tc>
        <w:tc>
          <w:tcPr>
            <w:tcW w:w="1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400,000 shares authorized; 81,714 and 77,962 shares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as of September 30, 2022 and December 31, 2021, respectively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831,918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condensed consolidated balance sheet as of December 31, 2021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134,345</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122,983</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165,104</w:t>
            </w: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150,394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(93,471)</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(126,230)</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(93,101)</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32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80,623</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77,409</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79,331</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76,852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(126,230)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(93,101)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8"/>
        </w:trPr>
        <w:tc>
          <w:tcPr>
            <w:tcW w:w="5180" w:type="dxa"/>
            <w:vAlign w:val="bottom"/>
            <w:shd w:val="clear" w:color="auto" w:fill="CFF0FC"/>
          </w:tcPr>
          <w:p>
            <w:pPr>
              <w:ind w:left="140"/>
              <w:spacing w:after="0" w:line="189" w:lineRule="exact"/>
              <w:rPr>
                <w:sz w:val="20"/>
                <w:szCs w:val="20"/>
                <w:color w:val="auto"/>
              </w:rPr>
            </w:pPr>
            <w:r>
              <w:rPr>
                <w:rFonts w:ascii="Arial" w:cs="Arial" w:eastAsia="Arial" w:hAnsi="Arial"/>
                <w:sz w:val="18"/>
                <w:szCs w:val="18"/>
                <w:color w:val="auto"/>
              </w:rPr>
              <w:t>Net unrealized gain (loss) on available-for-sale marketable</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(127,016)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(93,116)</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80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Common Stock</w:t>
            </w:r>
          </w:p>
        </w:tc>
        <w:tc>
          <w:tcPr>
            <w:tcW w:w="1360" w:type="dxa"/>
            <w:vAlign w:val="bottom"/>
          </w:tcPr>
          <w:p>
            <w:pPr>
              <w:spacing w:after="0"/>
              <w:rPr>
                <w:sz w:val="14"/>
                <w:szCs w:val="14"/>
                <w:color w:val="auto"/>
              </w:rPr>
            </w:pPr>
          </w:p>
        </w:tc>
        <w:tc>
          <w:tcPr>
            <w:tcW w:w="1540" w:type="dxa"/>
            <w:vAlign w:val="bottom"/>
          </w:tcPr>
          <w:p>
            <w:pPr>
              <w:jc w:val="center"/>
              <w:ind w:left="26"/>
              <w:spacing w:after="0"/>
              <w:rPr>
                <w:sz w:val="20"/>
                <w:szCs w:val="20"/>
                <w:color w:val="auto"/>
              </w:rPr>
            </w:pPr>
            <w:r>
              <w:rPr>
                <w:rFonts w:ascii="Arial" w:cs="Arial" w:eastAsia="Arial" w:hAnsi="Arial"/>
                <w:sz w:val="13"/>
                <w:szCs w:val="13"/>
                <w:b w:val="1"/>
                <w:bCs w:val="1"/>
                <w:color w:val="auto"/>
                <w:w w:val="97"/>
              </w:rPr>
              <w:t>Other</w:t>
            </w:r>
          </w:p>
        </w:tc>
        <w:tc>
          <w:tcPr>
            <w:tcW w:w="2740" w:type="dxa"/>
            <w:vAlign w:val="bottom"/>
          </w:tcPr>
          <w:p>
            <w:pPr>
              <w:spacing w:after="0"/>
              <w:rPr>
                <w:sz w:val="14"/>
                <w:szCs w:val="14"/>
                <w:color w:val="auto"/>
              </w:rPr>
            </w:pPr>
          </w:p>
        </w:tc>
      </w:tr>
      <w:tr>
        <w:trPr>
          <w:trHeight w:val="61"/>
        </w:trPr>
        <w:tc>
          <w:tcPr>
            <w:tcW w:w="8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360" w:type="dxa"/>
            <w:vAlign w:val="bottom"/>
          </w:tcPr>
          <w:p>
            <w:pPr>
              <w:jc w:val="center"/>
              <w:ind w:left="110"/>
              <w:spacing w:after="0" w:line="61" w:lineRule="exact"/>
              <w:rPr>
                <w:sz w:val="20"/>
                <w:szCs w:val="20"/>
                <w:color w:val="auto"/>
              </w:rPr>
            </w:pPr>
            <w:r>
              <w:rPr>
                <w:rFonts w:ascii="Arial" w:cs="Arial" w:eastAsia="Arial" w:hAnsi="Arial"/>
                <w:sz w:val="7"/>
                <w:szCs w:val="7"/>
                <w:b w:val="1"/>
                <w:bCs w:val="1"/>
                <w:color w:val="auto"/>
              </w:rPr>
              <w:t>Additional</w:t>
            </w:r>
          </w:p>
        </w:tc>
        <w:tc>
          <w:tcPr>
            <w:tcW w:w="1540" w:type="dxa"/>
            <w:vAlign w:val="bottom"/>
          </w:tcPr>
          <w:p>
            <w:pPr>
              <w:jc w:val="center"/>
              <w:ind w:left="26"/>
              <w:spacing w:after="0" w:line="61" w:lineRule="exact"/>
              <w:rPr>
                <w:sz w:val="20"/>
                <w:szCs w:val="20"/>
                <w:color w:val="auto"/>
              </w:rPr>
            </w:pPr>
            <w:r>
              <w:rPr>
                <w:rFonts w:ascii="Arial" w:cs="Arial" w:eastAsia="Arial" w:hAnsi="Arial"/>
                <w:sz w:val="7"/>
                <w:szCs w:val="7"/>
                <w:b w:val="1"/>
                <w:bCs w:val="1"/>
                <w:color w:val="auto"/>
              </w:rPr>
              <w:t>Comprehensive Gain</w:t>
            </w:r>
          </w:p>
        </w:tc>
        <w:tc>
          <w:tcPr>
            <w:tcW w:w="2740" w:type="dxa"/>
            <w:vAlign w:val="bottom"/>
          </w:tcPr>
          <w:p>
            <w:pPr>
              <w:ind w:left="1960"/>
              <w:spacing w:after="0" w:line="61" w:lineRule="exact"/>
              <w:rPr>
                <w:sz w:val="20"/>
                <w:szCs w:val="20"/>
                <w:color w:val="auto"/>
              </w:rPr>
            </w:pPr>
            <w:r>
              <w:rPr>
                <w:rFonts w:ascii="Arial" w:cs="Arial" w:eastAsia="Arial" w:hAnsi="Arial"/>
                <w:sz w:val="7"/>
                <w:szCs w:val="7"/>
                <w:b w:val="1"/>
                <w:bCs w:val="1"/>
                <w:color w:val="auto"/>
              </w:rPr>
              <w:t>Total</w:t>
            </w:r>
          </w:p>
        </w:tc>
      </w:tr>
      <w:tr>
        <w:trPr>
          <w:trHeight w:val="173"/>
        </w:trPr>
        <w:tc>
          <w:tcPr>
            <w:tcW w:w="880" w:type="dxa"/>
            <w:vAlign w:val="bottom"/>
          </w:tcPr>
          <w:p>
            <w:pPr>
              <w:ind w:left="440"/>
              <w:spacing w:after="0"/>
              <w:rPr>
                <w:sz w:val="20"/>
                <w:szCs w:val="20"/>
                <w:color w:val="auto"/>
              </w:rPr>
            </w:pPr>
            <w:r>
              <w:rPr>
                <w:rFonts w:ascii="Arial" w:cs="Arial" w:eastAsia="Arial" w:hAnsi="Arial"/>
                <w:sz w:val="13"/>
                <w:szCs w:val="13"/>
                <w:b w:val="1"/>
                <w:bCs w:val="1"/>
                <w:color w:val="auto"/>
                <w:w w:val="96"/>
              </w:rPr>
              <w:t>Shares</w:t>
            </w:r>
          </w:p>
        </w:tc>
        <w:tc>
          <w:tcPr>
            <w:tcW w:w="1820" w:type="dxa"/>
            <w:vAlign w:val="bottom"/>
          </w:tcPr>
          <w:p>
            <w:pPr>
              <w:ind w:left="940"/>
              <w:spacing w:after="0"/>
              <w:rPr>
                <w:sz w:val="20"/>
                <w:szCs w:val="20"/>
                <w:color w:val="auto"/>
              </w:rPr>
            </w:pPr>
            <w:r>
              <w:rPr>
                <w:rFonts w:ascii="Arial" w:cs="Arial" w:eastAsia="Arial" w:hAnsi="Arial"/>
                <w:sz w:val="13"/>
                <w:szCs w:val="13"/>
                <w:b w:val="1"/>
                <w:bCs w:val="1"/>
                <w:color w:val="auto"/>
              </w:rPr>
              <w:t>Amount</w:t>
            </w:r>
          </w:p>
        </w:tc>
        <w:tc>
          <w:tcPr>
            <w:tcW w:w="1360" w:type="dxa"/>
            <w:vAlign w:val="bottom"/>
          </w:tcPr>
          <w:p>
            <w:pPr>
              <w:jc w:val="center"/>
              <w:ind w:left="110"/>
              <w:spacing w:after="0"/>
              <w:rPr>
                <w:sz w:val="20"/>
                <w:szCs w:val="20"/>
                <w:color w:val="auto"/>
              </w:rPr>
            </w:pPr>
            <w:r>
              <w:rPr>
                <w:rFonts w:ascii="Arial" w:cs="Arial" w:eastAsia="Arial" w:hAnsi="Arial"/>
                <w:sz w:val="13"/>
                <w:szCs w:val="13"/>
                <w:b w:val="1"/>
                <w:bCs w:val="1"/>
                <w:color w:val="auto"/>
                <w:w w:val="97"/>
              </w:rPr>
              <w:t>Paid-In Capital</w:t>
            </w:r>
          </w:p>
        </w:tc>
        <w:tc>
          <w:tcPr>
            <w:tcW w:w="1540" w:type="dxa"/>
            <w:vAlign w:val="bottom"/>
          </w:tcPr>
          <w:p>
            <w:pPr>
              <w:jc w:val="center"/>
              <w:ind w:left="26"/>
              <w:spacing w:after="0"/>
              <w:rPr>
                <w:sz w:val="20"/>
                <w:szCs w:val="20"/>
                <w:color w:val="auto"/>
              </w:rPr>
            </w:pPr>
            <w:r>
              <w:rPr>
                <w:rFonts w:ascii="Arial" w:cs="Arial" w:eastAsia="Arial" w:hAnsi="Arial"/>
                <w:sz w:val="13"/>
                <w:szCs w:val="13"/>
                <w:b w:val="1"/>
                <w:bCs w:val="1"/>
                <w:color w:val="auto"/>
                <w:w w:val="97"/>
              </w:rPr>
              <w:t>(Loss)</w:t>
            </w:r>
          </w:p>
        </w:tc>
        <w:tc>
          <w:tcPr>
            <w:tcW w:w="2740" w:type="dxa"/>
            <w:vAlign w:val="bottom"/>
          </w:tcPr>
          <w:p>
            <w:pPr>
              <w:ind w:left="80"/>
              <w:spacing w:after="0"/>
              <w:rPr>
                <w:sz w:val="20"/>
                <w:szCs w:val="20"/>
                <w:color w:val="auto"/>
              </w:rPr>
            </w:pPr>
            <w:r>
              <w:rPr>
                <w:rFonts w:ascii="Arial" w:cs="Arial" w:eastAsia="Arial" w:hAnsi="Arial"/>
                <w:sz w:val="13"/>
                <w:szCs w:val="13"/>
                <w:b w:val="1"/>
                <w:bCs w:val="1"/>
                <w:color w:val="auto"/>
                <w:w w:val="99"/>
              </w:rPr>
              <w:t>Accumulated Deficit   Stockholders' 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70980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60"/>
          </w:cols>
          <w:pgMar w:left="340" w:top="1102" w:right="399" w:bottom="1440" w:gutter="0" w:footer="0" w:header="0"/>
        </w:sect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at December 31, 2021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77,962</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at March 31, 2022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78,087</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under Open</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Market Sale Agreement, net of issuance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costs</w:t>
            </w:r>
          </w:p>
        </w:tc>
        <w:tc>
          <w:tcPr>
            <w:tcW w:w="1300" w:type="dxa"/>
            <w:vAlign w:val="bottom"/>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stock purchase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to participants</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in 401(k)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79,463</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under Open</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Market Sale Agreement, net of issuance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costs</w:t>
            </w:r>
          </w:p>
        </w:tc>
        <w:tc>
          <w:tcPr>
            <w:tcW w:w="1300" w:type="dxa"/>
            <w:vAlign w:val="bottom"/>
          </w:tcPr>
          <w:p>
            <w:pPr>
              <w:jc w:val="right"/>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4"/>
                <w:szCs w:val="14"/>
                <w:color w:val="auto"/>
              </w:rPr>
              <w:t>Comprehensive gain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Arial" w:cs="Arial" w:eastAsia="Arial" w:hAnsi="Arial"/>
                <w:sz w:val="14"/>
                <w:szCs w:val="14"/>
                <w:b w:val="1"/>
                <w:bCs w:val="1"/>
                <w:color w:val="auto"/>
              </w:rPr>
              <w:t>Balance at September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81,714</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-3102610</wp:posOffset>
            </wp:positionV>
            <wp:extent cx="709803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-2845435</wp:posOffset>
            </wp:positionV>
            <wp:extent cx="709803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-2579370</wp:posOffset>
            </wp:positionV>
            <wp:extent cx="709803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-2056765</wp:posOffset>
            </wp:positionV>
            <wp:extent cx="709803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-1628140</wp:posOffset>
            </wp:positionV>
            <wp:extent cx="70980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-1370965</wp:posOffset>
            </wp:positionV>
            <wp:extent cx="70980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-1104900</wp:posOffset>
            </wp:positionV>
            <wp:extent cx="70980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-582295</wp:posOffset>
            </wp:positionV>
            <wp:extent cx="70980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-307975</wp:posOffset>
            </wp:positionV>
            <wp:extent cx="70980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754,664</w:t>
            </w: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(418,966)</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335,647</w:t>
            </w:r>
          </w:p>
        </w:tc>
      </w:tr>
      <w:tr>
        <w:trPr>
          <w:trHeight w:val="338"/>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668</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203"/>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7,820</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7,820</w:t>
            </w:r>
          </w:p>
        </w:tc>
      </w:tr>
      <w:tr>
        <w:trPr>
          <w:trHeight w:val="203"/>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(548)</w:t>
            </w:r>
          </w:p>
        </w:tc>
      </w:tr>
      <w:tr>
        <w:trPr>
          <w:trHeight w:val="209"/>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(32,450)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(32,450)</w:t>
            </w:r>
          </w:p>
        </w:tc>
      </w:tr>
      <w:tr>
        <w:trPr>
          <w:trHeight w:val="190"/>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763,152</w:t>
            </w: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(451,416)</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311,137</w:t>
            </w:r>
          </w:p>
        </w:tc>
      </w:tr>
      <w:tr>
        <w:trPr>
          <w:trHeight w:val="486"/>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17,402</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17,403</w:t>
            </w:r>
          </w:p>
        </w:tc>
      </w:tr>
      <w:tr>
        <w:trPr>
          <w:trHeight w:val="338"/>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1,228</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1,228</w:t>
            </w:r>
          </w:p>
        </w:tc>
      </w:tr>
      <w:tr>
        <w:trPr>
          <w:trHeight w:val="338"/>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993</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338"/>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2"/>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8,102</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8,102</w:t>
            </w:r>
          </w:p>
        </w:tc>
      </w:tr>
      <w:tr>
        <w:trPr>
          <w:trHeight w:val="203"/>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09"/>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(46,519)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(46,519)</w:t>
            </w:r>
          </w:p>
        </w:tc>
      </w:tr>
      <w:tr>
        <w:trPr>
          <w:trHeight w:val="190"/>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791,014</w:t>
            </w: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(497,935)</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292,081</w:t>
            </w:r>
          </w:p>
        </w:tc>
      </w:tr>
      <w:tr>
        <w:trPr>
          <w:trHeight w:val="486"/>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32,041</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32,043</w:t>
            </w:r>
          </w:p>
        </w:tc>
      </w:tr>
      <w:tr>
        <w:trPr>
          <w:trHeight w:val="338"/>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1,174</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1,175</w:t>
            </w:r>
          </w:p>
        </w:tc>
      </w:tr>
      <w:tr>
        <w:trPr>
          <w:trHeight w:val="216"/>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7,689</w:t>
            </w:r>
          </w:p>
        </w:tc>
        <w:tc>
          <w:tcPr>
            <w:tcW w:w="4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7,689</w:t>
            </w:r>
          </w:p>
        </w:tc>
      </w:tr>
      <w:tr>
        <w:trPr>
          <w:trHeight w:val="216"/>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22"/>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(47,261)</w:t>
            </w:r>
          </w:p>
        </w:tc>
      </w:tr>
      <w:tr>
        <w:trPr>
          <w:trHeight w:val="196"/>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831,918</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(545,196)</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285,889</w:t>
            </w:r>
          </w:p>
        </w:tc>
      </w:tr>
      <w:tr>
        <w:trPr>
          <w:trHeight w:val="27"/>
        </w:trPr>
        <w:tc>
          <w:tcPr>
            <w:tcW w:w="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-33655</wp:posOffset>
            </wp:positionV>
            <wp:extent cx="814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-7620</wp:posOffset>
            </wp:positionV>
            <wp:extent cx="814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-170815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-1242695</wp:posOffset>
            </wp:positionV>
            <wp:extent cx="814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-2716530</wp:posOffset>
            </wp:positionV>
            <wp:extent cx="814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00"/>
            <w:col w:w="4840"/>
          </w:cols>
          <w:pgMar w:left="340" w:top="110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02" w:right="399" w:bottom="1440" w:gutter="0" w:footer="0" w:header="0"/>
          <w:type w:val="continuous"/>
        </w:sectPr>
      </w:pPr>
    </w:p>
    <w:bookmarkStart w:id="6" w:name="page7"/>
    <w:bookmarkEnd w:id="6"/>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2400" w:type="dxa"/>
            <w:vAlign w:val="bottom"/>
            <w:gridSpan w:val="3"/>
            <w:vMerge w:val="restart"/>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820" w:type="dxa"/>
            <w:vAlign w:val="bottom"/>
          </w:tcPr>
          <w:p>
            <w:pPr>
              <w:spacing w:after="0"/>
              <w:rPr>
                <w:sz w:val="8"/>
                <w:szCs w:val="8"/>
                <w:color w:val="auto"/>
              </w:rPr>
            </w:pPr>
          </w:p>
        </w:tc>
        <w:tc>
          <w:tcPr>
            <w:tcW w:w="240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2" w:lineRule="exact"/>
              <w:rPr>
                <w:sz w:val="20"/>
                <w:szCs w:val="20"/>
                <w:color w:val="auto"/>
              </w:rPr>
            </w:pPr>
            <w:r>
              <w:rPr>
                <w:rFonts w:ascii="Arial" w:cs="Arial" w:eastAsia="Arial" w:hAnsi="Arial"/>
                <w:sz w:val="10"/>
                <w:szCs w:val="10"/>
                <w:b w:val="1"/>
                <w:bCs w:val="1"/>
                <w:color w:val="auto"/>
              </w:rPr>
              <w:t>Comprehensive</w:t>
            </w: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ind w:right="429"/>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420" w:type="dxa"/>
            <w:vAlign w:val="bottom"/>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70,583</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578,599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(298,631)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280,043</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Issuance of common stock under offering,</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134,565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134,570</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net of issuance costs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Vesting of common stock from early</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76,913</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725,693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(326,175)</w:t>
            </w:r>
          </w:p>
        </w:tc>
        <w:tc>
          <w:tcPr>
            <w:tcW w:w="120" w:type="dxa"/>
            <w:vAlign w:val="bottom"/>
          </w:tcPr>
          <w:p>
            <w:pPr>
              <w:spacing w:after="0"/>
              <w:rPr>
                <w:sz w:val="16"/>
                <w:szCs w:val="16"/>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399,577</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to participants</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401(k)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Vesting of common stock from early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4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Issuance costs under offering</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(36,692)</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77,307</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735,860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(362,867)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373,075</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Issuance of common stock upon exercise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of stock options</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Open</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Market Sale Agreement, net of issuance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Vesting of common stock from early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4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(28,865)</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77,662</w:t>
            </w: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745,704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(391,732)</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354,039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Nine Months Ended</w:t>
      </w:r>
    </w:p>
    <w:p>
      <w:pPr>
        <w:jc w:val="center"/>
        <w:ind w:left="81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(126,230)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(93,101)</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19,663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in related party contract asset due to Amended Collaboration Agreement with Merck</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 on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Related party contract asset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(3,559)</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(54,894)</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(194,525)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(93,576)</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follow on offering, net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Open Market Sale Agreement,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147,279</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147,325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8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Right-of-use asset acquired under operating lease on the adoption of ASC 842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8" w:name="page9"/>
    <w:bookmarkEnd w:id="8"/>
    <w:p>
      <w:pPr>
        <w:jc w:val="center"/>
        <w:ind w:left="340" w:right="2680"/>
        <w:spacing w:after="0" w:line="278" w:lineRule="auto"/>
        <w:rPr>
          <w:sz w:val="20"/>
          <w:szCs w:val="20"/>
          <w:color w:val="auto"/>
        </w:rPr>
      </w:pPr>
      <w:r>
        <w:rPr>
          <w:rFonts w:ascii="Arial" w:cs="Arial" w:eastAsia="Arial" w:hAnsi="Arial"/>
          <w:sz w:val="18"/>
          <w:szCs w:val="18"/>
          <w:b w:val="1"/>
          <w:bCs w:val="1"/>
          <w:color w:val="auto"/>
        </w:rPr>
        <w:t>NGM BIOPHARMACEUTICALS,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 Biopharmaceuticals, Inc. and its wholly-owned subsidiary, NGM Biopharmaceuticals Australia Pty Ltd., or NGM Australia, collectively referred to as the Company, is focused on discovering and developing novel, potentially life-changing medicines based on scientific understanding of key biological pathways underlying cancer, retinal diseases and liver and metabolic diseases. The Company’s portfolio of product candidates range from early discovery to Phase 2b development and includes NGM707, NGM831, NGM438, NGM120, NGM621, aldafermin and MK-3655 in clinical development. The Company has additional programs that are in various stages of development ranging from functional validation to preclinical development.</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The Company's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2021 included in the Company’s Annual Report on Form 10-K for the year ended December 31, 2021 filed with the United States Securities and Exchange Commission, or SEC, on March 1, 2022.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2022, or for any subsequent interim period.</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 and its wholly-owned foreign subsidiary, NGM Australia.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inception, the Company has incurred net losses and generated negative cash flows from operations. During the three and nine months ended September 30, 2022, the Company incurred net losses of $ 47.3 million and $126.2 million, respectively, and in the nine months ended September 30, 2022, the Company generated negative cash flows from operations of $114.0 million. As of September 30, 2022, the Company had an accumulated deficit of $545.2 million. The Company expects its accumulated deficit will increase significantly over time and does not expect to experience positive cash flows from operations in the near future.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the Company had $300.2 million of cash, cash equivalents and short-term marketable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 w:name="page10"/>
    <w:bookmarkEnd w:id="9"/>
    <w:p>
      <w:pPr>
        <w:jc w:val="both"/>
        <w:ind w:firstLine="648"/>
        <w:spacing w:after="0" w:line="237" w:lineRule="auto"/>
        <w:rPr>
          <w:sz w:val="20"/>
          <w:szCs w:val="20"/>
          <w:color w:val="auto"/>
        </w:rPr>
      </w:pPr>
      <w:r>
        <w:rPr>
          <w:rFonts w:ascii="Arial" w:cs="Arial" w:eastAsia="Arial" w:hAnsi="Arial"/>
          <w:sz w:val="18"/>
          <w:szCs w:val="18"/>
          <w:color w:val="auto"/>
        </w:rPr>
        <w:t>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During the nine months ended September 30, 2022, approximately 3.2 million shares were sold pursuant to the Sales Agreement for net proceeds to the Company of $49.4 million, after deducting issuance costs. As of September 30, 2022, $76.2 million of the Company's common stock remained available to be sold under the Sales Agreement, subject to conditions specified in the Sales Agreement.</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filing of this Quarterly Report on Form 10-Q.</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significant additional capital through public or private equity or debt offerings (which may include potential net proceeds from future sales, if any, under the Sales Agreement), product collaborations, strategic alliances and licensing arrangements or a combination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a bank it believes is highly creditworthy in amounts that may at times exceed federally insured limits. As of September 30, 2022 and December 31, 2021,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September 30, 2022,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twelve months from the date of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securities portfolio potentially subject the Company to concentrations of credit risk. The Company is invested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color w:val="auto"/>
        </w:rPr>
        <w:t>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amended and restated research collaboration, product development and license agreement, or the Amended Collaboration Agreement, with Merck Sharp &amp; Dohme LLC (formerly Merck Sharp &amp; Dohme Corp.), or Merck, and any future collaboration agreements with other collaboration partners. To date, the Company has not experienced any losses related to these receivables.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and nine months ended September 30, 2022 and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are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31, 2021, the Company was no longer an emerging growth company under the Jumpstart Our Business Startups Act of 2012, as amended, and as a result, the Company was required to adopt ASU 2016-02, Leases (Topic 842), referred to as ASC 842, for the fiscal year beginning January 1, 2021 using a modified-retrospective approach under which the Company recognized and measured leases existing at, or entered into after, January 1, 2021. Accordingly, the Company's unaudited condensed consolidated financial statements and information for the periods ended September 30, 2021 have been restated to conform to the new standard.</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corporate office space and facilities is classified as an operating 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jc w:val="both"/>
        <w:ind w:firstLine="648"/>
        <w:spacing w:after="0" w:line="261" w:lineRule="auto"/>
        <w:rPr>
          <w:sz w:val="20"/>
          <w:szCs w:val="20"/>
          <w:color w:val="auto"/>
        </w:rPr>
      </w:pPr>
      <w:r>
        <w:rPr>
          <w:rFonts w:ascii="Arial" w:cs="Arial" w:eastAsia="Arial" w:hAnsi="Arial"/>
          <w:sz w:val="18"/>
          <w:szCs w:val="18"/>
          <w:color w:val="auto"/>
        </w:rPr>
        <w:t>The following table summarizes the effects of adopting ASC 842 on the Company's unaudited condensed consolidated statement of cash flows for the nine months ended September 30,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Previously</w:t>
            </w:r>
          </w:p>
        </w:tc>
        <w:tc>
          <w:tcPr>
            <w:tcW w:w="200" w:type="dxa"/>
            <w:vAlign w:val="bottom"/>
          </w:tcPr>
          <w:p>
            <w:pPr>
              <w:spacing w:after="0"/>
              <w:rPr>
                <w:sz w:val="13"/>
                <w:szCs w:val="13"/>
                <w:color w:val="auto"/>
              </w:rPr>
            </w:pPr>
          </w:p>
        </w:tc>
        <w:tc>
          <w:tcPr>
            <w:tcW w:w="12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rPr>
              <w:t>ASC 842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Reported</w:t>
            </w:r>
          </w:p>
        </w:tc>
        <w:tc>
          <w:tcPr>
            <w:tcW w:w="200" w:type="dxa"/>
            <w:vAlign w:val="bottom"/>
          </w:tcPr>
          <w:p>
            <w:pPr>
              <w:spacing w:after="0"/>
              <w:rPr>
                <w:sz w:val="18"/>
                <w:szCs w:val="18"/>
                <w:color w:val="auto"/>
              </w:rPr>
            </w:pPr>
          </w:p>
        </w:tc>
        <w:tc>
          <w:tcPr>
            <w:tcW w:w="1240" w:type="dxa"/>
            <w:vAlign w:val="bottom"/>
          </w:tcPr>
          <w:p>
            <w:pPr>
              <w:jc w:val="center"/>
              <w:ind w:right="93"/>
              <w:spacing w:after="0"/>
              <w:rPr>
                <w:sz w:val="20"/>
                <w:szCs w:val="20"/>
                <w:color w:val="auto"/>
              </w:rPr>
            </w:pPr>
            <w:r>
              <w:rPr>
                <w:rFonts w:ascii="Arial" w:cs="Arial" w:eastAsia="Arial" w:hAnsi="Arial"/>
                <w:sz w:val="16"/>
                <w:szCs w:val="16"/>
                <w:b w:val="1"/>
                <w:bCs w:val="1"/>
                <w:color w:val="auto"/>
              </w:rPr>
              <w:t>Adjustment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(54,894)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(54,894)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September 30, 2022 and December 31, 2021,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unconstrained variable consideration amount included in the transaction price represents an amount for which it is probable that a significant reversal of cumulative revenue recognized will not occur.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Clinical trial costs are a component of research and development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Compensation -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functional currency of NGM Australia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However, where there is a diluted net loss per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Net loss per share was computed as follows (in thousands,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320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8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38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(126,230)</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(93,101)</w:t>
            </w:r>
          </w:p>
        </w:tc>
      </w:tr>
      <w:tr>
        <w:trPr>
          <w:trHeight w:val="20"/>
        </w:trPr>
        <w:tc>
          <w:tcPr>
            <w:tcW w:w="386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2"/>
        </w:trPr>
        <w:tc>
          <w:tcPr>
            <w:tcW w:w="3860" w:type="dxa"/>
            <w:vAlign w:val="bottom"/>
          </w:tcPr>
          <w:p>
            <w:pPr>
              <w:ind w:left="240"/>
              <w:spacing w:after="0"/>
              <w:rPr>
                <w:sz w:val="20"/>
                <w:szCs w:val="20"/>
                <w:color w:val="auto"/>
              </w:rPr>
            </w:pPr>
            <w:r>
              <w:rPr>
                <w:rFonts w:ascii="Arial" w:cs="Arial" w:eastAsia="Arial" w:hAnsi="Arial"/>
                <w:sz w:val="18"/>
                <w:szCs w:val="18"/>
                <w:color w:val="auto"/>
              </w:rPr>
              <w:t>Weighted average number of shares used in</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8"/>
                <w:szCs w:val="18"/>
                <w:color w:val="auto"/>
              </w:rPr>
              <w:t>calculating net loss per share—basic and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80,623</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76,852</w:t>
            </w:r>
          </w:p>
        </w:tc>
      </w:tr>
      <w:tr>
        <w:trPr>
          <w:trHeight w:val="20"/>
        </w:trPr>
        <w:tc>
          <w:tcPr>
            <w:tcW w:w="386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127"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Three and Nine Months Ended</w:t>
      </w:r>
    </w:p>
    <w:p>
      <w:pPr>
        <w:spacing w:after="0" w:line="25"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27940</wp:posOffset>
            </wp:positionV>
            <wp:extent cx="2288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50"/>
        </w:trPr>
        <w:tc>
          <w:tcPr>
            <w:tcW w:w="8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10,660</w:t>
            </w: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Shares committed under ESPP</w:t>
            </w: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752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8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10,875</w:t>
            </w: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primarily comprised of property and equipment, are based in the United States. For the three and nine months ended September 30, 2022 and 2021,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Gross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6"/>
                <w:szCs w:val="1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17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104,802</w:t>
            </w:r>
          </w:p>
        </w:tc>
        <w:tc>
          <w:tcPr>
            <w:tcW w:w="12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104,305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51,279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50,861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289,058</w:t>
            </w:r>
          </w:p>
        </w:tc>
        <w:tc>
          <w:tcPr>
            <w:tcW w:w="12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288,143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89,442</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$199,616)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198,701</w:t>
            </w: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288,143</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1160" w:type="dxa"/>
            <w:vAlign w:val="bottom"/>
          </w:tcPr>
          <w:p>
            <w:pPr>
              <w:jc w:val="center"/>
              <w:ind w:left="215"/>
              <w:spacing w:after="0"/>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12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141,093</w:t>
            </w:r>
          </w:p>
        </w:tc>
        <w:tc>
          <w:tcPr>
            <w:tcW w:w="10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64,997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188"/>
        </w:trPr>
        <w:tc>
          <w:tcPr>
            <w:tcW w:w="516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$214,587)</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214,458</w:t>
            </w:r>
          </w:p>
        </w:tc>
        <w:tc>
          <w:tcPr>
            <w:tcW w:w="0" w:type="dxa"/>
            <w:vAlign w:val="bottom"/>
          </w:tcPr>
          <w:p>
            <w:pPr>
              <w:spacing w:after="0"/>
              <w:rPr>
                <w:sz w:val="1"/>
                <w:szCs w:val="1"/>
                <w:color w:val="auto"/>
              </w:rPr>
            </w:pPr>
          </w:p>
        </w:tc>
      </w:tr>
      <w:tr>
        <w:trPr>
          <w:trHeight w:val="223"/>
        </w:trPr>
        <w:tc>
          <w:tcPr>
            <w:tcW w:w="516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$12.0 million and $22.0 million as of September 30, 2022 and December 31, 2021,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September 30, 2022 and December 31, 2021, all of the Company’s marketable securities had remaining contractual maturities of less than one year. As of September 30, 2022, the Company had 20 marketable securities in an unrealized loss position compared to 21 marketable securities in an unrealized loss position as of December 31, 2021. Marketable securities that had been in an unrealized loss position as of September 30, 2022 and December 31, 2021 were in an unrealized loss position for less than twelve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104,305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50,861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140,977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64,984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270,740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7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jc w:val="both"/>
        <w:ind w:right="20"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other current assets and liabilities approximate their respective fair values due to their short-term nature.</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estimates the fair values of investments in commercial paper and corporate and agency bond securities using Level 2 inputs by taking into consideration valuations obtained from third-party pricing services.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nine months ended September 30, 2022 and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101,449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105,403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153,294</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Depreciation expense was $0.6 million and $ 3.4 million for the three and nine months ended September 30, 2022, respectively, compared to $1.5 million and $4.6 million for the same periods in 2021. The decrease in depreciation expense for the three and nine months ended September 30, 2022 was primarily due to a revision of the estimated useful lives of certain existing leasehold improvements based on their extended utility associated with entering into the 2024 Lease Agreement. See Note 2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180" w:type="dxa"/>
            <w:vAlign w:val="bottom"/>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12,070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Personnel-related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30"/>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Manufacturing costs</w:t>
            </w:r>
          </w:p>
        </w:tc>
        <w:tc>
          <w:tcPr>
            <w:tcW w:w="180" w:type="dxa"/>
            <w:vAlign w:val="bottom"/>
            <w:shd w:val="clear" w:color="auto" w:fill="CFF2FC"/>
          </w:tcPr>
          <w:p>
            <w:pPr>
              <w:spacing w:after="0"/>
              <w:rPr>
                <w:sz w:val="19"/>
                <w:szCs w:val="19"/>
                <w:color w:val="auto"/>
              </w:rPr>
            </w:pPr>
          </w:p>
        </w:tc>
        <w:tc>
          <w:tcPr>
            <w:tcW w:w="14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5,499</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7,773</w:t>
            </w:r>
          </w:p>
        </w:tc>
      </w:tr>
      <w:tr>
        <w:trPr>
          <w:trHeight w:val="229"/>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33,258</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180" w:type="dxa"/>
            <w:vAlign w:val="bottom"/>
            <w:tcBorders>
              <w:top w:val="single" w:sz="8" w:color="CFF2FC"/>
              <w:bottom w:val="single" w:sz="8" w:color="auto"/>
            </w:tcBorders>
          </w:tcPr>
          <w:p>
            <w:pPr>
              <w:spacing w:after="0" w:line="20" w:lineRule="exact"/>
              <w:rPr>
                <w:sz w:val="1"/>
                <w:szCs w:val="1"/>
                <w:color w:val="auto"/>
              </w:rPr>
            </w:pPr>
          </w:p>
        </w:tc>
        <w:tc>
          <w:tcPr>
            <w:tcW w:w="148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7" w:name="page18"/>
    <w:bookmarkEnd w:id="17"/>
    <w:p>
      <w:pPr>
        <w:ind w:right="6840" w:firstLine="8"/>
        <w:spacing w:after="0" w:line="380"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Merck</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the Company, Merck agreed to make additional payments totaling up to $20.0 million in support of our R&amp;D activities during 2021 through the first quarter of 2022.</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as described in more detail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owned approximately 16% of the Company's outstanding shares as of September 30,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Pursuant to the Amended Collaboration Agreement, the prior two-year extension of the research phase under the Original Agreement was deemed to end on March 31, 2021, while a new three-year research phase commenced on April 1, 2021. Under the Original Collaboration Agreement, all of the Company’s research and development programs, both those existing at the time the Company entered into the Original Collaboration Agreement and those the Company worked on during the research phase of the collaboration, other than aldafermin, were included within the scope of the collaboration. Under the terms of the Original Collaboration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compounds that were directed against the same target and that result in the same effect on such target, or the related compounds, referred to as the Merck license option. Under the Amended Collaboration Agreement, the scope of the collaboration and the resulting programs for which Merck has the Merck license option was narrowed. The collaboration as conducted under the Amended Collaboration Agreement, or the continuing collaboration, is focused primarily on the identification and research and development of collaboration compounds directed to targets of interest to Merck in the fields of ophthalmology and cardiovascular or metabolic, or CVM, disease, including heart failure, as well as certain laboratory testing and other activities on compounds that are directed to one of up to two undisclosed targets outside of the fields of ophthalmology and CVM disease, referred to as the Lab Programs. The ophthalmology compounds in the continuing collaboration include NGM621 and its related compounds, and compounds directed against two other undisclosed ophthalmology targets and their related compounds. Collaboration compounds that remain within the scope of the continuing collaboration under the Amended Collaboration Agreement are referred to as continuing collaboration compounds. Given the narrowed research scope under the Amended Collaboration Agreement, the Company has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are not included within the research and development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8"/>
          <w:szCs w:val="18"/>
          <w:color w:val="auto"/>
        </w:rPr>
        <w:t>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 point. The Merck license option exercise point for collaboration compounds under the Original Collaboration Agreement was the completion of a human proof-of-concept trial, exercisable within 60 days of Merck's receipt of an agreed-upon data package for the relevant program. This generally continues to be the Merck license option exercise point under the Amended Collaboration Agreement for continuing collaboration compounds that are directed to ophthalmology targets, including NGM621 and its related compounds and all of the continuing collaboration compounds from two other ophthalmology programs directed against undisclosed ophthalmology targets and their related compounds (including NGM621 and its related compounds, collectively referred to as the continuing ophthalmology collaboration compounds). Merck has an additional one-time option to obtain an exclusive, worldwide license to all of the continuing ophthalmology collaboration compounds together, referred to as the ophthalmology bundle option, and would need to decide whether or not to exercise this option at the same time as the NGM621 license option. If Merck does not exercise this one-time ophthalmology bundle option for all continuing ophthalmology collaboration compounds, it may nevertheless exercise its regular Merck license option with respect to NGM621 and its related compounds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Collaboration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Collaboration Agreement, under the Amended Collaboration Agreement, if Merck exercises a Merck license option and obtains the relevant exclusive, worldwide license for a continuing collaboration compound and its related compounds,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Collaboration Agreement. If the Company elects to exercise its cost and profit share option for a particular continuing collaboration compound and its related compounds, Merck has agreed to advance to the Company and/or assume up to 25% of the Company’s share of the global development costs for such licensed compound, subject to an aggregate cap over the course of the collaboration. All such amounts advanced or assumed by Merck would accrue interest and be recouped by Merck in full out of the Company’s share of any profits resulting from sales of the licensed compound for which the Company elected to exercise its cost and profit share option before the Company was entitled to receive any of those profits.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Except for the ophthalmology bundle option, the amount of the option exercise fees for continuing ophthalmology collaboration compounds upon completion of a human proof-of-concept trial remains the same under the Amended Collaboration Agreement as under the Original Collaboration Agreement. If Merck exercises the ophthalmology bundle option, it will pay the Company either $40.0 million or $45.0 million as the Merck license option exercise fee, depending upon the stage of development of one of the two earlier stage ophthalmology programs that is included in the ophthalmology bundle option. 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March 30,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Company is responsible for all payments owed to the third-party manufacturer for such activities before Merck decides whether to exercise</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ophthalmology bundle option or the NGM621 option. Such option is solely within Merck’s discretion, and it may decide not to exercise the option given that the Phase 2 CATALINA trial did not meet its primary endpoint. If Merck exercises either option, then in addition to paying the one-time option exercise fee to the Company, Merck will also reimburse the Company for certain amounts it paid to the third-party manufacturer, according to the terms of the Letter Agreement and subject to certain limitations. Under the Amended Collaboration Agreement, Merck agreed to provide up to $ 86.0 million in research funding for the four calendar quarters ending March 31, 2022, which included the remaining $16.0 million of the up to $20.0 million in additional payments Merck agreed to pay as part of exercising its first option to extend the research phase of the collaboration under the Original Collaboration Agreement for two years through March 16, 2022. The Company was obligated to use commercially reasonable efforts to expend, and did spend, at least $35.0 million of such $ 86.0 million in funding during the same time frame on the ophthalmology and CVM-related programs and Lab Programs as required under the Amended Collaboration Agreement. The Company was permitted to use the remainder of the $86.0 million in research funding provided by Merck during such time frame to advance the released NGM compounds. During the remaining two years of the research phase after March 2022, Merck will provide up to a total of $20.0 million in research funding for the ophthalmology and CVM-related programs and the Lab Programs. Pursuant to the Letter Agreement, the Company may use part of this research funding to cover the costs of its personnel who provide support for the manufacturing activities that the Company undertook in preparation for a potential Phase 3 clinical trial for NGM621. Merck will also fund certain research and development costs related to NGM621, subject to certain limitations, until the earlier of the remaining two years of the research phase after March 2022 or until Merck exercises, or decides not to exercise, its license option with respect to NGM621 alone or bundled with the other continuing ophthalmology compounds. After March 2022, the Company, using its own funding, is required to use commercially reasonable efforts to research and develop a specific product candidate directed to a specific ophthalmology target to be ready for starting investigational new drug application-, or IND-, enabling studies by March 31, 2023. If Merck exercises its regular Merck license option with respect to NGM621 or the ophthalmology bundle option for all of the continuing ophthalmology collaboration compounds within 60 days of Merck's receipt of an agreed-upon data package, which the Company expects to deliver during the fourth quarter of 2022,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the research phase for the ophthalmology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Collaboration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 continuing programs would be separate from the Amended Collaboration Agreement tail period, if any, for the CVM-related continuing programs or the Lab Program, and Merck would be primarily responsible for performing all research and development activities, itself or through third-party contractors, during the Amended Collaboration Agreement tail period, if any, for the CVM-related continuing programs or the Lab Program.</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$126.7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$20.7 million in estimated NGM621 reimbursable expenses during the remaining two years of the research phase after March 2022. The Company will continue to re-evaluate the transaction price as uncertain events are resolved or other changes in circumstances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occur. The Company continues performing a series of research and development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within 60 days of Merck's receipt of an agreed-upon data package, which the Company expects to deliver during the fourth quarter of 2022, pays the applicable Merck license option exercise fee to the Company and reimburses the Company for third-party manufacturing payments in accordance with the Letter Agreement, this would not result in a modification of the contract as total contract consideration and the Company's performance obligation under the Amended Collaboration Agreement will not change.</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for each of the first three indications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Third</w:t>
            </w:r>
          </w:p>
        </w:tc>
      </w:tr>
      <w:tr>
        <w:trPr>
          <w:trHeight w:val="241"/>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Indication</w:t>
            </w:r>
          </w:p>
        </w:tc>
      </w:tr>
      <w:tr>
        <w:trPr>
          <w:trHeight w:val="170"/>
        </w:trPr>
        <w:tc>
          <w:tcPr>
            <w:tcW w:w="6660" w:type="dxa"/>
            <w:vAlign w:val="bottom"/>
            <w:tcBorders>
              <w:top w:val="single" w:sz="8" w:color="CCEEFF"/>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30"/>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0"/>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0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7,911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r>
    </w:tbl>
    <w:p>
      <w:pPr>
        <w:spacing w:after="0" w:line="3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and nine months ended September 30, 2022, the Company recognized collaboration and license revenue of $7.9 million and $37.2 million, respectively, primarily related to reimbursable research and development activities associated with the performance obligation under the Amended Collaboration Agreement under which Merck is providing significantly less annual R&amp;D funding than it had provided through March 31, 2022. Revenue recognized related to the reimbursable research and development activities was recognized using the cost-based input model related to research and development activities.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September 30, 2022 and December 31, 2021, the Company did not have a related party contract asset.</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September 30, 2022 and December 31, 2021, the Company recorded contract liabilities of $7.0 million and $17.8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2015, the Company entered into an operating lease agreement, or the 333 Oyster Point lease agreement, for its corporate office space and facilities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recorded as non-current restricted cash on the condensed consolidated balance sheets. In accordance with the agreement, the Company reduced the letter of credit amount by $0.4 million on each of the third and fourth anniversaries of the rent commencement date and reclassified each $0.4 million amount from restricted cash to cash and cash equivalents on the condensed consolidated balance sheets.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September 30, 2022, the weighted-average remaining lease term for the 333 Oyster Point lease agreement was 1.25 years and the weighted-average discount rate used to determine the Company's operating lease liability was 2.85%. Cash paid for amounts included in the measurement of the lease liabilities were $4.0 million and $3.8 million in the nine months ended September 30, 2022 and September 30, 2021, respectively.</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three and nine months ended September 30, 2022 and September 30, 2021, the components of lease costs, which were included in general and administrative expenses on the Company's consolidated statements of operations,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40" w:type="dxa"/>
            <w:vAlign w:val="bottom"/>
          </w:tcPr>
          <w:p>
            <w:pPr>
              <w:spacing w:after="0"/>
              <w:rPr>
                <w:sz w:val="18"/>
                <w:szCs w:val="18"/>
                <w:color w:val="auto"/>
              </w:rPr>
            </w:pPr>
          </w:p>
        </w:tc>
        <w:tc>
          <w:tcPr>
            <w:tcW w:w="308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12"/>
        </w:trPr>
        <w:tc>
          <w:tcPr>
            <w:tcW w:w="494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Variable lease costs (1)</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8"/>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500" w:hanging="492"/>
        <w:spacing w:after="0" w:line="278"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lease costs include certain additional charges for operating costs, including insurance, maintenance, taxes and other costs incurred, which are billed based on both usage and as a percentage of the Company’s share of total square footage.</w:t>
      </w:r>
    </w:p>
    <w:p>
      <w:pPr>
        <w:spacing w:after="0" w:line="13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September 30, 2022, the maturities of the Company’s operating lease liabilities and future minimum lease payments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Arial" w:cs="Arial" w:eastAsia="Arial" w:hAnsi="Arial"/>
                <w:sz w:val="18"/>
                <w:szCs w:val="18"/>
                <w:color w:val="auto"/>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1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9A9A9A"/>
            </w:tcBorders>
          </w:tcPr>
          <w:p>
            <w:pPr>
              <w:spacing w:after="0"/>
              <w:rPr>
                <w:sz w:val="19"/>
                <w:szCs w:val="19"/>
                <w:color w:val="auto"/>
              </w:rPr>
            </w:pPr>
          </w:p>
        </w:tc>
        <w:tc>
          <w:tcPr>
            <w:tcW w:w="55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2" w:name="page23"/>
    <w:bookmarkEnd w:id="22"/>
    <w:p>
      <w:pPr>
        <w:jc w:val="both"/>
        <w:ind w:firstLine="648"/>
        <w:spacing w:after="0" w:line="251" w:lineRule="auto"/>
        <w:rPr>
          <w:sz w:val="20"/>
          <w:szCs w:val="20"/>
          <w:color w:val="auto"/>
        </w:rPr>
      </w:pPr>
      <w:r>
        <w:rPr>
          <w:rFonts w:ascii="Arial" w:cs="Arial" w:eastAsia="Arial" w:hAnsi="Arial"/>
          <w:sz w:val="18"/>
          <w:szCs w:val="18"/>
          <w:color w:val="auto"/>
        </w:rPr>
        <w:t>In July 2022, the Company entered into an operating lease agreement, or the 2024 Lease Agreement, for its corporate office space and facilities at 333 Oyster Point Blvd., South San Francisco, California, which the Company currently occupies pursuant to a sublease agreement that is scheduled to expire on December 31, 2023. Pursuant to the 2024 Lease Agreement, the lease term with the new landlord begins on January 1, 2024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or ten years after the initial term. In July 2022, pursuant to the 2024 Lease Agreement, the Company provided the landlord with a letter of credit in the amount of $2.5 million, which the landlord may draw from upon the occurrence of certain events provided in the lease.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may fix the number, rights, preferences, privileges and restrictions on such shares. These rights, preferences and privileges could include dividend rights, conversion rights, voting rights, terms of redemption, liquidation preferences and sinking fund terms. As of September 30, 2022, the Company does not have any shares of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September 30, 2022 and December 31, 2021, the Company had reserved shares of common stock for issuance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13,223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 (1)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w:t>
            </w: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jc w:val="both"/>
        <w:ind w:left="500" w:hanging="492"/>
        <w:spacing w:after="0" w:line="267" w:lineRule="auto"/>
        <w:tabs>
          <w:tab w:leader="none" w:pos="48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sponsors a 401(k) defined contribution plan for its employees. Employee contributions are voluntary. In December 2011, the Company adopted the 401(k) Matching Plan, under which the Company made matching contributions in the form of common stock at a rate of $1.00 for each $2.00 of employee contributions up to a maximum $750 of common stock per employee per year. Effective January 1, 2022, the Company increased its matching contributions to a rate of $1.00 for each $2.00 of employee contributions up to a</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ind w:left="500"/>
        <w:spacing w:after="0" w:line="278" w:lineRule="auto"/>
        <w:rPr>
          <w:sz w:val="20"/>
          <w:szCs w:val="20"/>
          <w:color w:val="auto"/>
        </w:rPr>
      </w:pPr>
      <w:r>
        <w:rPr>
          <w:rFonts w:ascii="Arial" w:cs="Arial" w:eastAsia="Arial" w:hAnsi="Arial"/>
          <w:sz w:val="14"/>
          <w:szCs w:val="14"/>
          <w:color w:val="auto"/>
        </w:rPr>
        <w:t>maximum $3,500 of common stock per employee per year. Effective January 1, 2022, the Company increased shares of common stock reserved pursuant to the 401(k) Matching Plan to 200,000 shares from 17,813 shares of common stock as of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 During the nine months ended September 30, 2022, approximately 3.2 million shares were sold pursuant to the Sales Agreement for net proceeds to the Company of $49.4 million, after deducting issuance costs. As of September 30, 2022, $76.2 million of the Company’s common stock remained available to be sold under the Sales Agreement, subject to conditions specified in the Sales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are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31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6"/>
                <w:szCs w:val="16"/>
                <w:b w:val="1"/>
                <w:bCs w:val="1"/>
                <w:color w:val="auto"/>
              </w:rPr>
              <w:t>Outstanding Options</w:t>
            </w:r>
          </w:p>
        </w:tc>
        <w:tc>
          <w:tcPr>
            <w:tcW w:w="12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1400" w:type="dxa"/>
            <w:vAlign w:val="bottom"/>
          </w:tcPr>
          <w:p>
            <w:pPr>
              <w:jc w:val="center"/>
              <w:ind w:right="75"/>
              <w:spacing w:after="0" w:line="155" w:lineRule="exact"/>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Average</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40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Exercise</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4"/>
                <w:szCs w:val="14"/>
                <w:color w:val="auto"/>
              </w:rPr>
            </w:pPr>
          </w:p>
        </w:tc>
        <w:tc>
          <w:tcPr>
            <w:tcW w:w="14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494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Price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(In Years)</w:t>
            </w:r>
          </w:p>
        </w:tc>
        <w:tc>
          <w:tcPr>
            <w:tcW w:w="160" w:type="dxa"/>
            <w:vAlign w:val="bottom"/>
          </w:tcPr>
          <w:p>
            <w:pPr>
              <w:spacing w:after="0"/>
              <w:rPr>
                <w:sz w:val="18"/>
                <w:szCs w:val="18"/>
                <w:color w:val="auto"/>
              </w:rPr>
            </w:pPr>
          </w:p>
        </w:tc>
        <w:tc>
          <w:tcPr>
            <w:tcW w:w="1400" w:type="dxa"/>
            <w:vAlign w:val="bottom"/>
          </w:tcPr>
          <w:p>
            <w:pPr>
              <w:jc w:val="center"/>
              <w:ind w:right="75"/>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September 30, 2022</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15.44</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22,951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2022 and 2021 was $10.03 per share and $18.89 per share, respectively. The intrinsic value of stock options exercised during the nine months ended September 30, 2022 and 2021 was $3.0 million and $31.5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respectively. Due to the Company’s net operating losses, the Company did not realize any tax benefits from stock-based payment arrangements for the three and nine months ended September 30,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Stock-based compensation expense for the three and nine months ended September 30, 2022 and 2021 was calculated based on awards previously granted to employees, directors and nonemployees that are ultimately expected to vest and has been reduced for estimated forfeitures.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44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4,182</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3,392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10,701</w:t>
            </w:r>
          </w:p>
        </w:tc>
      </w:tr>
      <w:tr>
        <w:trPr>
          <w:trHeight w:val="230"/>
        </w:trPr>
        <w:tc>
          <w:tcPr>
            <w:tcW w:w="5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3,507</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7,689</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6,365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23,611</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19,663</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September 30, 2022, 614,366 shares of common stock had been purchased under the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2022. Additionally, the Company’s net deferred tax assets have been fully offset by a valuation allowance. Therefore, the Company did not record a tax provision for income taxes for the three and nine months ended September 30, 2022 and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the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2021 included in our Annual Report on Form 10-K filed with the Securities and Exchange Commission, or SEC, on March 1, 2022, or the 2021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 biopharmaceutical company focused on discovering and developing novel, potentially life-changing medicines based on scientific understanding of key biological pathways underlying cancer, retinal diseases and liver and metabolic diseases.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Currently, we have seven programs in clinical development, including four Phase 2 or 2b studies, including the recently completed NGM621 CATALINA trial, across three therapeutic areas: cancer, retinal diseases and liver and metabolic diseases.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unmet patient need.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Operational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seven product candidates in clinical development, five wholly-owned by us (NGM707, NGM831, NGM438, NGM120 and aldafermin), one being progressed by our collaborator, Merck Sharp &amp; Dohme LLC, or Merck (MK-3655), and one optionable by Merck (NGM621).</w:t>
      </w:r>
    </w:p>
    <w:p>
      <w:pPr>
        <w:spacing w:after="0" w:line="72" w:lineRule="exact"/>
        <w:rPr>
          <w:sz w:val="20"/>
          <w:szCs w:val="20"/>
          <w:color w:val="auto"/>
        </w:rPr>
      </w:pPr>
    </w:p>
    <w:p>
      <w:pPr>
        <w:ind w:left="660" w:hanging="328"/>
        <w:spacing w:after="0" w:line="287"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 Our oncology product candidates NGM707, NGM831, NGM438 and NGM120 and their related compounds are wholly-owned by us.</w:t>
      </w:r>
    </w:p>
    <w:p>
      <w:pPr>
        <w:spacing w:after="0" w:line="44" w:lineRule="exact"/>
        <w:rPr>
          <w:rFonts w:ascii="Arial" w:cs="Arial" w:eastAsia="Arial" w:hAnsi="Arial"/>
          <w:sz w:val="18"/>
          <w:szCs w:val="18"/>
          <w:b w:val="1"/>
          <w:bCs w:val="1"/>
          <w:color w:val="auto"/>
        </w:rPr>
      </w:pPr>
    </w:p>
    <w:p>
      <w:pPr>
        <w:jc w:val="both"/>
        <w:ind w:left="1300" w:hanging="320"/>
        <w:spacing w:after="0" w:line="257" w:lineRule="auto"/>
        <w:tabs>
          <w:tab w:leader="none" w:pos="1295"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w:t>
      </w:r>
      <w:r>
        <w:rPr>
          <w:rFonts w:ascii="Arial" w:cs="Arial" w:eastAsia="Arial" w:hAnsi="Arial"/>
          <w:sz w:val="18"/>
          <w:szCs w:val="18"/>
          <w:color w:val="0E32E1"/>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asset in our myeloid reprogramming and checkpoint inhibition portfolio, is a dual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may also reverse inhibition of ILT2-expressing lymphoid cells to further stimulate anti-tumor immune responses.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6" w:name="page27"/>
    <w:bookmarkEnd w:id="26"/>
    <w:p>
      <w:pPr>
        <w:jc w:val="both"/>
        <w:ind w:left="980" w:hanging="332"/>
        <w:spacing w:after="0" w:line="254" w:lineRule="auto"/>
        <w:tabs>
          <w:tab w:leader="none" w:pos="975"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are conducting an open-label Phase 1/2 clinical trial evaluating NGM707 as a monotherapy and in combination with KEYTRUDA® (pembrolizumab) for the treatment of patients with advanced solid tumors. Both a Phase 1a cohort of the trial evaluating NGM707 as a monotherapy and a Phase 1b cohort, initiated in the second quarter of 2022, evaluating NGM707 in combination with pembrolizumab are ongoing.</w:t>
      </w:r>
    </w:p>
    <w:p>
      <w:pPr>
        <w:spacing w:after="0" w:line="73" w:lineRule="exact"/>
        <w:rPr>
          <w:rFonts w:ascii="Arial" w:cs="Arial" w:eastAsia="Arial" w:hAnsi="Arial"/>
          <w:sz w:val="18"/>
          <w:szCs w:val="18"/>
          <w:color w:val="auto"/>
        </w:rPr>
      </w:pPr>
    </w:p>
    <w:p>
      <w:pPr>
        <w:jc w:val="both"/>
        <w:ind w:left="980" w:hanging="332"/>
        <w:spacing w:after="0" w:line="268" w:lineRule="auto"/>
        <w:tabs>
          <w:tab w:leader="none" w:pos="975"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anticipate disclosing initial data from the Phase 1a cohort in the fourth quarter of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1a/1b portions of the trial are expected to be followed by Phase 2 expansion cohorts in specific tumor types. We expect to enroll up to approximately 220 patients in this Phase 1/2 trial.</w:t>
      </w:r>
    </w:p>
    <w:p>
      <w:pPr>
        <w:spacing w:after="0" w:line="62" w:lineRule="exact"/>
        <w:rPr>
          <w:rFonts w:ascii="Arial" w:cs="Arial" w:eastAsia="Arial" w:hAnsi="Arial"/>
          <w:sz w:val="18"/>
          <w:szCs w:val="18"/>
          <w:color w:val="auto"/>
        </w:rPr>
      </w:pPr>
    </w:p>
    <w:p>
      <w:pPr>
        <w:jc w:val="both"/>
        <w:ind w:left="320" w:hanging="320"/>
        <w:spacing w:after="0" w:line="25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NGM831</w:t>
      </w:r>
      <w:r>
        <w:rPr>
          <w:rFonts w:ascii="Arial" w:cs="Arial" w:eastAsia="Arial" w:hAnsi="Arial"/>
          <w:sz w:val="18"/>
          <w:szCs w:val="18"/>
          <w:color w:val="auto"/>
        </w:rPr>
        <w:t>. NGM831 is an antagonist antibody that is designed to block the interaction of the Immunoglobulin-like transcript 3,</w:t>
      </w:r>
      <w:r>
        <w:rPr>
          <w:rFonts w:ascii="Arial" w:cs="Arial" w:eastAsia="Arial" w:hAnsi="Arial"/>
          <w:sz w:val="18"/>
          <w:szCs w:val="18"/>
          <w:b w:val="1"/>
          <w:bCs w:val="1"/>
          <w:color w:val="auto"/>
        </w:rPr>
        <w:t xml:space="preserve"> </w:t>
      </w:r>
      <w:r>
        <w:rPr>
          <w:rFonts w:ascii="Arial" w:cs="Arial" w:eastAsia="Arial" w:hAnsi="Arial"/>
          <w:sz w:val="18"/>
          <w:szCs w:val="18"/>
          <w:color w:val="auto"/>
        </w:rPr>
        <w:t>or ILT3 (also known as LILRB4) receptor, with fibronectin, as well as other cognate ligands.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spacing w:after="0" w:line="96" w:lineRule="exact"/>
        <w:rPr>
          <w:rFonts w:ascii="Arial" w:cs="Arial" w:eastAsia="Arial" w:hAnsi="Arial"/>
          <w:sz w:val="18"/>
          <w:szCs w:val="18"/>
          <w:color w:val="auto"/>
        </w:rPr>
      </w:pPr>
    </w:p>
    <w:p>
      <w:pPr>
        <w:jc w:val="both"/>
        <w:ind w:left="980" w:hanging="332"/>
        <w:spacing w:after="0" w:line="253" w:lineRule="auto"/>
        <w:tabs>
          <w:tab w:leader="none" w:pos="975"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the first quarter of 2022, we initiated an open-label Phase 1/1b clinical trial to evaluate NGM831 as a monotherapy and in combination with pembrolizumab for the treatment of patients with advanced solid tumors. A Phase 1a cohort of the trial evaluating NGM831 as a monotherapy was initiated in the first quarter of 2022 and a Phase 1b cohort evaluating NGM831 in combination with pembrolizumab was initiated in the third quarter of 2022. We expect to enroll up to approximately 80 patients in this trial.</w:t>
      </w:r>
    </w:p>
    <w:p>
      <w:pPr>
        <w:spacing w:after="0" w:line="75" w:lineRule="exact"/>
        <w:rPr>
          <w:rFonts w:ascii="Arial" w:cs="Arial" w:eastAsia="Arial" w:hAnsi="Arial"/>
          <w:sz w:val="18"/>
          <w:szCs w:val="18"/>
          <w:color w:val="auto"/>
        </w:rPr>
      </w:pPr>
    </w:p>
    <w:p>
      <w:pPr>
        <w:ind w:left="960" w:hanging="312"/>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share initial clinical trial data from this trial in 2023.</w:t>
      </w:r>
    </w:p>
    <w:p>
      <w:pPr>
        <w:spacing w:after="0" w:line="117" w:lineRule="exact"/>
        <w:rPr>
          <w:rFonts w:ascii="Arial" w:cs="Arial" w:eastAsia="Arial" w:hAnsi="Arial"/>
          <w:sz w:val="18"/>
          <w:szCs w:val="18"/>
          <w:color w:val="auto"/>
        </w:rPr>
      </w:pPr>
    </w:p>
    <w:p>
      <w:pPr>
        <w:jc w:val="both"/>
        <w:ind w:left="320" w:hanging="320"/>
        <w:spacing w:after="0" w:line="256"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and thereby promote anti-tumor immune responses. NGM438 has the potential to potently block the binding of all collagens to LAIR1, including tumor-derived collagens. Collagens produced by the tumor stroma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96" w:lineRule="exact"/>
        <w:rPr>
          <w:rFonts w:ascii="Arial" w:cs="Arial" w:eastAsia="Arial" w:hAnsi="Arial"/>
          <w:sz w:val="18"/>
          <w:szCs w:val="18"/>
          <w:color w:val="auto"/>
        </w:rPr>
      </w:pPr>
    </w:p>
    <w:p>
      <w:pPr>
        <w:jc w:val="both"/>
        <w:ind w:left="980" w:hanging="332"/>
        <w:spacing w:after="0" w:line="253" w:lineRule="auto"/>
        <w:tabs>
          <w:tab w:leader="none" w:pos="975"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the second quarter of 2022, we initiated an open-label, Phase 1/1b clinical trial to evaluate NGM438 as a monotherapy and in combination with pembrolizumab for the treatment of patients with advanced solid tumors. A Phase 1a cohort of the trial evaluating NGM438 as a monotherapy is ongoing. The Phase 1b cohort will evaluate NGM438 in combination with pembrolizumab in patients with advanced solid tumors. We expect to enroll up to approximately 80 patients in this trial.</w:t>
      </w:r>
    </w:p>
    <w:p>
      <w:pPr>
        <w:spacing w:after="0" w:line="75" w:lineRule="exact"/>
        <w:rPr>
          <w:rFonts w:ascii="Arial" w:cs="Arial" w:eastAsia="Arial" w:hAnsi="Arial"/>
          <w:sz w:val="18"/>
          <w:szCs w:val="18"/>
          <w:color w:val="auto"/>
        </w:rPr>
      </w:pPr>
    </w:p>
    <w:p>
      <w:pPr>
        <w:ind w:left="960" w:hanging="312"/>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share initial clinical trial data from this trial in 2023.</w:t>
      </w:r>
    </w:p>
    <w:p>
      <w:pPr>
        <w:spacing w:after="0" w:line="117" w:lineRule="exact"/>
        <w:rPr>
          <w:rFonts w:ascii="Arial" w:cs="Arial" w:eastAsia="Arial" w:hAnsi="Arial"/>
          <w:sz w:val="18"/>
          <w:szCs w:val="18"/>
          <w:color w:val="auto"/>
        </w:rPr>
      </w:pPr>
    </w:p>
    <w:p>
      <w:pPr>
        <w:jc w:val="both"/>
        <w:ind w:left="320" w:hanging="320"/>
        <w:spacing w:after="0" w:line="259"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to glial cell-derived neurotrophic factor receptor alpha-like, or</w:t>
      </w:r>
      <w:r>
        <w:rPr>
          <w:rFonts w:ascii="Arial" w:cs="Arial" w:eastAsia="Arial" w:hAnsi="Arial"/>
          <w:sz w:val="18"/>
          <w:szCs w:val="18"/>
          <w:b w:val="1"/>
          <w:bCs w:val="1"/>
          <w:color w:val="auto"/>
        </w:rPr>
        <w:t xml:space="preserve"> </w:t>
      </w:r>
      <w:r>
        <w:rPr>
          <w:rFonts w:ascii="Arial" w:cs="Arial" w:eastAsia="Arial" w:hAnsi="Arial"/>
          <w:sz w:val="18"/>
          <w:szCs w:val="18"/>
          <w:color w:val="auto"/>
        </w:rPr>
        <w:t>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w:t>
      </w:r>
    </w:p>
    <w:p>
      <w:pPr>
        <w:spacing w:after="0" w:line="93" w:lineRule="exact"/>
        <w:rPr>
          <w:rFonts w:ascii="Arial" w:cs="Arial" w:eastAsia="Arial" w:hAnsi="Arial"/>
          <w:sz w:val="18"/>
          <w:szCs w:val="18"/>
          <w:color w:val="auto"/>
        </w:rPr>
      </w:pPr>
    </w:p>
    <w:p>
      <w:pPr>
        <w:jc w:val="both"/>
        <w:ind w:left="980" w:right="20" w:hanging="332"/>
        <w:spacing w:after="0" w:line="256" w:lineRule="auto"/>
        <w:tabs>
          <w:tab w:leader="none" w:pos="975"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are conducting a Phase 1/2 clinical trial to assess NGM120’s effect on cancer and cancer-related cachexia in patients with select advanced solid tumors, metastatic pancreatic cancer and metastatic castration-resistant prostate cancer, or mCRPC. The trial includes:</w:t>
      </w:r>
    </w:p>
    <w:p>
      <w:pPr>
        <w:spacing w:after="0" w:line="93" w:lineRule="exact"/>
        <w:rPr>
          <w:rFonts w:ascii="Arial" w:cs="Arial" w:eastAsia="Arial" w:hAnsi="Arial"/>
          <w:sz w:val="18"/>
          <w:szCs w:val="18"/>
          <w:color w:val="auto"/>
        </w:rPr>
      </w:pPr>
    </w:p>
    <w:p>
      <w:pPr>
        <w:ind w:left="1620" w:hanging="324"/>
        <w:spacing w:after="0"/>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 Phase 1a cohort evaluating NGM120 as a monotherapy in patients with select advanced solid tumors,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24" w:right="339" w:bottom="1440" w:gutter="0" w:footer="0" w:header="0"/>
        </w:sectPr>
      </w:pPr>
    </w:p>
    <w:bookmarkStart w:id="27" w:name="page28"/>
    <w:bookmarkEnd w:id="27"/>
    <w:p>
      <w:pPr>
        <w:ind w:left="2268" w:hanging="324"/>
        <w:spacing w:after="0" w:line="261" w:lineRule="auto"/>
        <w:tabs>
          <w:tab w:leader="none" w:pos="2263" w:val="left"/>
        </w:tabs>
        <w:numPr>
          <w:ilvl w:val="3"/>
          <w:numId w:val="8"/>
        </w:numPr>
        <w:rPr>
          <w:rFonts w:ascii="Arial" w:cs="Arial" w:eastAsia="Arial" w:hAnsi="Arial"/>
          <w:sz w:val="18"/>
          <w:szCs w:val="18"/>
          <w:color w:val="auto"/>
        </w:rPr>
      </w:pPr>
      <w:r>
        <w:rPr>
          <w:rFonts w:ascii="Arial" w:cs="Arial" w:eastAsia="Arial" w:hAnsi="Arial"/>
          <w:sz w:val="18"/>
          <w:szCs w:val="18"/>
          <w:color w:val="auto"/>
        </w:rPr>
        <w:t>a Phase 1b cohort evaluating NGM120 in combination with gemcitabine and Nab-paclitaxel in patients with metastatic pancreatic cancer,</w:t>
      </w:r>
    </w:p>
    <w:p>
      <w:pPr>
        <w:spacing w:after="0" w:line="89" w:lineRule="exact"/>
        <w:rPr>
          <w:rFonts w:ascii="Arial" w:cs="Arial" w:eastAsia="Arial" w:hAnsi="Arial"/>
          <w:sz w:val="18"/>
          <w:szCs w:val="18"/>
          <w:color w:val="auto"/>
        </w:rPr>
      </w:pPr>
    </w:p>
    <w:p>
      <w:pPr>
        <w:ind w:left="2268" w:hanging="324"/>
        <w:spacing w:after="0" w:line="261" w:lineRule="auto"/>
        <w:tabs>
          <w:tab w:leader="none" w:pos="2263" w:val="left"/>
        </w:tabs>
        <w:numPr>
          <w:ilvl w:val="3"/>
          <w:numId w:val="8"/>
        </w:numPr>
        <w:rPr>
          <w:rFonts w:ascii="Arial" w:cs="Arial" w:eastAsia="Arial" w:hAnsi="Arial"/>
          <w:sz w:val="18"/>
          <w:szCs w:val="18"/>
          <w:color w:val="auto"/>
        </w:rPr>
      </w:pPr>
      <w:r>
        <w:rPr>
          <w:rFonts w:ascii="Arial" w:cs="Arial" w:eastAsia="Arial" w:hAnsi="Arial"/>
          <w:sz w:val="18"/>
          <w:szCs w:val="18"/>
          <w:color w:val="auto"/>
        </w:rPr>
        <w:t>an additional Phase 1b cohort testing NGM120 in combination with one or more lines of hormone therapies in patients with mCRPC, and</w:t>
      </w:r>
    </w:p>
    <w:p>
      <w:pPr>
        <w:spacing w:after="0" w:line="89" w:lineRule="exact"/>
        <w:rPr>
          <w:rFonts w:ascii="Arial" w:cs="Arial" w:eastAsia="Arial" w:hAnsi="Arial"/>
          <w:sz w:val="18"/>
          <w:szCs w:val="18"/>
          <w:color w:val="auto"/>
        </w:rPr>
      </w:pPr>
    </w:p>
    <w:p>
      <w:pPr>
        <w:ind w:left="2268" w:hanging="324"/>
        <w:spacing w:after="0" w:line="267" w:lineRule="auto"/>
        <w:tabs>
          <w:tab w:leader="none" w:pos="2263" w:val="left"/>
        </w:tabs>
        <w:numPr>
          <w:ilvl w:val="3"/>
          <w:numId w:val="8"/>
        </w:numPr>
        <w:rPr>
          <w:rFonts w:ascii="Arial" w:cs="Arial" w:eastAsia="Arial" w:hAnsi="Arial"/>
          <w:sz w:val="18"/>
          <w:szCs w:val="18"/>
          <w:color w:val="auto"/>
        </w:rPr>
      </w:pPr>
      <w:r>
        <w:rPr>
          <w:rFonts w:ascii="Arial" w:cs="Arial" w:eastAsia="Arial" w:hAnsi="Arial"/>
          <w:sz w:val="18"/>
          <w:szCs w:val="18"/>
          <w:color w:val="auto"/>
        </w:rPr>
        <w:t xml:space="preserve">a Phase 2 cohort evaluating NGM120 in combination with gemcitabine and Nab-paclitaxel as first-line treatment in patients with metastatic pancreatic cancer (referred to as the PINNACLES </w:t>
      </w:r>
      <w:r>
        <w:rPr>
          <w:rFonts w:ascii="Arial" w:cs="Arial" w:eastAsia="Arial" w:hAnsi="Arial"/>
          <w:sz w:val="19"/>
          <w:szCs w:val="19"/>
          <w:color w:val="auto"/>
        </w:rPr>
        <w:t>trial)</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1628" w:hanging="332"/>
        <w:spacing w:after="0" w:line="253" w:lineRule="auto"/>
        <w:tabs>
          <w:tab w:leader="none" w:pos="16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September 2022, at the European Society for Medical Oncology, or ESMO, Annual Congress, we reported updated preliminary findings for a subgroup of patients with advanced prostate cancer from the Phase 1a cohort evaluating NGM120 as a monotherapy in patients with select advanced solid tumors. The updated preliminary results reported at ESMO demonstrated that NGM120 was well tolerated with no dose-limiting toxicities and provided encouraging signals of anti-cancer activity in patients with advanced prostate cancer.</w:t>
      </w:r>
    </w:p>
    <w:p>
      <w:pPr>
        <w:spacing w:after="0" w:line="97" w:lineRule="exact"/>
        <w:rPr>
          <w:rFonts w:ascii="Arial" w:cs="Arial" w:eastAsia="Arial" w:hAnsi="Arial"/>
          <w:sz w:val="18"/>
          <w:szCs w:val="18"/>
          <w:color w:val="auto"/>
        </w:rPr>
      </w:pPr>
    </w:p>
    <w:p>
      <w:pPr>
        <w:jc w:val="both"/>
        <w:ind w:left="1628" w:hanging="332"/>
        <w:spacing w:after="0" w:line="253" w:lineRule="auto"/>
        <w:tabs>
          <w:tab w:leader="none" w:pos="16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September 2022, at the American Association for Cancer Research, or AACR, Special Conference: Pancreatic Cancer, we reported updated preliminary findings from the Phase 1b cohort evaluating NGM120 in combination with gemcitabine and Nab-paclitaxel in patients with metastatic pancreatic cancer. The updated preliminary results reported at AACR demonstrated that NGM120 was well tolerated with no dose-limiting toxicities and provided encouraging signals of anti-cancer activity in patients with metastatic pancreatic cancer.</w:t>
      </w:r>
    </w:p>
    <w:p>
      <w:pPr>
        <w:spacing w:after="0" w:line="97" w:lineRule="exact"/>
        <w:rPr>
          <w:rFonts w:ascii="Arial" w:cs="Arial" w:eastAsia="Arial" w:hAnsi="Arial"/>
          <w:sz w:val="18"/>
          <w:szCs w:val="18"/>
          <w:color w:val="auto"/>
        </w:rPr>
      </w:pPr>
    </w:p>
    <w:p>
      <w:pPr>
        <w:ind w:left="1628" w:right="20" w:hanging="332"/>
        <w:spacing w:after="0" w:line="261" w:lineRule="auto"/>
        <w:tabs>
          <w:tab w:leader="none" w:pos="16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August 2022, we initiated an additional Phase 1b cohort testing NGM120 in combination with one or more lines of hormone therapies in patients with mCRPC.</w:t>
      </w:r>
    </w:p>
    <w:p>
      <w:pPr>
        <w:spacing w:after="0" w:line="6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Retinal diseases.</w:t>
      </w:r>
    </w:p>
    <w:p>
      <w:pPr>
        <w:spacing w:after="0" w:line="117" w:lineRule="exact"/>
        <w:rPr>
          <w:rFonts w:ascii="Arial" w:cs="Arial" w:eastAsia="Arial" w:hAnsi="Arial"/>
          <w:sz w:val="18"/>
          <w:szCs w:val="18"/>
          <w:color w:val="auto"/>
        </w:rPr>
      </w:pPr>
    </w:p>
    <w:p>
      <w:pPr>
        <w:jc w:val="both"/>
        <w:ind w:left="968" w:hanging="320"/>
        <w:spacing w:after="0" w:line="259" w:lineRule="auto"/>
        <w:tabs>
          <w:tab w:leader="none" w:pos="963"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bind to, and be a long-acting inhibitor of, complement C3 with the treatment goal of reducing the rate of disease progression in patients with geographic atrophy, or GA, secondary to age-related macular degeneration, or AMD. NGM621 received Fast Track designation from the United States Food and Drug Administration, or FDA, for GA secondary to AMD.</w:t>
      </w:r>
    </w:p>
    <w:p>
      <w:pPr>
        <w:spacing w:after="0" w:line="93" w:lineRule="exact"/>
        <w:rPr>
          <w:rFonts w:ascii="Arial" w:cs="Arial" w:eastAsia="Arial" w:hAnsi="Arial"/>
          <w:sz w:val="18"/>
          <w:szCs w:val="18"/>
          <w:color w:val="auto"/>
        </w:rPr>
      </w:pPr>
    </w:p>
    <w:p>
      <w:pPr>
        <w:jc w:val="both"/>
        <w:ind w:left="1628" w:hanging="332"/>
        <w:spacing w:after="0" w:line="252" w:lineRule="auto"/>
        <w:tabs>
          <w:tab w:leader="none" w:pos="1623"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October 2022, we announced topline results from the Phase 2 CATALINA clinical trial, which evaluated the efficacy and safety of NGM621 when given to patients with GA every four weeks or every eight weeks via IVT injections compared to sham control. The trial did not meet its primary endpoint of a statistically significant rate of change in GA lesion area using slope analysis over 52 weeks of treatment with NGM621 versus sham. NGM621 demonstrated a favorable safety profile, with no evidence of increased choroidal neovascularization in NGM621-treated patients compared to sham. In addition, there were no serious adverse events deemed treatment-related by an investigator.</w:t>
      </w:r>
    </w:p>
    <w:p>
      <w:pPr>
        <w:spacing w:after="0" w:line="98" w:lineRule="exact"/>
        <w:rPr>
          <w:rFonts w:ascii="Arial" w:cs="Arial" w:eastAsia="Arial" w:hAnsi="Arial"/>
          <w:sz w:val="18"/>
          <w:szCs w:val="18"/>
          <w:color w:val="auto"/>
        </w:rPr>
      </w:pPr>
    </w:p>
    <w:p>
      <w:pPr>
        <w:jc w:val="both"/>
        <w:ind w:left="1628" w:hanging="332"/>
        <w:spacing w:after="0" w:line="291" w:lineRule="auto"/>
        <w:tabs>
          <w:tab w:leader="none" w:pos="1623" w:val="left"/>
        </w:tabs>
        <w:numPr>
          <w:ilvl w:val="2"/>
          <w:numId w:val="8"/>
        </w:numPr>
        <w:rPr>
          <w:rFonts w:ascii="Arial" w:cs="Arial" w:eastAsia="Arial" w:hAnsi="Arial"/>
          <w:sz w:val="17"/>
          <w:szCs w:val="17"/>
          <w:color w:val="auto"/>
        </w:rPr>
      </w:pPr>
      <w:r>
        <w:rPr>
          <w:rFonts w:ascii="Arial" w:cs="Arial" w:eastAsia="Arial" w:hAnsi="Arial"/>
          <w:sz w:val="17"/>
          <w:szCs w:val="17"/>
          <w:color w:val="auto"/>
        </w:rPr>
        <w:t>On November 3, 2022, we presented additional findings at The Retina Society Annual Scientific Meeting and we intend to continue to evaluate various pre-specified secondary endpoints and post-hoc analyses relating to NGM621.</w:t>
      </w:r>
    </w:p>
    <w:p>
      <w:pPr>
        <w:spacing w:after="0" w:line="65" w:lineRule="exact"/>
        <w:rPr>
          <w:rFonts w:ascii="Arial" w:cs="Arial" w:eastAsia="Arial" w:hAnsi="Arial"/>
          <w:sz w:val="17"/>
          <w:szCs w:val="17"/>
          <w:color w:val="auto"/>
        </w:rPr>
      </w:pPr>
    </w:p>
    <w:p>
      <w:pPr>
        <w:jc w:val="both"/>
        <w:ind w:left="1628" w:hanging="332"/>
        <w:spacing w:after="0" w:line="252" w:lineRule="auto"/>
        <w:tabs>
          <w:tab w:leader="none" w:pos="1623" w:val="left"/>
        </w:tabs>
        <w:numPr>
          <w:ilvl w:val="2"/>
          <w:numId w:val="8"/>
        </w:numPr>
        <w:rPr>
          <w:rFonts w:ascii="Arial" w:cs="Arial" w:eastAsia="Arial" w:hAnsi="Arial"/>
          <w:sz w:val="18"/>
          <w:szCs w:val="18"/>
          <w:color w:val="auto"/>
        </w:rPr>
      </w:pPr>
      <w:r>
        <w:rPr>
          <w:rFonts w:ascii="Arial" w:cs="Arial" w:eastAsia="Arial" w:hAnsi="Arial"/>
          <w:sz w:val="18"/>
          <w:szCs w:val="18"/>
          <w:color w:val="auto"/>
        </w:rPr>
        <w:t>Merck has a one-time option to license NGM621 and its related compounds (either alone or bundled with other preclinical ophthalmology compounds and their respective related compounds included within the scope of the current collaboration with Merck), within 60 days of Merck's receipt of an agreed-upon data package, which we expect to deliver during the fourth quarter of 2022. Merck’s decision to exercise, or not exercise, its license option with respect to NGM621 and its related compounds is solely within Merck’s discretion. If Merck does not elect to exercise its option to license NGM621 and its related compounds, the program will be wholly-owned by us and we would need to partner the program in order to proceed with further development of NGM621, if any.</w:t>
      </w:r>
    </w:p>
    <w:p>
      <w:pPr>
        <w:spacing w:after="0" w:line="200" w:lineRule="exact"/>
        <w:rPr>
          <w:sz w:val="20"/>
          <w:szCs w:val="20"/>
          <w:color w:val="auto"/>
        </w:rPr>
      </w:pPr>
    </w:p>
    <w:p>
      <w:pPr>
        <w:spacing w:after="0" w:line="34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4" w:right="339" w:bottom="1440" w:gutter="0" w:footer="0" w:header="0"/>
        </w:sectPr>
      </w:pPr>
    </w:p>
    <w:bookmarkStart w:id="28" w:name="page29"/>
    <w:bookmarkEnd w:id="28"/>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rFonts w:ascii="Arial" w:cs="Arial" w:eastAsia="Arial" w:hAnsi="Arial"/>
          <w:sz w:val="18"/>
          <w:szCs w:val="18"/>
          <w:b w:val="1"/>
          <w:bCs w:val="1"/>
          <w:color w:val="auto"/>
        </w:rPr>
      </w:pPr>
    </w:p>
    <w:p>
      <w:pPr>
        <w:jc w:val="both"/>
        <w:ind w:left="1300" w:hanging="320"/>
        <w:spacing w:after="0" w:line="259"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Aldafermin is in Phase 2b development in the fully enrolled ALPINE 4 trial for the treatment of patients with compensated cirrhosis due to non-alcoholic steatohepatitis, or NASH (liver fibrosis stage 4, or F4, by the NASH Clinical Research Network classification). The ALPINE 4 clinical trial is designed to evaluate the treatment effect of aldafermin over 48 weeks.</w:t>
      </w:r>
    </w:p>
    <w:p>
      <w:pPr>
        <w:spacing w:after="0" w:line="71" w:lineRule="exact"/>
        <w:rPr>
          <w:rFonts w:ascii="Arial" w:cs="Arial" w:eastAsia="Arial" w:hAnsi="Arial"/>
          <w:sz w:val="18"/>
          <w:szCs w:val="18"/>
          <w:color w:val="auto"/>
        </w:rPr>
      </w:pPr>
    </w:p>
    <w:p>
      <w:pPr>
        <w:ind w:left="1940" w:hanging="312"/>
        <w:spacing w:after="0"/>
        <w:tabs>
          <w:tab w:leader="none" w:pos="1940" w:val="left"/>
        </w:tabs>
        <w:numPr>
          <w:ilvl w:val="2"/>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report topline data from the Phase 2b ALPINE 4 trial in the first half of 2023.</w:t>
      </w:r>
    </w:p>
    <w:p>
      <w:pPr>
        <w:spacing w:after="0" w:line="117" w:lineRule="exact"/>
        <w:rPr>
          <w:rFonts w:ascii="Arial" w:cs="Arial" w:eastAsia="Arial" w:hAnsi="Arial"/>
          <w:sz w:val="18"/>
          <w:szCs w:val="18"/>
          <w:color w:val="auto"/>
        </w:rPr>
      </w:pPr>
    </w:p>
    <w:p>
      <w:pPr>
        <w:jc w:val="both"/>
        <w:ind w:left="1300" w:hanging="320"/>
        <w:spacing w:after="0" w:line="262"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licensed by Merck in November 2018.</w:t>
      </w:r>
    </w:p>
    <w:p>
      <w:pPr>
        <w:spacing w:after="0" w:line="76" w:lineRule="exact"/>
        <w:rPr>
          <w:rFonts w:ascii="Arial" w:cs="Arial" w:eastAsia="Arial" w:hAnsi="Arial"/>
          <w:sz w:val="18"/>
          <w:szCs w:val="18"/>
          <w:color w:val="auto"/>
        </w:rPr>
      </w:pPr>
    </w:p>
    <w:p>
      <w:pPr>
        <w:ind w:left="1960" w:right="40" w:hanging="332"/>
        <w:spacing w:after="0" w:line="274" w:lineRule="auto"/>
        <w:tabs>
          <w:tab w:leader="none" w:pos="1955" w:val="left"/>
        </w:tabs>
        <w:numPr>
          <w:ilvl w:val="2"/>
          <w:numId w:val="9"/>
        </w:numPr>
        <w:rPr>
          <w:rFonts w:ascii="Arial" w:cs="Arial" w:eastAsia="Arial" w:hAnsi="Arial"/>
          <w:sz w:val="17"/>
          <w:szCs w:val="17"/>
          <w:color w:val="auto"/>
        </w:rPr>
      </w:pPr>
      <w:r>
        <w:rPr>
          <w:rFonts w:ascii="Arial" w:cs="Arial" w:eastAsia="Arial" w:hAnsi="Arial"/>
          <w:sz w:val="17"/>
          <w:szCs w:val="17"/>
          <w:color w:val="auto"/>
        </w:rPr>
        <w:t>Merck is continuing enrollment in the global 52-week randomized, double-blind Phase 2b trial of MK-3655 in patients with NASH and liver fibrosis stage 2 or 3, or F2 or F3, by the NASH Clinical Research Network classification.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additional programs that are in various stages of development ranging from functional validation to preclinical development.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Partnering has been and is expected to continue to be a key component of our strategy. For example, our collaboration with Merck, described in " — Our Merck Collaboration" below, historically provided us with robust financial support that enabled us to broaden and accelerate our research efforts and to develop more product candidates for major indications than we likely could have advanced on our own. Given the breadth of opportunities produced by our prolific discovery engine and the current narrower scope of our Merck collaboration, we are actively pursuing additional partners to progress, in whole or in part, the development and commercialization of one or more product candidates that are not within the scope of the current collaboration with Merck. Similarly, given the substantial additional capital needed to proceed with further development of NGM621, if any, if Merck does not elect to exercise its option to license NGM621, which it may decide given that the Phase 2 CATALINA trial did not meet its primary endpoint, we would need to partner the program in order to proceed with further development of NGM621, if any.</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while we initiated the Phase 1/1b clinical trial of NGM831 in March 2022 and the Phase 1/1b clinical trial of NGM438 in May 2022, our planned individual new drug application, or IND, submissions for NGM831 and NGM438 were delayed due to challenges at one of our CMOs with respect to the manufacture of those product candidates, primarily related to analytical method qualification and release testing. It is possible that we could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18"/>
          <w:szCs w:val="18"/>
          <w:color w:val="auto"/>
        </w:rPr>
        <w:t>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goods and services may negatively impact our business operations and our financial results</w:t>
      </w:r>
      <w:r>
        <w:rPr>
          <w:rFonts w:ascii="Arial" w:cs="Arial" w:eastAsia="Arial" w:hAnsi="Arial"/>
          <w:sz w:val="21"/>
          <w:szCs w:val="21"/>
          <w:color w:val="008080"/>
        </w:rPr>
        <w: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all of our product candidates other than NGM621, aldafermin and MK-3655 are currently manufactured solely at a facility in Lithuania. Following Russia's invasion of Ukraine in February 2022, NATO deployed additional military forces to Eastern Europe, including to Lithuania. The ongoing invasion of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2022, we entered into an operating lease agreement, or the 2024 Lease Agreement, for our existing corporate office space and facilities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to concentrate our resources on what we consider our most promising product candidates. Given the substantial decrease in research funding we will now receive from Merck as compared to historical periods commensurate with the decreased collaboration scope described below, going forward we will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will need to enter into additional collaborations in order to proceed with such development through to regulatory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us, Merck agreed to make additional payments totaling up to $20.0 million in support of our R&amp;D activities during 2021 through the first quarter of 2022.</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R&amp;D of collaboration compounds directed to targets of interest to Merck in the fields of ophthalmology and cardiovascular or metabolic, or CVM, disease, including heart failure. The ophthalmology compounds in the collaboration include NGM621 (and its related compounds) and compounds directed against two other undisclosed ophthalmology targets (and their related compounds). The collaboration scope also includes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jc w:val="both"/>
        <w:ind w:right="20"/>
        <w:spacing w:after="0" w:line="256" w:lineRule="auto"/>
        <w:rPr>
          <w:sz w:val="20"/>
          <w:szCs w:val="20"/>
          <w:color w:val="auto"/>
        </w:rPr>
      </w:pPr>
      <w:r>
        <w:rPr>
          <w:rFonts w:ascii="Arial" w:cs="Arial" w:eastAsia="Arial" w:hAnsi="Arial"/>
          <w:sz w:val="18"/>
          <w:szCs w:val="18"/>
          <w:color w:val="auto"/>
        </w:rPr>
        <w:t>certain laboratory testing and other activities on compounds that are directed to one of up to two undisclosed targets outside of the fields of ophthalmology and CVM disease, or the Lab Programs. The research phase will now continue generally through March 31, 2024, with possible extensions for each of the various programs to allow us or Merck to complete ongoing development.</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is providing significantly less annual R&amp;D funding than it had provided through March 31, 2022. In this regard, for the period that started on April 1, 2022 and ends on March 31, 2024, Merck will provide up to $20.0 million of R&amp;D funding for the ophthalmology programs (other than NGM621), the CVM-related programs and the Lab Programs. Pursuant to the letter agreement that we entered into with Merck on March 30, 2022, or the Letter Agreement, we may use part of this R&amp;D funding to cover our personnel costs for NGM621 manufacturing activities that we undertook in preparation for a potential Phase 3 clinical trial.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$20.0 million, until Merck's decision to exercise, or not to exercise, its License Option with respect to NGM621 alone or bundled with the other continuing ophthalmology compounds (as described below). During the period before Merck’s decision, we are responsible under the Letter Agreement for paying all amounts owed to third parties for NGM621 manufacturing activities performed with the intention of avoiding a significant delay between the completion of the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CATALINA trial and the start of any possible Phase 3 clinical trial. If Merck decides to exercise its License Option, Merck will reimburse us for certain amounts we paid to such third parties, according to the terms of the Letter Agreement and subject to certain limitations, in addition to paying us the one-time option exercise fee described below.</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have certain obligations to conduct R&amp;D related to collaboration compounds that will not be reimbursed by Merck. We are required to use commercially reasonable efforts to research and develop a specific product candidate directed to an ophthalmology target to be ready by March 31, 2023 for starting IND-enabling studies and we are responsible for the cost of such work after March 2022. We will have additional R&amp;D funding obligations under the collaboration of up to $5.0 million or $15.0 million in the event that Merck, as described in greater detail below, exercises its License Option to NGM621 alone or bundled with the other continuing ophthalmology compounds, respectively, and pays us the applicable option exercise fee. We also may spend more than the amounts we will be reimbursed by Merck for activities related to collaboration compounds.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Original Collaboration Agreement, upon the completion of each proof-of-concept clinical trial under the program, Merck had a one-time option to obtain a worldwide, exclusive license to the product candidate tested in the trial and compounds related to it, referred to as a License Option, within 60 days of Merck's receipt of an agreed-upon data package for such program. Under the Amended Collaboration Agreement, Merck retains a License Option to each collaboration compound and its related compounds upon completion of a human proof-of-concept trial for a particular collaboration compound, regardless of the results of such trial, or at earlier points as specified in the Amended Collaboration Agreement, including the option to license NGM621 and its related compounds (either alone or bundled with all of the other ophthalmology collaboration compounds and their respective related compounds included within the scope of the Amended Collaboration Agreement) within 60 days of Merck's receipt of an agreed-upon data package, which, for NGM621, we expect to deliver during the fourth quarter of 2022. For each program for which Merck exercises its License Option and pays the applicable option exercise fee, Merck is responsible for any further development and commercialization activities for the licensed compounds and we have the option, when a licensed compound has advanced to Phase 3 clinical trials, to receive milestones and royalty payments or, in certain cases, to co-fund development and participate in a global cost and profit share arrangement of up to 50%, with an additional option to co-detail any such licensed compounds in the United States. If we elect to exercise our cost and profit share option for a particular licensed compound and its related compounds, Merck has agreed to advance to us and/or assume up to 25% of our share of the global development costs for such licensed compound, subject to an aggregate cap over the course of the collaboration. All such amounts advanced or assumed by Merck would accrue interest and be recouped by Merck in full out of our share of any profits resulting from sales of the licensed compound for which we elected to exercise our cost and profit share option before we would be entitled to receive any of those profits.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Merck does not exercise a License Option within the specified time period, which it may choose to do in its sole discretion, then we would be free to develop and commercialize the product candidate tested in the proof-of-concept trial and its related compounds independently or with third-party partners, subject to an obligation to make low single-digit royalty payments to Merck. If Merck does not elect to exercise its License Option with respect to NGM621 alone or bundled with the other continuing ophthalmology compounds (as described above), which it may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8"/>
          <w:szCs w:val="18"/>
          <w:color w:val="auto"/>
        </w:rPr>
        <w:t>decide given that the Phase 2 CATALINA trial did not meet its primary endpoint, we would need to partner the program in order to proceed with further development of NGM621, if any.</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Merck exercised its License Option for MK-3655 and its related FGFR1c/KLB agonists in November 2018 under the Original Collaboration Agreement.</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a result of entering into the Amended Collaboration Agreement, we have the right to independently research, develop and commercialize all of the clinical, preclinical and research assets that we researched or developed under the Original Collaboration Agreement that are now outside the narrower scope of the collaboration, including NGM707, NGM831, NGM438 and NGM120, subject to an obligation to make low single-digit royalty payments to Merck. The parties’ rights and obligations remain the same with respect to MK-3655 and its related FGFR1c/KLB agonists. We also have full rights to all future programs we pursue that fall outside of the scope of the specific therapeutic areas and programs included in Amended Collaboration Agreement.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 to the Original Collaboration Agreement, during the applicable research phase (including any applicable tail period for each program) for the ophthalmology programs, CVM-related programs and Lab Programs, we may not directly or indirectly research, develop, manufacture or commercialize, outside of the collaboration,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Because, under the Amended Collaboration Agreement, the level of R&amp;D funding from Merck going forward will continue to be substantially lower on an annual and overall basis than the R&amp;D funding provided by Merck prior to April 2022, we need to devote a substantial amount of our own financial resources to our R&amp;D programs, particularly with respect to our wholly-owned programs, and, to a lesser extent, with respect to programs that are within the scope of the collaboration under the Amended Collaboration Agreement that we are required to fund.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which could include NGM621. Accordingly, we will need to enter into additional collaborations and/or we will need to raise significant additional capital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such product candidates or scale back or discontinue discovery efforts, which could have a material adverse effect on our business, operating results and prospects, or we may be required to cease operations altogether. Merck’s decision to exercise, or not exercise, its license option with respect to NGM621 and its related compounds is solely within Merck’s discretion. If Merck elects to exercise its option to license NGM621 and its related compounds, we would need to raise substantial additional capital if we opt to co-develop the program and are therefore required to contribute to the costs of any Phase 3 development as described above. Similarly,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more information on the terms of the Amended Collaboration Agreement, see Note 5, “Research Collaboration and License Agreements,” of the notes to audited consolidated financial statements included in Part I, Item 1 of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1140" w:hanging="322"/>
        <w:spacing w:after="0" w:line="256"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September 30, 2022 includes reimbursement of R&amp;D expenses of $524.6 million and upfront cash licensing fees of $123.0 million, primarily from Merck, and a payment of $20.0 million from Merck to license MK-3655 and related compounds;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ind w:left="1140" w:hanging="322"/>
        <w:spacing w:after="0" w:line="261"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1140" w:hanging="322"/>
        <w:spacing w:after="0" w:line="261"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35" w:lineRule="exact"/>
        <w:rPr>
          <w:rFonts w:ascii="Arial" w:cs="Arial" w:eastAsia="Arial" w:hAnsi="Arial"/>
          <w:sz w:val="18"/>
          <w:szCs w:val="18"/>
          <w:color w:val="auto"/>
        </w:rPr>
      </w:pPr>
    </w:p>
    <w:p>
      <w:pPr>
        <w:jc w:val="both"/>
        <w:ind w:left="1140" w:hanging="322"/>
        <w:spacing w:after="0" w:line="256"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 and</w:t>
      </w:r>
    </w:p>
    <w:p>
      <w:pPr>
        <w:spacing w:after="0" w:line="39" w:lineRule="exact"/>
        <w:rPr>
          <w:rFonts w:ascii="Arial" w:cs="Arial" w:eastAsia="Arial" w:hAnsi="Arial"/>
          <w:sz w:val="18"/>
          <w:szCs w:val="18"/>
          <w:color w:val="auto"/>
        </w:rPr>
      </w:pPr>
    </w:p>
    <w:p>
      <w:pPr>
        <w:jc w:val="both"/>
        <w:ind w:left="1140" w:hanging="322"/>
        <w:spacing w:after="0" w:line="229"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proceeds of $71.5 million through September 30, 2022 from sales of approximately 4.1 million shares of our common stock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2022, we had $300.2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September 30, 2022, we had an accumulated deficit of $545.2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Merck or future collaboration partners, if any.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employees, clinical trial investigators and site staff, while maintaining business continuity. We are currently operating under a hybrid work model where some employees work on site, others work remotely and others work a combination of on site and remote. There have been relatively minor impacts on overall productivity in our prior primarily remote and our current hybrid work model. However, since the beginning of the COVID-19 pandemic, we have experienced employee attrition at rates higher than we experienced historically, resulting in an increased rate of hiring new employees. We cannot predict whether these trends will continue or be exacerbated, the impact of COVID-19 on future productivity or whether or when we may be required to return to a more restrictive work model as the pandemic continues to evolve.</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the COVID-19 pandemic, we have experienced, from time to time, a slower pace of clinical trial site initiation and clinical trial enrollment and/or a higher subject drop-out rate than originally anticipated in certain of our clinical trials. We believe this may have been due to factors such as the vulnerability of our studied patient populations, clinical trial site suspensions, reallocation of medical resources, site staff shortages and the challenges of working remotely due to shelter-in-place and similar government orders and guidelines, among other factors. We have been proactively working to mitigate these and other effects of the COVID-19 pandemic by monitoring site initiations, patient enrollment and patient study adherence to provide support to patients and trial staff, often on a case-by-case and/or patient-by-patient basis. While the COVID-19 pandemic has not yet resulted in a significant impact to our disclosed clinical development timelines, as the COVID-19 pandemic continues to evolve, including the emergence of new variants, there may continue to be negative impacts on our ability to initiate new clinical trial sites, to enroll new patients and to retain existing patients participating in our clinical trials. These negative impacts may include increased clinical trial costs, longer timelines and delay in our ability to obtain regulatory approvals of our product candidates, if at all.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while we have not yet experienced significant disruption to drug or related component supply for our ongoing clinical trials due to the COVID-19 pandemic, our contract manufacturers'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contract manufacturers are required to obtain an alternative source of certain raw materials and components, for example, additional testing, validation activities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jc w:val="both"/>
        <w:spacing w:after="0" w:line="252" w:lineRule="auto"/>
        <w:rPr>
          <w:sz w:val="20"/>
          <w:szCs w:val="20"/>
          <w:color w:val="auto"/>
        </w:rPr>
      </w:pPr>
      <w:r>
        <w:rPr>
          <w:rFonts w:ascii="Arial" w:cs="Arial" w:eastAsia="Arial" w:hAnsi="Arial"/>
          <w:sz w:val="18"/>
          <w:szCs w:val="18"/>
          <w:color w:val="auto"/>
        </w:rPr>
        <w:t>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If any of our contract manufacturers or raw materials or components suppliers become subject to acts or orders of U.S. or foreign government entities requiring them to allocate or prioritize manufacturing capacity, raw materials and components to the manufacture or distribution of COVID-19 vaccines or medical supplies needed to test or treat COVID-19 patients, this could delay our clinical trials, perhaps substantially, which could materially and adversely affect our business.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other macroeconomic factors, such as inflation and geopolitical instability, including the ongoing invasion of Ukraine by Russia and the related sanctions imposed against Russia) could result in significant and prolonged disruption of global financial markets, and our ability to raise additional capital through public or private equity or debt offerings may be adversely impacted by disruptions to, and volatility in, the credit and financial markets in the United States and worldwide, and in the biotechnology industry specifically, which could negatively affect the financial resources available to us. In addition, economic recession or additional market corrections resulting from, among other things, the spread of COVID-19 could materially affect our business and the value of our common stock. Finally, we also cannot predict how the evolving effects of the COVID-19 pandemic may influence the future decisions of Merck to license any programs available to it under the Amended Collaboration Agreement, such as NGM621 and its related compounds.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Since the Company's inception through September 30, 2022, Merck paid us $599.8 million pursuant to the terms of our collaboration. Due to the nature of our collaboration with Merck and the timing of related revenue recognition, our revenue has fluctuated from period to period in the past and we expect that it will continue to fluctuate in future periods given the substantial decrease in the level of funding we have received from Merck since April 2022 under with the Amended Collaboration Agreement commensurate with the decreased collaboration scope. As a result, we believe that period-to-period comparisons of our revenue may not be meaningful and should not be relied upon as being indicative of future performance.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0"/>
                <w:szCs w:val="20"/>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r>
      <w:tr>
        <w:trPr>
          <w:trHeight w:val="225"/>
        </w:trPr>
        <w:tc>
          <w:tcPr>
            <w:tcW w:w="5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20" w:type="dxa"/>
            <w:vAlign w:val="bottom"/>
          </w:tcPr>
          <w:p>
            <w:pPr>
              <w:spacing w:after="0"/>
              <w:rPr>
                <w:sz w:val="19"/>
                <w:szCs w:val="19"/>
                <w:color w:val="auto"/>
              </w:rPr>
            </w:pPr>
          </w:p>
        </w:tc>
      </w:tr>
      <w:tr>
        <w:trPr>
          <w:trHeight w:val="86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efforts are extensive and costly. Our R&amp;D expenses related to the development of our product candidates consist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and the costs of continued testing, such as process validation testing and stability testing,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result of the substantial decrease in the level of funding we have received from Merck since April 2022 under the Amended Collaboration Agreement commensurate with the decreased collaboration scope as described above, we need to devote a substantial amount of our own financial resources to our development programs, particularly with respect to our wholly-owned programs and, to a lesser extent, with respect to programs that are within the scope of the Amended Collaboration Agreement that we are required to fund, as described above. In addition, our funding requirements would increase for any programs that are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Merck’s decision to exercise, or not exercise, its license option with respect to any program is solely within Merck’s discretion. In particular, if Merck elects to exercise its option to license NGM621 and its related compounds, we would need to raise substantial additional capital if we opt to co-develop the program and are therefore required to contribute to the costs of any Phase 3 development as described above. Similarly,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 For the foreseeable future, we anticipate a significant portion of our financial resources, other than those received from Merck which are dedicated to activities under the Amended Collaboration Agreement, will be directed to activities required to initiate and advance clinical trials of our oncology programs, to complete certain ongoing manufacturing activities related to NGM621 and to complete the Phase 2b ALPINE 4 clinical trial of aldafermin.</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 including raw materials and components;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collaboration and the timing of such election or termination, particularly with respect to NGM621;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5" w:name="page36"/>
    <w:bookmarkEnd w:id="35"/>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our financial resources that we need to devote to our development programs and our obligations under the Amended Collaboration Agreement, and our ability to raise adequate additional capital or enter into collaborations to meet our funding requirements;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 including timing and receipt of regulatory approvals.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anticipate that our G&amp;A expenses will increase in the future to support our continued and increasing R&amp;D activities. These increases will likely include increased costs related to fees paid to outside consultants, lawyers and accountants, among other expenses, and an increase in operating lease expenses under the 2024 Lease Agreement beginning in 2024. Additionally, we anticipate continued 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compliance with Section 404 of the Sarbanes-Oxley Act of 2002, or the Sarbanes-Oxley Act. In addition, we may incur expenses associated with negotiating and entering into agreements with collaboration partners and with building a sales organization in connection with, and prior to, potential future regulatory approval and commercialization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r>
      <w:tr>
        <w:trPr>
          <w:trHeight w:val="230"/>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r>
      <w:tr>
        <w:trPr>
          <w:trHeight w:val="223"/>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left="131"/>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(34,481)</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color w:val="auto"/>
              </w:rPr>
              <w:t>(28,865)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center"/>
              <w:ind w:left="91"/>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3"/>
        </w:trPr>
        <w:tc>
          <w:tcPr>
            <w:tcW w:w="35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Related Party Revenue from Merck</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Revenue decreased $10.7 million and $19.8 million in the three and nine months ended September 30, 2022, respectively, compared to the same periods in 2021 primarily due to a decrease in R&amp;D revenue under the Amended Collaboration Agreement with Merck.</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from April 1, 2022 until March 31, 2024, Merck will provide up to $20.0 million of R&amp;D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$20.0 million, until Merck's decision to exercise, or not to exercise, its License Option with respect to NGM621 alone or bundled with the other continuing ophthalmology compounds. Such option is solely within Merck’s discretion, and it may decide not to exercise the option given that the Phase 2 CATALINA trial did not meet its primary endpoint. In this regard, our related party revenue from Merck has decreased substantially in 2022 compared to 2021 and is expected to continue to remain at a significantly lower level through March 31, 2024.</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Due to the nature of our collaboration with Merck and the timing of related revenue recognition, our revenue has fluctuated from period to period in the past and we expect that it will continue to fluctuate during the remainder of the collaboration.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NGM707 (Anti-ILT2/ILT4 dual antagonist)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3,490</w:t>
            </w: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w:t>
            </w: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25,591</w:t>
            </w: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NGM438 (LAIR1 antagonist)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5,125</w:t>
            </w: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NGM831 (ILT3 antagonist)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external R&amp;D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R&amp;D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Personnel-related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41,960</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and unallocated R&amp;D expenses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122,983</w:t>
            </w:r>
          </w:p>
        </w:tc>
      </w:tr>
      <w:tr>
        <w:trPr>
          <w:trHeight w:val="21"/>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Internal and unallocated R&amp;D expenses consist primarily of research supplies and consulting fees, which we deploy across multiple R&amp;D programs.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R&amp;D expenses increased $7.4 million and $11.4 million in the three and nine months ended September 30, 2022, respectively, compared to the same periods in 2021 primarily due to increases in external expenses, driven by our ongoing clinical trials of NGM707, NGM831, NGM438 and NGM120, our completed trial of NGM621, and personnel-related expenses, partially offset by a decrease in expenses for our manufacturing activities and our clinical trials of aldafermin.</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our R&amp;D expenses will increase in 2022 compared to 2021 primarily due to the continued advancement of our wholly-owned oncology programs. In 2022, we have substantial activities ongoing in all of our programs, and are progressing toward the achievement of multiple milestones, including:</w:t>
      </w:r>
    </w:p>
    <w:p>
      <w:pPr>
        <w:spacing w:after="0" w:line="80" w:lineRule="exact"/>
        <w:rPr>
          <w:sz w:val="20"/>
          <w:szCs w:val="20"/>
          <w:color w:val="auto"/>
        </w:rPr>
      </w:pPr>
    </w:p>
    <w:p>
      <w:pPr>
        <w:ind w:left="66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NGM707: continuing enrollment in the Phase 1a/1b portion of the ongoing Phase 1/2 clinical trial and preparing to disclose initial data from the Phase 1a cohort in the fourth quarter of 2022;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7" w:name="page38"/>
    <w:bookmarkEnd w:id="37"/>
    <w:p>
      <w:pPr>
        <w:ind w:left="660" w:hanging="328"/>
        <w:spacing w:after="0" w:line="261" w:lineRule="auto"/>
        <w:tabs>
          <w:tab w:leader="none" w:pos="655" w:val="left"/>
        </w:tabs>
        <w:numPr>
          <w:ilvl w:val="0"/>
          <w:numId w:val="17"/>
        </w:numPr>
        <w:rPr>
          <w:rFonts w:ascii="Arial" w:cs="Arial" w:eastAsia="Arial" w:hAnsi="Arial"/>
          <w:sz w:val="18"/>
          <w:szCs w:val="18"/>
          <w:color w:val="0E32E1"/>
        </w:rPr>
      </w:pPr>
      <w:r>
        <w:rPr>
          <w:rFonts w:ascii="Arial" w:cs="Arial" w:eastAsia="Arial" w:hAnsi="Arial"/>
          <w:sz w:val="18"/>
          <w:szCs w:val="18"/>
          <w:color w:val="auto"/>
        </w:rPr>
        <w:t>NGM831: continuing enrollment in the Phase 1 portion of the Phase 1/1b clinical trial initiated in 2022 and preparing to disclose initial clinical trial data in 2023;</w:t>
      </w:r>
    </w:p>
    <w:p>
      <w:pPr>
        <w:spacing w:after="0" w:line="35" w:lineRule="exact"/>
        <w:rPr>
          <w:rFonts w:ascii="Arial" w:cs="Arial" w:eastAsia="Arial" w:hAnsi="Arial"/>
          <w:sz w:val="18"/>
          <w:szCs w:val="18"/>
          <w:color w:val="0E32E1"/>
        </w:rPr>
      </w:pPr>
    </w:p>
    <w:p>
      <w:pPr>
        <w:ind w:left="660" w:hanging="328"/>
        <w:spacing w:after="0" w:line="261" w:lineRule="auto"/>
        <w:tabs>
          <w:tab w:leader="none" w:pos="655" w:val="left"/>
        </w:tabs>
        <w:numPr>
          <w:ilvl w:val="0"/>
          <w:numId w:val="17"/>
        </w:numPr>
        <w:rPr>
          <w:rFonts w:ascii="Arial" w:cs="Arial" w:eastAsia="Arial" w:hAnsi="Arial"/>
          <w:sz w:val="18"/>
          <w:szCs w:val="18"/>
          <w:color w:val="0E32E1"/>
        </w:rPr>
      </w:pPr>
      <w:r>
        <w:rPr>
          <w:rFonts w:ascii="Arial" w:cs="Arial" w:eastAsia="Arial" w:hAnsi="Arial"/>
          <w:sz w:val="18"/>
          <w:szCs w:val="18"/>
          <w:color w:val="auto"/>
        </w:rPr>
        <w:t>NGM438: continuing enrollment in the Phase 1 portion of the Phase 1/1b clinical trial initiated in 2022 and preparing to disclose initial clinical trial data in 2023;</w:t>
      </w:r>
    </w:p>
    <w:p>
      <w:pPr>
        <w:spacing w:after="0" w:line="35" w:lineRule="exact"/>
        <w:rPr>
          <w:rFonts w:ascii="Arial" w:cs="Arial" w:eastAsia="Arial" w:hAnsi="Arial"/>
          <w:sz w:val="18"/>
          <w:szCs w:val="18"/>
          <w:color w:val="0E32E1"/>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NGM120: continuing enrollment in the Phase 2 PINNACLES portion of the Phase 1/2 clinical trial and the Phase 1b cohort of patients with mCRPC;</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NGM621: although in October 2022, we reported topline results from our Phase 2 CATALINA trial which did not meet its primary endpoint, we intend to continue to evaluate various pre-specified secondary endpoints and post-hoc analyses relating to NGM621; and</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Aldafermin: continuing treatment of patients in the fully enrolled Phase 2b ALPINE 4 clinical trial and preparing to report topline data from that trial in the first half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increased $1.2 million and $3.3 million in the three and nine months ended September 30, 2022, respectively, compared to the same periods in 2021. The increase in the nine months ended September 30, 2022 was primarily due to an increase in headcount and an increase in stock-based compensation expense of $1.8 million.</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G&amp;A expenses in 2022 will increase compared to 2021 due to an increase in compensation-related expenses driven by higher headcount and other expenses related to the expansion and support of our business, in particular as needed to support our continued and increasing R&amp;D activities, and to a lesser extent due to expenses associated with being a public company and with negotiating and entering into agreements with collaboration partners.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we are not and may never be profitable. We have incurred losses in each year since commencing operations, and we expect to incur significant and increasing operating losses in 2022 and over the next several years. As of September 30, 2022, we had an accumulated deficit of $545.2 million, and we expect our accumulated deficit will increase significantly over time.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an active discovery research group and multiple pipeline programs in development. We have spent, and expect to continue to spend, significant resources to fund R&amp;D of, and seek regulatory approvals for, our product candidates for the foreseeable future as our research, development, manufacturing, preclinical studies, clinical trial and related activities increase.</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Prior to 2022, we received substantial R&amp;D funding from our collaboration with Merck. However, under the narrower scope of the Amended Collaboration Agreement, R&amp;D funding from Merck beginning April 2022 is substantially lower on an annual and overall basis than the R&amp;D funding previously provided by Merck and we can no longer use R&amp;D funding from Merck to support the development of any of our wholly-owned oncology programs, including NGM707, NGM831, NGM438 and NGM120. As a result, we need to fund not only our currently wholly-owned programs going forward, but also certain activities that remain within the scope of the ongoing collaboration with Merck that we are required to fund ourselves (and our failure to allocate funding to meet such requirements may be deemed a breach of the Amended Collaboration Agreement). In addition, we need to fund any programs that are within the scope of the current collaboration with Merck in the event Merck does not elect to license these programs and we decide to continue to develop them, in the event Merck elects to terminate its license to any program it licenses and we decide to continue to develop it or in the event we opt to co-develop any program Merck elects to license. Merck’s decision to exercise, or not exercise, its license option with respect to any program is solely within Merck’s discretion. If Merck elects to exercise its option to license NGM621 and its related compounds, we would need to raise substantial additional capital if we opt to co-develop the program and are therefore required to contribute to the costs of any Phase 3 development as described above. Similarly,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jc w:val="both"/>
        <w:ind w:firstLine="648"/>
        <w:spacing w:after="0" w:line="254" w:lineRule="auto"/>
        <w:rPr>
          <w:sz w:val="20"/>
          <w:szCs w:val="20"/>
          <w:color w:val="auto"/>
        </w:rPr>
      </w:pPr>
      <w:r>
        <w:rPr>
          <w:rFonts w:ascii="Arial" w:cs="Arial" w:eastAsia="Arial" w:hAnsi="Arial"/>
          <w:sz w:val="18"/>
          <w:szCs w:val="18"/>
          <w:color w:val="auto"/>
        </w:rPr>
        <w:t>Our cash requirements for fiscal year 2022 will continue to be driven by our R&amp;D and G&amp;A expenses. In 2021 and 2020, our R&amp;D expenses were $161.7 million and $164.0 million, respectively. We expect our R&amp;D expenses will increase in 2022 compared to 2021. Over the next several years, we expect our R&amp;D expenses to continue to increase unless we are able to partner one or more of our wholly-owned programs, particularly as we advance our oncology product candidates into and through clinical development.</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2021 and 2020, our G&amp;A expenses were $36.9 million and $27.2 million, respectively. We expect our G&amp;A expenses will increase moderately in 2022 compared to 2021. Beginning in 2024, our operating lease costs will increase pursuant to the 2024 Lease Agreement we entered into in July 2022 for our current corporate office space and facilities in South San Francisco, California. Our current sublease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twelve months from the date this Quarterly Report on Form 10-Q is filed. We have based this estimate on assumptions that may prove to be inaccurate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will need to raise significant additional capital or we will need to partner one or more of our wholly-owned programs and obtain funding or other resources through such arrangements. Neither may be possible and, as a result, we may be required to delay, scale back or discontinue development of such product candidates, which could have a material adverse effect on our business, operating results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we had cash and cash equivalents of $101.4 million and short-term marketable securities of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currently our only source of revenue. For the period that started on April 1, 2022 and ends on March 31, 2024, Merck is committed to fund up to $20.0 million of R&amp;D funding for the ophthalmology programs (other than NGM621), the CVM-related programs and the Lab Programs. Merck is also obligated to fund certain R&amp;D costs related to NGM621 in an amount expected to be up to approximately $20.0 million, until Merck's decision to exercise, or not to exercise, its license option with respect to NGM621 alone or bundled with the other continuing ophthalmology compounds. See “Overview of Our Business – Our Merck Collaboration”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Capital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In the nine months ended September 30, 2022, approximately 3.2 million shares of our common stock were sold under the Sales Agreement for net proceeds to the Company of $49.4 million. As of September 30, 2022, $76.2 million of our common stock remained available to be sold under the Sales Agreement, subject to conditions specified in the Sales Agreement.</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product collaborations, strategic alliances, licensing arrangements or a combination of these potential financing sources. Additional capital may not be available in sufficient amounts, on reasonable terms or when we need it, if at all.</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resulting from, among other things, the continuing effects of the COVID-19 pandemic, including the emergence of new variants, macroeconomic factors including inflation and geopolitical instability, including instability resulting from the ongoing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 w:name="page40"/>
    <w:bookmarkEnd w:id="39"/>
    <w:p>
      <w:pPr>
        <w:jc w:val="both"/>
        <w:spacing w:after="0" w:line="252" w:lineRule="auto"/>
        <w:rPr>
          <w:sz w:val="20"/>
          <w:szCs w:val="20"/>
          <w:color w:val="auto"/>
        </w:rPr>
      </w:pPr>
      <w:r>
        <w:rPr>
          <w:rFonts w:ascii="Arial" w:cs="Arial" w:eastAsia="Arial" w:hAnsi="Arial"/>
          <w:sz w:val="18"/>
          <w:szCs w:val="18"/>
          <w:color w:val="auto"/>
        </w:rPr>
        <w:t>invasion of Ukraine by Russia and the related sanctions imposed against Russia.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seek other third-party collaborators for the development and commercialization of one or more product candidates that are not within the scope of the collaboration with Merck.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unable to raise adequate additional capital through public or private equity or debt offerings, collaborations or otherwise, on acceptable terms or at all, we may be delayed in or prevented from pursuing our planned and any future development and commercialization efforts, which will have a material adverse effect on our business, operating results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 (in thousands):</w:t>
      </w:r>
    </w:p>
    <w:p>
      <w:pPr>
        <w:spacing w:after="0" w:line="138"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Nine Months Ended</w:t>
      </w:r>
    </w:p>
    <w:p>
      <w:pPr>
        <w:jc w:val="center"/>
        <w:ind w:left="81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(54,894)</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147,279</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nine months ended September 30, 2022, net cash used in operating activities was $114.0 million, which consisted of a net loss of $126.2 million, adjusted for non-cash charges of $29.9 million and a change in operating assets and liabilities of $17.7 million. The non-cash charges consisted primarily of stock-based compensation expense of $23.6 million and depreciation expense of $3.4 million. The change in operating assets and liabilities was mainly driven by decreases in contract liabilities of $10.8 million, the operating lease liability of $3.8 million and accounts payable of $1.7 million.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2021, net cash used in operating activities was $54.9 million, which consisted of a net loss of $93.1 million, adjusted for non-cash charges of $32.8 million and a change in operating assets and liabilities of $5.4 million. The non-cash charges consisted primarily of stock-based compensation expense of $19.7 million, a decrease in related party contract assets due to the Amended Collaboration Agreement with Merck of $4.6 million, depreciation expense of $4.6 million and amortization of a premium on marketable securities of $2.5 million. The change in operating assets and liabilities was mainly driven by increases in contract liabilities of $12.3 million, accrued liabilities of $4.9 million, prepaid expenses and other current assets of $3.6 million and the related party receivable of $4.1 million, partially offset by decreases in the operating lease liability of $3.6 million, accounts payable of $2.0 million and related party contract assets of $1.5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nine months ended September 30, 2022, net cash provided by investing activities was $12.6 million, which consisted primarily of $186.5 million in net proceeds on maturity of marketable securities offset by purchases of marketable securities of $172.5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0" w:name="page41"/>
    <w:bookmarkEnd w:id="40"/>
    <w:p>
      <w:pPr>
        <w:jc w:val="both"/>
        <w:ind w:firstLine="648"/>
        <w:spacing w:after="0" w:line="256" w:lineRule="auto"/>
        <w:rPr>
          <w:sz w:val="20"/>
          <w:szCs w:val="20"/>
          <w:color w:val="auto"/>
        </w:rPr>
      </w:pPr>
      <w:r>
        <w:rPr>
          <w:rFonts w:ascii="Arial" w:cs="Arial" w:eastAsia="Arial" w:hAnsi="Arial"/>
          <w:sz w:val="18"/>
          <w:szCs w:val="18"/>
          <w:color w:val="auto"/>
        </w:rPr>
        <w:t>In the nine months ended September 30, 2021, net cash used in investing activities was $93.6 million, which consisted of purchases of marketable securities of $194.5 million primarily from the net proceeds of the follow-on offering, partially offset by $102.5 million in net proceeds on maturity of marketable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nine months ended September 30, 2022, net cash provided by financing activities consisted of net proceeds of $49.4 million from the sale of shares of our common stock under the Sales Agreement and proceeds of $4.1 million from our employee equity incentive and purchase plans.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nine months ended September 30, 2021, net cash provided by financing activities consisted of net proceeds from the follow-on offering of $134.6 million and proceeds from our employee equity incentive and purchase plans of $12.5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contractual obligations are related to our operating lease liability as set forth in Part II, Item 7 “Management’s Discussion and Analysis of Financial Condition and Results of Operations” in our Annual Report on Form 10-K for the year ended December 31, 2021. In July 2022, we entered into the 2024 Lease Agreement for the corporate office space and facilities in South San Francisco, California which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6 to our condensed consolidated financial statements included in Part I, Item 1, “Financial Statements” of this Quarterly Report on Form 10-Q for additional information.</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September 30, 2022, we had not accrued for any termination or cancellation charges as these were not considered probable. Significant portions of our R&amp;D resources are focused, and will continue to be focused, on the manufacture and testing of clinical trial materials. We expect our R&amp;D expenses to increase substantially beginning in 2022 and over the next several years unless we partner one or more of our wholly-owned programs, particularly as we advance our oncology product candidates into and through clinical development. See "Funding Requirements" above for additional information regarding our expected R&amp;D spend.</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 Licensing Arrangements" in Part I, Item 1 of the 2021 Annual Report on Form 10-K for additional information regarding our current in-license agreements.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2021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been no new accounting pronouncements or changes to accounting pronouncements during the nine months ended September 30, 2022 that are of significance or potential significance to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nine months ended September 30, 2022, there were no material changes to our market risk disclosures as set forth in Part II, Item 7A “Quantitative and Qualitative Disclosures About Market Risk” in our 2021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September 30, 2022,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2022,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During the quarter ended September 30, 2022,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spacing w:after="0" w:line="97" w:lineRule="exact"/>
        <w:rPr>
          <w:sz w:val="20"/>
          <w:szCs w:val="20"/>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Sharp &amp; Dohme LLC, or Merck, and that revenue will continue to be substantially lower going forward as compared to historical periods.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order to complete the development and commercialization of our current and potential future product candidates and to finance our other operations, we will require substantial additional capital that may not be available to us on acceptable terms, or at all, and as a result, we may be required to delay, scale back or discontinue development of our product candidates.</w:t>
      </w:r>
    </w:p>
    <w:p>
      <w:pPr>
        <w:spacing w:after="0" w:line="9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particular, if Merck elects to exercise its option to license NGM621 and its related compounds, we would need to raise substantial additional capital if we opt to co-develop the program and are therefore required to contribute to the costs of any Phase 3 development.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w:t>
      </w:r>
    </w:p>
    <w:p>
      <w:pPr>
        <w:spacing w:after="0" w:line="4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need to successfully complete rigorous preclinical and clinical testing of our product candidates before we can seek regulatory approval, and the regulatory approval processes of the U.S. and foreign health authorities are lengthy and inherently unpredictable, and if we are not successful, commercialization of our product candidates will be delayed or prevented. Our product candidates may fail to produce positive results or to demonstrate safety and efficacy to the satisfaction of health authorities (such as the recent failure of NGM621 to meet the primary endpoint in the CATALINA trial).</w:t>
      </w:r>
    </w:p>
    <w:p>
      <w:pPr>
        <w:spacing w:after="0" w:line="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Aldafermin and MK-3655 are being developed for the treatment of nonalcoholic steatohepatitis, or NASH, an indication for which there are no approved products, which makes it difficult to predict the timing, cost and potential success of their clinical development and regulatory approval for the treatment of NASH.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3" w:name="page44"/>
    <w:bookmarkEnd w:id="43"/>
    <w:p>
      <w:pPr>
        <w:jc w:val="both"/>
        <w:ind w:left="660" w:hanging="328"/>
        <w:spacing w:after="0" w:line="25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our current collaborator, Merck, potential future collaborators and other third parties that are necessary to develop, manufacture and commercialize some or all of our product candidates. We depend on our collaboration with Merck for revenue and for the development and commercialization of our product candidates that remain within the scope of the collaboration. In the future we may depend on collaborations with other third parties for revenue and for the development and commercialization of our product candidates and such collaborations involve numerous risks, any of which could materially and adversely affect our business and financial condition. We rely completely on contract manufacturers for the manufacture of our product candidates and the process of manufacturing, and conducting release testing for, our biologic product candidates is complex, highly regulated and subject to many risks, any of which could substantially increase our costs and limit supply of our product candidates and any future products needed for clinical trials and commercialization.</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operations, as well as the businesses or operations of our contract manufacturers, clinical research organizations, clinical trial sites and other third parties with whom we conduct business.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and in recent years we have experienced employee attrition at rates higher than we have experienced historically.</w:t>
      </w:r>
    </w:p>
    <w:p>
      <w:pPr>
        <w:spacing w:after="0" w:line="35"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other than NGM621, aldafermin and MK-3655 are currently solely manufactured at a facility in Lithuania. The ongoing invasion of Ukraine by Russia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4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collectively will be able to exert significant control over matters subject to stockholder approval.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third parties we rely on or partner with could experience a cybersecurity incident that could harm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incur increased costs as a result of operating as a public company and our management devotes substantial time to public company compliance initiatives.</w:t>
      </w:r>
    </w:p>
    <w:p>
      <w:pPr>
        <w:spacing w:after="0" w:line="16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As a result, we are not profitable and have incurred losses in each year since commencing operations. Our net losses were $120.3 million, $102.5 million and $42.8 million for the years ended December 31, 2021, 2020 and 2019, respectively. As of September 30, 2022, we had an accumulated deficit of $545.2 million.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to continue to incur significant and increasing research and development, or R&amp;D, and other expenses related to our ongoing operations for the foreseeable future, particularly to fund R&amp;D of, and seek regulatory approvals for, our product candidates. We further expect to incur substantial and increasing operating losses in 2022 and over the next several years as our research, development, manufacturing, preclinical studies, clinical trial and related activities and related expenses increase and we expect our accumulated deficit will also increase significantly in future periods. The size of our future net losses will depend, in part, on the rate of future growth of our expenses and our ability to generate revenue outside of our collaboration with Merck. Our prior losses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and expected future losses have had and will continue to have an adverse effect on our stockholders’ equity and working capital.</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ability to generate any product revenue from our current or future product candidates also depends on a number of additional factors, including our or our current collaborator’s and potential future collaborators’ ability to:</w:t>
      </w:r>
    </w:p>
    <w:p>
      <w:pPr>
        <w:spacing w:after="0" w:line="90" w:lineRule="exact"/>
        <w:rPr>
          <w:sz w:val="20"/>
          <w:szCs w:val="20"/>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 and obtain regulatory approval for those product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For example, in October 2022, we announced that our Phase 2 CATALINA trial evaluating NGM621 in patients with geographic atrophy, or GA, did not meet its primary endpoint. If Merck does not elect to exercise its option to license NGM621 and its related compounds, which it may decide given that the Phase 2 CATALINA trial did not meet its primary endpoint, the program will be wholly-owned by us and we would need to partner the program in order to proceed with further development of NGM621, if any. Further, in May 2021, we announced that our Phase 2b ALPINE 2/3 trial evaluating aldafermin in patients with F2/F3 NASH did not meet its primary endpoint, and, as a result, we decided to suspend further development of aldafermin in patients with F2/F3 NASH. Even if we successfully complete development and regulatory processes for other product candidates or of aldafermin in other indications,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 and that revenue will continue to be substantially lower going forward as compared to historical periods.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have any committed external source of funds, other than pursuant to our ongoing collaboration with Merck, which has provided us with substantial financial support since 2015. However, as described under “Management’s Discussion and Analysis of Financial Condition and Results of Operations - Overview of Our Business - Our Merck Collaboration” in Part I, Item 2 of this Quarterly Report on Form 10-Q, the R&amp;D funding we receive from Merck under the collaboration going forward will continue to be substantially lower on an annual and overall basis than the research funding previously provided by Merck due to the narrower scope of the amended and restated research collaboration, product development and license agreement we entered into with Merck on June 30, 2021, or the Amended Collaboration Agreement, which amended and restated our then-existing collaboration agreement with Merck, originally entered into in 2015, which, together with amendments made prior to June 30, 2021, we refer to as the Original Collaboration Agreement.</w:t>
      </w:r>
    </w:p>
    <w:p>
      <w:pPr>
        <w:spacing w:after="0" w:line="9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this regard, for the period that started on April 1, 2022 and ends on March 31, 2024, Merck is committed to fund up to $20.0 million in R&amp;D funding for the ongoing ophthalmology programs (other than NGM621),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5" w:name="page46"/>
    <w:bookmarkEnd w:id="45"/>
    <w:p>
      <w:pPr>
        <w:jc w:val="both"/>
        <w:spacing w:after="0" w:line="251" w:lineRule="auto"/>
        <w:rPr>
          <w:sz w:val="20"/>
          <w:szCs w:val="20"/>
          <w:color w:val="auto"/>
        </w:rPr>
      </w:pPr>
      <w:r>
        <w:rPr>
          <w:rFonts w:ascii="Arial" w:cs="Arial" w:eastAsia="Arial" w:hAnsi="Arial"/>
          <w:sz w:val="18"/>
          <w:szCs w:val="18"/>
          <w:color w:val="auto"/>
        </w:rPr>
        <w:t>cardiovascular or metabolic-, or CVM-, related programs and other smaller laboratory programs subject to the collaboration. Merck is also obligated to fund certain R&amp;D costs related to NGM621, in an amount expected to be up to approximately $20.0 million, until Merck's decision to exercise, or not to exercise, its license option with respect to NGM621 and its related compounds (either alone or bundled with all of the other continuing ophthalmology compounds and their respective related compounds). As a result, we need to devote a substantial amount of our own financial resources to our R&amp;D programs, particularly with respect to our wholly-owned programs and, to a lesser extent, with respect to programs that are within the scope of the current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In particular, if Merck elects to exercise its option to license NGM621 and its related compounds, we would need to raise substantial additional capital if we opt to co-develop the program and are therefore required to contribute to the costs of any Phase 3 development. Similarly,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 Importantly, Merck's decision to exercise, or not to exercise, its license option with respect to NGM621 and its related compounds is solely within Merck's discretion. There can be no assurance that Merck will ultimately exercise its license option with respect to NGM621 and its related compounds, particularly given that the Phase 2 CATALINA trial did not meet its primary endpoint.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Other than our Amended Collaboration Agreement with Merck, which is limited in scope and duration, and may be unilaterally terminated by Merck under certain circumstances, we are not party to any agreements that could provide us with future revenue.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our product candidates or scale back or discontinue discovery efforts, which could have a material adverse effect on our business, operating results and prospects, or we may be required to cease operations altogether.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significant additional capital to proceed with development and commercialization of our current and potential future product candidates and our other operations. We may not be able to access sufficient capital on acceptable terms, if at all, and, as a result, we may be required to delay, scale back or discontinue development of such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an R&amp;D company, our operations have consumed substantial amounts of cash since inception, and we will require substantial additional capital to finance our operations and pursue our strategy, both in the short and the long term, and the amount of funding we will need depends on many factors, including:</w:t>
      </w:r>
    </w:p>
    <w:p>
      <w:pPr>
        <w:spacing w:after="0" w:line="94"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within the scope of the ongoing collaboration upon completion of human proof-of-concept studies, such as its license option for NGM621, or at the earlier license option point as specified in the Amended Collaboration Agreement for each such candidate;</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our financial resources that we will need to devote to our obligations under the Amended Collaboration Agreement;</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connection with licensing, preparing, filing, prosecuting, defending and enforcing any patents or other intellectual property rights;</w:t>
      </w:r>
    </w:p>
    <w:p>
      <w:pPr>
        <w:spacing w:after="0" w:line="117" w:lineRule="exact"/>
        <w:rPr>
          <w:sz w:val="20"/>
          <w:szCs w:val="20"/>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later-stage clinical and commercial-scale manufacturing;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potentially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of our product candidates for which we may receive regulatory approval and that we determine to commercialize ourselves or in collaboration with partners.</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twelve months from the date of filing of this Quarterly Report on Form 10-Q.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product collaborations, strategic alliances, licensing arrangements or a combination of these potential financing sources. Additional capital may not be available in sufficient amounts, on reasonable terms or when we need it, if at all. Our ability to raise additional capital through public or private equity or debt offerings may be adversely impacted by worsening global economic conditions and the disruptions to, and volatility in, the credit and financial markets in the United States and worldwide, and the biotechnology industry specifically, resulting from, among other things, the continuing effects of the COVID-19 pandemic, including the emergence of new variants, macroeconomic factors including inflation and geopolitical instability, including instability resulting from the ongoing invasion of Ukraine by Russia and the related sanctions imposed against Russia.</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adequate funds are not available from public or private equity or debt offerings on acceptable terms when needed, in order to continue the development of product candidates outside of the scope of the collaboration with Merck we may need to:</w:t>
      </w:r>
    </w:p>
    <w:p>
      <w:pPr>
        <w:spacing w:after="0" w:line="90" w:lineRule="exact"/>
        <w:rPr>
          <w:sz w:val="20"/>
          <w:szCs w:val="20"/>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R&amp;D programs when we otherwise would not, at an earlier stage than we would otherwise desire or on terms less favorable than might otherwise be available; or</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product collaborations that could require us to relinquish, or license, on potentially unfavorable terms, our rights to intellectual property, product candidates or products that we otherwise would develop or seek to commercialize ourselves.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actively seeking opportunities to collaborate with other pharmaceutical and biotechnology companies for the development and potential commercialization of such product candidates. However, we may not be able to enter into agreements on acceptable terms, if at all. We face significant competition in seeking appropriate collaborators. Whether we reach a definitive agreement for a collaboration will depend, among other things, upon the potential collaborator’s evaluation of the subject product candidate and its market opportunity, our assessment of the collaborator’s resources and expertise and the terms and conditions of the potential collaboration.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also restricted under our existing Amended Collaboration Agreement with Merck, and may be restricted under future collaboration agreements, from entering into additional agreements on certain terms with potential collaborators.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 against the target that is the subject of that program for so long as Merck’s license to that program remains in effect. The human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hormone fibroblast growth factor 19, or FGF19 program, including aldafermin, is excluded from this provision, notwithstanding that both aldafermin and MK-3655 signal, in part, through the fibroblast growth factor receptor 1c, or FGFR1c, pathway.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not be able to raise adequate additional capital or negotiate potential future collaborations on a timely basis, on acceptable terms or at all. If we are unable to do so, we may have to delay, scale back or discontinue our research, the development of any product candidate for which we are seeking a collaboration or one or more of our other development programs, delay a product candidate's potential commercialization or reduce the scope of any sales or marketing activities or increase our expenditures and undertake development or commercialization activities at our own expense, or we may be prevented from pursuing research, development and commercialization efforts, which will have a material adverse effect on our business, operating results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recent trading prices of our common stock following the announcement that the CATALINA trial did not meet its primary endpoint.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for the development and commercialization of our product candidates within the scope of the collaboration. Our collaboration with Merck involves numerous risks, any of which could materially and adversely affect our business and financial condition.</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described in more detail under “Management’s Discussion and Analysis of Financial Condition and Results of Operations - Overview of Our Business - Our Merck Collaboration” in Part I, Item 2 of this Quarterly Report on Form 10-Q, our continuing Merck collaboration involves a complex allocation of rights, provides for certain R&amp;D funding and, for products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during designated tail periods. The level of R&amp;D funding we expect to receive from Merck going forward will continue to be substantially lower on an annual and overall basis than the R&amp;D funding previously provided by Merck. In addition, we do not know whether Merck will elect to exercise its option to license additional product candidates, such as its license option for NGM621 and its related compounds, within 60 days of Merck's receipt of an agreed-upon data package, which we expect to deliver during the fourth quarter of 2022, or whether Merck will terminate its license to a licensed program under the terms of the Amended Collaboration Agreement or otherwise. Importantly, Merck's decision to exercise, or not to exercise, its license option with respect to NGM621 and its related compounds is solely within Merck's discretion. There can be no assurance that Merck will ultimately exercise its license option with respect to NGM621 and its related compounds, particularly given that the Phase 2 CATALINA trial did not meet its primary endpoint. If Merck elects to exercise its option to license NGM621 and its related compounds, we would need to raise substantial additional capital if we opt to co-develop the program and are therefore required to contribute to the costs of any Phase 3 development.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w:t>
      </w:r>
    </w:p>
    <w:p>
      <w:pPr>
        <w:spacing w:after="0" w:line="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Merck has the unilateral right to terminate all or part of the agreement at certain times and under certain circumstances. Merck also may unilaterally terminate its R&amp;D funding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jc w:val="both"/>
        <w:spacing w:after="0" w:line="251" w:lineRule="auto"/>
        <w:rPr>
          <w:sz w:val="20"/>
          <w:szCs w:val="20"/>
          <w:color w:val="auto"/>
        </w:rPr>
      </w:pPr>
      <w:r>
        <w:rPr>
          <w:rFonts w:ascii="Arial" w:cs="Arial" w:eastAsia="Arial" w:hAnsi="Arial"/>
          <w:sz w:val="18"/>
          <w:szCs w:val="18"/>
          <w:color w:val="auto"/>
        </w:rPr>
        <w:t>for programs within the scope of the collaboration if we are acquired by a third party or in the event of an uncured material breach by us. Subject to certain limitations, Merck may partially terminate the Amended Collaboration Agreement for convenience as it relates to MK-3655 or any future licensed program, as it did in 2019 when it terminated its license to our growth differentiation factor 15, or GDF15, agonist program, which included currently suspended product candidates NGM395 and NGM386.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 In addition, in the event that Merck decides to take over any product candidates included in the scope of the collaboration for development during any tail period, or exercises its license option for any such product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depend in the future on collaborations with third parties other than Merck for the development and commercialization of our product candidates and for revenue.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Partnering has been and is expected to continue to be a key component of our strategy. In this regard, we are actively pursuing additional partners to progress, in whole or in part, the development and commercialization of one or more product candidates that are not within the scope of the collaboration with Merck, and we expect to pursue additional partners if Merck elects not to proceed with development of any product candidates that are within the scope of the current collaboration. Merck’s decision to exercise, or not exercise, its license option with respect to NGM621 and its related compounds is solely within Merck’s discretion.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financial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jc w:val="both"/>
        <w:ind w:left="66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collaboration with Merck, if Merck exercises its option to acquire an exclusive license for a product candidate that is within the scope of the collaboration, our ability to influence the resources Merck devotes to such product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spacing w:after="0" w:line="9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In addition, under the terms of the Amended Collaboration Agreement, it is possible for Merck to unilaterally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9" w:name="page50"/>
    <w:bookmarkEnd w:id="49"/>
    <w:p>
      <w:pPr>
        <w:jc w:val="both"/>
        <w:ind w:left="660"/>
        <w:spacing w:after="0" w:line="253" w:lineRule="auto"/>
        <w:rPr>
          <w:sz w:val="20"/>
          <w:szCs w:val="20"/>
          <w:color w:val="auto"/>
        </w:rPr>
      </w:pPr>
      <w:r>
        <w:rPr>
          <w:rFonts w:ascii="Arial" w:cs="Arial" w:eastAsia="Arial" w:hAnsi="Arial"/>
          <w:sz w:val="18"/>
          <w:szCs w:val="18"/>
          <w:color w:val="auto"/>
        </w:rPr>
        <w:t>terminate the MK-3655 program and any other program (whether or not we have exercised our cost and profit share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97" w:lineRule="exact"/>
        <w:rPr>
          <w:sz w:val="20"/>
          <w:szCs w:val="20"/>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to our dependence on our collaboration with Merck and any potential future collaborators,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rFonts w:ascii="Arial" w:cs="Arial" w:eastAsia="Arial" w:hAnsi="Arial"/>
          <w:sz w:val="18"/>
          <w:szCs w:val="18"/>
          <w:i w:val="1"/>
          <w:iCs w:val="1"/>
          <w:color w:val="auto"/>
        </w:rPr>
        <w:t>“We rely completely on CMOs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manufacture of our product candidates, and we are subject to many manufacturing risks, any of which could substantially increase our costs and limit supply of our product candidates and any future products" </w:t>
      </w:r>
      <w:r>
        <w:rPr>
          <w:rFonts w:ascii="Arial" w:cs="Arial" w:eastAsia="Arial" w:hAnsi="Arial"/>
          <w:sz w:val="18"/>
          <w:szCs w:val="18"/>
          <w:color w:val="auto"/>
        </w:rPr>
        <w:t>and</w:t>
      </w:r>
      <w:r>
        <w:rPr>
          <w:rFonts w:ascii="Arial" w:cs="Arial" w:eastAsia="Arial" w:hAnsi="Arial"/>
          <w:sz w:val="18"/>
          <w:szCs w:val="18"/>
          <w:i w:val="1"/>
          <w:iCs w:val="1"/>
          <w:color w:val="auto"/>
        </w:rPr>
        <w:t xml:space="preserve"> “We have no experience in sales, marketing and distribution and may have to enter into agreements with third parties to perform these functions, which could prevent us from successfully commercializing our product candidates.”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any of our collaborators will be able to successfully negotiate agreements for, and maintain relationships with, third-party partners and service providers on favorable terms, if at all. If we or any of our collaborators are unable to obtain and maintain these agreements, we may not be able to clinically develop, formulate, manufacture, obtain regulatory approvals for or commercialize our product candidates, which will, in turn, adversely affect our business. If we or any of our collaborators need to enter into alternative arrangements, it would delay our product development and, if applicable, commercialization activities and such alternative arrangements may not be available on terms acceptable to us.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collaborators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completely on CMOs for the manufacture of our product candidates, and we are subject to many manufacturing risks, any of which could substantially increase our costs and limit supply of our product candidates and any future products.</w:t>
      </w:r>
    </w:p>
    <w:p>
      <w:pPr>
        <w:spacing w:after="0" w:line="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spacing w:after="0" w:line="94" w:lineRule="exact"/>
        <w:rPr>
          <w:sz w:val="20"/>
          <w:szCs w:val="20"/>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delivery or storage conditions;</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minor deviations from normal manufacturing processes, which have in the past and may in the future result in reduced production yields, product defects and other supply disruptions;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by our collaborators;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CMOs’ changing strategies and business priorities, which can affect the availability of facilities where we intend to manufacture our product candidates; and</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raw material and component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addition, for out of specification materials, we may need to undertake costly remediation efforts or manufacture new batches at considerable cost and time delays or, in the longer run, seek more expensive manufacturing alternatives.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planned individual new drug application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 w:cs="Arial" w:eastAsia="Arial" w:hAnsi="Arial"/>
          <w:sz w:val="18"/>
          <w:szCs w:val="18"/>
          <w:i w:val="1"/>
          <w:iCs w:val="1"/>
          <w:color w:val="auto"/>
        </w:rPr>
        <w:t>“The COVID-19 pandemic continues to adversely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operations, as well as the businesses or operations of our manufacturers, CROs and other third parties with whom we conduct business. Our business could be materially and adversely affected in the future by the effects of other disease outbreaks, epidemics and pandemics, including by the evolving effects of the COVID-19 pandemic.” </w:t>
      </w:r>
      <w:r>
        <w:rPr>
          <w:rFonts w:ascii="Arial" w:cs="Arial" w:eastAsia="Arial" w:hAnsi="Arial"/>
          <w:sz w:val="18"/>
          <w:szCs w:val="18"/>
          <w:color w:val="auto"/>
        </w:rPr>
        <w:t>Changes in economic conditions, supply chain constraints, labor, raw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other than NGM621, aldafermin and MK-3655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invasion of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3" w:name="page54"/>
    <w:bookmarkEnd w:id="53"/>
    <w:p>
      <w:pPr>
        <w:jc w:val="both"/>
        <w:ind w:firstLine="648"/>
        <w:spacing w:after="0" w:line="254" w:lineRule="auto"/>
        <w:rPr>
          <w:sz w:val="20"/>
          <w:szCs w:val="20"/>
          <w:color w:val="auto"/>
        </w:rPr>
      </w:pPr>
      <w:r>
        <w:rPr>
          <w:rFonts w:ascii="Arial" w:cs="Arial" w:eastAsia="Arial" w:hAnsi="Arial"/>
          <w:sz w:val="18"/>
          <w:szCs w:val="18"/>
          <w:color w:val="auto"/>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COVID-19 pandemic continues to adversely impact our business and operations, as well as the businesses or operations of our manufacturers, CROs and other third parties with whom we conduct business. Our business could be materially and adversely affected in the future by the effects of other disease outbreaks, epidemics and pandemics, including by the evolving effects of the COVID-19 pandemic.</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Remote and hybrid work policies, quarantines, shelter-in-place and similar government orders, shutdowns or other restrictions on the conduct of business operations related to the COVID-19 pandemic could materially and adversely affect our operations. Although we are operating under a hybrid work model,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the effects of future governmental shelter-in-place orders and our remote and hybrid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the beginning of the COVID-19 pandemic, we have experienced employee attrition at rates higher than we experienced historically, resulting in an increased rate of hiring new employees. We cannot predict whether these trends will continue or be exacerbated, the impact of COVID-19 on future productivity or whether or when we may be required to return to a more restrictive work model as the COVID-19 pandemic continues to evolve. Future similar, and perhaps more severe, disruptions in our operations could materially and adversely impact our business, financial condition, results of operations and growth prospects.</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the COVID-19 pandemic continues to evolve, including the emergence of new variants, there may be additional negative impacts in the future on our ability to initiate new clinical trial sites, to enroll new patients and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4" w:name="page55"/>
    <w:bookmarkEnd w:id="54"/>
    <w:p>
      <w:pPr>
        <w:jc w:val="both"/>
        <w:spacing w:after="0" w:line="251" w:lineRule="auto"/>
        <w:rPr>
          <w:sz w:val="20"/>
          <w:szCs w:val="20"/>
          <w:color w:val="auto"/>
        </w:rPr>
      </w:pPr>
      <w:r>
        <w:rPr>
          <w:rFonts w:ascii="Arial" w:cs="Arial" w:eastAsia="Arial" w:hAnsi="Arial"/>
          <w:sz w:val="18"/>
          <w:szCs w:val="18"/>
          <w:color w:val="auto"/>
        </w:rPr>
        <w:t>maintain existing patients who are participating in our clinical trials, which may include increased clinical trial costs, longer timelines and delay in our ability to obtain regulatory approvals of our product candidates, if at all.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during the COVID-19 pandemic, we have experienced, from time to time, a slower pace of clinical site initiation and clinical trial enrollment and a higher subject dropout rate than originally anticipated in certain of our clinical trials. We believe this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trial participants from exposure to COVID-19 as a result of their trial participation, which include the use of telemedicine visits with trial participants, remote monitoring of clinical trial sites and other measures, as appropriate, designed to ensure that data from our clinical trials that may be temporarily disrupted as a result of safety measures during the COVID-19 pandemic are collected pursuant to the study protocol and consistent with current Good Clinical Practices, or cGCPs, with any material protocol deviation reviewed and approved by the clinical trial sites' institutional review boards, or IRBs, or ethics committees. We may be required to develop and implement additional clinical study policies and procedures to mitigate the evolving effects of the COVID-19 pandemic, which could significantly increase our R&amp;D expenses. General supply chain issues exacerbated during the COVID -19 pandemic may also impact the ability of our clinical trial sites to obtain basic medical supplies used in our trials in a timely fashion, if at all. For example, earlier this year we were made aware of a shortage of tubes required for taking blood samples, requiring the use of tubes of a different size from those specified in one of our protocols. If any of the foregoing or any future efforts to mitigate the impact of the COVID-19 pandemic on our clinical trials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and guidelines could impact personnel at third-party manufacturing facilities in the United States and other countries, or the availability or cost of materials, which would disrupt our supply chain and delay our clinical development efforts. Our CMOs’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or raw materials or components in a way that delays or interrupts our supply of clinical trial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8"/>
          <w:szCs w:val="18"/>
          <w:color w:val="auto"/>
        </w:rPr>
        <w:t>material. For example, early in the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COVID-19 vaccines or medical supplies needed to test or treat COVID-19 patients, this could delay our clinical trials, perhaps substantially, which could materially and adversely affect our business.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the ongoing invasion of Ukraine by Russia and the related sanctions imposed against Russia) could result in significant and prolonged disruption of global financial markets, reducing our ability to access capital, which could in the future negatively affect the financial resources available to us. In addition, economic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 such as NGM621 and its related compounds.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emergence and spread of SARS-CoV-2 variants in the United States and other countries, including the potential emergence of variants that may prove especially contagious or virulent, the ultimate duration and severity of the COVID -19 pandemic, government actions, such as travel restrictions, quarantines and social distancing requirements in the United States and in other countries, business closures or business disruptions, and the effectiveness of vaccination programs and other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spacing w:after="0" w:line="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and ethics committees or other governing entities at clinical trial sites selected for participation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patient enrollment and other key trial activities, including as a result of the evolving effects of the COVID-19 pandemic and of the significant competition for recruiting patients with cancer in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the failure of CROs, testing laboratories and other third parties to satisfy their contractual duties to us or meet expected deadlines;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enrolled patients to complete treatment or to return for post-treatment follow-up;</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in the third quarter of 2021, the manufacturer of Abraxane® (paclitaxel protein bound), or Abraxane, reported a shortage of Abraxane to the FDA due to manufacturing delays. Abraxane, also referred to as Nab-paclitaxel, is required for treatment of some of the patients in our ongoing Phase 1/2 NGM120 clinical trial. The Phase 2 portion of the trial (referred to as the PINNACLES trial) is studying NGM120 in combination with gemcitabine and Nab-paclitaxel as first-line treatment in patients with metastatic pancreatic cancer to assess NGM120’s effect on both cancer and cancer-related cachexia. It is possible that if our clinical trial sites are unable to obtain Nab-paclitaxel in a timely fashion, or at all, that the portion of the ongoing Phase 1/2 NGM120 trial using Nab-paclitaxel could be negatively impacted. The occurrence of any similar shortage of commercially available drugs used in our clinical trials in the future could also negatively impact our clinical trials.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are in early stages of development, with our most advanced product candidates only in Phase 2 development. Before obtaining marketing approval from health authorities for the sale of our product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18"/>
          <w:szCs w:val="18"/>
          <w:color w:val="auto"/>
        </w:rPr>
        <w:t>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GA secondary to AMD did not meet its primary endpoint. If Merck elects to exercise its option to license NGM621 and its related compounds, we would need to raise substantial additional capital if we opt to co-develop the program and are therefore required to contribute to the costs of any Phase 3 development. If Merck does not elect to exercise its option to license NGM621 and its related compounds, which it may decide given that the Phase 2 CATALINA trial did not meet its primary endpoint, we would need to partner the program in order to proceed with further development of NGM621, if any.</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Similarly,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While we continued, and have completed, enrollment in our Phase 2b ALPINE 4 clinical trial of aldafermin in patients with compensated cirrhosis due to NASH (liver fibrosis stage 4, or F4, by the NASH Clinical Research Network classification), we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For more information, refer to the risk factor titled “</w:t>
      </w:r>
      <w:r>
        <w:rPr>
          <w:rFonts w:ascii="Arial" w:cs="Arial" w:eastAsia="Arial" w:hAnsi="Arial"/>
          <w:sz w:val="18"/>
          <w:szCs w:val="18"/>
          <w:i w:val="1"/>
          <w:iCs w:val="1"/>
          <w:color w:val="auto"/>
        </w:rPr>
        <w:t>Aldafermin,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is wholly-owned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r>
        <w:rPr>
          <w:rFonts w:ascii="Arial" w:cs="Arial" w:eastAsia="Arial" w:hAnsi="Arial"/>
          <w:sz w:val="18"/>
          <w:szCs w:val="18"/>
          <w:color w:val="auto"/>
        </w:rPr>
        <w:t>” We may determine to discontinue any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aldafermin in the future, in which case, we will not receive any return on our investment in aldafermin.</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also not be successful in generating clinical data sufficient to differentiate our product candidates from other products in the same therapeutic area. If our competitors' products are, or are perceived to be, more 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 w:cs="Arial" w:eastAsia="Arial" w:hAnsi="Arial"/>
          <w:sz w:val="18"/>
          <w:szCs w:val="18"/>
          <w:i w:val="1"/>
          <w:iCs w:val="1"/>
          <w:color w:val="auto"/>
        </w:rPr>
        <w:t>We face substantial competition, which may result in others discovering,</w:t>
      </w:r>
      <w:r>
        <w:rPr>
          <w:rFonts w:ascii="Arial" w:cs="Arial" w:eastAsia="Arial" w:hAnsi="Arial"/>
          <w:sz w:val="18"/>
          <w:szCs w:val="18"/>
          <w:color w:val="auto"/>
        </w:rPr>
        <w:t xml:space="preserve"> </w:t>
      </w:r>
      <w:r>
        <w:rPr>
          <w:rFonts w:ascii="Arial" w:cs="Arial" w:eastAsia="Arial" w:hAnsi="Arial"/>
          <w:sz w:val="18"/>
          <w:szCs w:val="18"/>
          <w:i w:val="1"/>
          <w:iCs w:val="1"/>
          <w:color w:val="auto"/>
        </w:rPr>
        <w:t>developing or commercializing products before or more successfully than us."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collaborators to develop drugs that regulatory authorities deem effective and safe in humans, we will not have a viable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Owing in part to the complexity of biological pathways, when used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spacing w:after="0" w:line="251" w:lineRule="auto"/>
        <w:rPr>
          <w:sz w:val="20"/>
          <w:szCs w:val="20"/>
          <w:color w:val="auto"/>
        </w:rPr>
      </w:pPr>
      <w:r>
        <w:rPr>
          <w:rFonts w:ascii="Arial" w:cs="Arial" w:eastAsia="Arial" w:hAnsi="Arial"/>
          <w:sz w:val="18"/>
          <w:szCs w:val="18"/>
          <w:color w:val="auto"/>
        </w:rPr>
        <w:t>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evaluating aldafermin in patients with F2/F3 NASH did not meet its primary endpoint. For more information, refer to the risk factor titled “</w:t>
      </w:r>
      <w:r>
        <w:rPr>
          <w:rFonts w:ascii="Arial" w:cs="Arial" w:eastAsia="Arial" w:hAnsi="Arial"/>
          <w:sz w:val="18"/>
          <w:szCs w:val="18"/>
          <w:i w:val="1"/>
          <w:iCs w:val="1"/>
          <w:color w:val="auto"/>
        </w:rPr>
        <w:t>If clinical trials of our product candidates fail to produce positive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 w:cs="Arial" w:eastAsia="Arial" w:hAnsi="Arial"/>
          <w:sz w:val="18"/>
          <w:szCs w:val="18"/>
          <w:color w:val="auto"/>
        </w:rPr>
        <w:t>There can be no assurance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testing of our product candidates will be successful or will otherwise be supportive of continued development and/or regulatory approvals of such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Patients have experienced, and we have reported, serious adverse events, or SAEs, in the treatment arms of our completed trials of MK-3655, NGM621 and aldafermin. Ocular SAEs reported in our Phase 2 CATALINA trial of NGM621 included retinal detachment and vitreous hemorrhage in the non-study eye, development of choroidal neovascularization in the study eye, visual worsening due to retinal artery occlusion in the study eye and decreases of vision, or visual acuity loss, due to worsening GA in the study and non-study eye, although none were deemed by investigators to be related to NGM621 treatment.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clinical trials of NGM120, NGM707, NGM831 and NGM438, many of whom are suffering from advanced life-threatening illness, have experienced, and we expect will continue to experience, SAEs and other adverse events, which may or may not be drug 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intravitreal, or IVT, injections, including investigators in the Phase 2 CATALINA trial, issued a notice that such single-use syringes should not be used for ocular medications due to an increased potential for adverse eye conditions. We have not experienced any safety concerns in our ongoing or completed NGM621 clinical trials relating to syringe use; however, we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Aldafermin, which is wholly-owned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updated the design of the ALPINE 4 trial of aldafermin, elevating the ELF test to be the primary endpoint for the trial. Neither the ELF test, nor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8"/>
          <w:szCs w:val="18"/>
          <w:color w:val="auto"/>
        </w:rPr>
        <w:t>any other surrogate biomarker endpoints, are currently endorsed by the FDA or EMA as sufficient for granting regulatory approval of products being developed for the treatment of compensated cirrhosis due to NASH (stage F4) and therefore may not be able to be used as a primary endpoint in potential future Phase 3 trials to support regulatory approval for aldafermin.</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certain of our competitors have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and for aldafermin in patients with F2/ F3 NASH to concentrate our resources elsewhere, also may be incorrect and could cause us to miss valuable opportunities.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our Chief Scientific Officer, Dr. Jin-Long Chen, or to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and other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ongoing COVID-19 pandemic. We have experienced employee attrition at rates higher than we experienced historically, which may continue and could have a negative impact on our productivity. If we are unable to continue to attract and retain high-quality personnel, the rate and success with which we can discover and develop product candidates and our business will be limited.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2" w:name="page63"/>
    <w:bookmarkEnd w:id="62"/>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 or European Commission-approved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our 2021 Annual Report on Form 10-K.</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third quarter of 2021, Apellis Pharmaceuticals, Inc., or Apellis, presented top-line results from two Phase 3 clinical trials of its product candidate, pegcetacoplan (an anti-complement C3), in patients with GA secondary to AMD. One trial met the primary endpoint of significantly reducing GA progression at a one-year time point in the pegcetacoplan arm versus the sham arm, while the other trial did not meet its primary endpoint. In the first quarter of 2022, Apellis also reported additional data on the safety and efficacy of pegcetacoplan from an un-prespecified 18-month analysis of the two Phase 2 trials and submitted a new drug application, or NDA, for pegcetacoplan for GA to the FDA in June of 2022. The FDA accepted and granted Priority Review designation for the NDA with a Prescription Drug User Fee Act (PDUFA) target action date of November 26, 2022. A Priority Review designation indicates the FDA will review an application within six months (compared to ten months under a standard review). In August 2022, Apellis announced that Phase 3 results at a two-year timepoint were consistent with earlier reports of a treatment effect for pegcetacoplan-treated patients. If Apellis obtains regulatory approval of pegcetacoplan, it may affect our future late-stage clinical trial designs and require added clinical development expense. In addition, Iveric bio, Inc.’s, or Iveric's, Zimura® (avacincaptad pegol), a PEGylated aptamer inhibitor of complement C5, completed a Phase 2/3 clinical trial that demonstrated statistically significant reductions in the rate of GA lesion area growth in the Zimura arm versus the sham arm. In September 2022, Iveric announced positive topline data from a second confirmatory Phase 3 trial of Zimura and plans to submit an NDA to the FDA by the end of the first quarter of 2023. Even if we or Merck obtain regulatory approval of NGM621 in the future, which is uncertain given the failure to meet the primary endpoint in the CATALINA trial, NGM621 may not be able to compete effectively against pegcetacoplan and Zimura, which may adversely affect our future revenues and business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hybrid and remote work policies, reporting systems and operational, financial and management controls, particularly in light of the effects of the COVID-19 pandemic. We also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and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viewpoints of influential physicians with respect to the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in the risk factor titled “</w:t>
      </w:r>
      <w:r>
        <w:rPr>
          <w:rFonts w:ascii="Arial" w:cs="Arial" w:eastAsia="Arial" w:hAnsi="Arial"/>
          <w:sz w:val="18"/>
          <w:szCs w:val="18"/>
          <w:i w:val="1"/>
          <w:iCs w:val="1"/>
          <w:color w:val="auto"/>
        </w:rPr>
        <w:t>Even if we obtain approval to market our products, these products may become subject to unfavorable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reimbursement practices from third-party payors or healthcare reform initiatives in the United States and abroad, which could harm our business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refer to the risk factor titled “</w:t>
      </w:r>
      <w:r>
        <w:rPr>
          <w:rFonts w:ascii="Arial" w:cs="Arial" w:eastAsia="Arial" w:hAnsi="Arial"/>
          <w:sz w:val="18"/>
          <w:szCs w:val="18"/>
          <w:i w:val="1"/>
          <w:iCs w:val="1"/>
          <w:color w:val="auto"/>
        </w:rPr>
        <w:t>Our product candidates may cause undesirable side effects or adverse events or have other properties or safety risks,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delay or prevent continued clinical development or their regulatory approval or limit the commercial profile of any approved label." </w:t>
      </w:r>
      <w:r>
        <w:rPr>
          <w:rFonts w:ascii="Arial" w:cs="Arial" w:eastAsia="Arial" w:hAnsi="Arial"/>
          <w:sz w:val="18"/>
          <w:szCs w:val="18"/>
          <w:color w:val="auto"/>
        </w:rPr>
        <w:t>If</w:t>
      </w:r>
      <w:r>
        <w:rPr>
          <w:rFonts w:ascii="Arial" w:cs="Arial" w:eastAsia="Arial" w:hAnsi="Arial"/>
          <w:sz w:val="18"/>
          <w:szCs w:val="18"/>
          <w:i w:val="1"/>
          <w:iCs w:val="1"/>
          <w:color w:val="auto"/>
        </w:rPr>
        <w:t xml:space="preserve"> </w:t>
      </w:r>
      <w:r>
        <w:rPr>
          <w:rFonts w:ascii="Arial" w:cs="Arial" w:eastAsia="Arial" w:hAnsi="Arial"/>
          <w:sz w:val="18"/>
          <w:szCs w:val="18"/>
          <w:color w:val="auto"/>
        </w:rPr>
        <w:t>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European Union, or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8"/>
          <w:szCs w:val="18"/>
          <w:color w:val="auto"/>
        </w:rPr>
        <w:t>granted. Adverse pricing limitations may hinder our ability to recoup our investment in one or more product candidates, even if our product candidates obtain marketing approval.</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collaborators obtain regulatory approval. If coverage and reimbursement are not available or reimbursement is available only to limited levels, we and our collaborators may not be able to successfully commercialize any product candidate for which marketing approval is obtained.</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5" w:name="page66"/>
    <w:bookmarkEnd w:id="65"/>
    <w:p>
      <w:pPr>
        <w:jc w:val="both"/>
        <w:spacing w:after="0" w:line="254" w:lineRule="auto"/>
        <w:rPr>
          <w:sz w:val="20"/>
          <w:szCs w:val="20"/>
          <w:color w:val="auto"/>
        </w:rPr>
      </w:pPr>
      <w:r>
        <w:rPr>
          <w:rFonts w:ascii="Arial" w:cs="Arial" w:eastAsia="Arial" w:hAnsi="Arial"/>
          <w:sz w:val="18"/>
          <w:szCs w:val="18"/>
          <w:color w:val="auto"/>
        </w:rPr>
        <w:t>beneficiary maximum out-of-pocket cost through a newly established manufacturer discount program. It is possible that the ACA may be subject to judicial or Congressional challenges in the future. It is unclear how any additional healthcare reform measures may impact the ACA, increase the pressure on drug pricing or limit the availability of coverage and adequate reimbursement for our product candidates, which would adversely affect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the United States Department of Health and Human Services, or HHS, released a Comprehensive Plan for Addressing High Drug Prices that outlines principles for drug pricing reform and sets out a variety of potential legislative policies that Congress could pursue to lower drug prices.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These measures include: mandatory price controls; price referencing; therapeutic-reference pricing; increases in mandates; incentives for generic substitution and biosimilar usage and government-mandated price cuts. Many countries implement health technology assessment procedures that use formal economic metrics such as cost-effectiveness to determine prices, coverage and reimbursement of new therapies. These assessments are increasingly implemented in established and emerging markets, including the EU through the newly-adopted Health Technology Assessment, or HTA, Regulation which will enter into application in 2025. Many countries also limit coverage to populations narrower than those specified on product labels or impose volume caps to limit utilization. 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 and other jurisdictions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94"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and data protection regulations, tax laws, export and import restrictions, employment laws, regulatory requirements and other governmental approvals, permits and licenses;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or component supply or manufacturing capabilities abroad, including those that may result from the ongoing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6" w:lineRule="exact"/>
        <w:rPr>
          <w:rFonts w:ascii="Arial" w:cs="Arial" w:eastAsia="Arial" w:hAnsi="Arial"/>
          <w:sz w:val="18"/>
          <w:szCs w:val="18"/>
          <w:color w:val="auto"/>
        </w:rPr>
      </w:pPr>
    </w:p>
    <w:p>
      <w:pPr>
        <w:jc w:val="both"/>
        <w:ind w:left="660" w:hanging="328"/>
        <w:spacing w:after="0"/>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political, geopolitical and economic instability, including wars such as the current ongoing invasion of Ukraine by Russia, terrorism and political unrest, outbreak of disease, including COVID-19 and related shelter-in-place orders, travel, social distancing and quarantine policies, boycotts, curtailment of trade and other business restrictions; and</w:t>
      </w:r>
    </w:p>
    <w:p>
      <w:pPr>
        <w:spacing w:after="0" w:line="10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7" w:name="page68"/>
    <w:bookmarkEnd w:id="67"/>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federal False Claims Act, or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9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10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8" w:name="page69"/>
    <w:bookmarkEnd w:id="68"/>
    <w:p>
      <w:pPr>
        <w:jc w:val="both"/>
        <w:ind w:left="660"/>
        <w:spacing w:after="0" w:line="252" w:lineRule="auto"/>
        <w:rPr>
          <w:sz w:val="20"/>
          <w:szCs w:val="20"/>
          <w:color w:val="auto"/>
        </w:rPr>
      </w:pPr>
      <w:r>
        <w:rPr>
          <w:rFonts w:ascii="Arial" w:cs="Arial" w:eastAsia="Arial" w:hAnsi="Arial"/>
          <w:sz w:val="18"/>
          <w:szCs w:val="18"/>
          <w:color w:val="auto"/>
        </w:rPr>
        <w:t>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and inherently unpredictable.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obtain regulatory approval for our product candidates would substantially harm our business.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quality review or audit/inspection findings;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9" w:name="page70"/>
    <w:bookmarkEnd w:id="69"/>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jurisdictions such as the United States and the EU, initiating Phase 3 clinical trials and clinical trials in the pediatric population is subject to a requirement to obtain approval or a waiver from the FDA, the competent authorities of the EU member states and/or the EMA. If we do not obtain such waivers or approval, our ability to conduct clinical trials and obtain marketing authorizations or approvals may be severely impaired, and our business may be adversely impacted.</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NGM621 has received Fast Track designation from the FDA for GA secondary to AMD and aldafermin has received Fast Track designation from the FDA for NASH, we may not necessarily experience faster development timelines or achieve faster review or approval compared to conventional FDA procedures if we proceed with further development in either of these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or Merck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and Intercept has announced that it plans to resubmit its NDA. In addition, if full approval is granted for another product in the same indication for which we are seeking accelerated approval for one of our product candidates, the accelerated approval pathway may no longer be available to us or Merck for our product candidate.</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PRIME is a voluntary scheme aimed at enhancing the EMA’s support for the development of medicinal products that target unmet medical needs. It permits increased interaction and early dialogue between regulatory authorities and companies developing promising medicinal products, to optimize their product development plans and speed up their evaluation to help the product potentially reach patients sooner than under the normal review timelines. Product developers that benefit from PRIME designation are potentially eligible for accelerated assessment of their marketing authorization applications, or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jc w:val="both"/>
        <w:spacing w:after="0" w:line="251" w:lineRule="auto"/>
        <w:rPr>
          <w:sz w:val="20"/>
          <w:szCs w:val="20"/>
          <w:color w:val="auto"/>
        </w:rPr>
      </w:pPr>
      <w:r>
        <w:rPr>
          <w:rFonts w:ascii="Arial" w:cs="Arial" w:eastAsia="Arial" w:hAnsi="Arial"/>
          <w:sz w:val="18"/>
          <w:szCs w:val="18"/>
          <w:color w:val="auto"/>
        </w:rPr>
        <w:t>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that we conduct and complete post-marketing studies;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Failure to comply with EU and EU member state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EU member states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 member states, we may be required to compile additional data comparing the cost-effectiveness of our products to other available therapies.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beginning in 2025 and will be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followed by a phased roll-out ending in 2028. If we are unable to maintain favorable pricing and reimbursement status in EU member states that represent significant markets, our anticipated revenue from and growth prospects for our products in the EU could be negatively affected.</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will be able to charge for our products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jc w:val="both"/>
        <w:spacing w:after="0" w:line="252" w:lineRule="auto"/>
        <w:rPr>
          <w:sz w:val="20"/>
          <w:szCs w:val="20"/>
          <w:color w:val="auto"/>
        </w:rPr>
      </w:pPr>
      <w:r>
        <w:rPr>
          <w:rFonts w:ascii="Arial" w:cs="Arial" w:eastAsia="Arial" w:hAnsi="Arial"/>
          <w:sz w:val="18"/>
          <w:szCs w:val="18"/>
          <w:color w:val="auto"/>
        </w:rPr>
        <w:t>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jc w:val="both"/>
        <w:spacing w:after="0" w:line="261" w:lineRule="auto"/>
        <w:rPr>
          <w:sz w:val="20"/>
          <w:szCs w:val="20"/>
          <w:color w:val="auto"/>
        </w:rPr>
      </w:pPr>
      <w:r>
        <w:rPr>
          <w:rFonts w:ascii="Arial" w:cs="Arial" w:eastAsia="Arial" w:hAnsi="Arial"/>
          <w:sz w:val="18"/>
          <w:szCs w:val="18"/>
          <w:color w:val="auto"/>
        </w:rPr>
        <w:t>be unable to develop and commercialize one or more of our product candidates, which could have a material adverse effect on our business, financial condition, results of operations and prospects.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These proceedings can be expensive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$2.92 on October 17, 2022.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6" w:lineRule="exact"/>
        <w:rPr>
          <w:sz w:val="20"/>
          <w:szCs w:val="20"/>
          <w:color w:val="auto"/>
        </w:rPr>
      </w:pPr>
    </w:p>
    <w:p>
      <w:pPr>
        <w:jc w:val="both"/>
        <w:ind w:left="660" w:hanging="328"/>
        <w:spacing w:after="0" w:line="25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Merck's decision to exercise, or not to exercise, its option to license additional product candidates, such as its license option for NG621 and its related compounds, or any termination of the collaboration;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our ability to raise adequate capital through public or private equity or debt offerings or negotiate potential future collaborations;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and the ongoing Russian invasion of Ukraine,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macroeconomic factors including inflation or geopolitical instability, including instability resulting from the ongoing invasion of Ukraine by Russia and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8"/>
          <w:szCs w:val="18"/>
          <w:color w:val="auto"/>
        </w:rPr>
        <w:t>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volatility in our trading price and trading volume, we may incur significant costs from class action securities litigation.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 w:cs="Arial" w:eastAsia="Arial" w:hAnsi="Arial"/>
          <w:sz w:val="18"/>
          <w:szCs w:val="18"/>
          <w:i w:val="1"/>
          <w:iCs w:val="1"/>
          <w:color w:val="auto"/>
        </w:rPr>
        <w:t>An active trading market for our common stock may not be sustained and sales of a substantial number of shares of our common stock in</w:t>
      </w:r>
      <w:r>
        <w:rPr>
          <w:rFonts w:ascii="Arial" w:cs="Arial" w:eastAsia="Arial" w:hAnsi="Arial"/>
          <w:sz w:val="18"/>
          <w:szCs w:val="18"/>
          <w:color w:val="auto"/>
        </w:rPr>
        <w:t xml:space="preserve"> </w:t>
      </w:r>
      <w:r>
        <w:rPr>
          <w:rFonts w:ascii="Arial" w:cs="Arial" w:eastAsia="Arial" w:hAnsi="Arial"/>
          <w:sz w:val="18"/>
          <w:szCs w:val="18"/>
          <w:i w:val="1"/>
          <w:iCs w:val="1"/>
          <w:color w:val="auto"/>
        </w:rPr>
        <w:t>the public market could cause our stock price to fall.</w:t>
      </w:r>
      <w:r>
        <w:rPr>
          <w:rFonts w:ascii="Arial" w:cs="Arial" w:eastAsia="Arial" w:hAnsi="Arial"/>
          <w:sz w:val="18"/>
          <w:szCs w:val="18"/>
          <w:color w:val="auto"/>
        </w:rPr>
        <w:t>”</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collectively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collectively may be able to determine all matters requiring stockholder approval.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sales of a substantial number of shares of our common stock in the public market could cause our stock price to fall.</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September 30, 2022, the average daily trading volume for our common stock on The Nasdaq Global Select Market was only 450,222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Amended Collaboration Agreement,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created by the Securities and Exchange Act of 1934, as amended, or the Exchange Act, or any other claim for which the federal courts have exclusive jurisdiction. Furthermore, Section 22 of the Securities Act of 1933, as amended, or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9" w:name="page80"/>
    <w:bookmarkEnd w:id="79"/>
    <w:p>
      <w:pPr>
        <w:jc w:val="both"/>
        <w:spacing w:after="0" w:line="234" w:lineRule="auto"/>
        <w:rPr>
          <w:sz w:val="20"/>
          <w:szCs w:val="20"/>
          <w:color w:val="auto"/>
        </w:rPr>
      </w:pPr>
      <w:r>
        <w:rPr>
          <w:rFonts w:ascii="Arial" w:cs="Arial" w:eastAsia="Arial" w:hAnsi="Arial"/>
          <w:sz w:val="18"/>
          <w:szCs w:val="18"/>
          <w:color w:val="auto"/>
        </w:rPr>
        <w:t>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can be no assurance that the provisions will be enforced by a court in those other jurisdictions.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our CROs, our CMOs, our current and potential future partners and other third parties we rely on or partner with could experience a cybersecurity incident that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under certain data privacy and security obligations, be required to, or we may choose to, expend significant resources or modify our business activities (including our clinical trial activities) in an effort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functional areas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withdrawal of the United Kingdom from the EU, commonly referred to as Brexit, could increase our cost of doing business, reduce our gross margins or otherwise negatively impact our business and our financial results.</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United Kingdom’s, or UK, withdrawal from the EU on January 31, 2020, commonly referred to as Brexit, has created significant uncertainty concerning the future relationship between the UK and the EU. The Medicines and Healthcare products Regulatory Agency, or MHRA, is now the UK’s standalone regulator.</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24, 2020, the EU and UK reached an agreement in principle on the framework for their future relationship, the EU-U.K. Trade and Cooperation Agreement, or the Agreement. The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Agreement.</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Among the changes that are now applied are that Great Britain (England, Scotland and Wales) are treated as a third country. Northern Ireland, with regard to EU regulations, continues to follow the EU regulatory rules. As part of the Agreement, the EU and the UK recognize GMP inspections carried out by the other party and the acceptance of official GMP documents issued by the other party. The Agreement also encourages, although it does not oblige, the parties to consult one another on proposals to introduce significant changes to technical regulations or inspection procedures. Among the areas of absence of mutual recognition are batch testing and batch release. The eventual adoption of the Retained EU Law (Revocation and Reform) Bill that is currently going through the UK adoption procedure may, however, result in substantial change to the extent to which EU laws influence these and other actions in the UK.</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UK unilaterally agreed to accept EU batch testing and batch release for a period of at least two years until January 1, 2023. It is not certain whether the UK will continue this approach after January 1, 2023 or whether it will adopt an approach that requires re-testing and/or re-release in the UK, particularly following adoption of the current Retained EU Law (Revocation and Reform) Bill. If the latter approach is adopted this may result in increased costs. Furthermore, the EU continues to apply EU laws that require batch testing and batch release to take place in the EU territory. This means that medicinal products that are tested and released in the UK must be retested and 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jc w:val="both"/>
        <w:spacing w:after="0" w:line="256" w:lineRule="auto"/>
        <w:rPr>
          <w:sz w:val="20"/>
          <w:szCs w:val="20"/>
          <w:color w:val="auto"/>
        </w:rPr>
      </w:pPr>
      <w:r>
        <w:rPr>
          <w:rFonts w:ascii="Arial" w:cs="Arial" w:eastAsia="Arial" w:hAnsi="Arial"/>
          <w:sz w:val="18"/>
          <w:szCs w:val="18"/>
          <w:color w:val="auto"/>
        </w:rPr>
        <w:t>released when entering the EU market for commercial use. As regards marketing authorizations, Great Britain has a separate regulatory submission process, approval process and a national marketing authorization. Northern Ireland, however, continues to be covered by the marketing authorizations granted by the European Commission.</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UK regulatory framework in relation to clinical trials is derived from existing EU legislation (as implemented into UK law, through secondary legislation). It is currently unclear to what extent the UK will seek to align its regulations with the EU following entry into application of the Clinical Trials Regulation in the EU which occurred on January 31, 2022.</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 marketing authorization to market products in the UK. For a two-year period from January 1, 2021, MHRA may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It is currently unclear whether the process whereby MHRA may rely on a decision taken by the European Commission when determining an application for a Great Britain marketing authorization will be extended after January 1, 2023.</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Orphan designation in Great Britain following Brexit is, unlike in the EU, not a pre -marketing authorization. Applications for orphan designation are made at the same time as an application for a marketing authorization. The criteria to be granted an orphan drug designation are essentially identical to those in the EU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changes effected by the Agreement, as well as any future changes, could increase the costs and complexity of doing business in or with the UK, which could adversely affect our business.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information. For example, the EU GDPR and other relevant laws that govern patient confidentiality and storage of personal health data may apply to our processing of personal information from clinical trials participants and other individuals located in the European Economic Area, or EEA, and, if any of our product candidates are approved, we may seek to commercialize those products in the EEA.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aligned with, the EU GDPR, which together with the UK Data Protection Act of 2018, or UK DPA, covers the processing of personal information of UK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jc w:val="both"/>
        <w:ind w:right="20"/>
        <w:spacing w:after="0" w:line="261" w:lineRule="auto"/>
        <w:rPr>
          <w:sz w:val="20"/>
          <w:szCs w:val="20"/>
          <w:color w:val="auto"/>
        </w:rPr>
      </w:pPr>
      <w:r>
        <w:rPr>
          <w:rFonts w:ascii="Arial" w:cs="Arial" w:eastAsia="Arial" w:hAnsi="Arial"/>
          <w:sz w:val="18"/>
          <w:szCs w:val="18"/>
          <w:color w:val="auto"/>
        </w:rPr>
        <w:t>residents. Non-compliance with UK data protection laws may result in adverse consequences, including monetary penalties of up to £17.5 million or 4% of worldwide revenue, whichever is higher.</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renews/extends that decision and remains under review by the European Commission during this period. 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jurisdictions have enacted data localization laws and laws restricting cross-border transfers of personal information. In particular, the EEA and the UK have significantly restricted the transfer of personal information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and UK’s standard contractual clauses, these mechanisms are subject to legal challenges, and there is no assurance that we can satisfy or rely on these measures to lawfully transfer personal information to the United States.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rely on explicit consent to transfer individuals’ personal information from the EEA, or if we are otherwise unable to implement a valid compliance 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becomes operative January 1, 2023, will expand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forthcoming CPRA. Other states, such as Virginia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3" w:name="page84"/>
    <w:bookmarkEnd w:id="83"/>
    <w:p>
      <w:pPr>
        <w:jc w:val="both"/>
        <w:ind w:firstLine="648"/>
        <w:spacing w:after="0" w:line="252"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substances for NGM120, NGM707, NGM831 and NGM438 is located in Lithuania, a region that has experienced political unrest. Refer to the risk factor titled “</w:t>
      </w:r>
      <w:r>
        <w:rPr>
          <w:rFonts w:ascii="Arial" w:cs="Arial" w:eastAsia="Arial" w:hAnsi="Arial"/>
          <w:sz w:val="18"/>
          <w:szCs w:val="18"/>
          <w:i w:val="1"/>
          <w:iCs w:val="1"/>
          <w:color w:val="auto"/>
        </w:rPr>
        <w:t>We rely completely on CMOs for the manufacture of our product candidates and are subject to many manufacturing risks, any of which</w:t>
      </w:r>
      <w:r>
        <w:rPr>
          <w:rFonts w:ascii="Arial" w:cs="Arial" w:eastAsia="Arial" w:hAnsi="Arial"/>
          <w:sz w:val="18"/>
          <w:szCs w:val="18"/>
          <w:color w:val="auto"/>
        </w:rPr>
        <w:t xml:space="preserve"> </w:t>
      </w:r>
      <w:r>
        <w:rPr>
          <w:rFonts w:ascii="Arial" w:cs="Arial" w:eastAsia="Arial" w:hAnsi="Arial"/>
          <w:sz w:val="18"/>
          <w:szCs w:val="18"/>
          <w:i w:val="1"/>
          <w:iCs w:val="1"/>
          <w:color w:val="auto"/>
        </w:rPr>
        <w:t>could substantially increase our costs and limit supply of our product candidates and any future products</w:t>
      </w:r>
      <w:r>
        <w:rPr>
          <w:rFonts w:ascii="Arial" w:cs="Arial" w:eastAsia="Arial" w:hAnsi="Arial"/>
          <w:sz w:val="18"/>
          <w:szCs w:val="18"/>
          <w:color w:val="auto"/>
        </w:rPr>
        <w:t>.” If our operations or the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third parties providing services to us are disrupted by any such occurrences, our business and future prospects may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ended on or prior to December 31, 2017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80% of taxable income. It is uncertain if and to what extent various states will conform to the 2017 Tax Act or the CARES Act.</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has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New income, sales, use or other tax laws, statutes, rules, regulations, directives, decrees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spacing w:after="0" w:line="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of 2002, or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18"/>
          <w:szCs w:val="18"/>
          <w:color w:val="auto"/>
        </w:rPr>
        <w:t>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404(b) of the Sarbanes-Oxley Act, and to allow our independent registered public accounting firm to issue an attestation report on the effectiveness of our internal control over financial reporting. Our compliance with Section 404(b) of the Sarbanes-Oxley Act requires that we incur substantial accounting expense and 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404(b)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successfully implement our business plan and comply with Section 404(b)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404(b) of the Sarbanes-Oxley Act. This, in turn, could have an adverse impact on the price for our common stock and could adversely affect our ability to access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any collaborations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9"/>
        </w:trPr>
        <w:tc>
          <w:tcPr>
            <w:tcW w:w="626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1420" w:type="dxa"/>
            <w:vAlign w:val="bottom"/>
          </w:tcPr>
          <w:p>
            <w:pPr>
              <w:spacing w:after="0"/>
              <w:rPr>
                <w:sz w:val="14"/>
                <w:szCs w:val="14"/>
                <w:color w:val="auto"/>
              </w:rPr>
            </w:pPr>
          </w:p>
        </w:tc>
        <w:tc>
          <w:tcPr>
            <w:tcW w:w="3660" w:type="dxa"/>
            <w:vAlign w:val="bottom"/>
            <w:gridSpan w:val="12"/>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43"/>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20" w:type="dxa"/>
            <w:vAlign w:val="bottom"/>
          </w:tcPr>
          <w:p>
            <w:pPr>
              <w:spacing w:after="0"/>
              <w:rPr>
                <w:sz w:val="21"/>
                <w:szCs w:val="21"/>
                <w:color w:val="auto"/>
              </w:rPr>
            </w:pPr>
          </w:p>
        </w:tc>
        <w:tc>
          <w:tcPr>
            <w:tcW w:w="3660" w:type="dxa"/>
            <w:vAlign w:val="bottom"/>
            <w:gridSpan w:val="12"/>
            <w:vMerge w:val="continue"/>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5080" w:type="dxa"/>
            <w:vAlign w:val="bottom"/>
            <w:gridSpan w:val="13"/>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Amended and Restated Certificate of Incorporation</w:t>
              </w:r>
            </w:hyperlink>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FF"/>
            </w:tcBorders>
            <w:gridSpan w:val="4"/>
          </w:tcPr>
          <w:p>
            <w:pPr>
              <w:spacing w:after="0"/>
              <w:rPr>
                <w:rFonts w:ascii="Arial" w:cs="Arial" w:eastAsia="Arial" w:hAnsi="Arial"/>
                <w:sz w:val="18"/>
                <w:szCs w:val="18"/>
                <w:color w:val="0000FF"/>
              </w:rPr>
            </w:pPr>
            <w:hyperlink r:id="rId120">
              <w:r>
                <w:rPr>
                  <w:rFonts w:ascii="Arial" w:cs="Arial" w:eastAsia="Arial" w:hAnsi="Arial"/>
                  <w:sz w:val="18"/>
                  <w:szCs w:val="18"/>
                  <w:color w:val="0000FF"/>
                </w:rPr>
                <w:t>Amended and Restated Bylaws</w:t>
              </w:r>
            </w:hyperlink>
          </w:p>
        </w:tc>
        <w:tc>
          <w:tcPr>
            <w:tcW w:w="1040" w:type="dxa"/>
            <w:vAlign w:val="bottom"/>
            <w:gridSpan w:val="9"/>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5080" w:type="dxa"/>
            <w:vAlign w:val="bottom"/>
            <w:gridSpan w:val="13"/>
          </w:tcPr>
          <w:p>
            <w:pPr>
              <w:spacing w:after="0"/>
              <w:rPr>
                <w:rFonts w:ascii="Arial" w:cs="Arial" w:eastAsia="Arial" w:hAnsi="Arial"/>
                <w:sz w:val="18"/>
                <w:szCs w:val="18"/>
                <w:color w:val="0000FF"/>
              </w:rPr>
            </w:pPr>
            <w:hyperlink r:id="rId121">
              <w:r>
                <w:rPr>
                  <w:rFonts w:ascii="Arial" w:cs="Arial" w:eastAsia="Arial" w:hAnsi="Arial"/>
                  <w:sz w:val="18"/>
                  <w:szCs w:val="18"/>
                  <w:color w:val="0000FF"/>
                </w:rPr>
                <w:t>Lease agreement, by and between NGM Biopharmaceuticals,</w:t>
              </w:r>
            </w:hyperlink>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8/4/22</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Inc. and HCP BTC, LLC, dated as of July 7, 2022.</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Rules 13a-</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14(a) and 15d-14(a) under the Securities Exchange Act of</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6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7"/>
              </w:rPr>
              <w:t>1934, as Adopted Pursuant to Section 302 of the Sarbanes</w:t>
            </w:r>
          </w:p>
        </w:tc>
        <w:tc>
          <w:tcPr>
            <w:tcW w:w="260" w:type="dxa"/>
            <w:vAlign w:val="bottom"/>
            <w:gridSpan w:val="4"/>
          </w:tcPr>
          <w:p>
            <w:pPr>
              <w:jc w:val="right"/>
              <w:ind w:right="100"/>
              <w:spacing w:after="0" w:line="169" w:lineRule="exact"/>
              <w:rPr>
                <w:sz w:val="20"/>
                <w:szCs w:val="20"/>
                <w:color w:val="auto"/>
              </w:rPr>
            </w:pPr>
            <w:r>
              <w:rPr>
                <w:rFonts w:ascii="Arial" w:cs="Arial" w:eastAsia="Arial" w:hAnsi="Arial"/>
                <w:sz w:val="18"/>
                <w:szCs w:val="18"/>
                <w:color w:val="0000FF"/>
              </w:rPr>
              <w:t>-</w:t>
            </w:r>
          </w:p>
        </w:tc>
        <w:tc>
          <w:tcPr>
            <w:tcW w:w="22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Oxley Act of 2002</w:t>
            </w:r>
            <w:r>
              <w:rPr>
                <w:rFonts w:ascii="Arial" w:cs="Arial" w:eastAsia="Arial" w:hAnsi="Arial"/>
                <w:sz w:val="18"/>
                <w:szCs w:val="18"/>
                <w:color w:val="000000"/>
              </w:rPr>
              <w:t>.</w:t>
            </w:r>
          </w:p>
        </w:tc>
        <w:tc>
          <w:tcPr>
            <w:tcW w:w="1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 Rules 13a-</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86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14(a) and 15d-14(a) under the Securities Exchange Act of</w:t>
            </w:r>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6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7"/>
              </w:rPr>
              <w:t>1934, as Adopted Pursuant to Section 302 of the Sarbanes</w:t>
            </w:r>
          </w:p>
        </w:tc>
        <w:tc>
          <w:tcPr>
            <w:tcW w:w="480" w:type="dxa"/>
            <w:vAlign w:val="bottom"/>
            <w:gridSpan w:val="7"/>
          </w:tcPr>
          <w:p>
            <w:pPr>
              <w:jc w:val="right"/>
              <w:ind w:right="320"/>
              <w:spacing w:after="0" w:line="169" w:lineRule="exact"/>
              <w:rPr>
                <w:sz w:val="20"/>
                <w:szCs w:val="20"/>
                <w:color w:val="auto"/>
              </w:rPr>
            </w:pPr>
            <w:r>
              <w:rPr>
                <w:rFonts w:ascii="Arial" w:cs="Arial" w:eastAsia="Arial" w:hAnsi="Arial"/>
                <w:sz w:val="18"/>
                <w:szCs w:val="18"/>
                <w:color w:val="0000FF"/>
              </w:rPr>
              <w:t>-</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Oxley Act of 2002</w:t>
            </w:r>
            <w:r>
              <w:rPr>
                <w:rFonts w:ascii="Arial" w:cs="Arial" w:eastAsia="Arial" w:hAnsi="Arial"/>
                <w:sz w:val="18"/>
                <w:szCs w:val="18"/>
                <w:color w:val="000000"/>
              </w:rPr>
              <w:t>.</w:t>
            </w:r>
          </w:p>
        </w:tc>
        <w:tc>
          <w:tcPr>
            <w:tcW w:w="3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and Chief Financial</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Officer Pursuant to 18 U.S.C. Section 1350, as Adopted</w:t>
            </w:r>
          </w:p>
        </w:tc>
        <w:tc>
          <w:tcPr>
            <w:tcW w:w="1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080" w:type="dxa"/>
            <w:vAlign w:val="bottom"/>
            <w:gridSpan w:val="13"/>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r>
              <w:rPr>
                <w:rFonts w:ascii="Arial" w:cs="Arial" w:eastAsia="Arial" w:hAnsi="Arial"/>
                <w:sz w:val="18"/>
                <w:szCs w:val="18"/>
                <w:color w:val="000000"/>
              </w:rPr>
              <w:t>.</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4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Inline XBRL Instance Document</w:t>
            </w:r>
          </w:p>
        </w:tc>
        <w:tc>
          <w:tcPr>
            <w:tcW w:w="360" w:type="dxa"/>
            <w:vAlign w:val="bottom"/>
            <w:gridSpan w:val="5"/>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3"/>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0"/>
              <w:spacing w:after="0" w:line="201" w:lineRule="exact"/>
              <w:rPr>
                <w:sz w:val="20"/>
                <w:szCs w:val="20"/>
                <w:color w:val="auto"/>
              </w:rPr>
            </w:pPr>
            <w:r>
              <w:rPr>
                <w:rFonts w:ascii="Arial" w:cs="Arial" w:eastAsia="Arial" w:hAnsi="Arial"/>
                <w:sz w:val="18"/>
                <w:szCs w:val="18"/>
                <w:color w:val="auto"/>
              </w:rPr>
              <w:t>101.DEF</w:t>
            </w:r>
          </w:p>
        </w:tc>
        <w:tc>
          <w:tcPr>
            <w:tcW w:w="5080" w:type="dxa"/>
            <w:vAlign w:val="bottom"/>
            <w:gridSpan w:val="13"/>
          </w:tcPr>
          <w:p>
            <w:pPr>
              <w:spacing w:after="0" w:line="201"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5000" w:hanging="1154"/>
        <w:spacing w:after="0" w:line="227" w:lineRule="auto"/>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372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7" w:lineRule="exact"/>
        <w:rPr>
          <w:sz w:val="20"/>
          <w:szCs w:val="20"/>
          <w:color w:val="auto"/>
        </w:rPr>
      </w:pPr>
    </w:p>
    <w:p>
      <w:pPr>
        <w:ind w:left="660" w:hanging="652"/>
        <w:spacing w:after="0" w:line="254"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1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3, 2022</w:t>
      </w:r>
    </w:p>
    <w:p>
      <w:pPr>
        <w:spacing w:after="0" w:line="293" w:lineRule="exact"/>
        <w:rPr>
          <w:sz w:val="20"/>
          <w:szCs w:val="20"/>
          <w:color w:val="auto"/>
        </w:rPr>
      </w:pPr>
    </w:p>
    <w:p>
      <w:pPr>
        <w:ind w:left="52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3000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8"/>
          <w:szCs w:val="18"/>
          <w:b w:val="1"/>
          <w:bCs w:val="1"/>
          <w:color w:val="auto"/>
        </w:rPr>
        <w:t>David J. Woodhouse, Ph.D.</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November 3, 2022</w:t>
      </w:r>
    </w:p>
    <w:p>
      <w:pPr>
        <w:spacing w:after="0" w:line="293" w:lineRule="exact"/>
        <w:rPr>
          <w:sz w:val="20"/>
          <w:szCs w:val="20"/>
          <w:color w:val="auto"/>
        </w:rPr>
      </w:pPr>
    </w:p>
    <w:p>
      <w:pPr>
        <w:ind w:left="50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6350</wp:posOffset>
            </wp:positionV>
            <wp:extent cx="3437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jc w:val="center"/>
        <w:ind w:left="5040"/>
        <w:spacing w:after="0"/>
        <w:rPr>
          <w:sz w:val="20"/>
          <w:szCs w:val="20"/>
          <w:color w:val="auto"/>
        </w:rPr>
      </w:pPr>
      <w:r>
        <w:rPr>
          <w:rFonts w:ascii="Arial" w:cs="Arial" w:eastAsia="Arial" w:hAnsi="Arial"/>
          <w:sz w:val="18"/>
          <w:szCs w:val="18"/>
          <w:b w:val="1"/>
          <w:bCs w:val="1"/>
          <w:color w:val="auto"/>
        </w:rPr>
        <w:t>Siobhan Nolan Mangini</w:t>
      </w:r>
    </w:p>
    <w:p>
      <w:pPr>
        <w:spacing w:after="0" w:line="32"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i w:val="1"/>
          <w:iCs w:val="1"/>
          <w:color w:val="auto"/>
        </w:rPr>
        <w:t>(Principal Financial Officer)</w:t>
      </w:r>
    </w:p>
    <w:p>
      <w:pPr>
        <w:sectPr>
          <w:pgSz w:w="11900" w:h="16838" w:orient="portrait"/>
          <w:cols w:equalWidth="0" w:num="1">
            <w:col w:w="11240"/>
          </w:cols>
          <w:pgMar w:left="320" w:top="110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President and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have set their hands hereto as of the 3</w:t>
      </w:r>
      <w:r>
        <w:rPr>
          <w:rFonts w:ascii="Arial" w:cs="Arial" w:eastAsia="Arial" w:hAnsi="Arial"/>
          <w:sz w:val="23"/>
          <w:szCs w:val="23"/>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2022.</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Financial Officer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5"/>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lvl w:ilvl="1">
      <w:lvlJc w:val="left"/>
      <w:lvlText w:val="•"/>
      <w:numFmt w:val="bullet"/>
      <w:start w:val="1"/>
    </w:lvl>
  </w:abstractNum>
  <w:abstractNum w:abstractNumId="6">
    <w:nsid w:val="4353D0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B03E0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8">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lvl w:ilvl="1">
      <w:lvlJc w:val="left"/>
      <w:lvlText w:val="%2"/>
      <w:numFmt w:val="decimal"/>
      <w:start w:val="104"/>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19" Type="http://schemas.openxmlformats.org/officeDocument/2006/relationships/hyperlink" Target="https://www.sec.gov/Archives/edgar/data/0001426332/000119312519100757/d731361dex31.htm" TargetMode="External"/><Relationship Id="rId120" Type="http://schemas.openxmlformats.org/officeDocument/2006/relationships/hyperlink" Target="https://www.sec.gov/Archives/edgar/data/0001426332/000119312518287727/d693178dex34.htm" TargetMode="External"/><Relationship Id="rId121" Type="http://schemas.openxmlformats.org/officeDocument/2006/relationships/hyperlink" Target="https://www.sec.gov/Archives/edgar/data/1426332/000162828022021104/ngm-20220630x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2022-11-03T16:18:44Z</dcterms:created>
  <dcterms:modified xsi:type="dcterms:W3CDTF">2022-11-03T16:18:44Z</dcterms:modified>
</cp:coreProperties>
</file>