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5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953"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7"/>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4"/>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gridSpan w:val="4"/>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760"/>
              <w:spacing w:after="0"/>
              <w:rPr>
                <w:sz w:val="20"/>
                <w:szCs w:val="20"/>
                <w:color w:val="auto"/>
              </w:rPr>
            </w:pPr>
            <w:r>
              <w:rPr>
                <w:rFonts w:ascii="Arial" w:cs="Arial" w:eastAsia="Arial" w:hAnsi="Arial"/>
                <w:sz w:val="17"/>
                <w:szCs w:val="17"/>
                <w:color w:val="0000FF"/>
              </w:rPr>
              <w:t>03/05/2020</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8,307</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w w:val="91"/>
              </w:rPr>
              <w:t>445,444</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COLUMN GROUP L 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COLUMN GROUP II,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-5588000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sz w:val="1"/>
          <w:szCs w:val="1"/>
          <w:color w:val="auto"/>
        </w:rPr>
        <w:drawing>
          <wp:inline distT="0" distB="0" distL="0" distR="0">
            <wp:extent cx="33655" cy="215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3" w:orient="portrait"/>
          <w:cols w:equalWidth="0" w:num="1">
            <w:col w:w="11080"/>
          </w:cols>
          <w:pgMar w:left="460" w:top="225" w:right="35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COLUMN GROUP GP,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-138430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w w:val="93"/>
              </w:rPr>
            </w:pPr>
            <w:hyperlink r:id="rId19">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PONOI CAPITAL,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Capital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6"/>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6"/>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7"/>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Ponoi II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6"/>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-9175750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-9175750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-8609330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-8609330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-7907020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-7907020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-7255510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-7255510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-6688455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-6688455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-5986145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-5986145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-5334635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-5334635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-4767580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-4767580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-4065270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-4065270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-3413760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-3413760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-2846705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-2846705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-2144395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-2144395</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-1492885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-1492885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673985" cy="38100"/>
                    </a:xfrm>
                    <a:prstGeom prst="rect">
                      <a:avLst/>
                    </a:prstGeom>
                    <a:noFill/>
                  </pic:spPr>
                </pic:pic>
              </a:graphicData>
            </a:graphic>
          </wp:anchor>
        </w:drawing>
      </w:r>
    </w:p>
    <w:p>
      <w:pPr>
        <w:sectPr>
          <w:pgSz w:w="11900" w:h="16838" w:orient="portrait"/>
          <w:cols w:equalWidth="0" w:num="1">
            <w:col w:w="9979"/>
          </w:cols>
          <w:pgMar w:left="480" w:top="118"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0"/>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260" w:type="dxa"/>
            <w:vAlign w:val="bottom"/>
            <w:gridSpan w:val="2"/>
          </w:tcPr>
          <w:p>
            <w:pPr>
              <w:spacing w:after="0" w:line="221" w:lineRule="exact"/>
              <w:rPr>
                <w:rFonts w:ascii="Arial" w:cs="Arial" w:eastAsia="Arial" w:hAnsi="Arial"/>
                <w:sz w:val="21"/>
                <w:szCs w:val="21"/>
                <w:color w:val="0000EE"/>
              </w:rPr>
            </w:pPr>
            <w:hyperlink r:id="rId55">
              <w:r>
                <w:rPr>
                  <w:rFonts w:ascii="Arial" w:cs="Arial" w:eastAsia="Arial" w:hAnsi="Arial"/>
                  <w:sz w:val="21"/>
                  <w:szCs w:val="21"/>
                  <w:color w:val="0000EE"/>
                </w:rPr>
                <w:t>Kutzkey Tim</w:t>
              </w:r>
            </w:hyperlink>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56">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615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809240" cy="46158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3,901 shares of Common Stock held directly by The Column Group III, LP ("TCG III LP") and 4,406 shares of Common Stock held directly by The Column Group III-A, LP ("TCG III-A LP").</w:t>
      </w:r>
    </w:p>
    <w:p>
      <w:pPr>
        <w:spacing w:after="0" w:line="15" w:lineRule="exact"/>
        <w:rPr>
          <w:rFonts w:ascii="Arial" w:cs="Arial" w:eastAsia="Arial" w:hAnsi="Arial"/>
          <w:sz w:val="13"/>
          <w:szCs w:val="13"/>
          <w:color w:val="008000"/>
        </w:rPr>
      </w:pP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3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8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03/06/2020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7"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7" Type="http://schemas.openxmlformats.org/officeDocument/2006/relationships/hyperlink" Target="http://www.sec.gov/cgi-bin/browse-edgar?action=getcompany&amp;CIK=0001614627" TargetMode="External"/><Relationship Id="rId19" Type="http://schemas.openxmlformats.org/officeDocument/2006/relationships/hyperlink" Target="http://www.sec.gov/cgi-bin/browse-edgar?action=getcompany&amp;CIK=0001645340" TargetMode="External"/><Relationship Id="rId20" Type="http://schemas.openxmlformats.org/officeDocument/2006/relationships/hyperlink" Target="http://www.sec.gov/cgi-bin/browse-edgar?action=getcompany&amp;CIK=0001707230" TargetMode="External"/><Relationship Id="rId21" Type="http://schemas.openxmlformats.org/officeDocument/2006/relationships/hyperlink" Target="http://www.sec.gov/cgi-bin/browse-edgar?action=getcompany&amp;CIK=0001720702" TargetMode="External"/><Relationship Id="rId22" Type="http://schemas.openxmlformats.org/officeDocument/2006/relationships/hyperlink" Target="http://www.sec.gov/cgi-bin/browse-edgar?action=getcompany&amp;CIK=0001732601" TargetMode="External"/><Relationship Id="rId23" Type="http://schemas.openxmlformats.org/officeDocument/2006/relationships/hyperlink" Target="http://www.sec.gov/cgi-bin/browse-edgar?action=getcompany&amp;CIK=0001746488" TargetMode="External"/><Relationship Id="rId55" Type="http://schemas.openxmlformats.org/officeDocument/2006/relationships/hyperlink" Target="http://www.sec.gov/cgi-bin/browse-edgar?action=getcompany&amp;CIK=0001614186" TargetMode="External"/><Relationship Id="rId56"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2020-03-06T17:02:23Z</dcterms:created>
  <dcterms:modified xsi:type="dcterms:W3CDTF">2020-03-06T17:02:23Z</dcterms:modified>
</cp:coreProperties>
</file>