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RIEFLIN WILLIAM JL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NGM BIOPHARMACEUTICALS,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1139"/>
        <w:gridCol w:w="442"/>
        <w:gridCol w:w="605"/>
        <w:gridCol w:w="1142"/>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5,172</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2,769,168</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3.69</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78,407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31.93</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16.47</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12.06</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w:t>
            </w: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Disposed of pursuant to a Rollover Agreement between, inter alia, Mr. Rieflin, Atlas Neon Parent, Inc. ("Parent") and Atlas Neon Merger Sub, Inc. a wholly-owned subsidiary of Parent ("Purchaser"), in exchange for shares in Parent.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Rieflin Family Trust U/A 4/3/00.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4 reports securities disposed of pursuant to the terms of the Agreement and Plan of Merger entered into by and among the Issuer, Parent and Purchaser, dated as of February 25, 2024 ("Merger Agreement"), pursuant to which the Purchaser completed a tender offer for the shares of common stock of the Issuer and thereafter merged with and into the Issuer effective as of April 5, 2024 (the "Effective Time"). Pursuant to the Merger Agreement, as of the Effective Time, the vesting of each outstanding unvested Stock Option that had a per share exercise price that was less than $1.55 per share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Valerie Pierce,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2471" TargetMode="External"/><Relationship Id="rId3" Type="http://schemas.openxmlformats.org/officeDocument/2006/relationships/hyperlink" Target="http://www.sec.gov/cgi-bin/browse-edgar?action=getcompany&amp;CIK=000142633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5027</Characters>
  <CharactersWithSpaces>5838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