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As filed with the Securities and Exchange Commission on June 5, 2020</w:t>
      </w:r>
    </w:p>
    <w:p>
      <w:pPr>
        <w:spacing w:after="0" w:line="27" w:lineRule="exact"/>
        <w:rPr>
          <w:sz w:val="24"/>
          <w:szCs w:val="24"/>
          <w:color w:val="auto"/>
        </w:rPr>
      </w:pPr>
    </w:p>
    <w:p>
      <w:pPr>
        <w:ind w:left="91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REGISTRATION STATEMENT</w:t>
      </w:r>
    </w:p>
    <w:p>
      <w:pPr>
        <w:jc w:val="center"/>
        <w:ind w:right="-1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42"/>
              <w:spacing w:after="0"/>
              <w:rPr>
                <w:sz w:val="20"/>
                <w:szCs w:val="20"/>
                <w:color w:val="auto"/>
              </w:rPr>
            </w:pPr>
            <w:r>
              <w:rPr>
                <w:rFonts w:ascii="Arial" w:cs="Arial" w:eastAsia="Arial" w:hAnsi="Arial"/>
                <w:sz w:val="18"/>
                <w:szCs w:val="18"/>
                <w:b w:val="1"/>
                <w:bCs w:val="1"/>
                <w:color w:val="auto"/>
                <w:w w:val="89"/>
              </w:rPr>
              <w:t>26-1679911</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4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333 Oyster Point Boulevard</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243-5555</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David J. Woodhouse, Ph.D.</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Chief Executive Officer and Acting Chief Financial Officer</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NGM Biopharmaceuticals, Inc.</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333 Oyster Point Boulevard</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243-5555</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Copies to:</w:t>
      </w:r>
    </w:p>
    <w:p>
      <w:pPr>
        <w:spacing w:after="0" w:line="8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Chadwick L. Mills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J. Carlton Fleming</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101 California Street, 5th Floor</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San Francisco, California 94111</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(415) 693-2000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5"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74"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16" w:lineRule="exact"/>
        <w:rPr>
          <w:sz w:val="24"/>
          <w:szCs w:val="24"/>
          <w:color w:val="auto"/>
        </w:rPr>
      </w:pPr>
    </w:p>
    <w:p>
      <w:pPr>
        <w:ind w:left="120" w:right="58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46" w:lineRule="exact"/>
        <w:rPr>
          <w:sz w:val="24"/>
          <w:szCs w:val="24"/>
          <w:color w:val="auto"/>
        </w:rPr>
      </w:pPr>
    </w:p>
    <w:p>
      <w:pPr>
        <w:ind w:left="12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0" w:lineRule="exact"/>
        <w:rPr>
          <w:sz w:val="24"/>
          <w:szCs w:val="24"/>
          <w:color w:val="auto"/>
        </w:rPr>
      </w:pPr>
    </w:p>
    <w:p>
      <w:pPr>
        <w:ind w:left="120" w:right="58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left="120" w:right="560"/>
        <w:spacing w:after="0" w:line="21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46" w:lineRule="exact"/>
        <w:rPr>
          <w:sz w:val="24"/>
          <w:szCs w:val="24"/>
          <w:color w:val="auto"/>
        </w:rPr>
      </w:pPr>
    </w:p>
    <w:p>
      <w:pPr>
        <w:ind w:left="120" w:right="80"/>
        <w:spacing w:after="0" w:line="214"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ectPr>
          <w:pgSz w:w="11900" w:h="16838" w:orient="portrait"/>
          <w:cols w:equalWidth="0" w:num="1">
            <w:col w:w="11100"/>
          </w:cols>
          <w:pgMar w:left="32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1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62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320" w:type="dxa"/>
            <w:vAlign w:val="bottom"/>
          </w:tcPr>
          <w:p>
            <w:pPr>
              <w:ind w:left="334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1" w:lineRule="exact"/>
        <w:rPr>
          <w:sz w:val="20"/>
          <w:szCs w:val="20"/>
          <w:color w:val="auto"/>
        </w:rPr>
      </w:pPr>
    </w:p>
    <w:p>
      <w:pPr>
        <w:ind w:left="120" w:right="3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432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116"/>
        </w:trPr>
        <w:tc>
          <w:tcPr>
            <w:tcW w:w="4320" w:type="dxa"/>
            <w:vAlign w:val="bottom"/>
            <w:tcBorders>
              <w:right w:val="single" w:sz="8" w:color="auto"/>
            </w:tcBorders>
          </w:tcPr>
          <w:p>
            <w:pPr>
              <w:ind w:left="1540"/>
              <w:spacing w:after="0" w:line="116" w:lineRule="exact"/>
              <w:rPr>
                <w:sz w:val="20"/>
                <w:szCs w:val="20"/>
                <w:color w:val="auto"/>
              </w:rPr>
            </w:pPr>
            <w:r>
              <w:rPr>
                <w:rFonts w:ascii="Arial" w:cs="Arial" w:eastAsia="Arial" w:hAnsi="Arial"/>
                <w:sz w:val="13"/>
                <w:szCs w:val="13"/>
                <w:b w:val="1"/>
                <w:bCs w:val="1"/>
                <w:color w:val="auto"/>
              </w:rPr>
              <w:t>Title of each class of</w:t>
            </w:r>
          </w:p>
        </w:tc>
        <w:tc>
          <w:tcPr>
            <w:tcW w:w="1560" w:type="dxa"/>
            <w:vAlign w:val="bottom"/>
            <w:tcBorders>
              <w:right w:val="single" w:sz="8" w:color="auto"/>
            </w:tcBorders>
          </w:tcPr>
          <w:p>
            <w:pPr>
              <w:ind w:left="400"/>
              <w:spacing w:after="0" w:line="116" w:lineRule="exact"/>
              <w:rPr>
                <w:sz w:val="20"/>
                <w:szCs w:val="20"/>
                <w:color w:val="auto"/>
              </w:rPr>
            </w:pPr>
            <w:r>
              <w:rPr>
                <w:rFonts w:ascii="Arial" w:cs="Arial" w:eastAsia="Arial" w:hAnsi="Arial"/>
                <w:sz w:val="13"/>
                <w:szCs w:val="13"/>
                <w:b w:val="1"/>
                <w:bCs w:val="1"/>
                <w:color w:val="auto"/>
              </w:rPr>
              <w:t>Amount to be</w:t>
            </w:r>
          </w:p>
        </w:tc>
        <w:tc>
          <w:tcPr>
            <w:tcW w:w="17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8"/>
              </w:rPr>
              <w:t>Proposed maximum</w:t>
            </w:r>
          </w:p>
        </w:tc>
        <w:tc>
          <w:tcPr>
            <w:tcW w:w="18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9"/>
              </w:rPr>
              <w:t>Proposed maximum</w:t>
            </w:r>
          </w:p>
        </w:tc>
        <w:tc>
          <w:tcPr>
            <w:tcW w:w="152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rPr>
              <w:t>Amount of</w:t>
            </w:r>
          </w:p>
        </w:tc>
      </w:tr>
      <w:tr>
        <w:trPr>
          <w:trHeight w:val="176"/>
        </w:trPr>
        <w:tc>
          <w:tcPr>
            <w:tcW w:w="4320" w:type="dxa"/>
            <w:vAlign w:val="bottom"/>
            <w:tcBorders>
              <w:bottom w:val="single" w:sz="8" w:color="auto"/>
              <w:right w:val="single" w:sz="8" w:color="auto"/>
            </w:tcBorders>
          </w:tcPr>
          <w:p>
            <w:pPr>
              <w:ind w:left="1380"/>
              <w:spacing w:after="0"/>
              <w:rPr>
                <w:sz w:val="20"/>
                <w:szCs w:val="20"/>
                <w:color w:val="auto"/>
              </w:rPr>
            </w:pPr>
            <w:r>
              <w:rPr>
                <w:rFonts w:ascii="Arial" w:cs="Arial" w:eastAsia="Arial" w:hAnsi="Arial"/>
                <w:sz w:val="14"/>
                <w:szCs w:val="14"/>
                <w:b w:val="1"/>
                <w:bCs w:val="1"/>
                <w:color w:val="auto"/>
              </w:rPr>
              <w:t>securities to be registered</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registered(1)</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 per unit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aggregate 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fee(2)</w:t>
            </w:r>
          </w:p>
        </w:tc>
      </w:tr>
      <w:tr>
        <w:trPr>
          <w:trHeight w:val="209"/>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Preferred Stock, par value $0.001 per share</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Warrants</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43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Total Offering</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74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$51,920</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540" w:right="120" w:hanging="424"/>
        <w:spacing w:after="0" w:line="255"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the shares being registered hereunder include such indeterminate number of shares of common stock and preferred stock as may be issuable with respect to the securities being registered hereunder as a result of stock splits, stock dividends or similar transactions.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9" w:lineRule="exact"/>
        <w:rPr>
          <w:rFonts w:ascii="Arial" w:cs="Arial" w:eastAsia="Arial" w:hAnsi="Arial"/>
          <w:sz w:val="18"/>
          <w:szCs w:val="18"/>
          <w:color w:val="auto"/>
        </w:rPr>
      </w:pPr>
    </w:p>
    <w:p>
      <w:pPr>
        <w:ind w:left="540" w:right="120" w:hanging="424"/>
        <w:spacing w:after="0" w:line="265"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There are being registered hereunder such indeterminate number of shares of common stock and preferred stock, such indeterminate principal amount of debt securities and such indeterminate number of warrants to purchase common stock, preferred stock and/or debt securities to be sold by the Registrant from time to time, which together shall have an aggregate initial offering price not to exceed $400,000,000. Any securities registered hereunder may be sold separately or in combination with the other securities registered hereunder. The securities registered hereunder also include such indeterminate number of shares of common stock and preferred stock and amount of debt securities as may be issued upon conversion of or exchange for preferred stock or debt securities that provide for conversion or exchange, upon exercise of warrants or pursuant to the antidilution provisions of any such securities.</w:t>
      </w:r>
    </w:p>
    <w:p>
      <w:pPr>
        <w:spacing w:after="0" w:line="1" w:lineRule="exact"/>
        <w:rPr>
          <w:rFonts w:ascii="Arial" w:cs="Arial" w:eastAsia="Arial" w:hAnsi="Arial"/>
          <w:sz w:val="17"/>
          <w:szCs w:val="17"/>
          <w:color w:val="auto"/>
        </w:rPr>
      </w:pPr>
    </w:p>
    <w:p>
      <w:pPr>
        <w:ind w:left="540" w:right="60" w:hanging="424"/>
        <w:spacing w:after="0" w:line="255"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146685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4" w:lineRule="exact"/>
        <w:rPr>
          <w:sz w:val="20"/>
          <w:szCs w:val="20"/>
          <w:color w:val="auto"/>
        </w:rPr>
      </w:pPr>
    </w:p>
    <w:p>
      <w:pPr>
        <w:ind w:left="120" w:right="6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registration statement contains two prospectuses:</w:t>
      </w:r>
    </w:p>
    <w:p>
      <w:pPr>
        <w:spacing w:after="0" w:line="131" w:lineRule="exact"/>
        <w:rPr>
          <w:sz w:val="20"/>
          <w:szCs w:val="20"/>
          <w:color w:val="auto"/>
        </w:rPr>
      </w:pPr>
    </w:p>
    <w:p>
      <w:pPr>
        <w:ind w:left="540" w:right="240" w:hanging="316"/>
        <w:spacing w:after="0" w:line="311"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base prospectus which covers the offering, issuance and sale of such indeterminate number of shares of the registrant’s common stock and preferred stock, such indeterminate principal amount of debt securities, and such indeterminate number of warrants to purchase common stock, preferred stock and/or debt securities, which together shall have an aggregate initial offering price not to exceed $400,000,000; and</w:t>
      </w:r>
    </w:p>
    <w:p>
      <w:pPr>
        <w:spacing w:after="0" w:line="54" w:lineRule="exact"/>
        <w:rPr>
          <w:rFonts w:ascii="Arial" w:cs="Arial" w:eastAsia="Arial" w:hAnsi="Arial"/>
          <w:sz w:val="16"/>
          <w:szCs w:val="16"/>
          <w:color w:val="auto"/>
        </w:rPr>
      </w:pPr>
    </w:p>
    <w:p>
      <w:pPr>
        <w:ind w:left="540" w:right="420" w:hanging="316"/>
        <w:spacing w:after="0" w:line="263"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sales agreement prospectus covering the offering, issuance and sale by the registrant of up to a maximum aggregate offering price of $150,000,000 of the registrant’s common stock that may be offered, issued and sold from time to time under a sales agreement, dated June 5, 2020, with Jefferies LLC.</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base prospectus immediately follows this explanatory note. The specific terms of any securities to be offered pursuant to the base prospectus will be specified in a prospectus supplement to the base prospectus.</w:t>
      </w:r>
    </w:p>
    <w:p>
      <w:pPr>
        <w:spacing w:after="0" w:line="170"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The sales agreement prospectus immediately follows the base prospectus. The common stock that may be offered, issued and sold by the registrant under the sales agreement prospectus is included in the $400,000,000 of securities that may be offered, issued and sold by the registrant under the base prospectus. Upon termination of the sales agreement with Jefferies LLC, any portion of the $150,000,000 included in the sales agreement prospectus that is not sold pursuant to the sales agreement will be available for sale in other offerings pursuant to the base prospectus and a corresponding prospectus supplement, and if no shares are sold under the sales agreement, the full $150,000,000 of securities not sold may be sold in other offerings pursuant to the base prospectus and a corresponding prospectus supplement.</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314" w:lineRule="auto"/>
        <w:rPr>
          <w:sz w:val="20"/>
          <w:szCs w:val="20"/>
          <w:color w:val="auto"/>
        </w:rPr>
      </w:pPr>
      <w:r>
        <w:rPr>
          <w:rFonts w:ascii="Arial" w:cs="Arial" w:eastAsia="Arial" w:hAnsi="Arial"/>
          <w:sz w:val="16"/>
          <w:szCs w:val="16"/>
          <w:b w:val="1"/>
          <w:bCs w:val="1"/>
          <w:color w:val="FF4338"/>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jurisdiction where such offer or sale is not permitted.</w:t>
      </w:r>
    </w:p>
    <w:p>
      <w:pPr>
        <w:spacing w:after="0" w:line="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JUNE 5,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171450</wp:posOffset>
            </wp:positionV>
            <wp:extent cx="1663065" cy="942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$400,000,000</w:t>
      </w: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From time to time, we may offer and sell up to an aggregate amount of $400,000,000 of any combination of the securities described in this prospectus, either individually or in combination with other securities. We may also offer common stock or preferred stock upon conversion of debt securities, common stock upon conversion of preferred stock, or common stock, preferred stock or debt securities upon the exercise of warrants.</w:t>
      </w:r>
    </w:p>
    <w:p>
      <w:pPr>
        <w:spacing w:after="0" w:line="149"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into this prospectus, before buying any of the securities being offered.</w:t>
      </w:r>
    </w:p>
    <w:p>
      <w:pPr>
        <w:spacing w:after="0" w:line="18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Our common stock is listed on The Nasdaq Global Select Market under the symbol “NGM.” On June 2, 2020, the last reported sale price of our common stock was $20.37 per share. The applicable prospectus supplement will contain information, where applicable, as to other listings, if any, on The Nasdaq Global Select Market or other securities exchange of the securities covered by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20" w:right="220"/>
        <w:spacing w:after="0" w:line="237"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Before making an investment decision, you should review carefully the risks described under the heading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a sale of securities unless accompanied by a prospectus supplement.</w:t>
      </w:r>
    </w:p>
    <w:p>
      <w:pPr>
        <w:spacing w:after="0" w:line="22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securities may be sold directly by us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options to purchase additional shares will be set forth in a prospectus supplement. The price to the public of such securities and the net proceeds we expect to receive from such sale will also be set forth in a prospectus supplement.</w:t>
      </w:r>
    </w:p>
    <w:p>
      <w:pPr>
        <w:spacing w:after="0" w:line="157" w:lineRule="exact"/>
        <w:rPr>
          <w:sz w:val="20"/>
          <w:szCs w:val="20"/>
          <w:color w:val="auto"/>
        </w:rPr>
      </w:pPr>
    </w:p>
    <w:p>
      <w:pPr>
        <w:ind w:left="120" w:right="60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960"/>
        <w:spacing w:after="0"/>
        <w:tabs>
          <w:tab w:leader="none" w:pos="676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6"/>
          <w:szCs w:val="16"/>
          <w:b w:val="1"/>
          <w:bCs w:val="1"/>
          <w:color w:val="auto"/>
        </w:rPr>
        <w:t>, 2020.</w:t>
      </w:r>
    </w:p>
    <w:p>
      <w:pPr>
        <w:sectPr>
          <w:pgSz w:w="11900" w:h="16838" w:orient="portrait"/>
          <w:cols w:equalWidth="0" w:num="1">
            <w:col w:w="11140"/>
          </w:cols>
          <w:pgMar w:left="320" w:top="459" w:right="4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780" w:type="dxa"/>
            <w:vAlign w:val="bottom"/>
            <w:gridSpan w:val="2"/>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tc>
        <w:tc>
          <w:tcPr>
            <w:tcW w:w="4300" w:type="dxa"/>
            <w:vAlign w:val="bottom"/>
          </w:tcPr>
          <w:p>
            <w:pPr>
              <w:spacing w:after="0"/>
              <w:rPr>
                <w:sz w:val="20"/>
                <w:szCs w:val="20"/>
                <w:color w:val="auto"/>
              </w:rPr>
            </w:pPr>
          </w:p>
        </w:tc>
      </w:tr>
      <w:tr>
        <w:trPr>
          <w:trHeight w:val="513"/>
        </w:trPr>
        <w:tc>
          <w:tcPr>
            <w:tcW w:w="4460" w:type="dxa"/>
            <w:vAlign w:val="bottom"/>
          </w:tcPr>
          <w:p>
            <w:pPr>
              <w:spacing w:after="0"/>
              <w:rPr>
                <w:sz w:val="24"/>
                <w:szCs w:val="24"/>
                <w:color w:val="auto"/>
              </w:rPr>
            </w:pPr>
          </w:p>
        </w:tc>
        <w:tc>
          <w:tcPr>
            <w:tcW w:w="2320" w:type="dxa"/>
            <w:vAlign w:val="bottom"/>
          </w:tcPr>
          <w:p>
            <w:pPr>
              <w:ind w:left="200"/>
              <w:spacing w:after="0"/>
              <w:rPr>
                <w:sz w:val="20"/>
                <w:szCs w:val="20"/>
                <w:color w:val="auto"/>
              </w:rPr>
            </w:pPr>
            <w:r>
              <w:rPr>
                <w:rFonts w:ascii="Arial" w:cs="Arial" w:eastAsia="Arial" w:hAnsi="Arial"/>
                <w:sz w:val="18"/>
                <w:szCs w:val="18"/>
                <w:b w:val="1"/>
                <w:bCs w:val="1"/>
                <w:color w:val="auto"/>
              </w:rPr>
              <w:t>TABLE OF CONTENTS</w:t>
            </w:r>
          </w:p>
        </w:tc>
        <w:tc>
          <w:tcPr>
            <w:tcW w:w="4300" w:type="dxa"/>
            <w:vAlign w:val="bottom"/>
          </w:tcPr>
          <w:p>
            <w:pPr>
              <w:spacing w:after="0"/>
              <w:rPr>
                <w:sz w:val="24"/>
                <w:szCs w:val="24"/>
                <w:color w:val="auto"/>
              </w:rPr>
            </w:pPr>
          </w:p>
        </w:tc>
      </w:tr>
      <w:tr>
        <w:trPr>
          <w:trHeight w:val="445"/>
        </w:trPr>
        <w:tc>
          <w:tcPr>
            <w:tcW w:w="6780" w:type="dxa"/>
            <w:vAlign w:val="bottom"/>
            <w:gridSpan w:val="2"/>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PROSPECTUS SUMMARY</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780" w:type="dxa"/>
            <w:vAlign w:val="bottom"/>
            <w:gridSpan w:val="2"/>
          </w:tcPr>
          <w:p>
            <w:pPr>
              <w:ind w:left="1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RISK FACTORS</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780" w:type="dxa"/>
            <w:vAlign w:val="bottom"/>
            <w:gridSpan w:val="2"/>
          </w:tcPr>
          <w:p>
            <w:pPr>
              <w:ind w:left="1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SPECIAL NOTE REGARDING FORWARD-LOOKING STATEMENTS</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780" w:type="dxa"/>
            <w:vAlign w:val="bottom"/>
            <w:gridSpan w:val="2"/>
          </w:tcPr>
          <w:p>
            <w:pPr>
              <w:ind w:left="1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USE OF PROCEEDS</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780" w:type="dxa"/>
            <w:vAlign w:val="bottom"/>
            <w:gridSpan w:val="2"/>
          </w:tcPr>
          <w:p>
            <w:pPr>
              <w:ind w:left="1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DESCRIPTION OF CAPITAL STOCK</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780" w:type="dxa"/>
            <w:vAlign w:val="bottom"/>
            <w:gridSpan w:val="2"/>
          </w:tcPr>
          <w:p>
            <w:pPr>
              <w:ind w:left="1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DEBT SECURITIES</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780" w:type="dxa"/>
            <w:vAlign w:val="bottom"/>
            <w:gridSpan w:val="2"/>
          </w:tcPr>
          <w:p>
            <w:pPr>
              <w:ind w:left="1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DESCRIPTION OF WARRANTS</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780" w:type="dxa"/>
            <w:vAlign w:val="bottom"/>
            <w:gridSpan w:val="2"/>
          </w:tcPr>
          <w:p>
            <w:pPr>
              <w:ind w:left="1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LEGAL OWNERSHIP OF SECURITIES</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780" w:type="dxa"/>
            <w:vAlign w:val="bottom"/>
            <w:gridSpan w:val="2"/>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PLAN OF DISTRIBUTION</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780" w:type="dxa"/>
            <w:vAlign w:val="bottom"/>
            <w:gridSpan w:val="2"/>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MATTERS</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6780" w:type="dxa"/>
            <w:vAlign w:val="bottom"/>
            <w:gridSpan w:val="2"/>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EXPERTS</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6780" w:type="dxa"/>
            <w:vAlign w:val="bottom"/>
            <w:gridSpan w:val="2"/>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WHERE YOU CAN FIND ADDITIONAL INFORMATION</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780" w:type="dxa"/>
            <w:vAlign w:val="bottom"/>
            <w:gridSpan w:val="2"/>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INCORPORATION OF CERTAIN INFORMATION BY REFERENCE</w:t>
              </w:r>
            </w:hyperlink>
          </w:p>
        </w:tc>
        <w:tc>
          <w:tcPr>
            <w:tcW w:w="4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64"/>
        </w:trPr>
        <w:tc>
          <w:tcPr>
            <w:tcW w:w="44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SEC, using a “shelf” registration process. Under this shelf registration statement, we may, from time to time, offer and sell, either individually or in combination, in one or more offerings, up to a total dollar amount of $400,000,000 of any combination of the securities described in this prospectus.</w:t>
      </w:r>
    </w:p>
    <w:p>
      <w:pPr>
        <w:spacing w:after="0" w:line="14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or incorporated by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reference into, this prospectus, any applicable prospectus supplement or any free writing prospectuses prepared by or on behalf of us or to which we</w:t>
      </w:r>
    </w:p>
    <w:p>
      <w:pPr>
        <w:spacing w:after="0" w:line="3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have referred you. We take no responsibility for, and can provide no assurance as to the reliability of, any other information that others may give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Persons outside the United States who come into possession of this prospectus must inform themselves about, and observe any restrictions relating to, the offering of the common stock and the distribution of this prospectus outside the United States.</w:t>
      </w:r>
    </w:p>
    <w:p>
      <w:pPr>
        <w:spacing w:after="0" w:line="192"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applicable prospectus supplement or any related free writing prospectus, or any sale of a security. Our business, financial condition, results of operations and prospects may have changed since those dates.</w:t>
      </w:r>
    </w:p>
    <w:p>
      <w:pPr>
        <w:spacing w:after="0" w:line="17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77"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7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700"/>
          </w:cols>
          <w:pgMar w:left="320" w:top="459" w:right="8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8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
        <w:spacing w:after="0" w:line="293" w:lineRule="auto"/>
        <w:rPr>
          <w:sz w:val="20"/>
          <w:szCs w:val="20"/>
          <w:color w:val="auto"/>
        </w:rPr>
      </w:pPr>
      <w:r>
        <w:rPr>
          <w:rFonts w:ascii="Arial" w:cs="Arial" w:eastAsia="Arial" w:hAnsi="Arial"/>
          <w:sz w:val="16"/>
          <w:szCs w:val="16"/>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this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37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NGM Biopharmaceuticals, Inc.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140"/>
        <w:spacing w:after="0" w:line="273" w:lineRule="auto"/>
        <w:rPr>
          <w:sz w:val="20"/>
          <w:szCs w:val="20"/>
          <w:color w:val="auto"/>
        </w:rPr>
      </w:pPr>
      <w:r>
        <w:rPr>
          <w:rFonts w:ascii="Arial" w:cs="Arial" w:eastAsia="Arial" w:hAnsi="Arial"/>
          <w:sz w:val="17"/>
          <w:szCs w:val="17"/>
          <w:color w:val="auto"/>
        </w:rPr>
        <w:t xml:space="preserve">We are a biopharmaceutical company focused on developing novel therapeutics based on our scientific understanding of key biological pathways underlying cardio-metabolic, liver, oncologic and ophthalmic diseases. These diseases represent leading causes of morbidity and mortality and a significant burden for healthcare systems. Since the commencement of our operations in 2008, we have generated a robust portfolio of product candidates. We have created this portfolio using our research and drug discovery approach that employs unbiased, </w:t>
      </w:r>
      <w:r>
        <w:rPr>
          <w:rFonts w:ascii="Arial" w:cs="Arial" w:eastAsia="Arial" w:hAnsi="Arial"/>
          <w:sz w:val="17"/>
          <w:szCs w:val="17"/>
          <w:i w:val="1"/>
          <w:iCs w:val="1"/>
          <w:color w:val="auto"/>
        </w:rPr>
        <w:t>in vivo</w:t>
      </w:r>
      <w:r>
        <w:rPr>
          <w:rFonts w:ascii="Arial" w:cs="Arial" w:eastAsia="Arial" w:hAnsi="Arial"/>
          <w:sz w:val="17"/>
          <w:szCs w:val="17"/>
          <w:color w:val="auto"/>
        </w:rPr>
        <w:t>-based discovery to identify proprietary insights into critical biological processes. We combine this approach with our protein and antibody engineering expertise to find the appropriate modality to enhance each product candidate’s therapeutic potential.</w:t>
      </w:r>
    </w:p>
    <w:p>
      <w:pPr>
        <w:spacing w:after="0" w:line="178"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color w:val="auto"/>
        </w:rPr>
        <w:t>Our most advanced programs are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Our five most advanced proprietary product candidates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41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We were incorporated in Delaware in December 2007 and commenced operations in 2008. Our principal executive offices are located at 333 Oyster Point Blvd., South San Francisco, CA 94080-7014, and our telephone number is (650) 243-5555. Our website address is http://www.ngmbio.com. The contents of and information accessible through our website are not incorporated into this prospectus and our reference to the URL for our website is intended to be an inactive textual reference only.</w:t>
      </w:r>
    </w:p>
    <w:p>
      <w:pPr>
        <w:spacing w:after="0" w:line="187" w:lineRule="exact"/>
        <w:rPr>
          <w:sz w:val="20"/>
          <w:szCs w:val="20"/>
          <w:color w:val="auto"/>
        </w:rPr>
      </w:pPr>
    </w:p>
    <w:p>
      <w:pPr>
        <w:ind w:left="300" w:right="120"/>
        <w:spacing w:after="0" w:line="255" w:lineRule="auto"/>
        <w:rPr>
          <w:sz w:val="20"/>
          <w:szCs w:val="20"/>
          <w:color w:val="auto"/>
        </w:rPr>
      </w:pPr>
      <w:r>
        <w:rPr>
          <w:rFonts w:ascii="Arial" w:cs="Arial" w:eastAsia="Arial" w:hAnsi="Arial"/>
          <w:sz w:val="18"/>
          <w:szCs w:val="18"/>
          <w:color w:val="auto"/>
        </w:rPr>
        <w:t>As used in this prospectus, “NGM Biopharmaceuticals”, “NGM”, “we”, “us” and “our” refer to NGM Biopharmaceuticals, Inc. and its wholly-owned subsidiary taken as a whole. 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 We do not intend our use or display of other companies’ trademarks or trade names to imply a relationship with, or endorsement or sponsorship of us by, any other companies or products.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common stock is currently listed on The Nasdaq Global Select Market under the symbol “NGM.”</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Securities We May Offer</w:t>
      </w:r>
    </w:p>
    <w:p>
      <w:pPr>
        <w:spacing w:after="0" w:line="121" w:lineRule="exact"/>
        <w:rPr>
          <w:sz w:val="20"/>
          <w:szCs w:val="20"/>
          <w:color w:val="auto"/>
        </w:rPr>
      </w:pPr>
    </w:p>
    <w:p>
      <w:pPr>
        <w:ind w:left="300" w:right="40"/>
        <w:spacing w:after="0" w:line="291" w:lineRule="auto"/>
        <w:rPr>
          <w:sz w:val="20"/>
          <w:szCs w:val="20"/>
          <w:color w:val="auto"/>
        </w:rPr>
      </w:pPr>
      <w:r>
        <w:rPr>
          <w:rFonts w:ascii="Arial" w:cs="Arial" w:eastAsia="Arial" w:hAnsi="Arial"/>
          <w:sz w:val="16"/>
          <w:szCs w:val="16"/>
          <w:color w:val="auto"/>
        </w:rPr>
        <w:t>We may offer shares of our common stock and preferred stock,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There is no limit on the aggregate amount of the securities that we may offer pursuant to the registration statement of which this prospectus is a part. We may also offer common stock, preferred stock and/or debt securities upon the exercise of warrants.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72" w:lineRule="exact"/>
        <w:rPr>
          <w:sz w:val="20"/>
          <w:szCs w:val="20"/>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maturity date, if applicable;</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redemption, conversion, exercise, exchange or sinking fund terms, if any;</w:t>
      </w:r>
    </w:p>
    <w:p>
      <w:pPr>
        <w:spacing w:after="0" w:line="130" w:lineRule="exact"/>
        <w:rPr>
          <w:rFonts w:ascii="Arial" w:cs="Arial" w:eastAsia="Arial" w:hAnsi="Arial"/>
          <w:sz w:val="18"/>
          <w:szCs w:val="18"/>
          <w:color w:val="auto"/>
        </w:rPr>
      </w:pPr>
    </w:p>
    <w:p>
      <w:pPr>
        <w:ind w:left="1240" w:right="340" w:hanging="523"/>
        <w:spacing w:after="0" w:line="308"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51" w:lineRule="exact"/>
        <w:rPr>
          <w:rFonts w:ascii="Arial" w:cs="Arial" w:eastAsia="Arial" w:hAnsi="Arial"/>
          <w:sz w:val="17"/>
          <w:szCs w:val="17"/>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ranking;</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material or special U.S. federal income tax considerations, if 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59"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291" w:lineRule="exact"/>
        <w:rPr>
          <w:sz w:val="20"/>
          <w:szCs w:val="20"/>
          <w:color w:val="auto"/>
        </w:rPr>
      </w:pPr>
    </w:p>
    <w:p>
      <w:pPr>
        <w:ind w:left="300" w:right="380"/>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58" w:lineRule="exact"/>
        <w:rPr>
          <w:sz w:val="20"/>
          <w:szCs w:val="20"/>
          <w:color w:val="auto"/>
        </w:rPr>
      </w:pPr>
    </w:p>
    <w:p>
      <w:pPr>
        <w:jc w:val="both"/>
        <w:ind w:left="300" w:right="60"/>
        <w:spacing w:after="0" w:line="263"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89" w:lineRule="exact"/>
        <w:rPr>
          <w:sz w:val="20"/>
          <w:szCs w:val="20"/>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details regarding any options under which underwriters may purchase additional securities from us, if any;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5"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i w:val="1"/>
          <w:iCs w:val="1"/>
          <w:color w:val="auto"/>
        </w:rPr>
        <w:t>Common Stock</w:t>
      </w:r>
      <w:r>
        <w:rPr>
          <w:rFonts w:ascii="Arial" w:cs="Arial" w:eastAsia="Arial" w:hAnsi="Arial"/>
          <w:sz w:val="17"/>
          <w:szCs w:val="17"/>
          <w:color w:val="auto"/>
        </w:rPr>
        <w:t>. We may issue shares of our common stock from time to time. The holders of our common stock are entitled to one vote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share held of record on all matters submitted to a vote of stockholders. Subject to preferences that may be applicable to any outstanding preferred stock, the holders of common stock are entitled to receive ratably any dividends that our board of directors may declare out of funds legally available for that purpose. In the event of our liquidation, dissolution or winding up, holders of our common stock are entitled to share ratably in all assets remaining after payment of liabilities and the liquidation preference of any outstanding preferred stock. Holders of our common stock have no preemptive, conversion, subscription or other rights, and there are no redemption or sinking fund provisions applicable to our common stock. In this prospectus, we have summarized certain general features of the common stock under “Description of Capital Stock — Common Stock.” We urge you, however, to read the applicable prospectus supplement (and any related free writing prospectus that we may authorize to be provided to you) related to any common stock being offered.</w:t>
      </w:r>
    </w:p>
    <w:p>
      <w:pPr>
        <w:spacing w:after="0" w:line="181" w:lineRule="exact"/>
        <w:rPr>
          <w:sz w:val="20"/>
          <w:szCs w:val="20"/>
          <w:color w:val="auto"/>
        </w:rPr>
      </w:pPr>
    </w:p>
    <w:p>
      <w:pPr>
        <w:ind w:left="300"/>
        <w:spacing w:after="0" w:line="269" w:lineRule="auto"/>
        <w:rPr>
          <w:sz w:val="20"/>
          <w:szCs w:val="20"/>
          <w:color w:val="auto"/>
        </w:rPr>
      </w:pPr>
      <w:r>
        <w:rPr>
          <w:rFonts w:ascii="Arial" w:cs="Arial" w:eastAsia="Arial" w:hAnsi="Arial"/>
          <w:sz w:val="17"/>
          <w:szCs w:val="17"/>
          <w:i w:val="1"/>
          <w:iCs w:val="1"/>
          <w:color w:val="auto"/>
        </w:rPr>
        <w:t xml:space="preserve">Preferred Stock. </w:t>
      </w:r>
      <w:r>
        <w:rPr>
          <w:rFonts w:ascii="Arial" w:cs="Arial" w:eastAsia="Arial" w:hAnsi="Arial"/>
          <w:sz w:val="17"/>
          <w:szCs w:val="17"/>
          <w:color w:val="auto"/>
        </w:rPr>
        <w:t>We may issue shares of our preferred stock from time to time, in one or more series. If we sell any series of preferred stock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this prospectus, our board of directors will fix the designations, voting powers, preferences and rights of the preferred stock of each series we issue under this prospectus,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in the certificate of designation relating to that series. Preferred stock may be convertible into our common stock or other securities of ours, or may be exchangeable for debt securities. Conversion may be mandatory or at the holder’s option and would be at prescribed conversion rates.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79" w:lineRule="exact"/>
        <w:rPr>
          <w:sz w:val="20"/>
          <w:szCs w:val="20"/>
          <w:color w:val="auto"/>
        </w:rPr>
      </w:pPr>
    </w:p>
    <w:p>
      <w:pPr>
        <w:ind w:left="300" w:right="680"/>
        <w:spacing w:after="0" w:line="277"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We may issue debt securities from time to time, in one or more series, as either senior or subordinated debt or as senior or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convertible debt. The senior debt securities will rank equally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60"/>
        <w:spacing w:after="0" w:line="259" w:lineRule="auto"/>
        <w:rPr>
          <w:sz w:val="20"/>
          <w:szCs w:val="20"/>
          <w:color w:val="auto"/>
        </w:rPr>
      </w:pPr>
      <w:r>
        <w:rPr>
          <w:rFonts w:ascii="Arial" w:cs="Arial" w:eastAsia="Arial" w:hAnsi="Arial"/>
          <w:sz w:val="18"/>
          <w:szCs w:val="18"/>
          <w:color w:val="auto"/>
        </w:rPr>
        <w:t>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187" w:lineRule="exact"/>
        <w:rPr>
          <w:sz w:val="20"/>
          <w:szCs w:val="20"/>
          <w:color w:val="auto"/>
        </w:rPr>
      </w:pPr>
    </w:p>
    <w:p>
      <w:pPr>
        <w:ind w:left="300"/>
        <w:spacing w:after="0" w:line="291" w:lineRule="auto"/>
        <w:rPr>
          <w:sz w:val="20"/>
          <w:szCs w:val="20"/>
          <w:color w:val="auto"/>
        </w:rPr>
      </w:pPr>
      <w:r>
        <w:rPr>
          <w:rFonts w:ascii="Arial" w:cs="Arial" w:eastAsia="Arial" w:hAnsi="Arial"/>
          <w:sz w:val="16"/>
          <w:szCs w:val="16"/>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66" w:lineRule="exact"/>
        <w:rPr>
          <w:sz w:val="20"/>
          <w:szCs w:val="20"/>
          <w:color w:val="auto"/>
        </w:rPr>
      </w:pPr>
    </w:p>
    <w:p>
      <w:pPr>
        <w:ind w:left="300"/>
        <w:spacing w:after="0" w:line="289"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We may issue warrants for the purchase of common stock, preferred stock and/or debt securities in one or more series. We may issue</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66" w:lineRule="exact"/>
        <w:rPr>
          <w:sz w:val="20"/>
          <w:szCs w:val="20"/>
          <w:color w:val="auto"/>
        </w:rPr>
      </w:pPr>
    </w:p>
    <w:p>
      <w:pPr>
        <w:jc w:val="both"/>
        <w:ind w:left="300" w:right="420"/>
        <w:spacing w:after="0" w:line="263" w:lineRule="auto"/>
        <w:rPr>
          <w:sz w:val="20"/>
          <w:szCs w:val="20"/>
          <w:color w:val="auto"/>
        </w:rPr>
      </w:pPr>
      <w:r>
        <w:rPr>
          <w:rFonts w:ascii="Arial" w:cs="Arial" w:eastAsia="Arial" w:hAnsi="Arial"/>
          <w:sz w:val="18"/>
          <w:szCs w:val="18"/>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100"/>
        <w:spacing w:after="0" w:line="259"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other general corporate purposes, which may include funding research and development, general and administrative activities and capital expenditures. See “Use of Proceeds” in this prospectus.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Nasdaq Global Select Market Listing</w:t>
      </w:r>
    </w:p>
    <w:p>
      <w:pPr>
        <w:spacing w:after="0" w:line="121" w:lineRule="exact"/>
        <w:rPr>
          <w:sz w:val="20"/>
          <w:szCs w:val="20"/>
          <w:color w:val="auto"/>
        </w:rPr>
      </w:pPr>
    </w:p>
    <w:p>
      <w:pPr>
        <w:ind w:left="300" w:right="280"/>
        <w:spacing w:after="0" w:line="263" w:lineRule="auto"/>
        <w:rPr>
          <w:sz w:val="20"/>
          <w:szCs w:val="20"/>
          <w:color w:val="auto"/>
        </w:rPr>
      </w:pPr>
      <w:r>
        <w:rPr>
          <w:rFonts w:ascii="Arial" w:cs="Arial" w:eastAsia="Arial" w:hAnsi="Arial"/>
          <w:sz w:val="18"/>
          <w:szCs w:val="18"/>
          <w:color w:val="auto"/>
        </w:rPr>
        <w:t>Our common stock is listed on The Nasdaq Global Select Market under the symbol “NGM.” The applicable prospectus supplement will contain information, where applicable, as to other listings, if any, on The Nasdaq Global Select Market or other securities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any applicable prospectus supplement,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98"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130"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or our partners’ ability to obtain and maintain regulatory approval for aldafermin (NGM282), NGM313 (MK-3655), NGM120, NGM621, NGM395 and any of our future product candidates, and any related restrictions, limitations, and/or warnings in the label of an approved product candidate;</w:t>
      </w:r>
    </w:p>
    <w:p>
      <w:pPr>
        <w:spacing w:after="0" w:line="89"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that aldafermin may have the potential to be a treatment for non-alcoholic steatohepatitis, or NASH, patients with moderate to advanced fibrosis;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regarding the impact of our product candidate side effects and our ability to effectively manage these side effects;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that MK-3655 (formerly NGM313) may have the potential to be a treatment for NASH patients with early to moderate fibrosis with or without type 2 diabetes;</w:t>
      </w:r>
    </w:p>
    <w:p>
      <w:pPr>
        <w:spacing w:after="0" w:line="75" w:lineRule="exact"/>
        <w:rPr>
          <w:rFonts w:ascii="Arial" w:cs="Arial" w:eastAsia="Arial" w:hAnsi="Arial"/>
          <w:sz w:val="18"/>
          <w:szCs w:val="18"/>
          <w:color w:val="auto"/>
        </w:rPr>
      </w:pPr>
    </w:p>
    <w:p>
      <w:pPr>
        <w:ind w:left="1080" w:right="300" w:hanging="532"/>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renewal of our research collaboration, product development and license agreement with Merck Sharp &amp; Dohme Corp., or Merck, and the possibility that Merck will decide to exercise its option to license certain programs upon our completion of a proof-of-concept study in humans;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additional collaborators with development, regulatory and commercialization expertise;</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and future agreements with third parties in connection with the commercialization of aldafermin, NGM313, NGM120, NGM621, NGM395 or any other future approved product;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as well as the reimbursement coverage for our product candidates;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and our ability to obtain sufficient supply of clinical trial materials in a timely manner from, third-party suppliers and manufacturers;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development and management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future expenses, revenue, capital requirements and needs for additional financing;</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Jumpstart Our Business Startups Act of 2012, as amended;</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protect and enforce intellectual property protection for our product candidates;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anticipated use of the net proceeds from offerings of our securities under this prospectus.</w:t>
      </w:r>
    </w:p>
    <w:p>
      <w:pPr>
        <w:spacing w:after="0" w:line="22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the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other general corporate purposes, which may include funding research and development, general and administrative activities and capital expenditures.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320" w:top="459"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As of the date of this prospectus, our authorized capital stock consists of 400,000,000 shares of common stock, $0.001 par value per share, and 10,000,000 shares of preferred stock, $0.001 par value per share.</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following summary description of our capital stock is based on the provisions of our amended and restated certificate of incorporation, our amended and restated bylaws and applicable provisions of the General Corporation Law of the State of Delaware. The description is intended as a summary, and is qualified in its entirety by reference to our amended and restated certificate of incorporation, our amended and restated bylaws and the General Corporation Law of the State of Delaware. For information on how to obtain copies of our amended and restated certificate of incorporation and our amended and restated bylaws, which are exhibits to the registration statement of which this prospectus is a part, see “Where You Can Find Additional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 addition to any vote of holders of a specific class or series, or required by law or the amended and restated certificate of incorporation, the affirmative vote of holders of at least 66 2/3% of the voting power of all of the then outstanding shares of capital stock, voting as a single class, is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Subject to preferences that may apply to any outstanding preferred stock, holders of our common stock are entitled to receive ratably any dividends that our board of directors may declare out of funds legally available for that purpose.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all assets remaining after payment of liabilities and the liquidation preference of any outstanding preferred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and Preferences</w:t>
      </w:r>
    </w:p>
    <w:p>
      <w:pPr>
        <w:spacing w:after="0" w:line="22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Fully Paid and Nonassessable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we issue shares of common stock under this prospectus, the shares will be fully paid and nonassessable.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w:t>
      </w:r>
    </w:p>
    <w:p>
      <w:pPr>
        <w:spacing w:after="0" w:line="17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Our board of directors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82"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procedures for any auction and remarketing;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for any sinking fund;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30"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rights of the preferred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preemptive rights;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transfer, sale or other assignment;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discussion of material U.S. federal income tax considerations applicable to the preferred stock;</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320" w:top="459" w:right="5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153" w:lineRule="exact"/>
        <w:rPr>
          <w:rFonts w:ascii="Arial" w:cs="Arial" w:eastAsia="Arial" w:hAnsi="Arial"/>
          <w:sz w:val="16"/>
          <w:szCs w:val="16"/>
          <w:color w:val="auto"/>
        </w:rPr>
      </w:pPr>
    </w:p>
    <w:p>
      <w:pPr>
        <w:ind w:left="1080" w:right="6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we issue shares of preferred stock under this prospectus, the shares will be fully paid and non-assessable.</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Unless we specify otherwise in the applicable prospectus supplement, the preferred stock will rank, with respect to dividends and upon our liquidation, dissolution or winding up:</w:t>
      </w:r>
    </w:p>
    <w:p>
      <w:pPr>
        <w:spacing w:after="0" w:line="76"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to all classes or series of our common stock and to all of our equity securities ranking junior to the preferred stock;</w:t>
      </w:r>
    </w:p>
    <w:p>
      <w:pPr>
        <w:spacing w:after="0" w:line="130"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 parity with all of our equity securities the terms of which specifically provide that the equity securities rank on a parity with the preferred stock;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junior to all of our equity securities the terms of which specifically provide that the equity securities rank senior to the preferred stock.</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w:t>
      </w:r>
    </w:p>
    <w:p>
      <w:pPr>
        <w:spacing w:after="0" w:line="288" w:lineRule="exact"/>
        <w:rPr>
          <w:sz w:val="20"/>
          <w:szCs w:val="20"/>
          <w:color w:val="auto"/>
        </w:rPr>
      </w:pPr>
    </w:p>
    <w:p>
      <w:pPr>
        <w:ind w:left="120" w:right="3200"/>
        <w:spacing w:after="0" w:line="407" w:lineRule="auto"/>
        <w:rPr>
          <w:sz w:val="20"/>
          <w:szCs w:val="20"/>
          <w:color w:val="auto"/>
        </w:rPr>
      </w:pPr>
      <w:r>
        <w:rPr>
          <w:rFonts w:ascii="Arial" w:cs="Arial" w:eastAsia="Arial" w:hAnsi="Arial"/>
          <w:sz w:val="18"/>
          <w:szCs w:val="18"/>
          <w:b w:val="1"/>
          <w:bCs w:val="1"/>
          <w:color w:val="auto"/>
        </w:rPr>
        <w:t xml:space="preserve">Anti-takeover Effects of Provisions of our Certificate of Incorporation and Bylaws and Delaware Law </w:t>
      </w:r>
      <w:r>
        <w:rPr>
          <w:rFonts w:ascii="Arial" w:cs="Arial" w:eastAsia="Arial" w:hAnsi="Arial"/>
          <w:sz w:val="18"/>
          <w:szCs w:val="18"/>
          <w:i w:val="1"/>
          <w:iCs w:val="1"/>
          <w:color w:val="auto"/>
        </w:rPr>
        <w:t>Certificate of Incorporation and Bylaws</w:t>
      </w:r>
    </w:p>
    <w:p>
      <w:pPr>
        <w:spacing w:after="0" w:line="5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include a number of provisions that may deter or impede hostile takeovers or changes of control or management. These provisions include:</w:t>
      </w:r>
    </w:p>
    <w:p>
      <w:pPr>
        <w:spacing w:after="0" w:line="76" w:lineRule="exact"/>
        <w:rPr>
          <w:sz w:val="20"/>
          <w:szCs w:val="20"/>
          <w:color w:val="auto"/>
        </w:rPr>
      </w:pPr>
    </w:p>
    <w:p>
      <w:pPr>
        <w:ind w:left="1080" w:hanging="532"/>
        <w:spacing w:after="0" w:line="279"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10,000,000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w:t>
      </w:r>
    </w:p>
    <w:p>
      <w:pPr>
        <w:spacing w:after="0" w:line="76"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Classified Board: </w:t>
      </w:r>
      <w:r>
        <w:rPr>
          <w:rFonts w:ascii="Arial" w:cs="Arial" w:eastAsia="Arial" w:hAnsi="Arial"/>
          <w:sz w:val="18"/>
          <w:szCs w:val="18"/>
          <w:color w:val="auto"/>
        </w:rPr>
        <w:t>Our amended and restated certificate of incorporation provides for a classified board of directors consisting of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classes of directors, with staggered three-year terms. Only one class of directors will be elected at each annual meeting of our stockholders, with the other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540"/>
        <w:spacing w:after="0" w:line="277" w:lineRule="auto"/>
        <w:rPr>
          <w:sz w:val="20"/>
          <w:szCs w:val="20"/>
          <w:color w:val="auto"/>
        </w:rPr>
      </w:pPr>
      <w:r>
        <w:rPr>
          <w:rFonts w:ascii="Arial" w:cs="Arial" w:eastAsia="Arial" w:hAnsi="Arial"/>
          <w:sz w:val="18"/>
          <w:szCs w:val="18"/>
          <w:color w:val="auto"/>
        </w:rPr>
        <w:t>classes continuing for the remainder of their respective three-year terms. This provision may have the effect of delaying a change in control of our board.</w:t>
      </w:r>
    </w:p>
    <w:p>
      <w:pPr>
        <w:spacing w:after="0" w:line="76" w:lineRule="exact"/>
        <w:rPr>
          <w:sz w:val="20"/>
          <w:szCs w:val="20"/>
          <w:color w:val="auto"/>
        </w:rPr>
      </w:pPr>
    </w:p>
    <w:p>
      <w:pPr>
        <w:ind w:left="1080" w:right="20" w:hanging="532"/>
        <w:spacing w:after="0" w:line="275"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Board of Directors Vacancies: </w:t>
      </w:r>
      <w:r>
        <w:rPr>
          <w:rFonts w:ascii="Arial" w:cs="Arial" w:eastAsia="Arial" w:hAnsi="Arial"/>
          <w:sz w:val="17"/>
          <w:szCs w:val="17"/>
          <w:color w:val="auto"/>
        </w:rPr>
        <w:t>Our amended and restated certificate of incorporation and amended and restated bylaws authorize only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to fill vacant directorships, subject to the rights of the holders of any series of preferred stock or as otherwise provided by applicable law.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81" w:lineRule="exact"/>
        <w:rPr>
          <w:rFonts w:ascii="Arial" w:cs="Arial" w:eastAsia="Arial" w:hAnsi="Arial"/>
          <w:sz w:val="17"/>
          <w:szCs w:val="17"/>
          <w:color w:val="auto"/>
        </w:rPr>
      </w:pPr>
    </w:p>
    <w:p>
      <w:pPr>
        <w:ind w:left="1080" w:right="60" w:hanging="532"/>
        <w:spacing w:after="0" w:line="25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Stockholder Action; Special Meetings of Stockholders: </w:t>
      </w:r>
      <w:r>
        <w:rPr>
          <w:rFonts w:ascii="Arial" w:cs="Arial" w:eastAsia="Arial" w:hAnsi="Arial"/>
          <w:sz w:val="18"/>
          <w:szCs w:val="18"/>
          <w:color w:val="auto"/>
        </w:rPr>
        <w:t>Our amended and restated certificate of incorporation provides that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may not take action by written consent, but may only take action at annual or special meetings of our stockholders. Stockholders are not permitted to cumulate their votes for the election of directors. Our amended and restated bylaws provide that only the chairman of our board of directors, our chief executive officer, or a majority of our board of directors may call special meetings of our stockholders.</w:t>
      </w:r>
    </w:p>
    <w:p>
      <w:pPr>
        <w:spacing w:after="0" w:line="93" w:lineRule="exact"/>
        <w:rPr>
          <w:rFonts w:ascii="Arial" w:cs="Arial" w:eastAsia="Arial" w:hAnsi="Arial"/>
          <w:sz w:val="18"/>
          <w:szCs w:val="18"/>
          <w:color w:val="auto"/>
        </w:rPr>
      </w:pPr>
    </w:p>
    <w:p>
      <w:pPr>
        <w:ind w:left="1080" w:right="60" w:hanging="532"/>
        <w:spacing w:after="0" w:line="275"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 Notice Requirements for Stockholder Proposals and Director Nominations: </w:t>
      </w:r>
      <w:r>
        <w:rPr>
          <w:rFonts w:ascii="Arial" w:cs="Arial" w:eastAsia="Arial" w:hAnsi="Arial"/>
          <w:sz w:val="17"/>
          <w:szCs w:val="17"/>
          <w:color w:val="auto"/>
        </w:rPr>
        <w:t>Our amended and restated bylaws provide advance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176"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Section 203 of the Delaware General Corporation Law</w:t>
      </w:r>
    </w:p>
    <w:p>
      <w:pPr>
        <w:spacing w:after="0" w:line="225"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We are subject to Section 203 of the General Corporation Law of the State of Delaware, or the DGCL, which prohibits a Delaware corporation from engaging in a business combination with any interested stockholder for a period of three years following the date the person became an interested stockholder, with the following exceptions:</w:t>
      </w:r>
    </w:p>
    <w:p>
      <w:pPr>
        <w:spacing w:after="0" w:line="89" w:lineRule="exact"/>
        <w:rPr>
          <w:sz w:val="20"/>
          <w:szCs w:val="20"/>
          <w:color w:val="auto"/>
        </w:rPr>
      </w:pPr>
    </w:p>
    <w:p>
      <w:pPr>
        <w:ind w:left="1080" w:right="18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holder;</w:t>
      </w:r>
    </w:p>
    <w:p>
      <w:pPr>
        <w:spacing w:after="0" w:line="75" w:lineRule="exact"/>
        <w:rPr>
          <w:rFonts w:ascii="Arial" w:cs="Arial" w:eastAsia="Arial" w:hAnsi="Arial"/>
          <w:sz w:val="18"/>
          <w:szCs w:val="18"/>
          <w:color w:val="auto"/>
        </w:rPr>
      </w:pPr>
    </w:p>
    <w:p>
      <w:pPr>
        <w:ind w:left="1080" w:hanging="532"/>
        <w:spacing w:after="0" w:line="296"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(a) by persons who are directors and also officers and (b) pursuant to employee stock plans in which employee participants do not have the right to determine confidentially whether shares held subject to the plan will be tendered in a tender or exchange offer; and</w:t>
      </w:r>
    </w:p>
    <w:p>
      <w:pPr>
        <w:spacing w:after="0" w:line="66" w:lineRule="exact"/>
        <w:rPr>
          <w:rFonts w:ascii="Arial" w:cs="Arial" w:eastAsia="Arial" w:hAnsi="Arial"/>
          <w:sz w:val="16"/>
          <w:szCs w:val="16"/>
          <w:color w:val="auto"/>
        </w:rPr>
      </w:pPr>
    </w:p>
    <w:p>
      <w:pPr>
        <w:ind w:left="1080" w:right="12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affirmative vote of at least 66 2/3% of the outstanding voting stock that is not owned by the interested stockholder.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31"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A Delaware corporation may opt out of these provisions with an express provision in its certificate of incorporation. We have not opted out of these provisions, which may, as a result, discourage or prevent mergers or other takeover or change in control attempts of 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will be the exclusive forum for the following types of actions or proceedings under Delaware statutory or common law: (i) any derivative action or proceeding brought on our behalf;</w:t>
      </w:r>
    </w:p>
    <w:p>
      <w:pPr>
        <w:ind w:left="120" w:right="40" w:hanging="4"/>
        <w:spacing w:after="0" w:line="252" w:lineRule="auto"/>
        <w:tabs>
          <w:tab w:leader="none" w:pos="3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 amended and restated bylaws; or (iv) any action asserting a claim against us or any director or officer or other employee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transfer agent and registrar for our common stock is American Stock Transfer &amp; Trust Company, LLC.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Select Market under the symbol “NGM.”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6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5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30" w:lineRule="exact"/>
        <w:rPr>
          <w:rFonts w:ascii="Arial" w:cs="Arial" w:eastAsia="Arial" w:hAnsi="Arial"/>
          <w:sz w:val="18"/>
          <w:szCs w:val="18"/>
          <w:color w:val="auto"/>
        </w:rPr>
      </w:pPr>
    </w:p>
    <w:p>
      <w:pPr>
        <w:ind w:left="5540" w:right="2980" w:hanging="4992"/>
        <w:spacing w:after="0" w:line="449" w:lineRule="auto"/>
        <w:tabs>
          <w:tab w:leader="none" w:pos="10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 14</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75"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92"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30"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9"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9"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75" w:lineRule="exact"/>
        <w:rPr>
          <w:rFonts w:ascii="Arial" w:cs="Arial" w:eastAsia="Arial" w:hAnsi="Arial"/>
          <w:sz w:val="18"/>
          <w:szCs w:val="18"/>
          <w:color w:val="auto"/>
        </w:rPr>
      </w:pPr>
    </w:p>
    <w:p>
      <w:pPr>
        <w:ind w:left="1080" w:right="460" w:hanging="532"/>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75"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6" w:lineRule="exact"/>
        <w:rPr>
          <w:rFonts w:ascii="Arial" w:cs="Arial" w:eastAsia="Arial" w:hAnsi="Arial"/>
          <w:sz w:val="17"/>
          <w:szCs w:val="17"/>
          <w:color w:val="auto"/>
        </w:rPr>
      </w:pPr>
    </w:p>
    <w:p>
      <w:pPr>
        <w:ind w:left="1080" w:right="28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75" w:lineRule="exact"/>
        <w:rPr>
          <w:rFonts w:ascii="Arial" w:cs="Arial" w:eastAsia="Arial" w:hAnsi="Arial"/>
          <w:sz w:val="18"/>
          <w:szCs w:val="18"/>
          <w:color w:val="auto"/>
        </w:rPr>
      </w:pPr>
    </w:p>
    <w:p>
      <w:pPr>
        <w:ind w:left="1080" w:right="102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75" w:lineRule="exact"/>
        <w:rPr>
          <w:rFonts w:ascii="Arial" w:cs="Arial" w:eastAsia="Arial" w:hAnsi="Arial"/>
          <w:sz w:val="18"/>
          <w:szCs w:val="18"/>
          <w:color w:val="auto"/>
        </w:rPr>
      </w:pPr>
    </w:p>
    <w:p>
      <w:pPr>
        <w:ind w:left="1080" w:right="380" w:hanging="532"/>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currency of payment of debt securities if other than U.S. dollars and the manner of determining the equivalent amount in U.S. dollars;</w:t>
      </w:r>
    </w:p>
    <w:p>
      <w:pPr>
        <w:spacing w:after="0" w:line="153" w:lineRule="exact"/>
        <w:rPr>
          <w:rFonts w:ascii="Arial" w:cs="Arial" w:eastAsia="Arial" w:hAnsi="Arial"/>
          <w:sz w:val="16"/>
          <w:szCs w:val="16"/>
          <w:color w:val="auto"/>
        </w:rPr>
      </w:pPr>
    </w:p>
    <w:p>
      <w:pPr>
        <w:ind w:left="1080" w:right="6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75" w:lineRule="exact"/>
        <w:rPr>
          <w:rFonts w:ascii="Arial" w:cs="Arial" w:eastAsia="Arial" w:hAnsi="Arial"/>
          <w:sz w:val="18"/>
          <w:szCs w:val="18"/>
          <w:color w:val="auto"/>
        </w:rPr>
      </w:pPr>
    </w:p>
    <w:p>
      <w:pPr>
        <w:ind w:left="1080" w:right="60" w:hanging="532"/>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130" w:lineRule="exact"/>
        <w:rPr>
          <w:rFonts w:ascii="Arial" w:cs="Arial" w:eastAsia="Arial" w:hAnsi="Arial"/>
          <w:sz w:val="18"/>
          <w:szCs w:val="18"/>
          <w:color w:val="auto"/>
        </w:rPr>
      </w:pPr>
    </w:p>
    <w:p>
      <w:pPr>
        <w:ind w:left="1080" w:right="220" w:hanging="532"/>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jc w:val="both"/>
        <w:ind w:left="120" w:right="80"/>
        <w:spacing w:after="0" w:line="279"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76" w:lineRule="exact"/>
        <w:rPr>
          <w:sz w:val="20"/>
          <w:szCs w:val="20"/>
          <w:color w:val="auto"/>
        </w:rPr>
      </w:pPr>
    </w:p>
    <w:p>
      <w:pPr>
        <w:jc w:val="both"/>
        <w:ind w:left="1080" w:right="60" w:hanging="532"/>
        <w:spacing w:after="0" w:line="311"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54" w:lineRule="exact"/>
        <w:rPr>
          <w:rFonts w:ascii="Arial" w:cs="Arial" w:eastAsia="Arial" w:hAnsi="Arial"/>
          <w:sz w:val="16"/>
          <w:szCs w:val="16"/>
          <w:color w:val="auto"/>
        </w:rPr>
      </w:pPr>
    </w:p>
    <w:p>
      <w:pPr>
        <w:ind w:left="1080" w:right="18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pay the principal of, or premium, if any, on any series of debt securities as and when the same shall become due and payable whether at maturity, upon redemption, by declaration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63" w:lineRule="auto"/>
        <w:rPr>
          <w:sz w:val="20"/>
          <w:szCs w:val="20"/>
          <w:color w:val="auto"/>
        </w:rPr>
      </w:pPr>
      <w:r>
        <w:rPr>
          <w:rFonts w:ascii="Arial" w:cs="Arial" w:eastAsia="Arial" w:hAnsi="Arial"/>
          <w:sz w:val="18"/>
          <w:szCs w:val="18"/>
          <w:color w:val="auto"/>
        </w:rPr>
        <w:t>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9" w:lineRule="exact"/>
        <w:rPr>
          <w:sz w:val="20"/>
          <w:szCs w:val="20"/>
          <w:color w:val="auto"/>
        </w:rPr>
      </w:pPr>
    </w:p>
    <w:p>
      <w:pPr>
        <w:ind w:left="1080" w:hanging="532"/>
        <w:spacing w:after="0" w:line="279"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61"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4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2"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76"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holders of at least 25% in aggregate principal amount of the outstanding debt securities of that series have made written request,</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532"/>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4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Indenture; Waiver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30"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92" w:lineRule="exact"/>
        <w:rPr>
          <w:rFonts w:ascii="Arial" w:cs="Arial" w:eastAsia="Arial" w:hAnsi="Arial"/>
          <w:sz w:val="18"/>
          <w:szCs w:val="18"/>
          <w:color w:val="auto"/>
        </w:rPr>
      </w:pPr>
    </w:p>
    <w:p>
      <w:pPr>
        <w:ind w:left="1080" w:right="70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the interests of any holder of debt securities of any series in any material respect;</w:t>
      </w:r>
    </w:p>
    <w:p>
      <w:pPr>
        <w:spacing w:after="0" w:line="142" w:lineRule="exact"/>
        <w:rPr>
          <w:rFonts w:ascii="Arial" w:cs="Arial" w:eastAsia="Arial" w:hAnsi="Arial"/>
          <w:sz w:val="17"/>
          <w:szCs w:val="17"/>
          <w:color w:val="auto"/>
        </w:rPr>
      </w:pPr>
    </w:p>
    <w:p>
      <w:pPr>
        <w:ind w:left="1080" w:right="80" w:hanging="532"/>
        <w:spacing w:after="0" w:line="286"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0" w:lineRule="exact"/>
        <w:rPr>
          <w:rFonts w:ascii="Arial" w:cs="Arial" w:eastAsia="Arial" w:hAnsi="Arial"/>
          <w:sz w:val="17"/>
          <w:szCs w:val="17"/>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23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92" w:lineRule="exact"/>
        <w:rPr>
          <w:sz w:val="20"/>
          <w:szCs w:val="20"/>
          <w:color w:val="auto"/>
        </w:rPr>
      </w:pPr>
    </w:p>
    <w:p>
      <w:pPr>
        <w:jc w:val="right"/>
        <w:ind w:left="5540" w:right="5340" w:hanging="4992"/>
        <w:spacing w:after="0" w:line="535" w:lineRule="auto"/>
        <w:tabs>
          <w:tab w:leader="none" w:pos="1094"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extending the fixed maturity of any debt securities of any series; 18</w:t>
      </w:r>
    </w:p>
    <w:p>
      <w:pPr>
        <w:sectPr>
          <w:pgSz w:w="11900" w:h="16838" w:orient="portrait"/>
          <w:cols w:equalWidth="0" w:num="1">
            <w:col w:w="11060"/>
          </w:cols>
          <w:pgMar w:left="320" w:top="459"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76"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92"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532"/>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9"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7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7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1" w:lineRule="exact"/>
        <w:rPr>
          <w:rFonts w:ascii="Arial" w:cs="Arial" w:eastAsia="Arial" w:hAnsi="Arial"/>
          <w:sz w:val="17"/>
          <w:szCs w:val="17"/>
          <w:color w:val="auto"/>
        </w:rPr>
      </w:pPr>
    </w:p>
    <w:p>
      <w:pPr>
        <w:ind w:left="1080" w:right="40" w:hanging="532"/>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of holding or exercising the warrants;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52"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75"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8"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459" w:right="5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Holders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6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Street Name Holders</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7"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Holders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or in street name, you should check with your own institution to find out:</w:t>
      </w:r>
    </w:p>
    <w:p>
      <w:pPr>
        <w:spacing w:after="0" w:line="76"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and how you can instruct it to send you securities registered in your own name so you can be a holder, if that is permitted in the future;</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84"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77"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108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75" w:lineRule="exact"/>
        <w:rPr>
          <w:rFonts w:ascii="Arial" w:cs="Arial" w:eastAsia="Arial" w:hAnsi="Arial"/>
          <w:sz w:val="18"/>
          <w:szCs w:val="18"/>
          <w:color w:val="auto"/>
        </w:rPr>
      </w:pPr>
    </w:p>
    <w:p>
      <w:pPr>
        <w:ind w:left="1080" w:right="400" w:hanging="532"/>
        <w:spacing w:after="0" w:line="30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51" w:lineRule="exact"/>
        <w:rPr>
          <w:rFonts w:ascii="Arial" w:cs="Arial" w:eastAsia="Arial" w:hAnsi="Arial"/>
          <w:sz w:val="17"/>
          <w:szCs w:val="17"/>
          <w:color w:val="auto"/>
        </w:rPr>
      </w:pPr>
    </w:p>
    <w:p>
      <w:pPr>
        <w:ind w:left="1080" w:right="360" w:hanging="532"/>
        <w:spacing w:after="0" w:line="30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4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Unless we provide otherwise in the applicable prospectus supplement, the global security will terminate when the following special situations occur:</w:t>
      </w:r>
    </w:p>
    <w:p>
      <w:pPr>
        <w:spacing w:after="0" w:line="154" w:lineRule="exact"/>
        <w:rPr>
          <w:sz w:val="20"/>
          <w:szCs w:val="20"/>
          <w:color w:val="auto"/>
        </w:rPr>
      </w:pPr>
    </w:p>
    <w:p>
      <w:pPr>
        <w:ind w:left="1080" w:right="2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an event of default has occurred with regard to securities represented by that global security and has not been cured or waived.</w:t>
      </w:r>
    </w:p>
    <w:p>
      <w:pPr>
        <w:spacing w:after="0" w:line="23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We may sell the securities from time to time pursuant to underwritten public offerings, direct sales to the public,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76"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or names of the underwriters, if 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options under which underwriters may purchase additional securities from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w:t>
      </w:r>
    </w:p>
    <w:p>
      <w:pPr>
        <w:spacing w:after="0" w:line="225"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securities from us.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We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8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66"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Any underwriters or agents that are qualified market makers on The Nasdaq Global Select Market may engage in passive market making transactions in the common stock on The Nasdaq Global Select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Cooley LLP will pass upon the validity of the securities offered by this prospectus, and any supplement thereto, unless otherwise indicated in the applicable prospectus supplement. GC&amp;H Investments, LLC, an entity that includes current and former partners and associates of Cooley LLP, beneficially owns 10,000 shares of our common stock. Additional legal matters may be passed upon for us or any underwriters, dealers or agents by counsel that we will name in the applicable prospectus supplement.</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2019, as set forth in their report, which is incorporated by reference in this prospectus and elsewhere in this registration statement. Our consolidated financial statements are incorporated by reference in reliance on Ernst &amp; Young LLP’s report, given on their authority as experts in accounting and auditing.</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001-38853):</w:t>
      </w:r>
    </w:p>
    <w:p>
      <w:pPr>
        <w:spacing w:after="0" w:line="98"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2">
        <w:r>
          <w:rPr>
            <w:rFonts w:ascii="Arial" w:cs="Arial" w:eastAsia="Arial" w:hAnsi="Arial"/>
            <w:sz w:val="18"/>
            <w:szCs w:val="18"/>
            <w:u w:val="single" w:color="auto"/>
            <w:color w:val="0000EE"/>
          </w:rPr>
          <w:t>Form 10-K</w:t>
        </w:r>
      </w:hyperlink>
      <w:r>
        <w:rPr>
          <w:rFonts w:ascii="Arial" w:cs="Arial" w:eastAsia="Arial" w:hAnsi="Arial"/>
          <w:sz w:val="18"/>
          <w:szCs w:val="18"/>
          <w:color w:val="auto"/>
        </w:rPr>
        <w:t>, for the year ended December 31, 2019, filed with the SEC on March 17, 2020;</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63">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April 8, 2020 (excluding those portions that are not incorporated by reference into our Annual Report on Form 10-K for the year ended December 31, 2019);</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64">
        <w:r>
          <w:rPr>
            <w:rFonts w:ascii="Arial" w:cs="Arial" w:eastAsia="Arial" w:hAnsi="Arial"/>
            <w:sz w:val="18"/>
            <w:szCs w:val="18"/>
            <w:u w:val="single" w:color="auto"/>
            <w:color w:val="0000EE"/>
          </w:rPr>
          <w:t>Form 10-Q</w:t>
        </w:r>
      </w:hyperlink>
      <w:r>
        <w:rPr>
          <w:rFonts w:ascii="Arial" w:cs="Arial" w:eastAsia="Arial" w:hAnsi="Arial"/>
          <w:sz w:val="18"/>
          <w:szCs w:val="18"/>
          <w:color w:val="auto"/>
        </w:rPr>
        <w:t>, for the quarter ended March 31, 2020, filed with the SEC on May 13, 2020;</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65">
        <w:r>
          <w:rPr>
            <w:rFonts w:ascii="Arial" w:cs="Arial" w:eastAsia="Arial" w:hAnsi="Arial"/>
            <w:sz w:val="17"/>
            <w:szCs w:val="17"/>
            <w:u w:val="single" w:color="auto"/>
            <w:color w:val="0000EE"/>
          </w:rPr>
          <w:t>February 13, 2020</w:t>
        </w:r>
      </w:hyperlink>
      <w:r>
        <w:rPr>
          <w:rFonts w:ascii="Arial" w:cs="Arial" w:eastAsia="Arial" w:hAnsi="Arial"/>
          <w:sz w:val="17"/>
          <w:szCs w:val="17"/>
          <w:color w:val="auto"/>
        </w:rPr>
        <w:t xml:space="preserve">, </w:t>
      </w:r>
      <w:hyperlink r:id="rId66">
        <w:r>
          <w:rPr>
            <w:rFonts w:ascii="Arial" w:cs="Arial" w:eastAsia="Arial" w:hAnsi="Arial"/>
            <w:sz w:val="17"/>
            <w:szCs w:val="17"/>
            <w:u w:val="single" w:color="auto"/>
            <w:color w:val="0000EE"/>
          </w:rPr>
          <w:t>February 24, 2020</w:t>
        </w:r>
      </w:hyperlink>
      <w:r>
        <w:rPr>
          <w:rFonts w:ascii="Arial" w:cs="Arial" w:eastAsia="Arial" w:hAnsi="Arial"/>
          <w:sz w:val="17"/>
          <w:szCs w:val="17"/>
          <w:color w:val="auto"/>
        </w:rPr>
        <w:t xml:space="preserve">, </w:t>
      </w:r>
      <w:hyperlink r:id="rId67">
        <w:r>
          <w:rPr>
            <w:rFonts w:ascii="Arial" w:cs="Arial" w:eastAsia="Arial" w:hAnsi="Arial"/>
            <w:sz w:val="17"/>
            <w:szCs w:val="17"/>
            <w:u w:val="single" w:color="auto"/>
            <w:color w:val="0000EE"/>
          </w:rPr>
          <w:t>March 9,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68">
        <w:r>
          <w:rPr>
            <w:rFonts w:ascii="Arial" w:cs="Arial" w:eastAsia="Arial" w:hAnsi="Arial"/>
            <w:sz w:val="17"/>
            <w:szCs w:val="17"/>
            <w:u w:val="single" w:color="auto"/>
            <w:color w:val="0000EE"/>
          </w:rPr>
          <w:t>May 27, 2020</w:t>
        </w:r>
      </w:hyperlink>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left="1080" w:right="6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69">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March 29, 2019, including any amendment or report filed for the purpose of updating such description.</w:t>
      </w:r>
    </w:p>
    <w:p>
      <w:pPr>
        <w:spacing w:after="0" w:line="103"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NGM Biopharmaceuticals,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333 Oyster Point Boulevard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both"/>
        <w:ind w:left="5080" w:right="4920" w:hanging="18"/>
        <w:spacing w:after="0" w:line="323" w:lineRule="auto"/>
        <w:tabs>
          <w:tab w:leader="none" w:pos="5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392-1768 Attn: Secretary</w:t>
      </w:r>
    </w:p>
    <w:p>
      <w:pPr>
        <w:spacing w:after="0" w:line="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314" w:lineRule="auto"/>
        <w:rPr>
          <w:sz w:val="20"/>
          <w:szCs w:val="20"/>
          <w:color w:val="auto"/>
        </w:rPr>
      </w:pPr>
      <w:r>
        <w:rPr>
          <w:rFonts w:ascii="Arial" w:cs="Arial" w:eastAsia="Arial" w:hAnsi="Arial"/>
          <w:sz w:val="16"/>
          <w:szCs w:val="16"/>
          <w:b w:val="1"/>
          <w:bCs w:val="1"/>
          <w:color w:val="FF4338"/>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jurisdiction where such offer or sale is not permitted.</w:t>
      </w:r>
    </w:p>
    <w:p>
      <w:pPr>
        <w:spacing w:after="0" w:line="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DATED JUNE 5, 2020</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171450</wp:posOffset>
            </wp:positionV>
            <wp:extent cx="1663065" cy="942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166306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$150,000,000</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We have entered into an Open Market Sale Agreement</w:t>
      </w:r>
      <w:r>
        <w:rPr>
          <w:rFonts w:ascii="Arial" w:cs="Arial" w:eastAsia="Arial" w:hAnsi="Arial"/>
          <w:sz w:val="14"/>
          <w:szCs w:val="14"/>
          <w:color w:val="auto"/>
        </w:rPr>
        <w:t>SM</w:t>
      </w:r>
      <w:r>
        <w:rPr>
          <w:rFonts w:ascii="Arial" w:cs="Arial" w:eastAsia="Arial" w:hAnsi="Arial"/>
          <w:sz w:val="17"/>
          <w:szCs w:val="17"/>
          <w:color w:val="auto"/>
        </w:rPr>
        <w:t>, or the sales agreement, with Jefferies LLC, or Jefferies, relating to the sale of shares of our common stock offered by this prospectus. In accordance with the terms of the sales agreement, we may offer and sell shares of our common stock having an aggregate offering price of up to $150,000,000 from time to time through Jefferies, acting as our sales agent.</w:t>
      </w:r>
    </w:p>
    <w:p>
      <w:pPr>
        <w:spacing w:after="0" w:line="165"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“NGM.” On June 2, 2020, the last reported sale price of our common stock was $20.37 per share.</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Sales of our shares, if any, under this prospectus may be made in sales deemed to be an “at the market offering” as defined in Rule 415(a)(4) promulgated under the Securities Act of 1933, as amended, or the Securities Act. Jefferies is not required to sell any specific number or dollar amount of securities, but will act as a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17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Jefferies will be entitled to compensation under the terms of the sales agreement at a fixed commission rate of up to 3.0% of the gross sales price per share sold under the sales agreement. See “Plan of Distribution” beginning on page 17 for additional information regarding Jefferies’ compensation. In connection with the sale of common stock on our behalf, Jefferies will be deemed to be an “underwriter” within the meaning of the Securities Act and the compensation of Jefferies will be deemed to be underwriting commissions or discounts. We have also agreed to provide indemnification to Jefferies against certain liabilities, including liabilities under the Securities Act or the Securities Exchange Act of 1934, as amended, or the Exchange Act. See section titled “Plan of Distribution” on page 17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right="140"/>
        <w:spacing w:after="0" w:line="314"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common stock involves a high degree of risk. Before making an investment decision, please read the information contained in and incorporated by reference under the heading “</w:t>
      </w:r>
      <w:hyperlink w:anchor="page44">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on page 4 of this prospectus, and under similar headings in the other documents that we have filed or that are filed after the date hereof and incorporated by reference into this prospectus</w:t>
      </w:r>
      <w:r>
        <w:rPr>
          <w:rFonts w:ascii="Arial" w:cs="Arial" w:eastAsia="Arial" w:hAnsi="Arial"/>
          <w:sz w:val="16"/>
          <w:szCs w:val="16"/>
          <w:b w:val="1"/>
          <w:bCs w:val="1"/>
          <w:i w:val="1"/>
          <w:iCs w:val="1"/>
          <w:color w:val="auto"/>
        </w:rPr>
        <w:t>.</w:t>
      </w:r>
    </w:p>
    <w:p>
      <w:pPr>
        <w:spacing w:after="0" w:line="142" w:lineRule="exact"/>
        <w:rPr>
          <w:sz w:val="20"/>
          <w:szCs w:val="20"/>
          <w:color w:val="auto"/>
        </w:rPr>
      </w:pPr>
    </w:p>
    <w:p>
      <w:pPr>
        <w:ind w:left="120" w:right="56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Jefferies</w:t>
      </w:r>
    </w:p>
    <w:p>
      <w:pPr>
        <w:spacing w:after="0" w:line="215" w:lineRule="exact"/>
        <w:rPr>
          <w:sz w:val="20"/>
          <w:szCs w:val="20"/>
          <w:color w:val="auto"/>
        </w:rPr>
      </w:pPr>
    </w:p>
    <w:p>
      <w:pPr>
        <w:jc w:val="center"/>
        <w:ind w:right="-139"/>
        <w:spacing w:after="0"/>
        <w:tabs>
          <w:tab w:leader="none" w:pos="20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6"/>
          <w:szCs w:val="16"/>
          <w:b w:val="1"/>
          <w:bCs w:val="1"/>
          <w:color w:val="auto"/>
        </w:rPr>
        <w:t>, 2020.</w:t>
      </w:r>
    </w:p>
    <w:p>
      <w:pPr>
        <w:sectPr>
          <w:pgSz w:w="11900" w:h="16838" w:orient="portrait"/>
          <w:cols w:equalWidth="0" w:num="1">
            <w:col w:w="11100"/>
          </w:cols>
          <w:pgMar w:left="320" w:top="459" w:right="4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tc>
        <w:tc>
          <w:tcPr>
            <w:tcW w:w="2340" w:type="dxa"/>
            <w:vAlign w:val="bottom"/>
          </w:tcPr>
          <w:p>
            <w:pPr>
              <w:spacing w:after="0"/>
              <w:rPr>
                <w:sz w:val="20"/>
                <w:szCs w:val="20"/>
                <w:color w:val="auto"/>
              </w:rPr>
            </w:pPr>
          </w:p>
        </w:tc>
      </w:tr>
      <w:tr>
        <w:trPr>
          <w:trHeight w:val="513"/>
        </w:trPr>
        <w:tc>
          <w:tcPr>
            <w:tcW w:w="87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45"/>
        </w:trPr>
        <w:tc>
          <w:tcPr>
            <w:tcW w:w="8740" w:type="dxa"/>
            <w:vAlign w:val="bottom"/>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ABOUT THIS PROSPECTUS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PROSPECTUS SUMMARY</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SPECIAL NOTE REGARDING FORWARD-LOOKING STATEMENTS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USE OF PROCEEDS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DILUTION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DESCRIPTION OF CAPITAL STOCK</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PLAN OF DISTRIBUTION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LEGAL MATTERS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EXPERTS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740" w:type="dxa"/>
            <w:vAlign w:val="bottom"/>
          </w:tcPr>
          <w:p>
            <w:pPr>
              <w:ind w:left="1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WHERE YOU CAN FIND ADDITIONAL INFORMATION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740" w:type="dxa"/>
            <w:vAlign w:val="bottom"/>
          </w:tcPr>
          <w:p>
            <w:pPr>
              <w:ind w:left="1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INCORPORATION OF CERTAIN INFORMATION BY REFERENCE</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This prospectus is part of a registration statement that we have filed with the Securities and Exchange Commission, or SEC, utilizing a “shelf” registration process. Under the shelf registration statement, we may, from time to time, offer and sell, either individually or in combination, in one or more offerings shares of our common stock, preferred stock, debt securities and warrants, including common stock or preferred stock upon conversion of debt securities, common stock upon conversion of preferred stock, or common stock, preferred stock or debt securities upon the exercise of warrants, having an aggregate offering price of up to $400,000,000. Under this prospectus, we may offer and sell shares of our common stock having an aggregate offering price of up to $150,000,000 from time to time at prices and on terms to be determined by market conditions at the time of offering.</w:t>
      </w:r>
    </w:p>
    <w:p>
      <w:pPr>
        <w:spacing w:after="0" w:line="16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This prospectus describes the terms of this offering of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(for example, a document incorporated by reference into this prospectus), the statement in the document having the later date modifies or supersedes the earlier statement.</w:t>
      </w:r>
    </w:p>
    <w:p>
      <w:pPr>
        <w:spacing w:after="0" w:line="17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have not, and Jefferies has not, authorized anyone to provide any information other than that contained or incorporated by reference in this prospectus or in any free writing prospectus that we have authorized for use in connection with this offering. We and Jefferies take no responsibility for, and can provide no assurance as to the reliability of, any other information that others may give you. This prospectus does not constitute an offer to sell, or a solicitation of an offer to purchase, the securities offered by this prospectus in any jurisdiction to or from any person to whom or from whom it is unlawful to make such offer or solicitation of an offer in such jurisdiction. The information appearing in this prospectus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or any related free writing prospectus, or any sale of shares of our common stock. Our business, financial condition, results of operations and prospects may have changed since those dates. It is important for you to read and consider all information contained in this prospectus and any free writing prospectus that we have authorized for use in connection with this offering, including the documents incorporated by reference herein and therein, in making your investment decision. You should also read and consider the information in the documents to which we have referred you in the sections titled “Where You Can Find Additional Information” and “Incorporation of Certain Information by Reference” in this prospectus.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data and industry statistics and forecasts presented in this prospectus and the documents incorporated herein by reference, these estimates involve risks and uncertainties and are subject to change based on various factors, including those discussed under the heading “Risk Factors” contained in this prospectus and any related free writing prospectus, and under similar headings in the other documents that are incorporated by reference into this prospectus. Accordingly, investors should not place undue reliance on this information.</w:t>
      </w:r>
    </w:p>
    <w:p>
      <w:pPr>
        <w:spacing w:after="0" w:line="17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
        <w:spacing w:after="0" w:line="273" w:lineRule="auto"/>
        <w:rPr>
          <w:sz w:val="20"/>
          <w:szCs w:val="20"/>
          <w:color w:val="auto"/>
        </w:rPr>
      </w:pPr>
      <w:r>
        <w:rPr>
          <w:rFonts w:ascii="Arial" w:cs="Arial" w:eastAsia="Arial" w:hAnsi="Arial"/>
          <w:sz w:val="17"/>
          <w:szCs w:val="17"/>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and any related free writing prospectus, including the risks of investing in our securities discussed under the heading “Risk Factors” contained in this prospectus and any related free writing prospectus, and under similar headings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28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NGM Biopharmaceuticals, Inc.</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140"/>
        <w:spacing w:after="0" w:line="273" w:lineRule="auto"/>
        <w:rPr>
          <w:sz w:val="20"/>
          <w:szCs w:val="20"/>
          <w:color w:val="auto"/>
        </w:rPr>
      </w:pPr>
      <w:r>
        <w:rPr>
          <w:rFonts w:ascii="Arial" w:cs="Arial" w:eastAsia="Arial" w:hAnsi="Arial"/>
          <w:sz w:val="17"/>
          <w:szCs w:val="17"/>
          <w:color w:val="auto"/>
        </w:rPr>
        <w:t xml:space="preserve">We are a biopharmaceutical company focused on developing novel therapeutics based on our scientific understanding of key biological pathways underlying cardio-metabolic, liver, oncologic and ophthalmic diseases. These diseases represent leading causes of morbidity and mortality and a significant burden for healthcare systems. Since the commencement of our operations in 2008, we have generated a robust portfolio of product candidates. We have created this portfolio using our research and drug discovery approach that employs unbiased, </w:t>
      </w:r>
      <w:r>
        <w:rPr>
          <w:rFonts w:ascii="Arial" w:cs="Arial" w:eastAsia="Arial" w:hAnsi="Arial"/>
          <w:sz w:val="17"/>
          <w:szCs w:val="17"/>
          <w:i w:val="1"/>
          <w:iCs w:val="1"/>
          <w:color w:val="auto"/>
        </w:rPr>
        <w:t>in vivo</w:t>
      </w:r>
      <w:r>
        <w:rPr>
          <w:rFonts w:ascii="Arial" w:cs="Arial" w:eastAsia="Arial" w:hAnsi="Arial"/>
          <w:sz w:val="17"/>
          <w:szCs w:val="17"/>
          <w:color w:val="auto"/>
        </w:rPr>
        <w:t>-based discovery to identify proprietary insights into critical biological processes. We combine this approach with our protein and antibody engineering expertise to find the appropriate modality to enhance each product candidate’s therapeutic potential.</w:t>
      </w:r>
    </w:p>
    <w:p>
      <w:pPr>
        <w:spacing w:after="0" w:line="178"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color w:val="auto"/>
        </w:rPr>
        <w:t>Our most advanced programs are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Our five most advanced proprietary product candidates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2758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998970" cy="2275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We were incorporated in Delaware in December 2007 and commenced operations in 2008. Our principal executive offices are located at 333 Oyster Point Blvd., South San Francisco, CA 94080-7014, and our telephone number is (650) 243-5555. Our website address is http://www.ngmbio.com. The contents of and information accessible through our website are not incorporated into this prospectus and our reference to the URL for our website is intended to be an inactive textual reference only.</w:t>
      </w:r>
    </w:p>
    <w:p>
      <w:pPr>
        <w:spacing w:after="0" w:line="187" w:lineRule="exact"/>
        <w:rPr>
          <w:sz w:val="20"/>
          <w:szCs w:val="20"/>
          <w:color w:val="auto"/>
        </w:rPr>
      </w:pPr>
    </w:p>
    <w:p>
      <w:pPr>
        <w:ind w:left="300" w:right="120"/>
        <w:spacing w:after="0" w:line="255" w:lineRule="auto"/>
        <w:rPr>
          <w:sz w:val="20"/>
          <w:szCs w:val="20"/>
          <w:color w:val="auto"/>
        </w:rPr>
      </w:pPr>
      <w:r>
        <w:rPr>
          <w:rFonts w:ascii="Arial" w:cs="Arial" w:eastAsia="Arial" w:hAnsi="Arial"/>
          <w:sz w:val="18"/>
          <w:szCs w:val="18"/>
          <w:color w:val="auto"/>
        </w:rPr>
        <w:t>As used in this prospectus, “NGM Biopharmaceuticals”, “NGM”, “we”, “us” and “our” refer to NGM Biopharmaceuticals, Inc. and its wholly-owned subsidiary taken as a whole. 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 We do not intend our use or display of other companies’ trademarks or trade names to imply a relationship with, or endorsement or sponsorship of us by, any other companies or products.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common stock is currently listed on The Nasdaq Global Select Market under the symbol “NGM.”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9787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40"/>
          </w:cols>
          <w:pgMar w:left="320" w:top="459" w:right="439" w:bottom="1440" w:gutter="0" w:footer="0" w:header="0"/>
        </w:sectPr>
      </w:pPr>
    </w:p>
    <w:p>
      <w:pPr>
        <w:spacing w:after="0" w:line="38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us</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Manner of offering</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Shares of our common stock having an aggregate offering price of up to $150,000,000.</w:t>
      </w:r>
    </w:p>
    <w:p>
      <w:pPr>
        <w:spacing w:after="0" w:line="62"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“At-the-market” offering that may be made from time to time through our sales agent, Jefferies. See “Plan of Distribution” on page 17 of this prospectus.</w:t>
      </w:r>
    </w:p>
    <w:p>
      <w:pPr>
        <w:spacing w:after="0" w:line="76" w:lineRule="exact"/>
        <w:rPr>
          <w:sz w:val="20"/>
          <w:szCs w:val="20"/>
          <w:color w:val="auto"/>
        </w:rPr>
      </w:pPr>
    </w:p>
    <w:p>
      <w:pPr>
        <w:sectPr>
          <w:pgSz w:w="11900" w:h="16838" w:orient="portrait"/>
          <w:cols w:equalWidth="0" w:num="2">
            <w:col w:w="5220" w:space="720"/>
            <w:col w:w="52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6840" w:type="dxa"/>
            <w:vAlign w:val="bottom"/>
          </w:tcPr>
          <w:p>
            <w:pPr>
              <w:ind w:left="1640"/>
              <w:spacing w:after="0"/>
              <w:rPr>
                <w:sz w:val="20"/>
                <w:szCs w:val="20"/>
                <w:color w:val="auto"/>
              </w:rPr>
            </w:pPr>
            <w:r>
              <w:rPr>
                <w:rFonts w:ascii="Arial" w:cs="Arial" w:eastAsia="Arial" w:hAnsi="Arial"/>
                <w:sz w:val="18"/>
                <w:szCs w:val="18"/>
                <w:color w:val="auto"/>
              </w:rPr>
              <w:t>We currently expect to use the net proceeds from this offering for</w:t>
            </w:r>
          </w:p>
        </w:tc>
      </w:tr>
      <w:tr>
        <w:trPr>
          <w:trHeight w:val="216"/>
        </w:trPr>
        <w:tc>
          <w:tcPr>
            <w:tcW w:w="4180" w:type="dxa"/>
            <w:vAlign w:val="bottom"/>
          </w:tcPr>
          <w:p>
            <w:pPr>
              <w:spacing w:after="0"/>
              <w:rPr>
                <w:sz w:val="18"/>
                <w:szCs w:val="18"/>
                <w:color w:val="auto"/>
              </w:rPr>
            </w:pPr>
          </w:p>
        </w:tc>
        <w:tc>
          <w:tcPr>
            <w:tcW w:w="6840" w:type="dxa"/>
            <w:vAlign w:val="bottom"/>
          </w:tcPr>
          <w:p>
            <w:pPr>
              <w:ind w:left="1640"/>
              <w:spacing w:after="0"/>
              <w:rPr>
                <w:sz w:val="20"/>
                <w:szCs w:val="20"/>
                <w:color w:val="auto"/>
              </w:rPr>
            </w:pPr>
            <w:r>
              <w:rPr>
                <w:rFonts w:ascii="Arial" w:cs="Arial" w:eastAsia="Arial" w:hAnsi="Arial"/>
                <w:sz w:val="18"/>
                <w:szCs w:val="18"/>
                <w:color w:val="auto"/>
                <w:w w:val="99"/>
              </w:rPr>
              <w:t>working capital and other general corporate purposes, which may</w:t>
            </w:r>
          </w:p>
        </w:tc>
      </w:tr>
      <w:tr>
        <w:trPr>
          <w:trHeight w:val="216"/>
        </w:trPr>
        <w:tc>
          <w:tcPr>
            <w:tcW w:w="4180" w:type="dxa"/>
            <w:vAlign w:val="bottom"/>
          </w:tcPr>
          <w:p>
            <w:pPr>
              <w:spacing w:after="0"/>
              <w:rPr>
                <w:sz w:val="18"/>
                <w:szCs w:val="18"/>
                <w:color w:val="auto"/>
              </w:rPr>
            </w:pPr>
          </w:p>
        </w:tc>
        <w:tc>
          <w:tcPr>
            <w:tcW w:w="6840" w:type="dxa"/>
            <w:vAlign w:val="bottom"/>
          </w:tcPr>
          <w:p>
            <w:pPr>
              <w:ind w:left="1640"/>
              <w:spacing w:after="0"/>
              <w:rPr>
                <w:sz w:val="20"/>
                <w:szCs w:val="20"/>
                <w:color w:val="auto"/>
              </w:rPr>
            </w:pPr>
            <w:r>
              <w:rPr>
                <w:rFonts w:ascii="Arial" w:cs="Arial" w:eastAsia="Arial" w:hAnsi="Arial"/>
                <w:sz w:val="18"/>
                <w:szCs w:val="18"/>
                <w:color w:val="auto"/>
              </w:rPr>
              <w:t>include funding research and development, general and</w:t>
            </w:r>
          </w:p>
        </w:tc>
      </w:tr>
      <w:tr>
        <w:trPr>
          <w:trHeight w:val="230"/>
        </w:trPr>
        <w:tc>
          <w:tcPr>
            <w:tcW w:w="4180" w:type="dxa"/>
            <w:vAlign w:val="bottom"/>
          </w:tcPr>
          <w:p>
            <w:pPr>
              <w:spacing w:after="0"/>
              <w:rPr>
                <w:sz w:val="20"/>
                <w:szCs w:val="20"/>
                <w:color w:val="auto"/>
              </w:rPr>
            </w:pPr>
          </w:p>
        </w:tc>
        <w:tc>
          <w:tcPr>
            <w:tcW w:w="6840" w:type="dxa"/>
            <w:vAlign w:val="bottom"/>
          </w:tcPr>
          <w:p>
            <w:pPr>
              <w:ind w:left="1640"/>
              <w:spacing w:after="0"/>
              <w:rPr>
                <w:sz w:val="20"/>
                <w:szCs w:val="20"/>
                <w:color w:val="auto"/>
              </w:rPr>
            </w:pPr>
            <w:r>
              <w:rPr>
                <w:rFonts w:ascii="Arial" w:cs="Arial" w:eastAsia="Arial" w:hAnsi="Arial"/>
                <w:sz w:val="18"/>
                <w:szCs w:val="18"/>
                <w:color w:val="auto"/>
              </w:rPr>
              <w:t>administrative activities and capital expenditures.</w:t>
            </w:r>
          </w:p>
        </w:tc>
      </w:tr>
      <w:tr>
        <w:trPr>
          <w:trHeight w:val="310"/>
        </w:trPr>
        <w:tc>
          <w:tcPr>
            <w:tcW w:w="418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6840" w:type="dxa"/>
            <w:vAlign w:val="bottom"/>
          </w:tcPr>
          <w:p>
            <w:pPr>
              <w:ind w:left="1640"/>
              <w:spacing w:after="0"/>
              <w:rPr>
                <w:sz w:val="20"/>
                <w:szCs w:val="20"/>
                <w:color w:val="auto"/>
              </w:rPr>
            </w:pPr>
            <w:r>
              <w:rPr>
                <w:rFonts w:ascii="Arial" w:cs="Arial" w:eastAsia="Arial" w:hAnsi="Arial"/>
                <w:sz w:val="18"/>
                <w:szCs w:val="18"/>
                <w:color w:val="auto"/>
                <w:w w:val="98"/>
              </w:rPr>
              <w:t>Investing in our common stock involves significant risks. See “Risk</w:t>
            </w:r>
          </w:p>
        </w:tc>
      </w:tr>
      <w:tr>
        <w:trPr>
          <w:trHeight w:val="216"/>
        </w:trPr>
        <w:tc>
          <w:tcPr>
            <w:tcW w:w="4180" w:type="dxa"/>
            <w:vAlign w:val="bottom"/>
          </w:tcPr>
          <w:p>
            <w:pPr>
              <w:spacing w:after="0"/>
              <w:rPr>
                <w:sz w:val="18"/>
                <w:szCs w:val="18"/>
                <w:color w:val="auto"/>
              </w:rPr>
            </w:pPr>
          </w:p>
        </w:tc>
        <w:tc>
          <w:tcPr>
            <w:tcW w:w="6840" w:type="dxa"/>
            <w:vAlign w:val="bottom"/>
          </w:tcPr>
          <w:p>
            <w:pPr>
              <w:ind w:left="1640"/>
              <w:spacing w:after="0"/>
              <w:rPr>
                <w:sz w:val="20"/>
                <w:szCs w:val="20"/>
                <w:color w:val="auto"/>
              </w:rPr>
            </w:pPr>
            <w:r>
              <w:rPr>
                <w:rFonts w:ascii="Arial" w:cs="Arial" w:eastAsia="Arial" w:hAnsi="Arial"/>
                <w:sz w:val="18"/>
                <w:szCs w:val="18"/>
                <w:color w:val="auto"/>
                <w:w w:val="98"/>
              </w:rPr>
              <w:t>Factors” beginning on page 4 of this prospectus, and under similar</w:t>
            </w:r>
          </w:p>
        </w:tc>
      </w:tr>
      <w:tr>
        <w:trPr>
          <w:trHeight w:val="216"/>
        </w:trPr>
        <w:tc>
          <w:tcPr>
            <w:tcW w:w="4180" w:type="dxa"/>
            <w:vAlign w:val="bottom"/>
          </w:tcPr>
          <w:p>
            <w:pPr>
              <w:spacing w:after="0"/>
              <w:rPr>
                <w:sz w:val="18"/>
                <w:szCs w:val="18"/>
                <w:color w:val="auto"/>
              </w:rPr>
            </w:pPr>
          </w:p>
        </w:tc>
        <w:tc>
          <w:tcPr>
            <w:tcW w:w="6840" w:type="dxa"/>
            <w:vAlign w:val="bottom"/>
          </w:tcPr>
          <w:p>
            <w:pPr>
              <w:ind w:left="1640"/>
              <w:spacing w:after="0"/>
              <w:rPr>
                <w:sz w:val="20"/>
                <w:szCs w:val="20"/>
                <w:color w:val="auto"/>
              </w:rPr>
            </w:pPr>
            <w:r>
              <w:rPr>
                <w:rFonts w:ascii="Arial" w:cs="Arial" w:eastAsia="Arial" w:hAnsi="Arial"/>
                <w:sz w:val="18"/>
                <w:szCs w:val="18"/>
                <w:color w:val="auto"/>
              </w:rPr>
              <w:t>headings in documents incorporated by reference into this</w:t>
            </w:r>
          </w:p>
        </w:tc>
      </w:tr>
      <w:tr>
        <w:trPr>
          <w:trHeight w:val="216"/>
        </w:trPr>
        <w:tc>
          <w:tcPr>
            <w:tcW w:w="4180" w:type="dxa"/>
            <w:vAlign w:val="bottom"/>
          </w:tcPr>
          <w:p>
            <w:pPr>
              <w:spacing w:after="0"/>
              <w:rPr>
                <w:sz w:val="18"/>
                <w:szCs w:val="18"/>
                <w:color w:val="auto"/>
              </w:rPr>
            </w:pPr>
          </w:p>
        </w:tc>
        <w:tc>
          <w:tcPr>
            <w:tcW w:w="6840" w:type="dxa"/>
            <w:vAlign w:val="bottom"/>
          </w:tcPr>
          <w:p>
            <w:pPr>
              <w:ind w:left="1640"/>
              <w:spacing w:after="0"/>
              <w:rPr>
                <w:sz w:val="20"/>
                <w:szCs w:val="20"/>
                <w:color w:val="auto"/>
              </w:rPr>
            </w:pPr>
            <w:r>
              <w:rPr>
                <w:rFonts w:ascii="Arial" w:cs="Arial" w:eastAsia="Arial" w:hAnsi="Arial"/>
                <w:sz w:val="18"/>
                <w:szCs w:val="18"/>
                <w:color w:val="auto"/>
                <w:w w:val="98"/>
              </w:rPr>
              <w:t>prospectus, for a discussion of factors you should consider before</w:t>
            </w:r>
          </w:p>
        </w:tc>
      </w:tr>
      <w:tr>
        <w:trPr>
          <w:trHeight w:val="230"/>
        </w:trPr>
        <w:tc>
          <w:tcPr>
            <w:tcW w:w="4180" w:type="dxa"/>
            <w:vAlign w:val="bottom"/>
          </w:tcPr>
          <w:p>
            <w:pPr>
              <w:spacing w:after="0"/>
              <w:rPr>
                <w:sz w:val="20"/>
                <w:szCs w:val="20"/>
                <w:color w:val="auto"/>
              </w:rPr>
            </w:pPr>
          </w:p>
        </w:tc>
        <w:tc>
          <w:tcPr>
            <w:tcW w:w="6840" w:type="dxa"/>
            <w:vAlign w:val="bottom"/>
          </w:tcPr>
          <w:p>
            <w:pPr>
              <w:ind w:left="1640"/>
              <w:spacing w:after="0"/>
              <w:rPr>
                <w:sz w:val="20"/>
                <w:szCs w:val="20"/>
                <w:color w:val="auto"/>
              </w:rPr>
            </w:pPr>
            <w:r>
              <w:rPr>
                <w:rFonts w:ascii="Arial" w:cs="Arial" w:eastAsia="Arial" w:hAnsi="Arial"/>
                <w:sz w:val="18"/>
                <w:szCs w:val="18"/>
                <w:color w:val="auto"/>
              </w:rPr>
              <w:t>buying shares of our common stock.</w:t>
            </w:r>
          </w:p>
        </w:tc>
      </w:tr>
      <w:tr>
        <w:trPr>
          <w:trHeight w:val="324"/>
        </w:trPr>
        <w:tc>
          <w:tcPr>
            <w:tcW w:w="4180" w:type="dxa"/>
            <w:vAlign w:val="bottom"/>
          </w:tcPr>
          <w:p>
            <w:pPr>
              <w:ind w:left="180"/>
              <w:spacing w:after="0"/>
              <w:rPr>
                <w:sz w:val="20"/>
                <w:szCs w:val="20"/>
                <w:color w:val="auto"/>
              </w:rPr>
            </w:pPr>
            <w:r>
              <w:rPr>
                <w:rFonts w:ascii="Arial" w:cs="Arial" w:eastAsia="Arial" w:hAnsi="Arial"/>
                <w:sz w:val="18"/>
                <w:szCs w:val="18"/>
                <w:color w:val="auto"/>
              </w:rPr>
              <w:t>Nasdaq Global Select Market symbol</w:t>
            </w:r>
          </w:p>
        </w:tc>
        <w:tc>
          <w:tcPr>
            <w:tcW w:w="6840" w:type="dxa"/>
            <w:vAlign w:val="bottom"/>
          </w:tcPr>
          <w:p>
            <w:pPr>
              <w:ind w:left="1640"/>
              <w:spacing w:after="0"/>
              <w:rPr>
                <w:sz w:val="20"/>
                <w:szCs w:val="20"/>
                <w:color w:val="auto"/>
              </w:rPr>
            </w:pPr>
            <w:r>
              <w:rPr>
                <w:rFonts w:ascii="Arial" w:cs="Arial" w:eastAsia="Arial" w:hAnsi="Arial"/>
                <w:sz w:val="18"/>
                <w:szCs w:val="18"/>
                <w:color w:val="auto"/>
              </w:rPr>
              <w:t>“NGM”</w:t>
            </w:r>
          </w:p>
        </w:tc>
      </w:tr>
      <w:tr>
        <w:trPr>
          <w:trHeight w:val="240"/>
        </w:trPr>
        <w:tc>
          <w:tcPr>
            <w:tcW w:w="4180" w:type="dxa"/>
            <w:vAlign w:val="bottom"/>
            <w:tcBorders>
              <w:bottom w:val="single" w:sz="8" w:color="auto"/>
            </w:tcBorders>
          </w:tcPr>
          <w:p>
            <w:pPr>
              <w:spacing w:after="0"/>
              <w:rPr>
                <w:sz w:val="20"/>
                <w:szCs w:val="20"/>
                <w:color w:val="auto"/>
              </w:rPr>
            </w:pPr>
          </w:p>
        </w:tc>
        <w:tc>
          <w:tcPr>
            <w:tcW w:w="6840" w:type="dxa"/>
            <w:vAlign w:val="bottom"/>
            <w:tcBorders>
              <w:bottom w:val="single" w:sz="8" w:color="auto"/>
            </w:tcBorders>
          </w:tcPr>
          <w:p>
            <w:pPr>
              <w:spacing w:after="0"/>
              <w:rPr>
                <w:sz w:val="20"/>
                <w:szCs w:val="20"/>
                <w:color w:val="auto"/>
              </w:rPr>
            </w:pPr>
          </w:p>
        </w:tc>
      </w:tr>
      <w:tr>
        <w:trPr>
          <w:trHeight w:val="604"/>
        </w:trPr>
        <w:tc>
          <w:tcPr>
            <w:tcW w:w="4180" w:type="dxa"/>
            <w:vAlign w:val="bottom"/>
          </w:tcPr>
          <w:p>
            <w:pPr>
              <w:spacing w:after="0"/>
              <w:rPr>
                <w:sz w:val="24"/>
                <w:szCs w:val="24"/>
                <w:color w:val="auto"/>
              </w:rPr>
            </w:pPr>
          </w:p>
        </w:tc>
        <w:tc>
          <w:tcPr>
            <w:tcW w:w="6840" w:type="dxa"/>
            <w:vAlign w:val="bottom"/>
          </w:tcPr>
          <w:p>
            <w:pPr>
              <w:ind w:left="128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140"/>
          </w:cols>
          <w:pgMar w:left="320" w:top="459" w:right="4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Investing in our common stock involves a high degree of risk. Before deciding whether to invest in our common stock, you should consider carefully the risks and uncertainties described below and under the heading “Risk Factors” contained in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incur immediate and substantial dilution as a result of this offering.</w:t>
      </w:r>
    </w:p>
    <w:p>
      <w:pPr>
        <w:spacing w:after="0" w:line="225"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The offering price per share of our common stock in this offering may exceed the net tangible book value per share of our common stock outstanding prior to this offering. Assuming that an aggregate of 7,363,770 shares of our common stock are sold at a price of $20.37 per share, the last reported sale price of our common stock on The Nasdaq Global Select Market on June 2, 2020, for aggregate gross proceeds of $150.0 million, and after deducting commissions and estimated offering expenses payable by us, you would experience immediate dilution of $14.21 per share, representing the difference between our as adjusted net tangible book value per share as of March 31, 2020, after giving effect to this offering, and the assumed public offering price. The exercise of outstanding stock options and vesting of restricted stock units could result in further dilution of your investment. See “Dilution” beginning on page 10 of this prospectus for a more detailed description of the dilution to new investors in this offering.</w:t>
      </w:r>
    </w:p>
    <w:p>
      <w:pPr>
        <w:spacing w:after="0" w:line="16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yield a return.</w:t>
      </w:r>
    </w:p>
    <w:p>
      <w:pPr>
        <w:spacing w:after="0" w:line="170"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We will have broad discretion over the use of proceeds from this offering. You may not agree with our decisions, and our use of the proceeds may not yield any return on your investment in us. Our failure to apply the net proceeds of this offering effectively could result in financial losses that could materially impair our ability to pursue our growth strategy, cause the price of our common stock to decline, delay development of our products or require us to raise additional capital.</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In order to raise additional capital, we may offer additional shares of our common stock or other securities convertible into or exchangeable for our common stock in the future.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our stock has been and may continue to be volatile, and you could lose all or part of your investment</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The market price for our common stock has fluctuated significantly from time to time, for example, varying between a high of $23.39 on May 12, 2020 and a low of $8.81 on October 7, 2019. The trading price of our common stock has been and may continue to be highly volatile and subject to wide fluctuations in response to various factors, some of which we cannot control. In addition to the factors discussed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these factors include:</w:t>
      </w:r>
    </w:p>
    <w:p>
      <w:pPr>
        <w:spacing w:after="0" w:line="92" w:lineRule="exact"/>
        <w:rPr>
          <w:sz w:val="20"/>
          <w:szCs w:val="20"/>
          <w:color w:val="auto"/>
        </w:rPr>
      </w:pPr>
    </w:p>
    <w:p>
      <w:pPr>
        <w:ind w:left="1080" w:right="12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Sharp &amp; Dohme Corp., or Merck including any non-renewal, termination or other change in our relationship with Merck;</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 xml:space="preserve">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section, could have a dramatic and material adverse impact on the market price of our common stock.</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certain holders of our common stock have rights, subject to certain conditions, to require us to file registration statements covering their shares or to include their shares in registration statements that we may file for ourselves or other stockholders.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22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320" w:top="459" w:right="5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98"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130"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or our partners’ ability to obtain and maintain regulatory approval for aldafermin (NGM282), NGM313 (MK-3655), NGM120, NGM621, NGM395 and any of our future product candidates, and any related restrictions, limitations, and/or warnings in the label of an approved product candidate;</w:t>
      </w:r>
    </w:p>
    <w:p>
      <w:pPr>
        <w:spacing w:after="0" w:line="89"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belief that aldafermin may have the potential to be a treatment for non-alcoholic steatohepatitis, or NASH, patients with moderate to advanced fibrosis;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belief regarding the impact of our product candidate side effects and our ability to effectively manage these side effects;</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belief that MK-3655 (formerly NGM313) may have the potential to be a treatment for NASH patients with early to moderate fibrosis with or without type 2 diabetes;</w:t>
      </w:r>
    </w:p>
    <w:p>
      <w:pPr>
        <w:spacing w:after="0" w:line="75" w:lineRule="exact"/>
        <w:rPr>
          <w:rFonts w:ascii="Arial" w:cs="Arial" w:eastAsia="Arial" w:hAnsi="Arial"/>
          <w:sz w:val="18"/>
          <w:szCs w:val="18"/>
          <w:color w:val="auto"/>
        </w:rPr>
      </w:pPr>
    </w:p>
    <w:p>
      <w:pPr>
        <w:ind w:left="1080" w:right="40" w:hanging="532"/>
        <w:spacing w:after="0" w:line="308"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potential renewal of our research collaboration, product development and license agreement with Merck and the possibility that Merck will decide to exercise its option to license certain programs upon our completion of a proof-of-concept study in humans;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attract additional collaborators with development, regulatory and commercialization expertise;</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current and future agreements with third parties in connection with the commercialization of aldafermin, NGM313, NGM120, NGM621, NGM395 or any other future approved product;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as well as the reimbursement coverage for our product candidates;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performance of, and our ability to obtain sufficient supply of clinical trial materials in a timely manner from, third-party suppliers and manufacturers;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attract and retain key scientific, development and management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estimates regarding future expenses, revenue, capital requirements and needs for additional financing;</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Jumpstart Our Business Startups Act of 2012, as amended;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protect and enforce intellectual property protection for our product candidates;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anticipated use of the net proceeds from this offering.</w:t>
      </w:r>
    </w:p>
    <w:p>
      <w:pPr>
        <w:spacing w:after="0" w:line="22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this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the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currently expect to use the net proceeds from this offering for working capital and other general corporate purposes, which may include funding research and development, general and administrative activities and capital expenditures. Pending the application of the net proceeds, we expect to invest the proceeds in investment-grade, interest-bearing instruments or other securities. We will retain broad discretion over the use of the net proceeds from this offering.</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net tangible book value at March 31, 2020 was approximately $319.0 million, or approximately $4.70 per share of common stock. Net tangible book value per share is determined by dividing our total tangible assets, less total liabilities, by the number of shares of our common stock outstanding as of March 31, 2020.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88"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After giving effect to the assumed sale of 7,363,770 shares of our common stock by us in this offering at an assumed public offering price of $20.37 per share, which was the last reported sale price of our common stock on The Nasdaq Global Select Market on June 2, 2020, after deducting commissions and estimated offering expenses payable by us, our as adjusted net tangible book value as of March 31, 2020 would have been $463.5 million, or $6.16 per share. This would represent an immediate increase in net tangible book value per share of $1.46 to existing stockholders and immediate dilution of $14.21 in net tangible book value per share to new investors purchasing common stock in this offering at the assumed public offering price.</w:t>
      </w:r>
    </w:p>
    <w:p>
      <w:pPr>
        <w:spacing w:after="0" w:line="16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following table illustrates this dilution on a per share basis. The as adjusted information is illustrative only and will change based on the actual price to the public, the actual number of shares sold and other terms of the offering determined at the time shares of our common stock are sold pursuant to this prospectus. The as adjusted information assumes that all of our common stock in the aggregate amount of $150.0 million is sold at the assumed public offering price of $20.37 per share, the last reported sale price of our common stock on The Nasdaq Global Select Market on June 2, 2020. The shares sold in this offering, if any, will be sold from time to time at various prices.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2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$20.37</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tangible book value per share as of March 31, 2020</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$4.70</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the offering</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1.46</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the offering</w:t>
            </w:r>
          </w:p>
        </w:tc>
        <w:tc>
          <w:tcPr>
            <w:tcW w:w="6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40" w:type="dxa"/>
            <w:vAlign w:val="bottom"/>
          </w:tcPr>
          <w:p>
            <w:pPr>
              <w:spacing w:after="0"/>
              <w:rPr>
                <w:sz w:val="20"/>
                <w:szCs w:val="20"/>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 in the offering</w:t>
            </w:r>
          </w:p>
        </w:tc>
        <w:tc>
          <w:tcPr>
            <w:tcW w:w="2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14.21</w:t>
            </w:r>
          </w:p>
        </w:tc>
      </w:tr>
      <w:tr>
        <w:trPr>
          <w:trHeight w:val="20"/>
        </w:trPr>
        <w:tc>
          <w:tcPr>
            <w:tcW w:w="6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An increase of $1.00 per share in the price at which the shares are sold from the assumed public offering price of $20.37 per share shown in the table above, assuming that the aggregate dollar amount of shares sold by us remains at $150.0 million, would increase our as adjusted net tangible book value per share after this offering to $6.18 per share and would increase the dilution in net tangible book value per share to new investors to $15.19 per share, after deducting commissions and estimated aggregate offering expenses payable by us. A decrease of $1.00 per share in the price at which the shares are sold from the assumed public offering price of $20.37 per share shown in the table above, assuming that the aggregate dollar amount of shares sold by us remains at $150.0 million, would decrease our as adjusted net tangible book value per share after this offering to $6.12 per share and would decrease the dilution in net tangible book value per share to new investors to $13.25 per share, after deducting commissions and estimated aggregate offering expenses payable by us. The information discussed above is illustrative only and will adjust based on the actual public offering price, the actual number of shares that we offer in this offering, and other terms of this offering determined at the time of each offer and sale.</w:t>
      </w:r>
    </w:p>
    <w:p>
      <w:pPr>
        <w:spacing w:after="0" w:line="16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foregoing discussion and table are based on 67,936,438 shares of our common stock outstanding as of March 31, 2020, and exclude, in each case as of March 31, 2020, the following:</w:t>
      </w:r>
    </w:p>
    <w:p>
      <w:pPr>
        <w:spacing w:after="0" w:line="76" w:lineRule="exact"/>
        <w:rPr>
          <w:sz w:val="20"/>
          <w:szCs w:val="20"/>
          <w:color w:val="auto"/>
        </w:rPr>
      </w:pPr>
    </w:p>
    <w:p>
      <w:pPr>
        <w:ind w:left="1080" w:right="8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10,824,034 shares of our common stock issuable upon the exercise of outstanding stock options with a weighted-average exercise price of $8.90 per share;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34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7,012,247 shares of our common stock available for issuance or future grant under our Amended and Restated 2018 Equity Incentive Plan, as well as any automatic increases in the number of shares of common stock reserved for future issuance under this benefit plan;</w:t>
      </w:r>
    </w:p>
    <w:p>
      <w:pPr>
        <w:spacing w:after="0" w:line="29" w:lineRule="exact"/>
        <w:rPr>
          <w:rFonts w:ascii="Arial" w:cs="Arial" w:eastAsia="Arial" w:hAnsi="Arial"/>
          <w:sz w:val="16"/>
          <w:szCs w:val="16"/>
          <w:color w:val="auto"/>
        </w:rPr>
      </w:pPr>
    </w:p>
    <w:p>
      <w:pPr>
        <w:ind w:left="1080" w:right="440" w:hanging="532"/>
        <w:spacing w:after="0" w:line="308"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897,255 shares of our common stock available for issuance under our 2019 Employee Stock Purchase Plan, as well as any automatic increases in the number of shares of common stock reserved for future issuance under this benefit plan; and</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28,274 shares of our common stock reserved for future issuance under our NGM Biopharmaceuticals Matching Plan.</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To the extent that any of the outstanding options are exercised there could be further dilution to new investors. In addition, we may choose to raise additional capital due to market conditions or strategic considerations even if we believe we have sufficient funds for our current or future operating plans. To the extent that we raise additional capital through the sale of equity securities, the issuance of such securities could result in further dilution to our stockholders.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As of the date of this prospectus, our authorized capital stock consists of 400,000,000 shares of common stock, $0.001 par value per share, and 10,000,000 shares of preferred stock, $0.001 par value per share.</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following summary description of our capital stock is based on the provisions of our amended and restated certificate of incorporation, our amended and restated bylaws and applicable provisions of the General Corporation Law of the State of Delaware. The description is intended as a summary, and is qualified in its entirety by reference to our amended and restated certificate of incorporation, our amended and restated bylaws and the General Corporation Law of the State of Delaware. For information on how to obtain copies of our amended and restated certificate of incorporation and our amended and restated bylaws, which are exhibits to the registration statement of which this prospectus is a part, see “Where You Can Find Additional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 addition to any vote of holders of a specific class or series, or required by law or the amended and restated certificate of incorporation, the affirmative vote of holders of at least 66 2/3% of the voting power of all of the then outstanding shares of capital stock, voting as a single class, is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Subject to preferences that may apply to any outstanding preferred stock, holders of our common stock are entitled to receive ratably any dividends that our board of directors may declare out of funds legally available for that purpose.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all assets remaining after payment of liabilities and the liquidation preference of any outstanding preferred stock.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and Preferences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Fully Paid and Nonassessable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we issue shares of common stock under this prospectus, the shares will be fully paid and nonassessable.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w:t>
      </w:r>
    </w:p>
    <w:p>
      <w:pPr>
        <w:spacing w:after="0" w:line="17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Our board of directors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82"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procedures for any auction and remarketing;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provisions for any sinking fund;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30"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voting rights of the preferred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preemptive rights;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transfer, sale or other assignment;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discussion of material U.S. federal income tax considerations applicable to the preferred stock;</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320" w:top="459" w:right="5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153" w:lineRule="exact"/>
        <w:rPr>
          <w:rFonts w:ascii="Arial" w:cs="Arial" w:eastAsia="Arial" w:hAnsi="Arial"/>
          <w:sz w:val="16"/>
          <w:szCs w:val="16"/>
          <w:color w:val="auto"/>
        </w:rPr>
      </w:pPr>
    </w:p>
    <w:p>
      <w:pPr>
        <w:ind w:left="1080" w:right="6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we issue shares of preferred stock under this prospectus, the shares will be fully paid and non-assessable.</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Unless we specify otherwise in the applicable prospectus supplement, the preferred stock will rank, with respect to dividends and upon our liquidation, dissolution or winding up:</w:t>
      </w:r>
    </w:p>
    <w:p>
      <w:pPr>
        <w:spacing w:after="0" w:line="76"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senior to all classes or series of our common stock and to all of our equity securities ranking junior to the preferred stock;</w:t>
      </w:r>
    </w:p>
    <w:p>
      <w:pPr>
        <w:spacing w:after="0" w:line="130"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 parity with all of our equity securities the terms of which specifically provide that the equity securities rank on a parity with the preferred stock;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junior to all of our equity securities the terms of which specifically provide that the equity securities rank senior to the preferred stock.</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w:t>
      </w:r>
    </w:p>
    <w:p>
      <w:pPr>
        <w:spacing w:after="0" w:line="288" w:lineRule="exact"/>
        <w:rPr>
          <w:sz w:val="20"/>
          <w:szCs w:val="20"/>
          <w:color w:val="auto"/>
        </w:rPr>
      </w:pPr>
    </w:p>
    <w:p>
      <w:pPr>
        <w:ind w:left="120" w:right="3200"/>
        <w:spacing w:after="0" w:line="378" w:lineRule="auto"/>
        <w:rPr>
          <w:sz w:val="20"/>
          <w:szCs w:val="20"/>
          <w:color w:val="auto"/>
        </w:rPr>
      </w:pPr>
      <w:r>
        <w:rPr>
          <w:rFonts w:ascii="Arial" w:cs="Arial" w:eastAsia="Arial" w:hAnsi="Arial"/>
          <w:sz w:val="18"/>
          <w:szCs w:val="18"/>
          <w:b w:val="1"/>
          <w:bCs w:val="1"/>
          <w:color w:val="auto"/>
        </w:rPr>
        <w:t xml:space="preserve">Anti-takeover Effects of Provisions of our Certificate of Incorporation and Bylaws and Delaware Law </w:t>
      </w:r>
      <w:r>
        <w:rPr>
          <w:rFonts w:ascii="Arial" w:cs="Arial" w:eastAsia="Arial" w:hAnsi="Arial"/>
          <w:sz w:val="18"/>
          <w:szCs w:val="18"/>
          <w:i w:val="1"/>
          <w:iCs w:val="1"/>
          <w:color w:val="auto"/>
        </w:rPr>
        <w:t>Certificate of Incorporation and Bylaws</w:t>
      </w:r>
    </w:p>
    <w:p>
      <w:pPr>
        <w:ind w:left="120" w:right="4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include a number of provisions that may deter or impede hostile takeovers or changes of control or management. These provisions include:</w:t>
      </w:r>
    </w:p>
    <w:p>
      <w:pPr>
        <w:spacing w:after="0" w:line="76" w:lineRule="exact"/>
        <w:rPr>
          <w:sz w:val="20"/>
          <w:szCs w:val="20"/>
          <w:color w:val="auto"/>
        </w:rPr>
      </w:pPr>
    </w:p>
    <w:p>
      <w:pPr>
        <w:ind w:left="1080" w:hanging="532"/>
        <w:spacing w:after="0" w:line="279"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10,000,000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w:t>
      </w:r>
    </w:p>
    <w:p>
      <w:pPr>
        <w:spacing w:after="0" w:line="76"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Classified Board: </w:t>
      </w:r>
      <w:r>
        <w:rPr>
          <w:rFonts w:ascii="Arial" w:cs="Arial" w:eastAsia="Arial" w:hAnsi="Arial"/>
          <w:sz w:val="18"/>
          <w:szCs w:val="18"/>
          <w:color w:val="auto"/>
        </w:rPr>
        <w:t>Our amended and restated certificate of incorporation provides for a classified board of directors consisting of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classes of directors, with staggered three-year terms. Only one class of directors will be elected at each annual meeting of our stockholders, with the other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540"/>
        <w:spacing w:after="0" w:line="277" w:lineRule="auto"/>
        <w:rPr>
          <w:sz w:val="20"/>
          <w:szCs w:val="20"/>
          <w:color w:val="auto"/>
        </w:rPr>
      </w:pPr>
      <w:r>
        <w:rPr>
          <w:rFonts w:ascii="Arial" w:cs="Arial" w:eastAsia="Arial" w:hAnsi="Arial"/>
          <w:sz w:val="18"/>
          <w:szCs w:val="18"/>
          <w:color w:val="auto"/>
        </w:rPr>
        <w:t>classes continuing for the remainder of their respective three-year terms. This provision may have the effect of delaying a change in control of our board.</w:t>
      </w:r>
    </w:p>
    <w:p>
      <w:pPr>
        <w:spacing w:after="0" w:line="76" w:lineRule="exact"/>
        <w:rPr>
          <w:sz w:val="20"/>
          <w:szCs w:val="20"/>
          <w:color w:val="auto"/>
        </w:rPr>
      </w:pPr>
    </w:p>
    <w:p>
      <w:pPr>
        <w:ind w:left="1080" w:right="20" w:hanging="532"/>
        <w:spacing w:after="0" w:line="275"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Board of Directors Vacancies: </w:t>
      </w:r>
      <w:r>
        <w:rPr>
          <w:rFonts w:ascii="Arial" w:cs="Arial" w:eastAsia="Arial" w:hAnsi="Arial"/>
          <w:sz w:val="17"/>
          <w:szCs w:val="17"/>
          <w:color w:val="auto"/>
        </w:rPr>
        <w:t>Our amended and restated certificate of incorporation and amended and restated bylaws authorize only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to fill vacant directorships, subject to the rights of the holders of any series of preferred stock or as otherwise provided by applicable law.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81" w:lineRule="exact"/>
        <w:rPr>
          <w:rFonts w:ascii="Arial" w:cs="Arial" w:eastAsia="Arial" w:hAnsi="Arial"/>
          <w:sz w:val="17"/>
          <w:szCs w:val="17"/>
          <w:color w:val="auto"/>
        </w:rPr>
      </w:pPr>
    </w:p>
    <w:p>
      <w:pPr>
        <w:ind w:left="1080" w:right="60" w:hanging="532"/>
        <w:spacing w:after="0" w:line="25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Stockholder Action; Special Meetings of Stockholders: </w:t>
      </w:r>
      <w:r>
        <w:rPr>
          <w:rFonts w:ascii="Arial" w:cs="Arial" w:eastAsia="Arial" w:hAnsi="Arial"/>
          <w:sz w:val="18"/>
          <w:szCs w:val="18"/>
          <w:color w:val="auto"/>
        </w:rPr>
        <w:t>Our amended and restated certificate of incorporation provides that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may not take action by written consent, but may only take action at annual or special meetings of our stockholders. Stockholders are not permitted to cumulate their votes for the election of directors. Our amended and restated bylaws provide that only the chairman of our board of directors, our chief executive officer, or a majority of our board of directors may call special meetings of our stockholders.</w:t>
      </w:r>
    </w:p>
    <w:p>
      <w:pPr>
        <w:spacing w:after="0" w:line="93" w:lineRule="exact"/>
        <w:rPr>
          <w:rFonts w:ascii="Arial" w:cs="Arial" w:eastAsia="Arial" w:hAnsi="Arial"/>
          <w:sz w:val="18"/>
          <w:szCs w:val="18"/>
          <w:color w:val="auto"/>
        </w:rPr>
      </w:pPr>
    </w:p>
    <w:p>
      <w:pPr>
        <w:ind w:left="1080" w:right="60" w:hanging="532"/>
        <w:spacing w:after="0" w:line="275"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 Notice Requirements for Stockholder Proposals and Director Nominations: </w:t>
      </w:r>
      <w:r>
        <w:rPr>
          <w:rFonts w:ascii="Arial" w:cs="Arial" w:eastAsia="Arial" w:hAnsi="Arial"/>
          <w:sz w:val="17"/>
          <w:szCs w:val="17"/>
          <w:color w:val="auto"/>
        </w:rPr>
        <w:t>Our amended and restated bylaws provide advance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176"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Section 203 of the Delaware General Corporation Law</w:t>
      </w:r>
    </w:p>
    <w:p>
      <w:pPr>
        <w:spacing w:after="0" w:line="117"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We are subject to Section 203 of the General Corporation Law of the State of Delaware, or the DGCL, which prohibits a Delaware corporation from engaging in a business combination with any interested stockholder for a period of three years following the date the person became an interested stockholder, with the following exceptions:</w:t>
      </w:r>
    </w:p>
    <w:p>
      <w:pPr>
        <w:spacing w:after="0" w:line="89" w:lineRule="exact"/>
        <w:rPr>
          <w:sz w:val="20"/>
          <w:szCs w:val="20"/>
          <w:color w:val="auto"/>
        </w:rPr>
      </w:pPr>
    </w:p>
    <w:p>
      <w:pPr>
        <w:ind w:left="1080" w:right="18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holder;</w:t>
      </w:r>
    </w:p>
    <w:p>
      <w:pPr>
        <w:spacing w:after="0" w:line="75" w:lineRule="exact"/>
        <w:rPr>
          <w:rFonts w:ascii="Arial" w:cs="Arial" w:eastAsia="Arial" w:hAnsi="Arial"/>
          <w:sz w:val="18"/>
          <w:szCs w:val="18"/>
          <w:color w:val="auto"/>
        </w:rPr>
      </w:pPr>
    </w:p>
    <w:p>
      <w:pPr>
        <w:ind w:left="1080" w:hanging="532"/>
        <w:spacing w:after="0" w:line="296"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(a) by persons who are directors and also officers and (b) pursuant to employee stock plans in which employee participants do not have the right to determine confidentially whether shares held subject to the plan will be tendered in a tender or exchange offer; and</w:t>
      </w:r>
    </w:p>
    <w:p>
      <w:pPr>
        <w:spacing w:after="0" w:line="66" w:lineRule="exact"/>
        <w:rPr>
          <w:rFonts w:ascii="Arial" w:cs="Arial" w:eastAsia="Arial" w:hAnsi="Arial"/>
          <w:sz w:val="16"/>
          <w:szCs w:val="16"/>
          <w:color w:val="auto"/>
        </w:rPr>
      </w:pPr>
    </w:p>
    <w:p>
      <w:pPr>
        <w:ind w:left="1080" w:right="12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affirmative vote of at least 66 2/3% of the outstanding voting stock that is not owned by the interested stockholder.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31"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A Delaware corporation may opt out of these provisions with an express provision in its certificate of incorporation. We have not opted out of these provisions, which may, as a result, discourage or prevent mergers or other takeover or change in control attempts of 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will be the exclusive forum for the following types of actions or proceedings under Delaware statutory or common law: (i) any derivative action or proceeding brought on our behalf;</w:t>
      </w:r>
    </w:p>
    <w:p>
      <w:pPr>
        <w:ind w:left="120" w:right="40" w:hanging="4"/>
        <w:spacing w:after="0" w:line="252" w:lineRule="auto"/>
        <w:tabs>
          <w:tab w:leader="none" w:pos="3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 amended and restated bylaws; or (iv) any action asserting a claim against us or any director or officer or other employee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transfer agent and registrar for our common stock is American Stock Transfer &amp; Trust Company, LLC.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Select Market under the symbol “NGM.”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We have entered into a sales agreement with Jefferies, under which we may offer and sell up to $150,000,000 of our shares of common stock from time to time through Jefferies acting as agent. Sales of our shares of common stock, if any, under this prospectus will be made by any method that is deemed to be an “at the market offering” as defined in Rule 415(a)(4) under the Securities Act.</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92" w:lineRule="exact"/>
        <w:rPr>
          <w:sz w:val="20"/>
          <w:szCs w:val="20"/>
          <w:color w:val="auto"/>
        </w:rPr>
      </w:pPr>
    </w:p>
    <w:p>
      <w:pPr>
        <w:jc w:val="both"/>
        <w:ind w:left="120" w:right="280"/>
        <w:spacing w:after="0" w:line="259" w:lineRule="auto"/>
        <w:rPr>
          <w:sz w:val="20"/>
          <w:szCs w:val="20"/>
          <w:color w:val="auto"/>
        </w:rPr>
      </w:pPr>
      <w:r>
        <w:rPr>
          <w:rFonts w:ascii="Arial" w:cs="Arial" w:eastAsia="Arial" w:hAnsi="Arial"/>
          <w:sz w:val="18"/>
          <w:szCs w:val="18"/>
          <w:color w:val="auto"/>
        </w:rPr>
        <w:t>The settlement of sales of shares between us and Jefferies is generally anticipated to occur on the second trading day following the date on which the sale was made. Sales of our shares of common stock as contemplated in this prospectus will be settled through the facilities of The Depository Trust Company or by such other means as we and Jefferies may agree upon. There is no arrangement for funds to be received in an escrow, trust or similar arrangement.</w:t>
      </w:r>
    </w:p>
    <w:p>
      <w:pPr>
        <w:spacing w:after="0" w:line="18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$50,000, in addition to certain ongoing disbursements of its legal counsel. We estimate that the total expenses for the offering, excluding any commissions or expense reimbursement payable to Jefferies under the terms of the sales agreement, will be approximately $950,000. The remaining sale proceeds, after deducting any other transaction fees, will equal our net proceeds from the sale of such shares.</w:t>
      </w:r>
    </w:p>
    <w:p>
      <w:pPr>
        <w:spacing w:after="0" w:line="19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Jefferies will provide written confirmation to us before the open on The Nasdaq Global Select Market on the day following each day on which our shares of common stock are sold under the sales agreement. Each confirmation will include the number of shares sold on that day, the aggregate gross proceeds of such sales and the proceeds to us.</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trading days’ prior notice.</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This summary of the material provisions of the sales agreement does not purport to be a complete statement of its terms and conditions. A copy of the sales agreement is filed as an exhibit to the registration statement of which this prospectus forms a part.</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its own account or for the accounts of customers, and, accordingly, Jefferies may at any time hold long or short positions in such securities.</w:t>
      </w:r>
    </w:p>
    <w:p>
      <w:pPr>
        <w:spacing w:after="0" w:line="237" w:lineRule="exact"/>
        <w:rPr>
          <w:sz w:val="20"/>
          <w:szCs w:val="20"/>
          <w:color w:val="auto"/>
        </w:rPr>
      </w:pPr>
    </w:p>
    <w:p>
      <w:pPr>
        <w:jc w:val="center"/>
        <w:ind w:left="440"/>
        <w:spacing w:after="0" w:line="449" w:lineRule="auto"/>
        <w:rPr>
          <w:sz w:val="20"/>
          <w:szCs w:val="20"/>
          <w:color w:val="auto"/>
        </w:rPr>
      </w:pPr>
      <w:r>
        <w:rPr>
          <w:rFonts w:ascii="Arial" w:cs="Arial" w:eastAsia="Arial" w:hAnsi="Arial"/>
          <w:sz w:val="18"/>
          <w:szCs w:val="18"/>
          <w:color w:val="auto"/>
        </w:rPr>
        <w:t>A prospectus in electronic format may be made available on a website maintained by Jefferies, and Jefferies may distribute the prospectus electronically. 18</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Cooley LLP is serving as our counsel in this offering. Davis Polk &amp; Wardwell LLP is acting as counsel for Jefferies in connection with certain legal matters relating to the shares of common stock offered by this prospectus. GC&amp;H Investments, LLC, an entity that includes current and former partners and associates of Cooley LLP, beneficially owns 10,000 shares of our common stock.</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2019, as set forth in their report, which is incorporated by reference in this prospectus and elsewhere in this registration statement. Our consolidated financial statements are incorporated by reference in reliance on Ernst &amp; Young LLP’s report, given on their authority as experts in accounting and auditing.</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001-38853):</w:t>
      </w:r>
    </w:p>
    <w:p>
      <w:pPr>
        <w:spacing w:after="0" w:line="98"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2">
        <w:r>
          <w:rPr>
            <w:rFonts w:ascii="Arial" w:cs="Arial" w:eastAsia="Arial" w:hAnsi="Arial"/>
            <w:sz w:val="18"/>
            <w:szCs w:val="18"/>
            <w:u w:val="single" w:color="auto"/>
            <w:color w:val="0000EE"/>
          </w:rPr>
          <w:t>Form 10-K</w:t>
        </w:r>
      </w:hyperlink>
      <w:r>
        <w:rPr>
          <w:rFonts w:ascii="Arial" w:cs="Arial" w:eastAsia="Arial" w:hAnsi="Arial"/>
          <w:sz w:val="18"/>
          <w:szCs w:val="18"/>
          <w:color w:val="auto"/>
        </w:rPr>
        <w:t>, for the year ended December 31, 2019, filed with the SEC on March 17, 2020;</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63">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April 8, 2020 (excluding those portions that are not incorporated by reference into our Annual Report on Form 10-K for the year ended December 31, 2019);</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64">
        <w:r>
          <w:rPr>
            <w:rFonts w:ascii="Arial" w:cs="Arial" w:eastAsia="Arial" w:hAnsi="Arial"/>
            <w:sz w:val="18"/>
            <w:szCs w:val="18"/>
            <w:u w:val="single" w:color="auto"/>
            <w:color w:val="0000EE"/>
          </w:rPr>
          <w:t>Form 10-Q</w:t>
        </w:r>
      </w:hyperlink>
      <w:r>
        <w:rPr>
          <w:rFonts w:ascii="Arial" w:cs="Arial" w:eastAsia="Arial" w:hAnsi="Arial"/>
          <w:sz w:val="18"/>
          <w:szCs w:val="18"/>
          <w:color w:val="auto"/>
        </w:rPr>
        <w:t>, for the quarter ended March 31, 2020, filed with the SEC on May 13, 2020;</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65">
        <w:r>
          <w:rPr>
            <w:rFonts w:ascii="Arial" w:cs="Arial" w:eastAsia="Arial" w:hAnsi="Arial"/>
            <w:sz w:val="17"/>
            <w:szCs w:val="17"/>
            <w:u w:val="single" w:color="auto"/>
            <w:color w:val="0000EE"/>
          </w:rPr>
          <w:t>February 13, 2020</w:t>
        </w:r>
      </w:hyperlink>
      <w:r>
        <w:rPr>
          <w:rFonts w:ascii="Arial" w:cs="Arial" w:eastAsia="Arial" w:hAnsi="Arial"/>
          <w:sz w:val="17"/>
          <w:szCs w:val="17"/>
          <w:color w:val="auto"/>
        </w:rPr>
        <w:t xml:space="preserve">, </w:t>
      </w:r>
      <w:hyperlink r:id="rId66">
        <w:r>
          <w:rPr>
            <w:rFonts w:ascii="Arial" w:cs="Arial" w:eastAsia="Arial" w:hAnsi="Arial"/>
            <w:sz w:val="17"/>
            <w:szCs w:val="17"/>
            <w:u w:val="single" w:color="auto"/>
            <w:color w:val="0000EE"/>
          </w:rPr>
          <w:t>February 24, 2020</w:t>
        </w:r>
      </w:hyperlink>
      <w:r>
        <w:rPr>
          <w:rFonts w:ascii="Arial" w:cs="Arial" w:eastAsia="Arial" w:hAnsi="Arial"/>
          <w:sz w:val="17"/>
          <w:szCs w:val="17"/>
          <w:color w:val="auto"/>
        </w:rPr>
        <w:t xml:space="preserve">, </w:t>
      </w:r>
      <w:hyperlink r:id="rId67">
        <w:r>
          <w:rPr>
            <w:rFonts w:ascii="Arial" w:cs="Arial" w:eastAsia="Arial" w:hAnsi="Arial"/>
            <w:sz w:val="17"/>
            <w:szCs w:val="17"/>
            <w:u w:val="single" w:color="auto"/>
            <w:color w:val="0000EE"/>
          </w:rPr>
          <w:t>March 9,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68">
        <w:r>
          <w:rPr>
            <w:rFonts w:ascii="Arial" w:cs="Arial" w:eastAsia="Arial" w:hAnsi="Arial"/>
            <w:sz w:val="17"/>
            <w:szCs w:val="17"/>
            <w:u w:val="single" w:color="auto"/>
            <w:color w:val="0000EE"/>
          </w:rPr>
          <w:t>May 27, 2020</w:t>
        </w:r>
      </w:hyperlink>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left="1080" w:right="6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69">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March 29, 2019, including any amendment or report filed for the purpose of updating such description.</w:t>
      </w:r>
    </w:p>
    <w:p>
      <w:pPr>
        <w:spacing w:after="0" w:line="103"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NGM Biopharmaceuticals,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333 Oyster Point Boulevard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both"/>
        <w:ind w:left="5080" w:right="4920" w:hanging="18"/>
        <w:spacing w:after="0" w:line="323" w:lineRule="auto"/>
        <w:tabs>
          <w:tab w:leader="none" w:pos="5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392-1768 Attn: Secretary</w:t>
      </w:r>
    </w:p>
    <w:p>
      <w:pPr>
        <w:spacing w:after="0" w:line="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271780</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622935</wp:posOffset>
            </wp:positionV>
            <wp:extent cx="1663065" cy="942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1663065" cy="94297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40"/>
        <w:spacing w:after="0"/>
        <w:rPr>
          <w:sz w:val="20"/>
          <w:szCs w:val="20"/>
          <w:color w:val="auto"/>
        </w:rPr>
      </w:pPr>
      <w:r>
        <w:rPr>
          <w:rFonts w:ascii="Arial" w:cs="Arial" w:eastAsia="Arial" w:hAnsi="Arial"/>
          <w:sz w:val="26"/>
          <w:szCs w:val="26"/>
          <w:b w:val="1"/>
          <w:bCs w:val="1"/>
          <w:color w:val="auto"/>
        </w:rPr>
        <w:t>$150,000,000</w:t>
      </w:r>
    </w:p>
    <w:p>
      <w:pPr>
        <w:spacing w:after="0" w:line="200" w:lineRule="exact"/>
        <w:rPr>
          <w:sz w:val="20"/>
          <w:szCs w:val="20"/>
          <w:color w:val="auto"/>
        </w:rPr>
      </w:pPr>
    </w:p>
    <w:p>
      <w:pPr>
        <w:spacing w:after="0" w:line="280"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427990</wp:posOffset>
            </wp:positionV>
            <wp:extent cx="1474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471805</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following table sets forth an estimate of the fees and expenses, other than the underwriting discounts and commissions, payable by the registrant in connection with the issuance and distribution of the securities being registered. All the amounts shown are estimates, except for the SEC registration fee and FINRA filing fee.</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gridSpan w:val="3"/>
          </w:tcPr>
          <w:p>
            <w:pPr>
              <w:spacing w:after="0"/>
              <w:rPr>
                <w:sz w:val="14"/>
                <w:szCs w:val="14"/>
                <w:color w:val="auto"/>
              </w:rPr>
            </w:pP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51,920</w:t>
            </w:r>
          </w:p>
        </w:tc>
        <w:tc>
          <w:tcPr>
            <w:tcW w:w="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The Nasdaq Global Select Market listing fee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60,500</w:t>
            </w:r>
          </w:p>
        </w:tc>
        <w:tc>
          <w:tcPr>
            <w:tcW w:w="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Printing and miscellaneous fees and expenses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These fees are calculated based on the securities offered and the number of issuances and accordingly cannot be estimated at this time.</w:t>
      </w:r>
    </w:p>
    <w:p>
      <w:pPr>
        <w:spacing w:after="0" w:line="381"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as currently in effect provides for indemnification of our directors, officers, employees and other agents to the maximum extent permitted by the Delaware General Corporation Law, and our bylaws as currently in effect provide for indemnification of our directors, officers, employees and other agents to the maximum extent permitted by the Delaware General Corporation Law.</w:t>
      </w:r>
    </w:p>
    <w:p>
      <w:pPr>
        <w:spacing w:after="0" w:line="192"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have entered and expect to continue to enter into agreements to indemnify our directors and executive officers. With certain exceptions, these agreements provide for indemnification for related expenses including, among other things, attorneys’ fees, judgments, fines and settlement amounts incurred by any of these individuals in any action or proceeding.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that might be incurred by any director or officer in his capacity as such.</w:t>
      </w:r>
    </w:p>
    <w:p>
      <w:pPr>
        <w:spacing w:after="0" w:line="170"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In an underwriting agreement we may enter into in connection with the sale of our securities being registered hereby, the underwriters will agree to indemnify, under certain circumstances, us, our officers, our directors, and our controlling persons within the meaning of the Securities Act, against certain liabilities.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5980" w:type="dxa"/>
            <w:vAlign w:val="bottom"/>
            <w:gridSpan w:val="7"/>
          </w:tcPr>
          <w:p>
            <w:pPr>
              <w:ind w:left="460"/>
              <w:spacing w:after="0"/>
              <w:rPr>
                <w:sz w:val="20"/>
                <w:szCs w:val="20"/>
                <w:color w:val="auto"/>
              </w:rPr>
            </w:pPr>
            <w:r>
              <w:rPr>
                <w:rFonts w:ascii="Arial" w:cs="Arial" w:eastAsia="Arial" w:hAnsi="Arial"/>
                <w:sz w:val="18"/>
                <w:szCs w:val="18"/>
                <w:b w:val="1"/>
                <w:bCs w:val="1"/>
                <w:color w:val="auto"/>
              </w:rPr>
              <w:t>Exhibits</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20" w:type="dxa"/>
            <w:vAlign w:val="bottom"/>
            <w:gridSpan w:val="2"/>
          </w:tcPr>
          <w:p>
            <w:pPr>
              <w:ind w:left="600"/>
              <w:spacing w:after="0"/>
              <w:rPr>
                <w:sz w:val="20"/>
                <w:szCs w:val="20"/>
                <w:color w:val="auto"/>
              </w:rPr>
            </w:pPr>
            <w:r>
              <w:rPr>
                <w:rFonts w:ascii="Arial" w:cs="Arial" w:eastAsia="Arial" w:hAnsi="Arial"/>
                <w:sz w:val="18"/>
                <w:szCs w:val="18"/>
                <w:b w:val="1"/>
                <w:bCs w:val="1"/>
                <w:color w:val="auto"/>
              </w:rPr>
              <w:t>EXHIBIT INDEX</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8"/>
          </w:tcPr>
          <w:p>
            <w:pPr>
              <w:ind w:left="600"/>
              <w:spacing w:after="0"/>
              <w:rPr>
                <w:sz w:val="20"/>
                <w:szCs w:val="20"/>
                <w:color w:val="auto"/>
              </w:rPr>
            </w:pPr>
            <w:r>
              <w:rPr>
                <w:rFonts w:ascii="Arial" w:cs="Arial" w:eastAsia="Arial" w:hAnsi="Arial"/>
                <w:sz w:val="14"/>
                <w:szCs w:val="14"/>
                <w:b w:val="1"/>
                <w:bCs w:val="1"/>
                <w:color w:val="auto"/>
              </w:rPr>
              <w:t>Incorporation by Reference</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2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48"/>
        </w:trPr>
        <w:tc>
          <w:tcPr>
            <w:tcW w:w="74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File Number</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Appendix</w:t>
            </w:r>
          </w:p>
        </w:tc>
        <w:tc>
          <w:tcPr>
            <w:tcW w:w="9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4"/>
              </w:rPr>
              <w:t>Filing Date</w:t>
            </w:r>
          </w:p>
        </w:tc>
        <w:tc>
          <w:tcPr>
            <w:tcW w:w="3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7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1"/>
              </w:rPr>
              <w:t>Reference</w:t>
            </w:r>
          </w:p>
        </w:tc>
        <w:tc>
          <w:tcPr>
            <w:tcW w:w="9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5980" w:type="dxa"/>
            <w:vAlign w:val="bottom"/>
            <w:gridSpan w:val="7"/>
          </w:tcPr>
          <w:p>
            <w:pPr>
              <w:spacing w:after="0"/>
              <w:rPr>
                <w:sz w:val="20"/>
                <w:szCs w:val="20"/>
                <w:color w:val="auto"/>
              </w:rPr>
            </w:pPr>
            <w:r>
              <w:rPr>
                <w:rFonts w:ascii="Arial" w:cs="Arial" w:eastAsia="Arial" w:hAnsi="Arial"/>
                <w:sz w:val="18"/>
                <w:szCs w:val="18"/>
                <w:color w:val="auto"/>
              </w:rPr>
              <w:t>Form of Underwriting Agreement.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2"/>
                <w:szCs w:val="22"/>
                <w:color w:val="auto"/>
              </w:rPr>
            </w:pPr>
          </w:p>
        </w:tc>
        <w:tc>
          <w:tcPr>
            <w:tcW w:w="2160" w:type="dxa"/>
            <w:vAlign w:val="bottom"/>
            <w:gridSpan w:val="2"/>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Open Market Sale Agreement</w:t>
              </w:r>
            </w:hyperlink>
          </w:p>
        </w:tc>
        <w:tc>
          <w:tcPr>
            <w:tcW w:w="220" w:type="dxa"/>
            <w:vAlign w:val="bottom"/>
            <w:tcBorders>
              <w:bottom w:val="single" w:sz="8" w:color="0000EE"/>
            </w:tcBorders>
            <w:gridSpan w:val="2"/>
          </w:tcPr>
          <w:p>
            <w:pPr>
              <w:spacing w:after="0"/>
              <w:rPr>
                <w:rFonts w:ascii="Arial" w:cs="Arial" w:eastAsia="Arial" w:hAnsi="Arial"/>
                <w:sz w:val="15"/>
                <w:szCs w:val="15"/>
                <w:color w:val="0000EE"/>
                <w:w w:val="88"/>
              </w:rPr>
            </w:pPr>
            <w:hyperlink w:anchor="page68">
              <w:r>
                <w:rPr>
                  <w:rFonts w:ascii="Arial" w:cs="Arial" w:eastAsia="Arial" w:hAnsi="Arial"/>
                  <w:sz w:val="15"/>
                  <w:szCs w:val="15"/>
                  <w:color w:val="0000EE"/>
                  <w:w w:val="88"/>
                </w:rPr>
                <w:t>SM</w:t>
              </w:r>
            </w:hyperlink>
          </w:p>
        </w:tc>
        <w:tc>
          <w:tcPr>
            <w:tcW w:w="3600" w:type="dxa"/>
            <w:vAlign w:val="bottom"/>
            <w:gridSpan w:val="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 dated June 5, 2020, between the registrant</w:t>
              </w:r>
            </w:hyperlink>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0000EE"/>
            </w:tcBorders>
          </w:tcPr>
          <w:p>
            <w:pPr>
              <w:spacing w:after="0" w:line="20" w:lineRule="exact"/>
              <w:rPr>
                <w:sz w:val="1"/>
                <w:szCs w:val="1"/>
                <w:color w:val="auto"/>
              </w:rPr>
            </w:pPr>
          </w:p>
        </w:tc>
        <w:tc>
          <w:tcPr>
            <w:tcW w:w="820" w:type="dxa"/>
            <w:vAlign w:val="bottom"/>
            <w:tcBorders>
              <w:bottom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120" w:type="dxa"/>
            <w:vAlign w:val="bottom"/>
            <w:tcBorders>
              <w:bottom w:val="single" w:sz="8" w:color="0000EE"/>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bottom w:val="single" w:sz="8" w:color="0000EE"/>
            </w:tcBorders>
          </w:tcPr>
          <w:p>
            <w:pPr>
              <w:spacing w:after="0" w:line="183"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and Jefferies LLC.</w:t>
              </w:r>
            </w:hyperlink>
          </w:p>
        </w:tc>
        <w:tc>
          <w:tcPr>
            <w:tcW w:w="4640" w:type="dxa"/>
            <w:vAlign w:val="bottom"/>
            <w:gridSpan w:val="6"/>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5980" w:type="dxa"/>
            <w:vAlign w:val="bottom"/>
            <w:gridSpan w:val="7"/>
          </w:tcPr>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Amended and Restated Certificate of Incorporation.</w:t>
              </w:r>
            </w:hyperlink>
          </w:p>
        </w:tc>
        <w:tc>
          <w:tcPr>
            <w:tcW w:w="3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gridSpan w:val="3"/>
          </w:tcPr>
          <w:p>
            <w:pPr>
              <w:jc w:val="center"/>
              <w:ind w:left="215"/>
              <w:spacing w:after="0"/>
              <w:rPr>
                <w:sz w:val="20"/>
                <w:szCs w:val="20"/>
                <w:color w:val="auto"/>
              </w:rPr>
            </w:pPr>
            <w:r>
              <w:rPr>
                <w:rFonts w:ascii="Arial" w:cs="Arial" w:eastAsia="Arial" w:hAnsi="Arial"/>
                <w:sz w:val="18"/>
                <w:szCs w:val="18"/>
                <w:color w:val="auto"/>
                <w:w w:val="90"/>
              </w:rPr>
              <w:t>001-38853</w:t>
            </w:r>
          </w:p>
        </w:tc>
        <w:tc>
          <w:tcPr>
            <w:tcW w:w="160" w:type="dxa"/>
            <w:vAlign w:val="bottom"/>
          </w:tcPr>
          <w:p>
            <w:pPr>
              <w:spacing w:after="0"/>
              <w:rPr>
                <w:sz w:val="24"/>
                <w:szCs w:val="24"/>
                <w:color w:val="auto"/>
              </w:rPr>
            </w:pPr>
          </w:p>
        </w:tc>
        <w:tc>
          <w:tcPr>
            <w:tcW w:w="740" w:type="dxa"/>
            <w:vAlign w:val="bottom"/>
            <w:gridSpan w:val="2"/>
          </w:tcPr>
          <w:p>
            <w:pPr>
              <w:jc w:val="center"/>
              <w:ind w:left="35"/>
              <w:spacing w:after="0"/>
              <w:rPr>
                <w:sz w:val="20"/>
                <w:szCs w:val="20"/>
                <w:color w:val="auto"/>
              </w:rPr>
            </w:pPr>
            <w:r>
              <w:rPr>
                <w:rFonts w:ascii="Arial" w:cs="Arial" w:eastAsia="Arial" w:hAnsi="Arial"/>
                <w:sz w:val="18"/>
                <w:szCs w:val="18"/>
                <w:color w:val="auto"/>
                <w:w w:val="87"/>
              </w:rPr>
              <w:t>3.1</w:t>
            </w:r>
          </w:p>
        </w:tc>
        <w:tc>
          <w:tcPr>
            <w:tcW w:w="940" w:type="dxa"/>
            <w:vAlign w:val="bottom"/>
            <w:gridSpan w:val="3"/>
          </w:tcPr>
          <w:p>
            <w:pPr>
              <w:jc w:val="center"/>
              <w:ind w:left="155"/>
              <w:spacing w:after="0"/>
              <w:rPr>
                <w:sz w:val="20"/>
                <w:szCs w:val="20"/>
                <w:color w:val="auto"/>
              </w:rPr>
            </w:pPr>
            <w:r>
              <w:rPr>
                <w:rFonts w:ascii="Arial" w:cs="Arial" w:eastAsia="Arial" w:hAnsi="Arial"/>
                <w:sz w:val="18"/>
                <w:szCs w:val="18"/>
                <w:color w:val="auto"/>
                <w:w w:val="91"/>
              </w:rPr>
              <w:t>4/8/19</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5980" w:type="dxa"/>
            <w:vAlign w:val="bottom"/>
            <w:gridSpan w:val="7"/>
          </w:tcPr>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Amended and Restated Bylaws.</w:t>
              </w:r>
            </w:hyperlink>
          </w:p>
        </w:tc>
        <w:tc>
          <w:tcPr>
            <w:tcW w:w="3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80" w:type="dxa"/>
            <w:vAlign w:val="bottom"/>
            <w:gridSpan w:val="4"/>
          </w:tcPr>
          <w:p>
            <w:pPr>
              <w:jc w:val="center"/>
              <w:ind w:left="75"/>
              <w:spacing w:after="0"/>
              <w:rPr>
                <w:sz w:val="20"/>
                <w:szCs w:val="20"/>
                <w:color w:val="auto"/>
              </w:rPr>
            </w:pPr>
            <w:r>
              <w:rPr>
                <w:rFonts w:ascii="Arial" w:cs="Arial" w:eastAsia="Arial" w:hAnsi="Arial"/>
                <w:sz w:val="18"/>
                <w:szCs w:val="18"/>
                <w:color w:val="auto"/>
                <w:w w:val="91"/>
              </w:rPr>
              <w:t>333-227608</w:t>
            </w:r>
          </w:p>
        </w:tc>
        <w:tc>
          <w:tcPr>
            <w:tcW w:w="740" w:type="dxa"/>
            <w:vAlign w:val="bottom"/>
            <w:gridSpan w:val="2"/>
          </w:tcPr>
          <w:p>
            <w:pPr>
              <w:jc w:val="center"/>
              <w:ind w:left="35"/>
              <w:spacing w:after="0"/>
              <w:rPr>
                <w:sz w:val="20"/>
                <w:szCs w:val="20"/>
                <w:color w:val="auto"/>
              </w:rPr>
            </w:pPr>
            <w:r>
              <w:rPr>
                <w:rFonts w:ascii="Arial" w:cs="Arial" w:eastAsia="Arial" w:hAnsi="Arial"/>
                <w:sz w:val="18"/>
                <w:szCs w:val="18"/>
                <w:color w:val="auto"/>
                <w:w w:val="87"/>
              </w:rPr>
              <w:t>3.4</w:t>
            </w:r>
          </w:p>
        </w:tc>
        <w:tc>
          <w:tcPr>
            <w:tcW w:w="940" w:type="dxa"/>
            <w:vAlign w:val="bottom"/>
            <w:gridSpan w:val="3"/>
          </w:tcPr>
          <w:p>
            <w:pPr>
              <w:jc w:val="center"/>
              <w:ind w:left="135"/>
              <w:spacing w:after="0"/>
              <w:rPr>
                <w:sz w:val="20"/>
                <w:szCs w:val="20"/>
                <w:color w:val="auto"/>
              </w:rPr>
            </w:pPr>
            <w:r>
              <w:rPr>
                <w:rFonts w:ascii="Arial" w:cs="Arial" w:eastAsia="Arial" w:hAnsi="Arial"/>
                <w:sz w:val="18"/>
                <w:szCs w:val="18"/>
                <w:color w:val="auto"/>
                <w:w w:val="93"/>
              </w:rPr>
              <w:t>9/28/18</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5980" w:type="dxa"/>
            <w:vAlign w:val="bottom"/>
            <w:gridSpan w:val="7"/>
          </w:tcPr>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Form of Common Stock Certificate.</w:t>
              </w:r>
            </w:hyperlink>
          </w:p>
        </w:tc>
        <w:tc>
          <w:tcPr>
            <w:tcW w:w="3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80" w:type="dxa"/>
            <w:vAlign w:val="bottom"/>
            <w:gridSpan w:val="4"/>
          </w:tcPr>
          <w:p>
            <w:pPr>
              <w:jc w:val="center"/>
              <w:ind w:left="75"/>
              <w:spacing w:after="0"/>
              <w:rPr>
                <w:sz w:val="20"/>
                <w:szCs w:val="20"/>
                <w:color w:val="auto"/>
              </w:rPr>
            </w:pPr>
            <w:r>
              <w:rPr>
                <w:rFonts w:ascii="Arial" w:cs="Arial" w:eastAsia="Arial" w:hAnsi="Arial"/>
                <w:sz w:val="18"/>
                <w:szCs w:val="18"/>
                <w:color w:val="auto"/>
                <w:w w:val="91"/>
              </w:rPr>
              <w:t>333-227608</w:t>
            </w:r>
          </w:p>
        </w:tc>
        <w:tc>
          <w:tcPr>
            <w:tcW w:w="740" w:type="dxa"/>
            <w:vAlign w:val="bottom"/>
            <w:gridSpan w:val="2"/>
          </w:tcPr>
          <w:p>
            <w:pPr>
              <w:jc w:val="center"/>
              <w:ind w:left="35"/>
              <w:spacing w:after="0"/>
              <w:rPr>
                <w:sz w:val="20"/>
                <w:szCs w:val="20"/>
                <w:color w:val="auto"/>
              </w:rPr>
            </w:pPr>
            <w:r>
              <w:rPr>
                <w:rFonts w:ascii="Arial" w:cs="Arial" w:eastAsia="Arial" w:hAnsi="Arial"/>
                <w:sz w:val="18"/>
                <w:szCs w:val="18"/>
                <w:color w:val="auto"/>
                <w:w w:val="87"/>
              </w:rPr>
              <w:t>4.2</w:t>
            </w:r>
          </w:p>
        </w:tc>
        <w:tc>
          <w:tcPr>
            <w:tcW w:w="940" w:type="dxa"/>
            <w:vAlign w:val="bottom"/>
            <w:gridSpan w:val="3"/>
          </w:tcPr>
          <w:p>
            <w:pPr>
              <w:jc w:val="center"/>
              <w:ind w:left="155"/>
              <w:spacing w:after="0"/>
              <w:rPr>
                <w:sz w:val="20"/>
                <w:szCs w:val="20"/>
                <w:color w:val="auto"/>
              </w:rPr>
            </w:pPr>
            <w:r>
              <w:rPr>
                <w:rFonts w:ascii="Arial" w:cs="Arial" w:eastAsia="Arial" w:hAnsi="Arial"/>
                <w:sz w:val="18"/>
                <w:szCs w:val="18"/>
                <w:color w:val="auto"/>
                <w:w w:val="91"/>
              </w:rPr>
              <w:t>4/1/19</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5980" w:type="dxa"/>
            <w:vAlign w:val="bottom"/>
            <w:gridSpan w:val="7"/>
          </w:tcPr>
          <w:p>
            <w:pPr>
              <w:spacing w:after="0"/>
              <w:rPr>
                <w:sz w:val="20"/>
                <w:szCs w:val="20"/>
                <w:color w:val="auto"/>
              </w:rPr>
            </w:pPr>
            <w:r>
              <w:rPr>
                <w:rFonts w:ascii="Arial" w:cs="Arial" w:eastAsia="Arial" w:hAnsi="Arial"/>
                <w:sz w:val="18"/>
                <w:szCs w:val="18"/>
                <w:color w:val="auto"/>
                <w:w w:val="98"/>
              </w:rPr>
              <w:t>Specimen Preferred Stock Certificate and Form of Certificate of Designation</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7"/>
          </w:tcPr>
          <w:p>
            <w:pPr>
              <w:spacing w:after="0"/>
              <w:rPr>
                <w:sz w:val="20"/>
                <w:szCs w:val="20"/>
                <w:color w:val="auto"/>
              </w:rPr>
            </w:pPr>
            <w:r>
              <w:rPr>
                <w:rFonts w:ascii="Arial" w:cs="Arial" w:eastAsia="Arial" w:hAnsi="Arial"/>
                <w:sz w:val="18"/>
                <w:szCs w:val="18"/>
                <w:color w:val="auto"/>
              </w:rPr>
              <w:t>of Preferred Stock.</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5980" w:type="dxa"/>
            <w:vAlign w:val="bottom"/>
            <w:gridSpan w:val="7"/>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Form of Debt Indenture.</w:t>
              </w:r>
            </w:hyperlink>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5980" w:type="dxa"/>
            <w:vAlign w:val="bottom"/>
            <w:gridSpan w:val="7"/>
          </w:tcPr>
          <w:p>
            <w:pPr>
              <w:spacing w:after="0"/>
              <w:rPr>
                <w:sz w:val="20"/>
                <w:szCs w:val="20"/>
                <w:color w:val="auto"/>
              </w:rPr>
            </w:pPr>
            <w:r>
              <w:rPr>
                <w:rFonts w:ascii="Arial" w:cs="Arial" w:eastAsia="Arial" w:hAnsi="Arial"/>
                <w:sz w:val="18"/>
                <w:szCs w:val="18"/>
                <w:color w:val="auto"/>
              </w:rPr>
              <w:t>Form of Debt Securities.</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5980" w:type="dxa"/>
            <w:vAlign w:val="bottom"/>
            <w:gridSpan w:val="7"/>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Form of Common Stock Warrant Agreement and Warrant Certificate.</w:t>
              </w:r>
            </w:hyperlink>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5980" w:type="dxa"/>
            <w:vAlign w:val="bottom"/>
            <w:gridSpan w:val="7"/>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Form of Preferred Stock Warrant Agreement and Warrant Certificate.</w:t>
              </w:r>
            </w:hyperlink>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5980" w:type="dxa"/>
            <w:vAlign w:val="bottom"/>
            <w:gridSpan w:val="7"/>
          </w:tcPr>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Form of Debt Securities Warrant Agreement and Warrant Certificate.</w:t>
              </w:r>
            </w:hyperlink>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5980" w:type="dxa"/>
            <w:vAlign w:val="bottom"/>
            <w:gridSpan w:val="7"/>
          </w:tcPr>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Opinion of Cooley LLP.</w:t>
              </w:r>
            </w:hyperlink>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23.1</w:t>
            </w:r>
          </w:p>
        </w:tc>
        <w:tc>
          <w:tcPr>
            <w:tcW w:w="220" w:type="dxa"/>
            <w:vAlign w:val="bottom"/>
          </w:tcPr>
          <w:p>
            <w:pPr>
              <w:spacing w:after="0"/>
              <w:rPr>
                <w:sz w:val="24"/>
                <w:szCs w:val="24"/>
                <w:color w:val="auto"/>
              </w:rPr>
            </w:pPr>
          </w:p>
        </w:tc>
        <w:tc>
          <w:tcPr>
            <w:tcW w:w="5980" w:type="dxa"/>
            <w:vAlign w:val="bottom"/>
            <w:gridSpan w:val="7"/>
          </w:tcPr>
          <w:p>
            <w:pPr>
              <w:spacing w:after="0"/>
              <w:rPr>
                <w:rFonts w:ascii="Arial" w:cs="Arial" w:eastAsia="Arial" w:hAnsi="Arial"/>
                <w:sz w:val="18"/>
                <w:szCs w:val="18"/>
                <w:u w:val="single" w:color="auto"/>
                <w:color w:val="0000EE"/>
                <w:w w:val="95"/>
              </w:rPr>
            </w:pPr>
            <w:hyperlink w:anchor="page206">
              <w:r>
                <w:rPr>
                  <w:rFonts w:ascii="Arial" w:cs="Arial" w:eastAsia="Arial" w:hAnsi="Arial"/>
                  <w:sz w:val="18"/>
                  <w:szCs w:val="18"/>
                  <w:u w:val="single" w:color="auto"/>
                  <w:color w:val="0000EE"/>
                  <w:w w:val="95"/>
                </w:rPr>
                <w:t>Consent of Ernst &amp; Young LLP, independent registered public accounting firm.</w:t>
              </w:r>
            </w:hyperlink>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23.2</w:t>
            </w:r>
          </w:p>
        </w:tc>
        <w:tc>
          <w:tcPr>
            <w:tcW w:w="220" w:type="dxa"/>
            <w:vAlign w:val="bottom"/>
          </w:tcPr>
          <w:p>
            <w:pPr>
              <w:spacing w:after="0"/>
              <w:rPr>
                <w:sz w:val="24"/>
                <w:szCs w:val="24"/>
                <w:color w:val="auto"/>
              </w:rPr>
            </w:pPr>
          </w:p>
        </w:tc>
        <w:tc>
          <w:tcPr>
            <w:tcW w:w="5980" w:type="dxa"/>
            <w:vAlign w:val="bottom"/>
            <w:gridSpan w:val="7"/>
          </w:tcPr>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Consent of Cooley LLP (included in Exhibit 5.1).</w:t>
              </w:r>
            </w:hyperlink>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24.1</w:t>
            </w:r>
          </w:p>
        </w:tc>
        <w:tc>
          <w:tcPr>
            <w:tcW w:w="220" w:type="dxa"/>
            <w:vAlign w:val="bottom"/>
          </w:tcPr>
          <w:p>
            <w:pPr>
              <w:spacing w:after="0"/>
              <w:rPr>
                <w:sz w:val="24"/>
                <w:szCs w:val="24"/>
                <w:color w:val="auto"/>
              </w:rPr>
            </w:pPr>
          </w:p>
        </w:tc>
        <w:tc>
          <w:tcPr>
            <w:tcW w:w="5980" w:type="dxa"/>
            <w:vAlign w:val="bottom"/>
            <w:gridSpan w:val="7"/>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Power of Attorney (See signature page).</w:t>
              </w:r>
            </w:hyperlink>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20" w:type="dxa"/>
            <w:vAlign w:val="bottom"/>
          </w:tcPr>
          <w:p>
            <w:pPr>
              <w:jc w:val="right"/>
              <w:ind w:right="32"/>
              <w:spacing w:after="0"/>
              <w:rPr>
                <w:sz w:val="20"/>
                <w:szCs w:val="20"/>
                <w:color w:val="auto"/>
              </w:rPr>
            </w:pPr>
            <w:r>
              <w:rPr>
                <w:rFonts w:ascii="Arial" w:cs="Arial" w:eastAsia="Arial" w:hAnsi="Arial"/>
                <w:sz w:val="18"/>
                <w:szCs w:val="18"/>
                <w:color w:val="auto"/>
                <w:w w:val="90"/>
              </w:rPr>
              <w:t>25.1*</w:t>
            </w:r>
          </w:p>
        </w:tc>
        <w:tc>
          <w:tcPr>
            <w:tcW w:w="220" w:type="dxa"/>
            <w:vAlign w:val="bottom"/>
          </w:tcPr>
          <w:p>
            <w:pPr>
              <w:spacing w:after="0"/>
              <w:rPr>
                <w:sz w:val="24"/>
                <w:szCs w:val="24"/>
                <w:color w:val="auto"/>
              </w:rPr>
            </w:pPr>
          </w:p>
        </w:tc>
        <w:tc>
          <w:tcPr>
            <w:tcW w:w="5980" w:type="dxa"/>
            <w:vAlign w:val="bottom"/>
            <w:gridSpan w:val="7"/>
          </w:tcPr>
          <w:p>
            <w:pPr>
              <w:spacing w:after="0"/>
              <w:rPr>
                <w:sz w:val="20"/>
                <w:szCs w:val="20"/>
                <w:color w:val="auto"/>
              </w:rPr>
            </w:pPr>
            <w:r>
              <w:rPr>
                <w:rFonts w:ascii="Arial" w:cs="Arial" w:eastAsia="Arial" w:hAnsi="Arial"/>
                <w:sz w:val="18"/>
                <w:szCs w:val="18"/>
                <w:color w:val="auto"/>
              </w:rPr>
              <w:t>Statement of Eligibility of Trustee under the Debt Indenture (to be filed</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7"/>
          </w:tcPr>
          <w:p>
            <w:pPr>
              <w:spacing w:after="0"/>
              <w:rPr>
                <w:sz w:val="20"/>
                <w:szCs w:val="20"/>
                <w:color w:val="auto"/>
              </w:rPr>
            </w:pPr>
            <w:r>
              <w:rPr>
                <w:rFonts w:ascii="Arial" w:cs="Arial" w:eastAsia="Arial" w:hAnsi="Arial"/>
                <w:sz w:val="18"/>
                <w:szCs w:val="18"/>
                <w:color w:val="auto"/>
              </w:rPr>
              <w:t>separately under the electronic form type 305B2, if applicable).</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80" w:right="1320" w:hanging="5364"/>
        <w:spacing w:after="0" w:line="449" w:lineRule="auto"/>
        <w:tabs>
          <w:tab w:leader="none" w:pos="5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be filed by amendment or as an exhibit to a Current Report on Form 8-K and incorporated herein by reference, if applicable. II-2</w:t>
      </w:r>
    </w:p>
    <w:p>
      <w:pPr>
        <w:sectPr>
          <w:pgSz w:w="11900" w:h="16838" w:orient="portrait"/>
          <w:cols w:equalWidth="0" w:num="1">
            <w:col w:w="11040"/>
          </w:cols>
          <w:pgMar w:left="320" w:top="459" w:right="5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780" w:hanging="224"/>
        <w:spacing w:after="0"/>
        <w:tabs>
          <w:tab w:leader="none" w:pos="7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560" w:right="260" w:hanging="4"/>
        <w:spacing w:after="0" w:line="254" w:lineRule="auto"/>
        <w:tabs>
          <w:tab w:leader="none" w:pos="825"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86" w:lineRule="exact"/>
        <w:rPr>
          <w:rFonts w:ascii="Arial" w:cs="Arial" w:eastAsia="Arial" w:hAnsi="Arial"/>
          <w:sz w:val="18"/>
          <w:szCs w:val="18"/>
          <w:color w:val="auto"/>
        </w:rPr>
      </w:pPr>
    </w:p>
    <w:p>
      <w:pPr>
        <w:ind w:left="560" w:right="560" w:hanging="4"/>
        <w:spacing w:after="0" w:line="277" w:lineRule="auto"/>
        <w:tabs>
          <w:tab w:leader="none" w:pos="875"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(1)(i), (1)(ii) and (1)(iii) do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92" w:lineRule="exact"/>
        <w:rPr>
          <w:sz w:val="20"/>
          <w:szCs w:val="20"/>
          <w:color w:val="auto"/>
        </w:rPr>
      </w:pPr>
    </w:p>
    <w:p>
      <w:pPr>
        <w:ind w:left="540" w:right="80" w:hanging="424"/>
        <w:spacing w:after="0" w:line="263"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89"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560" w:hanging="4"/>
        <w:spacing w:after="0" w:line="277" w:lineRule="auto"/>
        <w:tabs>
          <w:tab w:leader="none" w:pos="775" w:val="left"/>
        </w:tabs>
        <w:numPr>
          <w:ilvl w:val="1"/>
          <w:numId w:val="5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560" w:right="20" w:hanging="4"/>
        <w:spacing w:after="0" w:line="287" w:lineRule="auto"/>
        <w:tabs>
          <w:tab w:leader="none" w:pos="825"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5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Arial" w:cs="Arial" w:eastAsia="Arial" w:hAnsi="Arial"/>
          <w:sz w:val="18"/>
          <w:szCs w:val="18"/>
          <w:color w:val="auto"/>
        </w:rPr>
      </w:pPr>
    </w:p>
    <w:p>
      <w:pPr>
        <w:ind w:left="780" w:hanging="224"/>
        <w:spacing w:after="0"/>
        <w:tabs>
          <w:tab w:leader="none" w:pos="780" w:val="left"/>
        </w:tabs>
        <w:numPr>
          <w:ilvl w:val="2"/>
          <w:numId w:val="56"/>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560" w:right="620" w:hanging="4"/>
        <w:spacing w:after="0" w:line="277" w:lineRule="auto"/>
        <w:tabs>
          <w:tab w:leader="none" w:pos="825" w:val="left"/>
        </w:tabs>
        <w:numPr>
          <w:ilvl w:val="2"/>
          <w:numId w:val="5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560" w:hanging="4"/>
        <w:spacing w:after="0" w:line="277" w:lineRule="auto"/>
        <w:tabs>
          <w:tab w:leader="none" w:pos="875"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860" w:hanging="304"/>
        <w:spacing w:after="0"/>
        <w:tabs>
          <w:tab w:leader="none" w:pos="860" w:val="left"/>
        </w:tabs>
        <w:numPr>
          <w:ilvl w:val="2"/>
          <w:numId w:val="5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540" w:right="20" w:hanging="424"/>
        <w:spacing w:after="0" w:line="25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3" w:lineRule="exact"/>
        <w:rPr>
          <w:rFonts w:ascii="Arial" w:cs="Arial" w:eastAsia="Arial" w:hAnsi="Arial"/>
          <w:sz w:val="18"/>
          <w:szCs w:val="18"/>
          <w:color w:val="auto"/>
        </w:rPr>
      </w:pPr>
    </w:p>
    <w:p>
      <w:pPr>
        <w:ind w:left="540" w:hanging="424"/>
        <w:spacing w:after="0" w:line="291"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(i) the information omitted from the form of prospectus filed as part of the registration statement in reliance upon Rule 430A and contained in the form of prospectus filed by the registrant pursuant to Rule 424(b)(l) or</w:t>
      </w:r>
    </w:p>
    <w:p>
      <w:pPr>
        <w:ind w:left="800" w:hanging="252"/>
        <w:spacing w:after="0"/>
        <w:tabs>
          <w:tab w:leader="none" w:pos="8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a part of the registration statement as of the time it was declared effective; and</w:t>
      </w:r>
    </w:p>
    <w:p>
      <w:pPr>
        <w:spacing w:after="0" w:line="20" w:lineRule="exact"/>
        <w:rPr>
          <w:rFonts w:ascii="Arial" w:cs="Arial" w:eastAsia="Arial" w:hAnsi="Arial"/>
          <w:sz w:val="17"/>
          <w:szCs w:val="17"/>
          <w:color w:val="auto"/>
        </w:rPr>
      </w:pPr>
    </w:p>
    <w:p>
      <w:pPr>
        <w:ind w:left="540" w:right="120" w:firstLine="8"/>
        <w:spacing w:after="0" w:line="290" w:lineRule="auto"/>
        <w:tabs>
          <w:tab w:leader="none" w:pos="805" w:val="left"/>
        </w:tabs>
        <w:numPr>
          <w:ilvl w:val="2"/>
          <w:numId w:val="57"/>
        </w:numPr>
        <w:rPr>
          <w:rFonts w:ascii="Arial" w:cs="Arial" w:eastAsia="Arial" w:hAnsi="Arial"/>
          <w:sz w:val="17"/>
          <w:szCs w:val="17"/>
          <w:color w:val="auto"/>
        </w:rPr>
      </w:pPr>
      <w:r>
        <w:rPr>
          <w:rFonts w:ascii="Arial" w:cs="Arial" w:eastAsia="Arial" w:hAnsi="Arial"/>
          <w:sz w:val="17"/>
          <w:szCs w:val="17"/>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66" w:lineRule="exact"/>
        <w:rPr>
          <w:rFonts w:ascii="Arial" w:cs="Arial" w:eastAsia="Arial" w:hAnsi="Arial"/>
          <w:sz w:val="17"/>
          <w:szCs w:val="17"/>
          <w:color w:val="auto"/>
        </w:rPr>
      </w:pPr>
    </w:p>
    <w:p>
      <w:pPr>
        <w:ind w:left="540" w:right="140" w:hanging="424"/>
        <w:spacing w:after="0" w:line="342"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5" w:lineRule="exact"/>
        <w:rPr>
          <w:rFonts w:ascii="Arial" w:cs="Arial" w:eastAsia="Arial" w:hAnsi="Arial"/>
          <w:sz w:val="16"/>
          <w:szCs w:val="16"/>
          <w:color w:val="auto"/>
        </w:rPr>
      </w:pPr>
    </w:p>
    <w:p>
      <w:pPr>
        <w:ind w:left="560" w:right="40"/>
        <w:spacing w:after="0" w:line="290" w:lineRule="auto"/>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this 5th day of June, 2020.</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David J. Woodhouse, Ph.D.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 and Acting</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Financial Officer</w:t>
      </w:r>
    </w:p>
    <w:p>
      <w:pPr>
        <w:spacing w:after="0" w:line="1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500"/>
          </w:cols>
          <w:pgMar w:left="320" w:top="459" w:right="10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William J. Rieflin and</w:t>
      </w:r>
      <w:r>
        <w:rPr>
          <w:rFonts w:ascii="Arial" w:cs="Arial" w:eastAsia="Arial" w:hAnsi="Arial"/>
          <w:sz w:val="16"/>
          <w:szCs w:val="16"/>
          <w:b w:val="1"/>
          <w:bCs w:val="1"/>
          <w:color w:val="auto"/>
        </w:rPr>
        <w:t xml:space="preserve"> </w:t>
      </w:r>
      <w:r>
        <w:rPr>
          <w:rFonts w:ascii="Arial" w:cs="Arial" w:eastAsia="Arial" w:hAnsi="Arial"/>
          <w:sz w:val="16"/>
          <w:szCs w:val="16"/>
          <w:color w:val="auto"/>
        </w:rPr>
        <w:t>David J. Woodhouse, and each of them, as her or his true and lawful attorneys-in-fact and agents, with full powers of substitution and resubstitution, for her or him and in her or his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 under the Securities Act of 1933, as amended, and to file the same, with all exhibits thereto, and other documents in connection therewith, with the SEC, and generally to do all such things in her or his name and behalf in her or his capacities as officers and directors to enable NGM Biopharmaceuticals, Inc. to comply with the provisions of the Securities Act of 1933, as amended, and all requirements of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her or his substitutes or substitute, may lawfully do or cause to be done by virtue hereof.</w:t>
      </w:r>
    </w:p>
    <w:p>
      <w:pPr>
        <w:spacing w:after="0" w:line="16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120"/>
          </w:cols>
          <w:pgMar w:left="320" w:top="459" w:right="459" w:bottom="1440" w:gutter="0" w:footer="0" w:header="0"/>
        </w:sectPr>
      </w:pP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960" w:type="dxa"/>
            <w:vAlign w:val="bottom"/>
            <w:gridSpan w:val="3"/>
            <w:vMerge w:val="restart"/>
          </w:tcPr>
          <w:p>
            <w:pPr>
              <w:ind w:left="1380"/>
              <w:spacing w:after="0"/>
              <w:rPr>
                <w:sz w:val="20"/>
                <w:szCs w:val="20"/>
                <w:color w:val="auto"/>
              </w:rPr>
            </w:pPr>
            <w:r>
              <w:rPr>
                <w:rFonts w:ascii="Arial" w:cs="Arial" w:eastAsia="Arial" w:hAnsi="Arial"/>
                <w:sz w:val="18"/>
                <w:szCs w:val="18"/>
                <w:color w:val="auto"/>
              </w:rPr>
              <w:t>/s/  David J. Woodhouse</w:t>
            </w:r>
          </w:p>
        </w:tc>
        <w:tc>
          <w:tcPr>
            <w:tcW w:w="3780" w:type="dxa"/>
            <w:vAlign w:val="bottom"/>
            <w:gridSpan w:val="3"/>
          </w:tcPr>
          <w:p>
            <w:pPr>
              <w:jc w:val="center"/>
              <w:ind w:left="230"/>
              <w:spacing w:after="0"/>
              <w:rPr>
                <w:sz w:val="20"/>
                <w:szCs w:val="20"/>
                <w:color w:val="auto"/>
              </w:rPr>
            </w:pPr>
            <w:r>
              <w:rPr>
                <w:rFonts w:ascii="Arial" w:cs="Arial" w:eastAsia="Arial" w:hAnsi="Arial"/>
                <w:sz w:val="18"/>
                <w:szCs w:val="18"/>
                <w:color w:val="auto"/>
                <w:w w:val="94"/>
              </w:rPr>
              <w:t>Chief Executive Officer, Acting Chief Financial</w:t>
            </w:r>
          </w:p>
        </w:tc>
        <w:tc>
          <w:tcPr>
            <w:tcW w:w="0" w:type="dxa"/>
            <w:vAlign w:val="bottom"/>
          </w:tcPr>
          <w:p>
            <w:pPr>
              <w:spacing w:after="0"/>
              <w:rPr>
                <w:sz w:val="1"/>
                <w:szCs w:val="1"/>
                <w:color w:val="auto"/>
              </w:rPr>
            </w:pPr>
          </w:p>
        </w:tc>
      </w:tr>
      <w:tr>
        <w:trPr>
          <w:trHeight w:val="222"/>
        </w:trPr>
        <w:tc>
          <w:tcPr>
            <w:tcW w:w="4960" w:type="dxa"/>
            <w:vAlign w:val="bottom"/>
            <w:tcBorders>
              <w:bottom w:val="single" w:sz="8" w:color="auto"/>
            </w:tcBorders>
            <w:gridSpan w:val="3"/>
            <w:vMerge w:val="continue"/>
          </w:tcPr>
          <w:p>
            <w:pPr>
              <w:spacing w:after="0"/>
              <w:rPr>
                <w:sz w:val="18"/>
                <w:szCs w:val="18"/>
                <w:color w:val="auto"/>
              </w:rPr>
            </w:pPr>
          </w:p>
        </w:tc>
        <w:tc>
          <w:tcPr>
            <w:tcW w:w="3780" w:type="dxa"/>
            <w:vAlign w:val="bottom"/>
            <w:gridSpan w:val="3"/>
          </w:tcPr>
          <w:p>
            <w:pPr>
              <w:jc w:val="center"/>
              <w:ind w:left="230"/>
              <w:spacing w:after="0"/>
              <w:rPr>
                <w:sz w:val="20"/>
                <w:szCs w:val="20"/>
                <w:color w:val="auto"/>
              </w:rPr>
            </w:pPr>
            <w:r>
              <w:rPr>
                <w:rFonts w:ascii="Arial" w:cs="Arial" w:eastAsia="Arial" w:hAnsi="Arial"/>
                <w:sz w:val="18"/>
                <w:szCs w:val="18"/>
                <w:color w:val="auto"/>
                <w:w w:val="93"/>
              </w:rPr>
              <w:t>Officer and Director</w:t>
            </w:r>
          </w:p>
        </w:tc>
        <w:tc>
          <w:tcPr>
            <w:tcW w:w="0" w:type="dxa"/>
            <w:vAlign w:val="bottom"/>
          </w:tcPr>
          <w:p>
            <w:pPr>
              <w:spacing w:after="0"/>
              <w:rPr>
                <w:sz w:val="1"/>
                <w:szCs w:val="1"/>
                <w:color w:val="auto"/>
              </w:rPr>
            </w:pPr>
          </w:p>
        </w:tc>
      </w:tr>
      <w:tr>
        <w:trPr>
          <w:trHeight w:val="195"/>
        </w:trPr>
        <w:tc>
          <w:tcPr>
            <w:tcW w:w="496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0"/>
              </w:rPr>
              <w:t>David J. Woodhouse, Ph.D.</w:t>
            </w:r>
          </w:p>
        </w:tc>
        <w:tc>
          <w:tcPr>
            <w:tcW w:w="3780" w:type="dxa"/>
            <w:vAlign w:val="bottom"/>
            <w:gridSpan w:val="3"/>
          </w:tcPr>
          <w:p>
            <w:pPr>
              <w:jc w:val="center"/>
              <w:ind w:left="230"/>
              <w:spacing w:after="0" w:line="195" w:lineRule="exact"/>
              <w:rPr>
                <w:sz w:val="20"/>
                <w:szCs w:val="20"/>
                <w:color w:val="auto"/>
              </w:rPr>
            </w:pPr>
            <w:r>
              <w:rPr>
                <w:rFonts w:ascii="Arial" w:cs="Arial" w:eastAsia="Arial" w:hAnsi="Arial"/>
                <w:sz w:val="18"/>
                <w:szCs w:val="18"/>
                <w:i w:val="1"/>
                <w:iCs w:val="1"/>
                <w:color w:val="auto"/>
                <w:w w:val="94"/>
              </w:rPr>
              <w:t>(principal executive officer, principal financial</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780" w:type="dxa"/>
            <w:vAlign w:val="bottom"/>
            <w:gridSpan w:val="3"/>
          </w:tcPr>
          <w:p>
            <w:pPr>
              <w:jc w:val="center"/>
              <w:ind w:left="230"/>
              <w:spacing w:after="0"/>
              <w:rPr>
                <w:sz w:val="20"/>
                <w:szCs w:val="20"/>
                <w:color w:val="auto"/>
              </w:rPr>
            </w:pPr>
            <w:r>
              <w:rPr>
                <w:rFonts w:ascii="Arial" w:cs="Arial" w:eastAsia="Arial" w:hAnsi="Arial"/>
                <w:sz w:val="18"/>
                <w:szCs w:val="18"/>
                <w:i w:val="1"/>
                <w:iCs w:val="1"/>
                <w:color w:val="auto"/>
                <w:w w:val="94"/>
              </w:rPr>
              <w:t>officer and principal accounting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June 5, 2020</w:t>
      </w:r>
    </w:p>
    <w:p>
      <w:pPr>
        <w:spacing w:after="0" w:line="488" w:lineRule="exact"/>
        <w:rPr>
          <w:sz w:val="20"/>
          <w:szCs w:val="20"/>
          <w:color w:val="auto"/>
        </w:rPr>
      </w:pPr>
    </w:p>
    <w:p>
      <w:pPr>
        <w:sectPr>
          <w:pgSz w:w="11900" w:h="16838" w:orient="portrait"/>
          <w:cols w:equalWidth="0" w:num="2">
            <w:col w:w="9020" w:space="720"/>
            <w:col w:w="1380"/>
          </w:cols>
          <w:pgMar w:left="320" w:top="459" w:right="459" w:bottom="1440" w:gutter="0" w:footer="0" w:header="0"/>
          <w:type w:val="continuous"/>
        </w:sectPr>
      </w:pPr>
    </w:p>
    <w:tbl>
      <w:tblPr>
        <w:tblLayout w:type="fixed"/>
        <w:tblInd w:w="120" w:type="dxa"/>
        <w:tblCellMar>
          <w:top w:w="0" w:type="dxa"/>
          <w:left w:w="0" w:type="dxa"/>
          <w:bottom w:w="0" w:type="dxa"/>
          <w:right w:w="0" w:type="dxa"/>
        </w:tblCellMar>
      </w:tblPr>
      <w:tr>
        <w:trPr>
          <w:trHeight w:val="230"/>
        </w:trPr>
        <w:tc>
          <w:tcPr>
            <w:tcW w:w="14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tcPr>
          <w:p>
            <w:pPr>
              <w:jc w:val="center"/>
              <w:ind w:right="1750"/>
              <w:spacing w:after="0"/>
              <w:rPr>
                <w:sz w:val="20"/>
                <w:szCs w:val="20"/>
                <w:color w:val="auto"/>
              </w:rPr>
            </w:pPr>
            <w:r>
              <w:rPr>
                <w:rFonts w:ascii="Arial" w:cs="Arial" w:eastAsia="Arial" w:hAnsi="Arial"/>
                <w:sz w:val="18"/>
                <w:szCs w:val="18"/>
                <w:color w:val="auto"/>
                <w:w w:val="98"/>
              </w:rPr>
              <w:t>William J. Rieflin</w:t>
            </w:r>
          </w:p>
        </w:tc>
        <w:tc>
          <w:tcPr>
            <w:tcW w:w="4020" w:type="dxa"/>
            <w:vAlign w:val="bottom"/>
            <w:vMerge w:val="restart"/>
          </w:tcPr>
          <w:p>
            <w:pPr>
              <w:jc w:val="center"/>
              <w:spacing w:after="0"/>
              <w:rPr>
                <w:sz w:val="20"/>
                <w:szCs w:val="20"/>
                <w:color w:val="auto"/>
              </w:rPr>
            </w:pPr>
            <w:r>
              <w:rPr>
                <w:rFonts w:ascii="Arial" w:cs="Arial" w:eastAsia="Arial" w:hAnsi="Arial"/>
                <w:sz w:val="18"/>
                <w:szCs w:val="18"/>
                <w:color w:val="auto"/>
                <w:w w:val="91"/>
              </w:rPr>
              <w:t>Executive Chairman and Director</w:t>
            </w:r>
          </w:p>
        </w:tc>
        <w:tc>
          <w:tcPr>
            <w:tcW w:w="1560" w:type="dxa"/>
            <w:vAlign w:val="bottom"/>
            <w:vMerge w:val="restart"/>
          </w:tcPr>
          <w:p>
            <w:pPr>
              <w:ind w:left="640"/>
              <w:spacing w:after="0"/>
              <w:rPr>
                <w:sz w:val="20"/>
                <w:szCs w:val="20"/>
                <w:color w:val="auto"/>
              </w:rPr>
            </w:pPr>
            <w:r>
              <w:rPr>
                <w:rFonts w:ascii="Arial" w:cs="Arial" w:eastAsia="Arial" w:hAnsi="Arial"/>
                <w:sz w:val="18"/>
                <w:szCs w:val="18"/>
                <w:color w:val="auto"/>
                <w:w w:val="86"/>
              </w:rPr>
              <w:t>June 5, 2020</w:t>
            </w: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140" w:type="dxa"/>
            <w:vAlign w:val="bottom"/>
            <w:vMerge w:val="restart"/>
          </w:tcPr>
          <w:p>
            <w:pPr>
              <w:jc w:val="center"/>
              <w:ind w:right="1730"/>
              <w:spacing w:after="0"/>
              <w:rPr>
                <w:sz w:val="20"/>
                <w:szCs w:val="20"/>
                <w:color w:val="auto"/>
              </w:rPr>
            </w:pPr>
            <w:r>
              <w:rPr>
                <w:rFonts w:ascii="Arial" w:cs="Arial" w:eastAsia="Arial" w:hAnsi="Arial"/>
                <w:sz w:val="18"/>
                <w:szCs w:val="18"/>
                <w:color w:val="auto"/>
                <w:w w:val="96"/>
              </w:rPr>
              <w:t>William J. Rieflin</w:t>
            </w:r>
          </w:p>
        </w:tc>
        <w:tc>
          <w:tcPr>
            <w:tcW w:w="402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140" w:type="dxa"/>
            <w:vAlign w:val="bottom"/>
            <w:vMerge w:val="continue"/>
          </w:tcPr>
          <w:p>
            <w:pPr>
              <w:spacing w:after="0"/>
              <w:rPr>
                <w:sz w:val="10"/>
                <w:szCs w:val="10"/>
                <w:color w:val="auto"/>
              </w:rPr>
            </w:pPr>
          </w:p>
        </w:tc>
        <w:tc>
          <w:tcPr>
            <w:tcW w:w="40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tcPr>
          <w:p>
            <w:pPr>
              <w:jc w:val="center"/>
              <w:ind w:right="1730"/>
              <w:spacing w:after="0"/>
              <w:rPr>
                <w:sz w:val="20"/>
                <w:szCs w:val="20"/>
                <w:color w:val="auto"/>
              </w:rPr>
            </w:pPr>
            <w:r>
              <w:rPr>
                <w:rFonts w:ascii="Arial" w:cs="Arial" w:eastAsia="Arial" w:hAnsi="Arial"/>
                <w:sz w:val="18"/>
                <w:szCs w:val="18"/>
                <w:color w:val="auto"/>
                <w:w w:val="92"/>
              </w:rPr>
              <w:t>Jin-Long Chen</w:t>
            </w:r>
          </w:p>
        </w:tc>
        <w:tc>
          <w:tcPr>
            <w:tcW w:w="4020" w:type="dxa"/>
            <w:vAlign w:val="bottom"/>
          </w:tcPr>
          <w:p>
            <w:pPr>
              <w:jc w:val="center"/>
              <w:spacing w:after="0"/>
              <w:rPr>
                <w:sz w:val="20"/>
                <w:szCs w:val="20"/>
                <w:color w:val="auto"/>
              </w:rPr>
            </w:pPr>
            <w:r>
              <w:rPr>
                <w:rFonts w:ascii="Arial" w:cs="Arial" w:eastAsia="Arial" w:hAnsi="Arial"/>
                <w:sz w:val="18"/>
                <w:szCs w:val="18"/>
                <w:color w:val="auto"/>
                <w:w w:val="94"/>
              </w:rPr>
              <w:t>Chief Scientific Officer and Director</w:t>
            </w:r>
          </w:p>
        </w:tc>
        <w:tc>
          <w:tcPr>
            <w:tcW w:w="1560" w:type="dxa"/>
            <w:vAlign w:val="bottom"/>
          </w:tcPr>
          <w:p>
            <w:pPr>
              <w:ind w:left="640"/>
              <w:spacing w:after="0"/>
              <w:rPr>
                <w:sz w:val="20"/>
                <w:szCs w:val="20"/>
                <w:color w:val="auto"/>
              </w:rPr>
            </w:pPr>
            <w:r>
              <w:rPr>
                <w:rFonts w:ascii="Arial" w:cs="Arial" w:eastAsia="Arial" w:hAnsi="Arial"/>
                <w:sz w:val="18"/>
                <w:szCs w:val="18"/>
                <w:color w:val="auto"/>
                <w:w w:val="86"/>
              </w:rPr>
              <w:t>June 5, 2020</w:t>
            </w: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3520" w:type="dxa"/>
            <w:vAlign w:val="bottom"/>
            <w:gridSpan w:val="2"/>
          </w:tcPr>
          <w:p>
            <w:pPr>
              <w:jc w:val="center"/>
              <w:ind w:right="1350"/>
              <w:spacing w:after="0"/>
              <w:rPr>
                <w:sz w:val="20"/>
                <w:szCs w:val="20"/>
                <w:color w:val="auto"/>
              </w:rPr>
            </w:pPr>
            <w:r>
              <w:rPr>
                <w:rFonts w:ascii="Arial" w:cs="Arial" w:eastAsia="Arial" w:hAnsi="Arial"/>
                <w:sz w:val="18"/>
                <w:szCs w:val="18"/>
                <w:color w:val="auto"/>
                <w:w w:val="90"/>
              </w:rPr>
              <w:t>Jin-Long Chen, Ph.D.</w:t>
            </w:r>
          </w:p>
        </w:tc>
        <w:tc>
          <w:tcPr>
            <w:tcW w:w="4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tcPr>
          <w:p>
            <w:pPr>
              <w:jc w:val="center"/>
              <w:ind w:right="1750"/>
              <w:spacing w:after="0"/>
              <w:rPr>
                <w:sz w:val="20"/>
                <w:szCs w:val="20"/>
                <w:color w:val="auto"/>
              </w:rPr>
            </w:pPr>
            <w:r>
              <w:rPr>
                <w:rFonts w:ascii="Arial" w:cs="Arial" w:eastAsia="Arial" w:hAnsi="Arial"/>
                <w:sz w:val="18"/>
                <w:szCs w:val="18"/>
                <w:color w:val="auto"/>
                <w:w w:val="92"/>
              </w:rPr>
              <w:t>David V. Goeddel</w:t>
            </w: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ind w:left="640"/>
              <w:spacing w:after="0"/>
              <w:rPr>
                <w:sz w:val="20"/>
                <w:szCs w:val="20"/>
                <w:color w:val="auto"/>
              </w:rPr>
            </w:pPr>
            <w:r>
              <w:rPr>
                <w:rFonts w:ascii="Arial" w:cs="Arial" w:eastAsia="Arial" w:hAnsi="Arial"/>
                <w:sz w:val="18"/>
                <w:szCs w:val="18"/>
                <w:color w:val="auto"/>
                <w:w w:val="86"/>
              </w:rPr>
              <w:t>June 5, 2020</w:t>
            </w: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3520" w:type="dxa"/>
            <w:vAlign w:val="bottom"/>
            <w:gridSpan w:val="2"/>
          </w:tcPr>
          <w:p>
            <w:pPr>
              <w:jc w:val="center"/>
              <w:ind w:right="1350"/>
              <w:spacing w:after="0"/>
              <w:rPr>
                <w:sz w:val="20"/>
                <w:szCs w:val="20"/>
                <w:color w:val="auto"/>
              </w:rPr>
            </w:pPr>
            <w:r>
              <w:rPr>
                <w:rFonts w:ascii="Arial" w:cs="Arial" w:eastAsia="Arial" w:hAnsi="Arial"/>
                <w:sz w:val="18"/>
                <w:szCs w:val="18"/>
                <w:color w:val="auto"/>
                <w:w w:val="91"/>
              </w:rPr>
              <w:t>David V. Goeddel, Ph.D.</w:t>
            </w:r>
          </w:p>
        </w:tc>
        <w:tc>
          <w:tcPr>
            <w:tcW w:w="4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tcPr>
          <w:p>
            <w:pPr>
              <w:jc w:val="center"/>
              <w:ind w:right="1750"/>
              <w:spacing w:after="0"/>
              <w:rPr>
                <w:sz w:val="20"/>
                <w:szCs w:val="20"/>
                <w:color w:val="auto"/>
              </w:rPr>
            </w:pPr>
            <w:r>
              <w:rPr>
                <w:rFonts w:ascii="Arial" w:cs="Arial" w:eastAsia="Arial" w:hAnsi="Arial"/>
                <w:sz w:val="18"/>
                <w:szCs w:val="18"/>
                <w:color w:val="auto"/>
                <w:w w:val="93"/>
              </w:rPr>
              <w:t>Shelly D. Guyer</w:t>
            </w: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ind w:left="640"/>
              <w:spacing w:after="0"/>
              <w:rPr>
                <w:sz w:val="20"/>
                <w:szCs w:val="20"/>
                <w:color w:val="auto"/>
              </w:rPr>
            </w:pPr>
            <w:r>
              <w:rPr>
                <w:rFonts w:ascii="Arial" w:cs="Arial" w:eastAsia="Arial" w:hAnsi="Arial"/>
                <w:sz w:val="18"/>
                <w:szCs w:val="18"/>
                <w:color w:val="auto"/>
                <w:w w:val="86"/>
              </w:rPr>
              <w:t>June 5, 2020</w:t>
            </w: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tcPr>
          <w:p>
            <w:pPr>
              <w:jc w:val="center"/>
              <w:ind w:right="1730"/>
              <w:spacing w:after="0"/>
              <w:rPr>
                <w:sz w:val="20"/>
                <w:szCs w:val="20"/>
                <w:color w:val="auto"/>
              </w:rPr>
            </w:pPr>
            <w:r>
              <w:rPr>
                <w:rFonts w:ascii="Arial" w:cs="Arial" w:eastAsia="Arial" w:hAnsi="Arial"/>
                <w:sz w:val="18"/>
                <w:szCs w:val="18"/>
                <w:color w:val="auto"/>
                <w:w w:val="91"/>
              </w:rPr>
              <w:t>Shelly D. Guyer</w:t>
            </w:r>
          </w:p>
        </w:tc>
        <w:tc>
          <w:tcPr>
            <w:tcW w:w="4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gridSpan w:val="2"/>
          </w:tcPr>
          <w:p>
            <w:pPr>
              <w:jc w:val="center"/>
              <w:ind w:right="1370"/>
              <w:spacing w:after="0"/>
              <w:rPr>
                <w:sz w:val="20"/>
                <w:szCs w:val="20"/>
                <w:color w:val="auto"/>
              </w:rPr>
            </w:pPr>
            <w:r>
              <w:rPr>
                <w:rFonts w:ascii="Arial" w:cs="Arial" w:eastAsia="Arial" w:hAnsi="Arial"/>
                <w:sz w:val="18"/>
                <w:szCs w:val="18"/>
                <w:color w:val="auto"/>
                <w:w w:val="88"/>
              </w:rPr>
              <w:t>Suzanne Sawochka Hooper</w:t>
            </w: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ind w:left="640"/>
              <w:spacing w:after="0"/>
              <w:rPr>
                <w:sz w:val="20"/>
                <w:szCs w:val="20"/>
                <w:color w:val="auto"/>
              </w:rPr>
            </w:pPr>
            <w:r>
              <w:rPr>
                <w:rFonts w:ascii="Arial" w:cs="Arial" w:eastAsia="Arial" w:hAnsi="Arial"/>
                <w:sz w:val="18"/>
                <w:szCs w:val="18"/>
                <w:color w:val="auto"/>
                <w:w w:val="86"/>
              </w:rPr>
              <w:t>June 5, 2020</w:t>
            </w: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3520" w:type="dxa"/>
            <w:vAlign w:val="bottom"/>
            <w:gridSpan w:val="2"/>
          </w:tcPr>
          <w:p>
            <w:pPr>
              <w:jc w:val="center"/>
              <w:ind w:right="1350"/>
              <w:spacing w:after="0"/>
              <w:rPr>
                <w:sz w:val="20"/>
                <w:szCs w:val="20"/>
                <w:color w:val="auto"/>
              </w:rPr>
            </w:pPr>
            <w:r>
              <w:rPr>
                <w:rFonts w:ascii="Arial" w:cs="Arial" w:eastAsia="Arial" w:hAnsi="Arial"/>
                <w:sz w:val="18"/>
                <w:szCs w:val="18"/>
                <w:color w:val="auto"/>
                <w:w w:val="87"/>
              </w:rPr>
              <w:t>Suzanne Sawochka Hooper</w:t>
            </w:r>
          </w:p>
        </w:tc>
        <w:tc>
          <w:tcPr>
            <w:tcW w:w="4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tcPr>
          <w:p>
            <w:pPr>
              <w:jc w:val="center"/>
              <w:ind w:right="1730"/>
              <w:spacing w:after="0"/>
              <w:rPr>
                <w:sz w:val="20"/>
                <w:szCs w:val="20"/>
                <w:color w:val="auto"/>
              </w:rPr>
            </w:pPr>
            <w:r>
              <w:rPr>
                <w:rFonts w:ascii="Arial" w:cs="Arial" w:eastAsia="Arial" w:hAnsi="Arial"/>
                <w:sz w:val="18"/>
                <w:szCs w:val="18"/>
                <w:color w:val="auto"/>
                <w:w w:val="94"/>
              </w:rPr>
              <w:t>Mark Leschly</w:t>
            </w: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ind w:left="640"/>
              <w:spacing w:after="0"/>
              <w:rPr>
                <w:sz w:val="20"/>
                <w:szCs w:val="20"/>
                <w:color w:val="auto"/>
              </w:rPr>
            </w:pPr>
            <w:r>
              <w:rPr>
                <w:rFonts w:ascii="Arial" w:cs="Arial" w:eastAsia="Arial" w:hAnsi="Arial"/>
                <w:sz w:val="18"/>
                <w:szCs w:val="18"/>
                <w:color w:val="auto"/>
                <w:w w:val="86"/>
              </w:rPr>
              <w:t>June 5, 2020</w:t>
            </w: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tcPr>
          <w:p>
            <w:pPr>
              <w:jc w:val="center"/>
              <w:ind w:right="1730"/>
              <w:spacing w:after="0"/>
              <w:rPr>
                <w:sz w:val="20"/>
                <w:szCs w:val="20"/>
                <w:color w:val="auto"/>
              </w:rPr>
            </w:pPr>
            <w:r>
              <w:rPr>
                <w:rFonts w:ascii="Arial" w:cs="Arial" w:eastAsia="Arial" w:hAnsi="Arial"/>
                <w:sz w:val="18"/>
                <w:szCs w:val="18"/>
                <w:color w:val="auto"/>
                <w:w w:val="94"/>
              </w:rPr>
              <w:t>Mark Leschly</w:t>
            </w:r>
          </w:p>
        </w:tc>
        <w:tc>
          <w:tcPr>
            <w:tcW w:w="4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tcPr>
          <w:p>
            <w:pPr>
              <w:jc w:val="center"/>
              <w:ind w:right="1750"/>
              <w:spacing w:after="0"/>
              <w:rPr>
                <w:sz w:val="20"/>
                <w:szCs w:val="20"/>
                <w:color w:val="auto"/>
              </w:rPr>
            </w:pPr>
            <w:r>
              <w:rPr>
                <w:rFonts w:ascii="Arial" w:cs="Arial" w:eastAsia="Arial" w:hAnsi="Arial"/>
                <w:sz w:val="18"/>
                <w:szCs w:val="18"/>
                <w:color w:val="auto"/>
                <w:w w:val="92"/>
              </w:rPr>
              <w:t>David Schnell</w:t>
            </w: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ind w:left="640"/>
              <w:spacing w:after="0"/>
              <w:rPr>
                <w:sz w:val="20"/>
                <w:szCs w:val="20"/>
                <w:color w:val="auto"/>
              </w:rPr>
            </w:pPr>
            <w:r>
              <w:rPr>
                <w:rFonts w:ascii="Arial" w:cs="Arial" w:eastAsia="Arial" w:hAnsi="Arial"/>
                <w:sz w:val="18"/>
                <w:szCs w:val="18"/>
                <w:color w:val="auto"/>
                <w:w w:val="86"/>
              </w:rPr>
              <w:t>June 5, 2020</w:t>
            </w: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3520" w:type="dxa"/>
            <w:vAlign w:val="bottom"/>
            <w:gridSpan w:val="2"/>
          </w:tcPr>
          <w:p>
            <w:pPr>
              <w:jc w:val="center"/>
              <w:ind w:right="1350"/>
              <w:spacing w:after="0"/>
              <w:rPr>
                <w:sz w:val="20"/>
                <w:szCs w:val="20"/>
                <w:color w:val="auto"/>
              </w:rPr>
            </w:pPr>
            <w:r>
              <w:rPr>
                <w:rFonts w:ascii="Arial" w:cs="Arial" w:eastAsia="Arial" w:hAnsi="Arial"/>
                <w:sz w:val="18"/>
                <w:szCs w:val="18"/>
                <w:color w:val="auto"/>
                <w:w w:val="93"/>
              </w:rPr>
              <w:t>David Schnell, M.D.</w:t>
            </w:r>
          </w:p>
        </w:tc>
        <w:tc>
          <w:tcPr>
            <w:tcW w:w="4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gridSpan w:val="2"/>
          </w:tcPr>
          <w:p>
            <w:pPr>
              <w:jc w:val="center"/>
              <w:ind w:right="1370"/>
              <w:spacing w:after="0"/>
              <w:rPr>
                <w:sz w:val="20"/>
                <w:szCs w:val="20"/>
                <w:color w:val="auto"/>
              </w:rPr>
            </w:pPr>
            <w:r>
              <w:rPr>
                <w:rFonts w:ascii="Arial" w:cs="Arial" w:eastAsia="Arial" w:hAnsi="Arial"/>
                <w:sz w:val="18"/>
                <w:szCs w:val="18"/>
                <w:color w:val="auto"/>
                <w:w w:val="91"/>
              </w:rPr>
              <w:t>McHenry T. Tichenor, Jr.</w:t>
            </w: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ind w:left="640"/>
              <w:spacing w:after="0"/>
              <w:rPr>
                <w:sz w:val="20"/>
                <w:szCs w:val="20"/>
                <w:color w:val="auto"/>
              </w:rPr>
            </w:pPr>
            <w:r>
              <w:rPr>
                <w:rFonts w:ascii="Arial" w:cs="Arial" w:eastAsia="Arial" w:hAnsi="Arial"/>
                <w:sz w:val="18"/>
                <w:szCs w:val="18"/>
                <w:color w:val="auto"/>
                <w:w w:val="86"/>
              </w:rPr>
              <w:t>June 5, 2020</w:t>
            </w: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3520" w:type="dxa"/>
            <w:vAlign w:val="bottom"/>
            <w:gridSpan w:val="2"/>
          </w:tcPr>
          <w:p>
            <w:pPr>
              <w:jc w:val="center"/>
              <w:ind w:right="1350"/>
              <w:spacing w:after="0"/>
              <w:rPr>
                <w:sz w:val="20"/>
                <w:szCs w:val="20"/>
                <w:color w:val="auto"/>
              </w:rPr>
            </w:pPr>
            <w:r>
              <w:rPr>
                <w:rFonts w:ascii="Arial" w:cs="Arial" w:eastAsia="Arial" w:hAnsi="Arial"/>
                <w:sz w:val="18"/>
                <w:szCs w:val="18"/>
                <w:color w:val="auto"/>
                <w:w w:val="90"/>
              </w:rPr>
              <w:t>McHenry T. Tichenor, Jr.</w:t>
            </w:r>
          </w:p>
        </w:tc>
        <w:tc>
          <w:tcPr>
            <w:tcW w:w="4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59" w:right="45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OPEN MARKET SALE AGREEMENT</w:t>
      </w:r>
      <w:r>
        <w:rPr>
          <w:rFonts w:ascii="Arial" w:cs="Arial" w:eastAsia="Arial" w:hAnsi="Arial"/>
          <w:sz w:val="15"/>
          <w:szCs w:val="15"/>
          <w:b w:val="1"/>
          <w:bCs w:val="1"/>
          <w:color w:val="auto"/>
        </w:rPr>
        <w:t>SM</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300" w:firstLine="440"/>
        <w:spacing w:after="0" w:line="261" w:lineRule="auto"/>
        <w:rPr>
          <w:sz w:val="20"/>
          <w:szCs w:val="20"/>
          <w:color w:val="auto"/>
        </w:rPr>
      </w:pPr>
      <w:r>
        <w:rPr>
          <w:rFonts w:ascii="Arial" w:cs="Arial" w:eastAsia="Arial" w:hAnsi="Arial"/>
          <w:sz w:val="18"/>
          <w:szCs w:val="18"/>
          <w:color w:val="auto"/>
        </w:rPr>
        <w:t>NGM Biopharmaceuticals,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subject to the terms and conditions stated herein, to issue and sell from time to time through Jefferies LLC, as sales agent and/or principal (the “</w:t>
      </w:r>
      <w:r>
        <w:rPr>
          <w:rFonts w:ascii="Arial" w:cs="Arial" w:eastAsia="Arial" w:hAnsi="Arial"/>
          <w:sz w:val="18"/>
          <w:szCs w:val="18"/>
          <w:b w:val="1"/>
          <w:bCs w:val="1"/>
          <w:color w:val="auto"/>
        </w:rPr>
        <w:t>Agent</w:t>
      </w:r>
      <w:r>
        <w:rPr>
          <w:rFonts w:ascii="Arial" w:cs="Arial" w:eastAsia="Arial" w:hAnsi="Arial"/>
          <w:sz w:val="18"/>
          <w:szCs w:val="18"/>
          <w:color w:val="auto"/>
        </w:rPr>
        <w:t>”), shares of the Company’s common stock, par value $0.001 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having an aggregate offering price of up to $150,000,000 on the terms set forth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121" w:lineRule="exact"/>
        <w:rPr>
          <w:sz w:val="20"/>
          <w:szCs w:val="20"/>
          <w:color w:val="auto"/>
        </w:rPr>
      </w:pPr>
    </w:p>
    <w:p>
      <w:pPr>
        <w:ind w:right="720" w:firstLine="436"/>
        <w:spacing w:after="0" w:line="277" w:lineRule="auto"/>
        <w:tabs>
          <w:tab w:leader="none" w:pos="68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capitalized terms used herein and not otherwise defined shall have the following respective meanings:</w:t>
      </w:r>
    </w:p>
    <w:p>
      <w:pPr>
        <w:spacing w:after="0" w:line="166"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Agency Period</w:t>
      </w:r>
      <w:r>
        <w:rPr>
          <w:rFonts w:ascii="Arial" w:cs="Arial" w:eastAsia="Arial" w:hAnsi="Arial"/>
          <w:sz w:val="16"/>
          <w:szCs w:val="16"/>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715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SM</w:t>
      </w:r>
      <w:r>
        <w:rPr>
          <w:sz w:val="20"/>
          <w:szCs w:val="20"/>
          <w:color w:val="auto"/>
        </w:rPr>
        <w:tab/>
      </w:r>
      <w:r>
        <w:rPr>
          <w:rFonts w:ascii="Arial" w:cs="Arial" w:eastAsia="Arial" w:hAnsi="Arial"/>
          <w:sz w:val="18"/>
          <w:szCs w:val="18"/>
          <w:color w:val="auto"/>
        </w:rPr>
        <w:t>“Open Market Sale Agreement” is a service mark of Jefferies LLC</w:t>
      </w:r>
    </w:p>
    <w:p>
      <w:pPr>
        <w:sectPr>
          <w:pgSz w:w="11900" w:h="16838" w:orient="portrait"/>
          <w:cols w:equalWidth="0" w:num="1">
            <w:col w:w="11020"/>
          </w:cols>
          <w:pgMar w:left="440" w:top="121" w:right="439" w:bottom="1440" w:gutter="0" w:footer="0" w:header="0"/>
        </w:sectPr>
      </w:pPr>
    </w:p>
    <w:bookmarkStart w:id="68" w:name="page69"/>
    <w:bookmarkEnd w:id="6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xml:space="preserve">” means a written notice delivered to the Agent by the Company in accordance with this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is executed by its Chief Executive Officer, President or Chief Financial Officer.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87"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Select Market or such other national securities exchange on which the Common Shares, including any Shares, are then listed.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three percent (3.0%) of the gross proceeds of Shares sold pursuant to this Agreement, or as otherwise agreed between the Company and the Agent with respect to any Shares sold pursuant to this Agreement.</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69" w:name="page70"/>
    <w:bookmarkEnd w:id="6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Shares</w:t>
      </w:r>
      <w:r>
        <w:rPr>
          <w:rFonts w:ascii="Arial" w:cs="Arial" w:eastAsia="Arial" w:hAnsi="Arial"/>
          <w:sz w:val="18"/>
          <w:szCs w:val="18"/>
          <w:color w:val="auto"/>
        </w:rPr>
        <w:t>” shall mean the Company’s Common Shares issued or issuable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REPRESENTATIONS AND WARRANTIES OF THE COMPANY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represents and warrants to, and agrees with, the Agent that as of (1) the date of this Agreement, (2) each Issuance Notice Date,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 each Settlement Date, (4) each Triggering Event Date and (5) as of each Time of Sale (each of the times referenced above is referred to herein as a</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Representation Date</w:t>
      </w:r>
      <w:r>
        <w:rPr>
          <w:rFonts w:ascii="Arial" w:cs="Arial" w:eastAsia="Arial" w:hAnsi="Arial"/>
          <w:sz w:val="18"/>
          <w:szCs w:val="18"/>
          <w:color w:val="auto"/>
        </w:rPr>
        <w:t>”), except as may be disclosed in the Prospectus (including any documents incorporated by reference therein and any supplements thereto) on or before a Representation Date:</w:t>
      </w:r>
    </w:p>
    <w:p>
      <w:pPr>
        <w:spacing w:after="0" w:line="77" w:lineRule="exact"/>
        <w:rPr>
          <w:sz w:val="20"/>
          <w:szCs w:val="20"/>
          <w:color w:val="auto"/>
        </w:rPr>
      </w:pPr>
    </w:p>
    <w:p>
      <w:pPr>
        <w:ind w:firstLine="436"/>
        <w:spacing w:after="0" w:line="285" w:lineRule="auto"/>
        <w:tabs>
          <w:tab w:leader="none" w:pos="68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will file with the Commission a shelf registration statement on Form S-3 that contains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Base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from and after the time it is first provided to the Agent for such use. The Registration Statement at the time it originally became or becomes effective is herein called the “</w:t>
      </w:r>
      <w:r>
        <w:rPr>
          <w:rFonts w:ascii="Arial" w:cs="Arial" w:eastAsia="Arial" w:hAnsi="Arial"/>
          <w:sz w:val="16"/>
          <w:szCs w:val="16"/>
          <w:b w:val="1"/>
          <w:bCs w:val="1"/>
          <w:color w:val="auto"/>
        </w:rPr>
        <w:t>Original Registration Statement</w:t>
      </w:r>
      <w:r>
        <w:rPr>
          <w:rFonts w:ascii="Arial" w:cs="Arial" w:eastAsia="Arial" w:hAnsi="Arial"/>
          <w:sz w:val="16"/>
          <w:szCs w:val="16"/>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76" w:lineRule="exact"/>
        <w:rPr>
          <w:sz w:val="20"/>
          <w:szCs w:val="20"/>
          <w:color w:val="auto"/>
        </w:rPr>
      </w:pPr>
    </w:p>
    <w:p>
      <w:pPr>
        <w:jc w:val="both"/>
        <w:ind w:right="40" w:firstLine="440"/>
        <w:spacing w:after="0" w:line="279" w:lineRule="auto"/>
        <w:rPr>
          <w:sz w:val="20"/>
          <w:szCs w:val="20"/>
          <w:color w:val="auto"/>
        </w:rPr>
      </w:pPr>
      <w:r>
        <w:rPr>
          <w:rFonts w:ascii="Arial" w:cs="Arial" w:eastAsia="Arial" w:hAnsi="Arial"/>
          <w:sz w:val="17"/>
          <w:szCs w:val="17"/>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70" w:name="page71"/>
    <w:bookmarkEnd w:id="70"/>
    <w:p>
      <w:pPr>
        <w:ind w:right="3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14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At the time the Registration Statement was or will be originally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79" w:lineRule="exact"/>
        <w:rPr>
          <w:sz w:val="20"/>
          <w:szCs w:val="20"/>
          <w:color w:val="auto"/>
        </w:rPr>
      </w:pPr>
    </w:p>
    <w:p>
      <w:pPr>
        <w:ind w:firstLine="436"/>
        <w:spacing w:after="0" w:line="257"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Compliance with Registration Requirements</w:t>
      </w:r>
      <w:r>
        <w:rPr>
          <w:rFonts w:ascii="Arial" w:cs="Arial" w:eastAsia="Arial" w:hAnsi="Arial"/>
          <w:sz w:val="18"/>
          <w:szCs w:val="18"/>
          <w:color w:val="auto"/>
        </w:rPr>
        <w:t>. The Original Registration Statement and any Rule 462(b) Registration Statement have been or will be declared effective by the Commission under the Securities Act. The Company has complied or will comply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88" w:lineRule="exact"/>
        <w:rPr>
          <w:sz w:val="20"/>
          <w:szCs w:val="20"/>
          <w:color w:val="auto"/>
        </w:rPr>
      </w:pPr>
    </w:p>
    <w:p>
      <w:pPr>
        <w:ind w:right="40" w:firstLine="440"/>
        <w:spacing w:after="0" w:line="267" w:lineRule="auto"/>
        <w:rPr>
          <w:sz w:val="20"/>
          <w:szCs w:val="20"/>
          <w:color w:val="auto"/>
        </w:rPr>
      </w:pPr>
      <w:r>
        <w:rPr>
          <w:rFonts w:ascii="Arial" w:cs="Arial" w:eastAsia="Arial" w:hAnsi="Arial"/>
          <w:sz w:val="17"/>
          <w:szCs w:val="17"/>
          <w:color w:val="auto"/>
        </w:rPr>
        <w:t>The Prospectus as of its date complied or will comply in all material respects with the Securities Act and, if filed with the Commission through its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all subsequent times,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7"/>
          <w:szCs w:val="17"/>
          <w:b w:val="1"/>
          <w:bCs w:val="1"/>
          <w:color w:val="auto"/>
        </w:rPr>
        <w:t>Time of Sale Information</w:t>
      </w:r>
      <w:r>
        <w:rPr>
          <w:rFonts w:ascii="Arial" w:cs="Arial" w:eastAsia="Arial" w:hAnsi="Arial"/>
          <w:sz w:val="17"/>
          <w:szCs w:val="17"/>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all subsequent times,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71" w:name="page72"/>
    <w:bookmarkEnd w:id="71"/>
    <w:p>
      <w:pPr>
        <w:ind w:left="-20" w:firstLine="436"/>
        <w:spacing w:after="0" w:line="288" w:lineRule="auto"/>
        <w:tabs>
          <w:tab w:leader="none" w:pos="66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Ineligible Issuer Status</w:t>
      </w:r>
      <w:r>
        <w:rPr>
          <w:rFonts w:ascii="Arial" w:cs="Arial" w:eastAsia="Arial" w:hAnsi="Arial"/>
          <w:sz w:val="16"/>
          <w:szCs w:val="16"/>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prepare, use or refer to, any Free Writing Prospectus.</w:t>
      </w:r>
    </w:p>
    <w:p>
      <w:pPr>
        <w:spacing w:after="0" w:line="60" w:lineRule="exact"/>
        <w:rPr>
          <w:rFonts w:ascii="Arial" w:cs="Arial" w:eastAsia="Arial" w:hAnsi="Arial"/>
          <w:sz w:val="16"/>
          <w:szCs w:val="16"/>
          <w:color w:val="auto"/>
        </w:rPr>
      </w:pPr>
    </w:p>
    <w:p>
      <w:pPr>
        <w:ind w:left="-20" w:right="60" w:firstLine="436"/>
        <w:spacing w:after="0" w:line="257" w:lineRule="auto"/>
        <w:tabs>
          <w:tab w:leader="none" w:pos="67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Incorporated Documents</w:t>
      </w:r>
      <w:r>
        <w:rPr>
          <w:rFonts w:ascii="Arial" w:cs="Arial" w:eastAsia="Arial" w:hAnsi="Arial"/>
          <w:sz w:val="18"/>
          <w:szCs w:val="18"/>
          <w:color w:val="auto"/>
        </w:rPr>
        <w:t>. The documents incorporated or deemed to be incorporated by reference in the Registration Statement and the Prospectus, at the time they were or hereafter are filed with the Commission, complied and will comply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79" w:lineRule="exact"/>
        <w:rPr>
          <w:rFonts w:ascii="Arial" w:cs="Arial" w:eastAsia="Arial" w:hAnsi="Arial"/>
          <w:sz w:val="18"/>
          <w:szCs w:val="18"/>
          <w:color w:val="auto"/>
        </w:rPr>
      </w:pPr>
    </w:p>
    <w:p>
      <w:pPr>
        <w:ind w:left="-20" w:right="20" w:firstLine="436"/>
        <w:spacing w:after="0" w:line="293" w:lineRule="auto"/>
        <w:tabs>
          <w:tab w:leader="none" w:pos="66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56" w:lineRule="exact"/>
        <w:rPr>
          <w:rFonts w:ascii="Arial" w:cs="Arial" w:eastAsia="Arial" w:hAnsi="Arial"/>
          <w:sz w:val="16"/>
          <w:szCs w:val="16"/>
          <w:color w:val="auto"/>
        </w:rPr>
      </w:pPr>
    </w:p>
    <w:p>
      <w:pPr>
        <w:ind w:left="-20" w:right="60" w:firstLine="436"/>
        <w:spacing w:after="0" w:line="263" w:lineRule="auto"/>
        <w:tabs>
          <w:tab w:leader="none" w:pos="64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All statistical, demographic and market-related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4" w:right="479" w:bottom="1440" w:gutter="0" w:footer="0" w:header="0"/>
        </w:sectPr>
      </w:pPr>
    </w:p>
    <w:bookmarkStart w:id="72" w:name="page73"/>
    <w:bookmarkEnd w:id="72"/>
    <w:p>
      <w:pPr>
        <w:ind w:left="-20" w:right="20" w:firstLine="436"/>
        <w:spacing w:after="0" w:line="269" w:lineRule="auto"/>
        <w:tabs>
          <w:tab w:leader="none" w:pos="67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Disclosure Controls and Procedures; Deficiencies in or Changes to Internal Control Over Financial Reporting</w:t>
      </w:r>
      <w:r>
        <w:rPr>
          <w:rFonts w:ascii="Arial" w:cs="Arial" w:eastAsia="Arial" w:hAnsi="Arial"/>
          <w:sz w:val="17"/>
          <w:szCs w:val="17"/>
          <w:color w:val="auto"/>
        </w:rPr>
        <w:t>.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for which a Quarterly Report on Form 10-Q has been filed with the Commission and (iii) except as otherwise disclosed in the Prospectus, are effective in all material respects to perform the functions for which they were established. Except as otherwise disclosed in the Prospectus, since the end of the Company’s most recent audited fiscal year, there have been no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70" w:lineRule="exact"/>
        <w:rPr>
          <w:rFonts w:ascii="Arial" w:cs="Arial" w:eastAsia="Arial" w:hAnsi="Arial"/>
          <w:sz w:val="17"/>
          <w:szCs w:val="17"/>
          <w:color w:val="auto"/>
        </w:rPr>
      </w:pPr>
    </w:p>
    <w:p>
      <w:pPr>
        <w:ind w:left="680" w:hanging="264"/>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This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left="-20" w:right="240" w:firstLine="436"/>
        <w:spacing w:after="0" w:line="311" w:lineRule="auto"/>
        <w:tabs>
          <w:tab w:leader="none" w:pos="63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Authorization of the Shares</w:t>
      </w:r>
      <w:r>
        <w:rPr>
          <w:rFonts w:ascii="Arial" w:cs="Arial" w:eastAsia="Arial" w:hAnsi="Arial"/>
          <w:sz w:val="16"/>
          <w:szCs w:val="16"/>
          <w:color w:val="auto"/>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spacing w:after="0" w:line="40" w:lineRule="exact"/>
        <w:rPr>
          <w:rFonts w:ascii="Arial" w:cs="Arial" w:eastAsia="Arial" w:hAnsi="Arial"/>
          <w:sz w:val="16"/>
          <w:szCs w:val="16"/>
          <w:color w:val="auto"/>
        </w:rPr>
      </w:pPr>
    </w:p>
    <w:p>
      <w:pPr>
        <w:ind w:left="-20" w:right="40" w:firstLine="436"/>
        <w:spacing w:after="0" w:line="263" w:lineRule="auto"/>
        <w:tabs>
          <w:tab w:leader="none" w:pos="63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 Applicable Registration or Other Similar Rights</w:t>
      </w:r>
      <w:r>
        <w:rPr>
          <w:rFonts w:ascii="Arial" w:cs="Arial" w:eastAsia="Arial" w:hAnsi="Arial"/>
          <w:sz w:val="18"/>
          <w:szCs w:val="18"/>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75" w:lineRule="exact"/>
        <w:rPr>
          <w:rFonts w:ascii="Arial" w:cs="Arial" w:eastAsia="Arial" w:hAnsi="Arial"/>
          <w:sz w:val="18"/>
          <w:szCs w:val="18"/>
          <w:color w:val="auto"/>
        </w:rPr>
      </w:pPr>
    </w:p>
    <w:p>
      <w:pPr>
        <w:ind w:left="-20" w:firstLine="436"/>
        <w:spacing w:after="0" w:line="270" w:lineRule="auto"/>
        <w:tabs>
          <w:tab w:leader="none" w:pos="67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No Material Adverse Effect</w:t>
      </w:r>
      <w:r>
        <w:rPr>
          <w:rFonts w:ascii="Arial" w:cs="Arial" w:eastAsia="Arial" w:hAnsi="Arial"/>
          <w:sz w:val="17"/>
          <w:szCs w:val="17"/>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could be expected to result in a material adverse change, in (A) the financial condition, business, properties, operations, operating results, assets or liabilities of the Company and its subsidiaries, considered as one entity or (B) the ability of the Company to consummate the transactions contemplated by this Agreement or perform its obligations hereunder (any such change being referred to herein as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(ii) the Company and its subsidiaries, considered as one entity, have not incurred any material liability or obligation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4" w:right="459" w:bottom="1440" w:gutter="0" w:footer="0" w:header="0"/>
        </w:sectPr>
      </w:pPr>
    </w:p>
    <w:bookmarkStart w:id="73" w:name="page74"/>
    <w:bookmarkEnd w:id="73"/>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79" w:lineRule="exact"/>
        <w:rPr>
          <w:sz w:val="20"/>
          <w:szCs w:val="20"/>
          <w:color w:val="auto"/>
        </w:rPr>
      </w:pPr>
    </w:p>
    <w:p>
      <w:pPr>
        <w:ind w:right="80" w:firstLine="436"/>
        <w:spacing w:after="0" w:line="273" w:lineRule="auto"/>
        <w:tabs>
          <w:tab w:leader="none" w:pos="655"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Independent Accountants</w:t>
      </w:r>
      <w:r>
        <w:rPr>
          <w:rFonts w:ascii="Arial" w:cs="Arial" w:eastAsia="Arial" w:hAnsi="Arial"/>
          <w:sz w:val="17"/>
          <w:szCs w:val="17"/>
          <w:color w:val="auto"/>
        </w:rPr>
        <w:t>. Ernst &amp; Young LLP, which has expressed its opinion with respect to the financial statements (which term as used in this Agreement includes the related notes thereto) and any supporting schedules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Arial" w:cs="Arial" w:eastAsia="Arial" w:hAnsi="Arial"/>
          <w:sz w:val="17"/>
          <w:szCs w:val="17"/>
          <w:b w:val="1"/>
          <w:bCs w:val="1"/>
          <w:color w:val="auto"/>
        </w:rPr>
        <w:t>PCAOB</w:t>
      </w:r>
      <w:r>
        <w:rPr>
          <w:rFonts w:ascii="Arial" w:cs="Arial" w:eastAsia="Arial" w:hAnsi="Arial"/>
          <w:sz w:val="17"/>
          <w:szCs w:val="17"/>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69" w:lineRule="exact"/>
        <w:rPr>
          <w:rFonts w:ascii="Arial" w:cs="Arial" w:eastAsia="Arial" w:hAnsi="Arial"/>
          <w:sz w:val="17"/>
          <w:szCs w:val="17"/>
          <w:color w:val="auto"/>
        </w:rPr>
      </w:pPr>
    </w:p>
    <w:p>
      <w:pPr>
        <w:ind w:firstLine="436"/>
        <w:spacing w:after="0" w:line="269" w:lineRule="auto"/>
        <w:tabs>
          <w:tab w:leader="none" w:pos="745"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incorporated by reference in the Registration Statement and the Prospectus, together with the related schedules and notes, present fairly in all material respects the consolidated financial position of the Company and its subsidiaries as of the dates indicated and the statements of operations, comprehensive loss, stockholders’ equity and cash flows of the Company and its subsidiaries for the periods specified; said financial statements have been prepared in conformity with U.S.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applied on a consistent basis throughout the periods involved, except as may be stated in the related notes thereto. The supporting schedules, if any, present fairly in all material respects and in accordance with GAAP the information required to be stated therein. Except as included therein, no historical or pro forma financial statements or supporting schedules are required to be included in the Registration Statement or the Prospectus under the Act or the rules and regulations promulgated thereunder.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73" w:lineRule="exact"/>
        <w:rPr>
          <w:rFonts w:ascii="Arial" w:cs="Arial" w:eastAsia="Arial" w:hAnsi="Arial"/>
          <w:sz w:val="17"/>
          <w:szCs w:val="17"/>
          <w:color w:val="auto"/>
        </w:rPr>
      </w:pPr>
    </w:p>
    <w:p>
      <w:pPr>
        <w:ind w:right="40" w:firstLine="436"/>
        <w:spacing w:after="0" w:line="290" w:lineRule="auto"/>
        <w:tabs>
          <w:tab w:leader="none" w:pos="69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Company’s Accounting System</w:t>
      </w:r>
      <w:r>
        <w:rPr>
          <w:rFonts w:ascii="Arial" w:cs="Arial" w:eastAsia="Arial" w:hAnsi="Arial"/>
          <w:sz w:val="16"/>
          <w:szCs w:val="16"/>
          <w:color w:val="auto"/>
        </w:rPr>
        <w:t>.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74" w:name="page75"/>
    <w:bookmarkEnd w:id="74"/>
    <w:p>
      <w:pPr>
        <w:jc w:val="both"/>
        <w:ind w:right="140" w:firstLine="436"/>
        <w:spacing w:after="0" w:line="287" w:lineRule="auto"/>
        <w:tabs>
          <w:tab w:leader="none" w:pos="69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Incorporation and Good Standing of the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w:t>
      </w:r>
    </w:p>
    <w:p>
      <w:pPr>
        <w:spacing w:after="0" w:line="2" w:lineRule="exact"/>
        <w:rPr>
          <w:rFonts w:ascii="Arial" w:cs="Arial" w:eastAsia="Arial" w:hAnsi="Arial"/>
          <w:sz w:val="16"/>
          <w:szCs w:val="16"/>
          <w:color w:val="auto"/>
        </w:rPr>
      </w:pPr>
    </w:p>
    <w:p>
      <w:pPr>
        <w:ind w:right="60"/>
        <w:spacing w:after="0" w:line="290" w:lineRule="auto"/>
        <w:rPr>
          <w:rFonts w:ascii="Arial" w:cs="Arial" w:eastAsia="Arial" w:hAnsi="Arial"/>
          <w:sz w:val="16"/>
          <w:szCs w:val="16"/>
          <w:color w:val="auto"/>
        </w:rPr>
      </w:pPr>
      <w:r>
        <w:rPr>
          <w:rFonts w:ascii="Arial" w:cs="Arial" w:eastAsia="Arial" w:hAnsi="Arial"/>
          <w:sz w:val="17"/>
          <w:szCs w:val="17"/>
          <w:color w:val="auto"/>
        </w:rPr>
        <w:t>The Company is duly qualified as a foreign corporation to transact business and is in good standing in the State of California and each other jurisdiction in which such qualification is required, whether by reason of the ownership or leasing of property or the conduct of business.</w:t>
      </w:r>
    </w:p>
    <w:p>
      <w:pPr>
        <w:spacing w:after="0" w:line="53" w:lineRule="exact"/>
        <w:rPr>
          <w:rFonts w:ascii="Arial" w:cs="Arial" w:eastAsia="Arial" w:hAnsi="Arial"/>
          <w:sz w:val="16"/>
          <w:szCs w:val="16"/>
          <w:color w:val="auto"/>
        </w:rPr>
      </w:pPr>
    </w:p>
    <w:p>
      <w:pPr>
        <w:ind w:firstLine="436"/>
        <w:spacing w:after="0" w:line="269" w:lineRule="auto"/>
        <w:tabs>
          <w:tab w:leader="none" w:pos="69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Each of the Company’s subsidiaries is duly qualified as a foreign corporation, partnership or limited liability company, as applicable, to transact business and is in good standing in each jurisdiction in which such qualification is required, except where the failure to be so qualified or in good standing, would not, individually or in the aggregate, have a Material Adverse Effect. All of the issued shares of capital stock of each subsidiary of the Company have been duly and validly authorized and issued, are fully paid and non-assessable and (except for directors’ qualifying shares) are owned directly or indirectly by the Company, free and clear of all liens, encumbrances, equities or claims. The Company does not own or control, directly or indirectly, any corporation, association or other entity other than the subsidiaries listed in Exhibit 21.1 to the Company’s Annual Report on Form 10-K for the fiscal year ended December 31, 2019.</w:t>
      </w:r>
    </w:p>
    <w:p>
      <w:pPr>
        <w:spacing w:after="0" w:line="73" w:lineRule="exact"/>
        <w:rPr>
          <w:rFonts w:ascii="Arial" w:cs="Arial" w:eastAsia="Arial" w:hAnsi="Arial"/>
          <w:sz w:val="17"/>
          <w:szCs w:val="17"/>
          <w:color w:val="auto"/>
        </w:rPr>
      </w:pPr>
    </w:p>
    <w:p>
      <w:pPr>
        <w:ind w:firstLine="436"/>
        <w:spacing w:after="0" w:line="269" w:lineRule="auto"/>
        <w:tabs>
          <w:tab w:leader="none" w:pos="69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Capitalization and Other Capital Stock Matters</w:t>
      </w:r>
      <w:r>
        <w:rPr>
          <w:rFonts w:ascii="Arial" w:cs="Arial" w:eastAsia="Arial" w:hAnsi="Arial"/>
          <w:sz w:val="17"/>
          <w:szCs w:val="17"/>
          <w:color w:val="auto"/>
        </w:rPr>
        <w:t>. The authorized, issued and outstanding capital stock of the Company is as set forth in the Registration Statement and the Prospectus under the caption “Capitalization” (other than for subsequent issuances, if any, pursuant to employee benefit plans described in the Prospectus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federal and state securities laws. None of the outstanding Common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the information required to be shown with respect to such plans, arrangements, options and rights.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75" w:name="page76"/>
    <w:bookmarkEnd w:id="75"/>
    <w:p>
      <w:pPr>
        <w:ind w:firstLine="436"/>
        <w:spacing w:after="0" w:line="257" w:lineRule="auto"/>
        <w:tabs>
          <w:tab w:leader="none" w:pos="66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Exchange Listing</w:t>
      </w:r>
      <w:r>
        <w:rPr>
          <w:rFonts w:ascii="Arial" w:cs="Arial" w:eastAsia="Arial" w:hAnsi="Arial"/>
          <w:sz w:val="18"/>
          <w:szCs w:val="18"/>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79" w:lineRule="exact"/>
        <w:rPr>
          <w:rFonts w:ascii="Arial" w:cs="Arial" w:eastAsia="Arial" w:hAnsi="Arial"/>
          <w:sz w:val="18"/>
          <w:szCs w:val="18"/>
          <w:color w:val="auto"/>
        </w:rPr>
      </w:pPr>
    </w:p>
    <w:p>
      <w:pPr>
        <w:ind w:firstLine="436"/>
        <w:spacing w:after="0" w:line="284" w:lineRule="auto"/>
        <w:tabs>
          <w:tab w:leader="none" w:pos="67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Non-Contravention of Existing Instruments; No Further Authorizations or Approvals Required</w:t>
      </w:r>
      <w:r>
        <w:rPr>
          <w:rFonts w:ascii="Arial" w:cs="Arial" w:eastAsia="Arial" w:hAnsi="Arial"/>
          <w:sz w:val="16"/>
          <w:szCs w:val="16"/>
          <w:color w:val="auto"/>
        </w:rPr>
        <w:t>. Neither the Company nor any of its subsidiaries is in violation of its charter or by-laws, partnership agreement or operating agreement or similar organizational documents, as applicable, or is in default (or, with the giving of notice or lapse of time, would be in default) (“</w:t>
      </w:r>
      <w:r>
        <w:rPr>
          <w:rFonts w:ascii="Arial" w:cs="Arial" w:eastAsia="Arial" w:hAnsi="Arial"/>
          <w:sz w:val="16"/>
          <w:szCs w:val="16"/>
          <w:b w:val="1"/>
          <w:bCs w:val="1"/>
          <w:color w:val="auto"/>
        </w:rPr>
        <w:t>Default</w:t>
      </w:r>
      <w:r>
        <w:rPr>
          <w:rFonts w:ascii="Arial" w:cs="Arial" w:eastAsia="Arial" w:hAnsi="Arial"/>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Arial" w:cs="Arial" w:eastAsia="Arial" w:hAnsi="Arial"/>
          <w:sz w:val="16"/>
          <w:szCs w:val="16"/>
          <w:b w:val="1"/>
          <w:bCs w:val="1"/>
          <w:color w:val="auto"/>
        </w:rPr>
        <w:t>Existing Instrument</w:t>
      </w:r>
      <w:r>
        <w:rPr>
          <w:rFonts w:ascii="Arial" w:cs="Arial" w:eastAsia="Arial" w:hAnsi="Arial"/>
          <w:sz w:val="16"/>
          <w:szCs w:val="16"/>
          <w:color w:val="auto"/>
        </w:rPr>
        <w:t>”), except for such Defaults as would not be expected, individually or in the aggregate, to result in a Material Adverse Effect.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in the case of clauses (ii) and (iii) for such breaches, Defaults, Debt Repayment Triggering Events, liens, encumbrances or violations as would not, individually or in the aggregate, have a Material Adverse Effect.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FINRA (as defined below). As used herein, a “</w:t>
      </w:r>
      <w:r>
        <w:rPr>
          <w:rFonts w:ascii="Arial" w:cs="Arial" w:eastAsia="Arial" w:hAnsi="Arial"/>
          <w:sz w:val="16"/>
          <w:szCs w:val="16"/>
          <w:b w:val="1"/>
          <w:bCs w:val="1"/>
          <w:color w:val="auto"/>
        </w:rPr>
        <w:t>Debt</w:t>
      </w:r>
      <w:r>
        <w:rPr>
          <w:rFonts w:ascii="Arial" w:cs="Arial" w:eastAsia="Arial" w:hAnsi="Arial"/>
          <w:sz w:val="16"/>
          <w:szCs w:val="16"/>
          <w:color w:val="auto"/>
        </w:rPr>
        <w:t xml:space="preserve"> </w:t>
      </w:r>
      <w:r>
        <w:rPr>
          <w:rFonts w:ascii="Arial" w:cs="Arial" w:eastAsia="Arial" w:hAnsi="Arial"/>
          <w:sz w:val="16"/>
          <w:szCs w:val="16"/>
          <w:b w:val="1"/>
          <w:bCs w:val="1"/>
          <w:color w:val="auto"/>
        </w:rPr>
        <w:t>Repayment Triggering Event</w:t>
      </w:r>
      <w:r>
        <w:rPr>
          <w:rFonts w:ascii="Arial" w:cs="Arial" w:eastAsia="Arial" w:hAnsi="Arial"/>
          <w:sz w:val="16"/>
          <w:szCs w:val="16"/>
          <w:color w:val="auto"/>
        </w:rPr>
        <w:t>” means any event or condition which gives, or with the giving of notice or lapse of time would give, the holder of any</w:t>
      </w:r>
      <w:r>
        <w:rPr>
          <w:rFonts w:ascii="Arial" w:cs="Arial" w:eastAsia="Arial" w:hAnsi="Arial"/>
          <w:sz w:val="16"/>
          <w:szCs w:val="16"/>
          <w:b w:val="1"/>
          <w:bCs w:val="1"/>
          <w:color w:val="auto"/>
        </w:rPr>
        <w:t xml:space="preserve"> </w:t>
      </w:r>
      <w:r>
        <w:rPr>
          <w:rFonts w:ascii="Arial" w:cs="Arial" w:eastAsia="Arial" w:hAnsi="Arial"/>
          <w:sz w:val="16"/>
          <w:szCs w:val="16"/>
          <w:color w:val="auto"/>
        </w:rPr>
        <w:t>note, debenture or other evidence of indebtedness (or any person acting on such holder’s behalf) the right to require the repurchase, redemption or repayment of all or a portion of such indebtedness by the Company or any of its subsidiaries.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76" w:name="page77"/>
    <w:bookmarkEnd w:id="76"/>
    <w:p>
      <w:pPr>
        <w:ind w:right="160" w:firstLine="436"/>
        <w:spacing w:after="0" w:line="255"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Material Actions or Proceedings</w:t>
      </w:r>
      <w:r>
        <w:rPr>
          <w:rFonts w:ascii="Arial" w:cs="Arial" w:eastAsia="Arial" w:hAnsi="Arial"/>
          <w:sz w:val="18"/>
          <w:szCs w:val="18"/>
          <w:color w:val="auto"/>
        </w:rPr>
        <w:t>. Except as otherwise disclosed in the Prospectus, there is no action, suit, proceeding, inquiry or investigation brought by or before any legal or governmental entity now pending or, to the knowledge of the Company, threatened, against or affecting the Company or any of its subsidiaries or, to the Company’s knowledge, any officer or director of the Company, which could be expected, individually or in the aggregate, to result in a Material Adverse Effect.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84" w:lineRule="exact"/>
        <w:rPr>
          <w:rFonts w:ascii="Arial" w:cs="Arial" w:eastAsia="Arial" w:hAnsi="Arial"/>
          <w:sz w:val="18"/>
          <w:szCs w:val="18"/>
          <w:color w:val="auto"/>
        </w:rPr>
      </w:pPr>
    </w:p>
    <w:p>
      <w:pPr>
        <w:ind w:firstLine="436"/>
        <w:spacing w:after="0" w:line="284"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Except as disclosed in the Registration Statement and the Prospectus, the Company and its subsidiaries own, possess or license adequate rights to use all trademarks, service marks, trade names, domain names and other source identifiers, all goodwill associated with the foregoing, inventions, technology, patents, copyrights, know-how, trade secrets and other unpatented and/or unpatentable proprietary or confidential information, systems or procedures, and other intellectual property rights (including all registrations and applications for registration of the foregoing, as applicable)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used or held for use in the conduct of their respective businesses as currently conducted and as proposed in the Registration Statement and the Prospectus to be conducted, except where the failure to own, possess or license such Intellectual Property Rights would not, individually or in the aggregate, reasonably be expected to have a Material Adverse Effect. To the Company’s knowledge, neither the Company nor any of its subsidiaries has materially infringed, misappropriated or otherwise violated the Intellectual Property Rights of any third party, and neither the manufacture of, nor the use or sale of, any of the product candidates described in the Registration Statement and the Prospectus will materially infringe, misappropriate or otherwise violate the Intellectual Property Rights of any third party. Except as disclosed in the Registration Statement and the Prospectus, there are no rights of third parties (including any liens or encumbrances) to any of the Intellectual Property Rights owned or purported to be owned by, or exclusively licensed to, the Company or any of its subsidiaries. There is no pending or, to the Company’s knowledge, threatened action, suit, proceeding or claim by any third party, or any facts that would form a reasonable basis for any such action, suit, proceeding or claim (i) challenging the rights in or to, or alleging a violation of any of the terms of, any owned or licensed Intellectual Property Rights of the Company or any of its subsidiaries; (ii) alleging that the Company or any of its subsidiaries has infringed, misappropriated or otherwise violated any Intellectual Property Rights of any third party; or (iii) challenging the validity, scope or enforceability of any Intellectual Property Rights owned by or exclusively licensed to the Company or any of its subsidiaries that, if determined adversely to the Company or any of its subsidiaries, individually or in the aggregate, reasonably would be expected to have a Material Adverse Effect. To the Company’s knowledge, there is no infringement, misappropriation, breach or default, or other violation by others of any Intellectual Property Rights owned by or exclusively licensed to the Company or any of its subsidiaries, and all Intellectual Property Rights owned by or licensed to the Company or any of its subsidiaries are valid and enforceable, except in each case as would not reasonably be expected, individually or in the aggregate, to have a Material Adverse Effect. The Company and its subsidiaries have at all times taken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77" w:name="page78"/>
    <w:bookmarkEnd w:id="77"/>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reasonable steps in accordance with normal industry practice to maintain the confidentiality of all Intellectual Property Rights owned by the Company, the value of which to the Company or any Company subsidiary is contingent upon maintaining the confidentiality thereof. All founders, current and former employees, consultants and other parties involved in the development of Intellectual Property Rights for the Company or any of its subsidiaries have signed confidentiality and invention assignment agreements with the Company or any of its subsidiaries pursuant to which the Company or any of its subsidiaries either (x) has obtained ownership of and is the exclusive owner of such Intellectual Property Rights, or (y) has obtained a valid and unrestricted right to exploit such Intellectual Property Rights, sufficient for the conduct of the business as currently conducted and as proposed in the Registration Statement and the Prospectus to be conducted.</w:t>
      </w:r>
    </w:p>
    <w:p>
      <w:pPr>
        <w:spacing w:after="0" w:line="69" w:lineRule="exact"/>
        <w:rPr>
          <w:sz w:val="20"/>
          <w:szCs w:val="20"/>
          <w:color w:val="auto"/>
        </w:rPr>
      </w:pPr>
    </w:p>
    <w:p>
      <w:pPr>
        <w:ind w:right="140" w:firstLine="436"/>
        <w:spacing w:after="0" w:line="296" w:lineRule="auto"/>
        <w:tabs>
          <w:tab w:leader="none" w:pos="69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All Necessary Permits, etc</w:t>
      </w:r>
      <w:r>
        <w:rPr>
          <w:rFonts w:ascii="Arial" w:cs="Arial" w:eastAsia="Arial" w:hAnsi="Arial"/>
          <w:sz w:val="16"/>
          <w:szCs w:val="16"/>
          <w:color w:val="auto"/>
        </w:rPr>
        <w:t>. Except as otherwise disclosed in the Prospectus, the Company and each subsidiary possess such valid and current certificates, authorizations or permits required by state, federal or foreign regulatory agencies or bodies to conduct their respective businesses as currently conducted and as described in the Registration Statement or the Prospectus, including, without limitation, from the U.S. Food and Drug Administration (“FDA”) and equivalent foreign regulatory authorities (“</w:t>
      </w:r>
      <w:r>
        <w:rPr>
          <w:rFonts w:ascii="Arial" w:cs="Arial" w:eastAsia="Arial" w:hAnsi="Arial"/>
          <w:sz w:val="16"/>
          <w:szCs w:val="16"/>
          <w:b w:val="1"/>
          <w:bCs w:val="1"/>
          <w:color w:val="auto"/>
        </w:rPr>
        <w:t>Permits</w:t>
      </w:r>
      <w:r>
        <w:rPr>
          <w:rFonts w:ascii="Arial" w:cs="Arial" w:eastAsia="Arial" w:hAnsi="Arial"/>
          <w:sz w:val="16"/>
          <w:szCs w:val="16"/>
          <w:color w:val="auto"/>
        </w:rPr>
        <w:t>”). Neither the Company nor any of its subsidiaries has received any notice of proceedings relating to the revocation or modification of, or non-compliance with, any such certificate, authorization or permit.</w:t>
      </w:r>
    </w:p>
    <w:p>
      <w:pPr>
        <w:spacing w:after="0" w:line="53" w:lineRule="exact"/>
        <w:rPr>
          <w:rFonts w:ascii="Arial" w:cs="Arial" w:eastAsia="Arial" w:hAnsi="Arial"/>
          <w:sz w:val="16"/>
          <w:szCs w:val="16"/>
          <w:color w:val="auto"/>
        </w:rPr>
      </w:pPr>
    </w:p>
    <w:p>
      <w:pPr>
        <w:ind w:firstLine="436"/>
        <w:spacing w:after="0" w:line="269" w:lineRule="auto"/>
        <w:tabs>
          <w:tab w:leader="none" w:pos="735"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Title to Properties</w:t>
      </w:r>
      <w:r>
        <w:rPr>
          <w:rFonts w:ascii="Arial" w:cs="Arial" w:eastAsia="Arial" w:hAnsi="Arial"/>
          <w:sz w:val="17"/>
          <w:szCs w:val="17"/>
          <w:color w:val="auto"/>
        </w:rPr>
        <w:t>. The Company and its subsidiaries have good and marketable title in fee simple to all real property and good and marketable title to all personal property owned by them (other than with respect to Intellectual Property Rights, which are addressed in Section 2(u) above), in each case free and clear of all liens, encumbrances and defects except such as are described in the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to the Company’s knowledge, valid, subsisting and enforceable leases (subject to the effects of (A) 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 and public policy with respect to rights to indemnity and contribution) with such exceptions as are not material and do not materially interfere with the use made and proposed to be made of such property and buildings by the Company and its subsidiaries.</w:t>
      </w:r>
    </w:p>
    <w:p>
      <w:pPr>
        <w:spacing w:after="0" w:line="73" w:lineRule="exact"/>
        <w:rPr>
          <w:rFonts w:ascii="Arial" w:cs="Arial" w:eastAsia="Arial" w:hAnsi="Arial"/>
          <w:sz w:val="17"/>
          <w:szCs w:val="17"/>
          <w:color w:val="auto"/>
        </w:rPr>
      </w:pPr>
    </w:p>
    <w:p>
      <w:pPr>
        <w:ind w:firstLine="436"/>
        <w:spacing w:after="0" w:line="293" w:lineRule="auto"/>
        <w:tabs>
          <w:tab w:leader="none" w:pos="69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Tax Law Compliance</w:t>
      </w:r>
      <w:r>
        <w:rPr>
          <w:rFonts w:ascii="Arial" w:cs="Arial" w:eastAsia="Arial" w:hAnsi="Arial"/>
          <w:sz w:val="16"/>
          <w:szCs w:val="16"/>
          <w:color w:val="auto"/>
        </w:rPr>
        <w:t>. The Company and each of its subsidiaries have filed all federal, state, local and foreign tax returns required to be filed through the date of this Agreement and have paid all taxes required to be paid thereon (except for cases in which the failure to file or pay would not have a Material Adverse Effect, or, except as currently being contested in good faith and for which reserves required by U.S. GAAP have been created in the financial statements of the Company), and no tax deficiency has been determined adversely to the Company or any of its subsidiaries which has had (nor does the Company nor any of its subsidiaries have any notice or knowledge of any tax deficiency which could reasonably be expected to be determined adversely to the Company or its subsidiaries and which could reasonably be expected to have) a Material Adverse Effect..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78" w:name="page79"/>
    <w:bookmarkEnd w:id="78"/>
    <w:p>
      <w:pPr>
        <w:ind w:left="4" w:right="240" w:firstLine="436"/>
        <w:spacing w:after="0" w:line="286" w:lineRule="auto"/>
        <w:tabs>
          <w:tab w:leader="none" w:pos="699"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 Not an “Investment Company.”</w:t>
      </w:r>
      <w:r>
        <w:rPr>
          <w:rFonts w:ascii="Arial" w:cs="Arial" w:eastAsia="Arial" w:hAnsi="Arial"/>
          <w:sz w:val="17"/>
          <w:szCs w:val="17"/>
          <w:color w:val="auto"/>
        </w:rPr>
        <w:t xml:space="preserve">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 w:firstLine="436"/>
        <w:spacing w:after="0" w:line="279" w:lineRule="auto"/>
        <w:tabs>
          <w:tab w:leader="none" w:pos="689"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No Price Stabilization or Manipulation; Compliance with Regulation M</w:t>
      </w:r>
      <w:r>
        <w:rPr>
          <w:rFonts w:ascii="Arial" w:cs="Arial" w:eastAsia="Arial" w:hAnsi="Arial"/>
          <w:sz w:val="17"/>
          <w:szCs w:val="17"/>
          <w:color w:val="auto"/>
        </w:rPr>
        <w:t>. Neither the Company nor any of its subsidiaries has taken, directly or indirectly, any action designed to or that might cause or result in stabilization or manipulation of the price of the Common Shares or of any “reference security” (as defined in Rule 100 of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 with respect to the Common Shares, whether to facilitate the sale or resale of the Shares or otherwise, and has taken no action which would directly or indirectly violate Regulation M.</w:t>
      </w:r>
    </w:p>
    <w:p>
      <w:pPr>
        <w:spacing w:after="0" w:line="63" w:lineRule="exact"/>
        <w:rPr>
          <w:sz w:val="20"/>
          <w:szCs w:val="20"/>
          <w:color w:val="auto"/>
        </w:rPr>
      </w:pPr>
    </w:p>
    <w:p>
      <w:pPr>
        <w:ind w:left="4" w:right="60" w:firstLine="436"/>
        <w:spacing w:after="0" w:line="342" w:lineRule="auto"/>
        <w:tabs>
          <w:tab w:leader="none" w:pos="769"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15" w:lineRule="exact"/>
        <w:rPr>
          <w:rFonts w:ascii="Arial" w:cs="Arial" w:eastAsia="Arial" w:hAnsi="Arial"/>
          <w:sz w:val="16"/>
          <w:szCs w:val="16"/>
          <w:color w:val="auto"/>
        </w:rPr>
      </w:pPr>
    </w:p>
    <w:p>
      <w:pPr>
        <w:ind w:left="4" w:firstLine="436"/>
        <w:spacing w:after="0" w:line="284" w:lineRule="auto"/>
        <w:tabs>
          <w:tab w:leader="none" w:pos="789"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Compliance with Environmental Laws</w:t>
      </w:r>
      <w:r>
        <w:rPr>
          <w:rFonts w:ascii="Arial" w:cs="Arial" w:eastAsia="Arial" w:hAnsi="Arial"/>
          <w:sz w:val="16"/>
          <w:szCs w:val="16"/>
          <w:color w:val="auto"/>
        </w:rPr>
        <w:t>. (i) The Company and each of its subsidiaries (x) is in material compliance with all, and has not violated any, applicable material federal, state or local laws, rules, regulations, requirements, decisions, judgments, decrees and orders relating to pollution, hazardous or toxic substances, wastes, pollutants, contaminants or the protection of human health or safety, the environment or natural resources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(y) has received and is in material compliance with all, and has not violated any, material permits, licenses, certificates or other authorizations or approvals required of it under any Environmental Laws to conduct its business; and (z) has not received notice of any actual or potential liability of the Company, or obligation of the Company under or relating to, or any actual or potential violation of, any Environmental Laws by the Company, including for the investigation or remediation of any disposal or release of hazardous or toxic substances or wastes, pollutants or contaminants, and have no knowledge of any event or condition that would reasonably be expected to result in any such notice, and</w:t>
      </w:r>
    </w:p>
    <w:p>
      <w:pPr>
        <w:ind w:left="4" w:hanging="4"/>
        <w:spacing w:after="0" w:line="288" w:lineRule="auto"/>
        <w:tabs>
          <w:tab w:leader="none" w:pos="269"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there are no costs or liabilities associated with Environmental Laws of or relating to the Company, except in the case of each of (i) and (ii) above, for any such matter as would not, individually or in the aggregate, reasonably be expected to have a Material Adverse Effect; and (iii) except as described in each of the Registration Statement and the Prospectus, (x) there is no proceeding that is pending, or that is known by the Company to be contemplated, against the Company under any Environmental Laws in which a governmental entity is also a party, other than such proceeding regarding which the Company reasonably believes no monetary sanctions of $100,000 or more will be imposed, and (y) the Company is not aware of any facts regarding compliance with Environmental Laws, or liabilities or other obligations under Environmental Laws or concerning hazardous or toxic substances or wastes, pollutants or contaminants, that individually or in the aggregate, would reasonably be expected to have a Material Adverse Effect.</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79" w:name="page80"/>
    <w:bookmarkEnd w:id="79"/>
    <w:p>
      <w:pPr>
        <w:ind w:left="4" w:firstLine="436"/>
        <w:spacing w:after="0" w:line="283" w:lineRule="auto"/>
        <w:tabs>
          <w:tab w:leader="none" w:pos="769"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ERISA Compliance</w:t>
      </w:r>
      <w:r>
        <w:rPr>
          <w:rFonts w:ascii="Arial" w:cs="Arial" w:eastAsia="Arial" w:hAnsi="Arial"/>
          <w:sz w:val="16"/>
          <w:szCs w:val="16"/>
          <w:color w:val="auto"/>
        </w:rPr>
        <w:t>. Except as otherwise disclosed in the Prospectus, the Company and its subsidiaries and any “employee benefit plan” (as defined under the Employee Retirement Income Security Act of 1974, as amended, and the regulations and published interpretations thereunder (collectively, “</w:t>
      </w:r>
      <w:r>
        <w:rPr>
          <w:rFonts w:ascii="Arial" w:cs="Arial" w:eastAsia="Arial" w:hAnsi="Arial"/>
          <w:sz w:val="16"/>
          <w:szCs w:val="16"/>
          <w:b w:val="1"/>
          <w:bCs w:val="1"/>
          <w:color w:val="auto"/>
        </w:rPr>
        <w:t>ERISA</w:t>
      </w:r>
      <w:r>
        <w:rPr>
          <w:rFonts w:ascii="Arial" w:cs="Arial" w:eastAsia="Arial" w:hAnsi="Arial"/>
          <w:sz w:val="16"/>
          <w:szCs w:val="16"/>
          <w:color w:val="auto"/>
        </w:rPr>
        <w:t>”)) established or maintained by the Company, its subsidiaries or their “ERISA Affiliates” (as defined below) are in compliance in all material respects with ERISA except as would not be material to the Company. “</w:t>
      </w:r>
      <w:r>
        <w:rPr>
          <w:rFonts w:ascii="Arial" w:cs="Arial" w:eastAsia="Arial" w:hAnsi="Arial"/>
          <w:sz w:val="16"/>
          <w:szCs w:val="16"/>
          <w:b w:val="1"/>
          <w:bCs w:val="1"/>
          <w:color w:val="auto"/>
        </w:rPr>
        <w:t>ERISA Affiliate</w:t>
      </w:r>
      <w:r>
        <w:rPr>
          <w:rFonts w:ascii="Arial" w:cs="Arial" w:eastAsia="Arial" w:hAnsi="Arial"/>
          <w:sz w:val="16"/>
          <w:szCs w:val="16"/>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6"/>
          <w:szCs w:val="16"/>
          <w:b w:val="1"/>
          <w:bCs w:val="1"/>
          <w:color w:val="auto"/>
        </w:rPr>
        <w:t>Code</w:t>
      </w:r>
      <w:r>
        <w:rPr>
          <w:rFonts w:ascii="Arial" w:cs="Arial" w:eastAsia="Arial" w:hAnsi="Arial"/>
          <w:sz w:val="16"/>
          <w:szCs w:val="16"/>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w:t>
      </w:r>
    </w:p>
    <w:p>
      <w:pPr>
        <w:spacing w:after="0" w:line="4" w:lineRule="exact"/>
        <w:rPr>
          <w:rFonts w:ascii="Arial" w:cs="Arial" w:eastAsia="Arial" w:hAnsi="Arial"/>
          <w:sz w:val="16"/>
          <w:szCs w:val="16"/>
          <w:color w:val="auto"/>
        </w:rPr>
      </w:pPr>
    </w:p>
    <w:p>
      <w:pPr>
        <w:ind w:left="4" w:right="120" w:hanging="4"/>
        <w:spacing w:after="0" w:line="253" w:lineRule="auto"/>
        <w:tabs>
          <w:tab w:leader="none" w:pos="21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reasonably be expected to cause the loss of such qualification.</w:t>
      </w:r>
    </w:p>
    <w:p>
      <w:pPr>
        <w:spacing w:after="0" w:line="84" w:lineRule="exact"/>
        <w:rPr>
          <w:rFonts w:ascii="Arial" w:cs="Arial" w:eastAsia="Arial" w:hAnsi="Arial"/>
          <w:sz w:val="18"/>
          <w:szCs w:val="18"/>
          <w:color w:val="auto"/>
        </w:rPr>
      </w:pPr>
    </w:p>
    <w:p>
      <w:pPr>
        <w:ind w:left="4" w:firstLine="436"/>
        <w:spacing w:after="0" w:line="277" w:lineRule="auto"/>
        <w:tabs>
          <w:tab w:leader="none" w:pos="789"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62" w:lineRule="exact"/>
        <w:rPr>
          <w:rFonts w:ascii="Arial" w:cs="Arial" w:eastAsia="Arial" w:hAnsi="Arial"/>
          <w:sz w:val="18"/>
          <w:szCs w:val="18"/>
          <w:color w:val="auto"/>
        </w:rPr>
      </w:pPr>
    </w:p>
    <w:p>
      <w:pPr>
        <w:ind w:left="4" w:right="340" w:firstLine="436"/>
        <w:spacing w:after="0" w:line="263" w:lineRule="auto"/>
        <w:tabs>
          <w:tab w:leader="none" w:pos="769"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No Outstanding Loans or Other Extensions of Credit</w:t>
      </w:r>
      <w:r>
        <w:rPr>
          <w:rFonts w:ascii="Arial" w:cs="Arial" w:eastAsia="Arial" w:hAnsi="Arial"/>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71" w:lineRule="exact"/>
        <w:rPr>
          <w:rFonts w:ascii="Arial" w:cs="Arial" w:eastAsia="Arial" w:hAnsi="Arial"/>
          <w:sz w:val="18"/>
          <w:szCs w:val="18"/>
          <w:color w:val="auto"/>
        </w:rPr>
      </w:pPr>
    </w:p>
    <w:p>
      <w:pPr>
        <w:ind w:left="4" w:right="40" w:firstLine="436"/>
        <w:spacing w:after="0" w:line="270" w:lineRule="auto"/>
        <w:tabs>
          <w:tab w:leader="none" w:pos="726"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Anti-Corruption and Anti-Bribery Laws</w:t>
      </w:r>
      <w:r>
        <w:rPr>
          <w:rFonts w:ascii="Arial" w:cs="Arial" w:eastAsia="Arial" w:hAnsi="Arial"/>
          <w:sz w:val="17"/>
          <w:szCs w:val="17"/>
          <w:b w:val="1"/>
          <w:bCs w:val="1"/>
          <w:color w:val="auto"/>
        </w:rPr>
        <w:t>.</w:t>
      </w:r>
      <w:r>
        <w:rPr>
          <w:rFonts w:ascii="Arial" w:cs="Arial" w:eastAsia="Arial" w:hAnsi="Arial"/>
          <w:sz w:val="17"/>
          <w:szCs w:val="17"/>
          <w:color w:val="auto"/>
        </w:rPr>
        <w:t xml:space="preserve"> Neither the Company nor any of its subsidiaries nor, to the knowledge of the Company, any director, officer, agent, employee, affiliate or other person associated with or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person acting in an official capacity for or on behalf of any of the foregoing, or any political party, party official, or candidate for political office; (iii) violated or is in violation of any provision of the U.S.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and the rules and regulations thereunder, including, without limitation, by making use of the mails or any means or instrumentality of U.S. interstate commerce corruptly in furtherance of an offer, payment, promise to pay or authorization of the payment of any money, or other property, gift, promise to give, or</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80" w:name="page81"/>
    <w:bookmarkEnd w:id="8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authorization of the giving of anything of value to any “foreign official” (as such term is defined in the FCPA) or any foreign political party or official thereof or any candidate for foreign political office in contravention of the FCPA; (iv) violated or is in violation of any provision of the U.K. Bribery Act 2010; (v) violated or is in violation of any provision of any applicable law or regulation implementing the OECD Convention on Combating Bribery of Foreign Public Officials in International Business Transactions, or any other applicable anti-bribery or anti-corruption law; or (vi)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the Company has instituted and maintains policies and procedures under its code of conduct designed to ensure, and which are reasonably expected to continue to ensure, continued compliance with the FCPA. No part of the proceeds of the offering will be used, directly or indirectly, in violation of the FCPA or the U.K. Bribery Act 2010, each as may be amended, or similar law of any other relevant jurisdiction, or the rules or regulations thereunder.</w:t>
      </w:r>
    </w:p>
    <w:p>
      <w:pPr>
        <w:spacing w:after="0" w:line="77" w:lineRule="exact"/>
        <w:rPr>
          <w:sz w:val="20"/>
          <w:szCs w:val="20"/>
          <w:color w:val="auto"/>
        </w:rPr>
      </w:pPr>
    </w:p>
    <w:p>
      <w:pPr>
        <w:ind w:right="60" w:firstLine="436"/>
        <w:spacing w:after="0" w:line="272" w:lineRule="auto"/>
        <w:tabs>
          <w:tab w:leader="none" w:pos="785"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Money Laundering Laws</w:t>
      </w:r>
      <w:r>
        <w:rPr>
          <w:rFonts w:ascii="Arial" w:cs="Arial" w:eastAsia="Arial" w:hAnsi="Arial"/>
          <w:sz w:val="17"/>
          <w:szCs w:val="17"/>
          <w:color w:val="auto"/>
        </w:rPr>
        <w:t>. The operations of the Company and its subsidiaries are and have been conducted at all times in compliance with the requirements of applicable financial recordkeeping and reporting requirements and the money laundering statutes and the rules and regulations thereunder, including, but not limited to, the Bank Secrecy Act of 1970, as amended by the USA PATRIOT ACT of 2001, and the rules and regulations promulgated thereunder, and any related or similar rules, regulations or guidelines, issued administered or enforced by any governmental agency having jurisdiction over the Company or any of its subsidiaries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69" w:lineRule="exact"/>
        <w:rPr>
          <w:rFonts w:ascii="Arial" w:cs="Arial" w:eastAsia="Arial" w:hAnsi="Arial"/>
          <w:sz w:val="17"/>
          <w:szCs w:val="17"/>
          <w:color w:val="auto"/>
        </w:rPr>
      </w:pPr>
    </w:p>
    <w:p>
      <w:pPr>
        <w:ind w:right="20" w:firstLine="436"/>
        <w:spacing w:after="0" w:line="286" w:lineRule="auto"/>
        <w:tabs>
          <w:tab w:leader="none" w:pos="78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Clinical Data and Regulatory Compliance</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preclinical tests and clinical trials, and other studies (collectively, “studies”) that are described or incorporated by reference in, or the results of which are referred to or incorporated by reference in, the Registration Statement or the Prospectus were and, if still pending, are being conducted in all material respects in accordance with the protocols, procedures and controls designed and approved for such studies and with standard medical and scientific research procedures, including Good Clinical Practices and Good Laboratory Practices;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referred to or incorporated by reference in the Registration Statement or the Prospectus; the Company and its subsidiaries have made all such filings and obtained all such approvals as may be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Arial" w:cs="Arial" w:eastAsia="Arial" w:hAnsi="Arial"/>
          <w:sz w:val="16"/>
          <w:szCs w:val="16"/>
          <w:b w:val="1"/>
          <w:bCs w:val="1"/>
          <w:color w:val="auto"/>
        </w:rPr>
        <w:t>Regulatory Agencies</w:t>
      </w:r>
      <w:r>
        <w:rPr>
          <w:rFonts w:ascii="Arial" w:cs="Arial" w:eastAsia="Arial" w:hAnsi="Arial"/>
          <w:sz w:val="16"/>
          <w:szCs w:val="16"/>
          <w:color w:val="auto"/>
        </w:rPr>
        <w:t>”); neither the Company nor any of its subsidiaries has received any notice of, or correspondence from, any Regulatory Agency requiring the termination, suspension or modification of any ongoing or planned clinical trials that are described, referred to or incorporated by reference in the Registration Statement or the Prospectus; and the Company and its subsidiaries have each operated and currently are in compliance in all material respects with all applicable rules, regulations and policies of the Regulatory Agencies.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81" w:name="page82"/>
    <w:bookmarkEnd w:id="81"/>
    <w:p>
      <w:pPr>
        <w:ind w:firstLine="436"/>
        <w:spacing w:after="0" w:line="286" w:lineRule="auto"/>
        <w:tabs>
          <w:tab w:leader="none" w:pos="70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Sanctions.</w:t>
      </w:r>
      <w:r>
        <w:rPr>
          <w:rFonts w:ascii="Arial" w:cs="Arial" w:eastAsia="Arial" w:hAnsi="Arial"/>
          <w:sz w:val="16"/>
          <w:szCs w:val="16"/>
          <w:color w:val="auto"/>
        </w:rPr>
        <w:t xml:space="preserve"> Neither the Company nor any of its subsidiaries, nor, to the knowledge of the Company, any director, officer, agent, employee or affiliate of the Company or any of its subsidiaries (i) is, or is controlled or 50% or more owned in the aggregate by, or is acting on behalf of, one or more individuals or entities that are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European Union, Her Majesty’s Treasury, the United Nations Security Council, or other relevant sanctions authority (collectively, “Sanctions” and such persons “Sanctioned Persons”), or (ii) is located, organized or resident in a country or territory that is, or whose government is, the subject or the target of Sanctions that broadly prohibit dealings with that country or territory (collectively, “Sanctioned Countries” and each, a “</w:t>
      </w:r>
      <w:r>
        <w:rPr>
          <w:rFonts w:ascii="Arial" w:cs="Arial" w:eastAsia="Arial" w:hAnsi="Arial"/>
          <w:sz w:val="16"/>
          <w:szCs w:val="16"/>
          <w:b w:val="1"/>
          <w:bCs w:val="1"/>
          <w:color w:val="auto"/>
        </w:rPr>
        <w:t>Sanctioned Country</w:t>
      </w:r>
      <w:r>
        <w:rPr>
          <w:rFonts w:ascii="Arial" w:cs="Arial" w:eastAsia="Arial" w:hAnsi="Arial"/>
          <w:sz w:val="16"/>
          <w:szCs w:val="16"/>
          <w:color w:val="auto"/>
        </w:rPr>
        <w:t>”),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Sanctioned Country or (ii) in any other manner that will result in a violation by any person (including any person participating in the transaction, whether as underwriter, advisor, investor or otherwise) of Sanctions. Neither the Company nor any of its subsidiaries has knowingly engaged in any dealings or transactions with or for the benefit of a Sanctioned Person, or with or in a Sanctioned Country, in the preceding three years, nor does the Company or any of its subsidiaries have any plans to engage in dealings or transactions with or for the benefit of a Sanctioned Person, or with or in a Sanctioned Country.</w:t>
      </w:r>
    </w:p>
    <w:p>
      <w:pPr>
        <w:spacing w:after="0" w:line="62" w:lineRule="exact"/>
        <w:rPr>
          <w:rFonts w:ascii="Arial" w:cs="Arial" w:eastAsia="Arial" w:hAnsi="Arial"/>
          <w:sz w:val="16"/>
          <w:szCs w:val="16"/>
          <w:color w:val="auto"/>
        </w:rPr>
      </w:pPr>
    </w:p>
    <w:p>
      <w:pPr>
        <w:ind w:right="20" w:firstLine="436"/>
        <w:spacing w:after="0" w:line="277"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The Company is in compliance, in all material respects, with all applicable provisions of the Sarbanes-Oxley Act of 2002 and the rules and regulations promulgated thereunder.</w:t>
      </w:r>
    </w:p>
    <w:p>
      <w:pPr>
        <w:spacing w:after="0" w:line="62" w:lineRule="exact"/>
        <w:rPr>
          <w:rFonts w:ascii="Arial" w:cs="Arial" w:eastAsia="Arial" w:hAnsi="Arial"/>
          <w:sz w:val="18"/>
          <w:szCs w:val="18"/>
          <w:color w:val="auto"/>
        </w:rPr>
      </w:pPr>
    </w:p>
    <w:p>
      <w:pPr>
        <w:jc w:val="both"/>
        <w:ind w:firstLine="436"/>
        <w:spacing w:after="0" w:line="263" w:lineRule="auto"/>
        <w:tabs>
          <w:tab w:leader="none" w:pos="78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Duties, Transfer Taxes, Etc</w:t>
      </w:r>
      <w:r>
        <w:rPr>
          <w:rFonts w:ascii="Arial" w:cs="Arial" w:eastAsia="Arial" w:hAnsi="Arial"/>
          <w:sz w:val="18"/>
          <w:szCs w:val="18"/>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75" w:lineRule="exact"/>
        <w:rPr>
          <w:rFonts w:ascii="Arial" w:cs="Arial" w:eastAsia="Arial" w:hAnsi="Arial"/>
          <w:sz w:val="18"/>
          <w:szCs w:val="18"/>
          <w:color w:val="auto"/>
        </w:rPr>
      </w:pPr>
    </w:p>
    <w:p>
      <w:pPr>
        <w:ind w:right="20" w:firstLine="436"/>
        <w:spacing w:after="0" w:line="291" w:lineRule="auto"/>
        <w:tabs>
          <w:tab w:leader="none" w:pos="70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IT Systems and Data</w:t>
      </w:r>
      <w:r>
        <w:rPr>
          <w:rFonts w:ascii="Arial" w:cs="Arial" w:eastAsia="Arial" w:hAnsi="Arial"/>
          <w:sz w:val="16"/>
          <w:szCs w:val="16"/>
          <w:color w:val="auto"/>
        </w:rPr>
        <w:t>. Except as disclosed in the Registration Statement and the Prospectus, (i)(x) to the Company’s knowledge, there has been no security breach or other compromise of or relating to any of the Company’s or its subsidiaries’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Arial" w:cs="Arial" w:eastAsia="Arial" w:hAnsi="Arial"/>
          <w:sz w:val="16"/>
          <w:szCs w:val="16"/>
          <w:b w:val="1"/>
          <w:bCs w:val="1"/>
          <w:color w:val="auto"/>
        </w:rPr>
        <w:t>IT Systems and Data</w:t>
      </w:r>
      <w:r>
        <w:rPr>
          <w:rFonts w:ascii="Arial" w:cs="Arial" w:eastAsia="Arial" w:hAnsi="Arial"/>
          <w:sz w:val="16"/>
          <w:szCs w:val="16"/>
          <w:color w:val="auto"/>
        </w:rPr>
        <w:t>”) and (y) the Company and its subsidiaries have not been notified of, and have no knowledge of any event or condition that would reasonably be expected to result in, any security breach or other compromise to their IT Systems and Data; (ii) the Company and its subsidiaries are presently in compliance with all applicable laws or statutes and all judgments, orders, rules and regulations of any court or arbitrator or governmental or regulatory authority, internal policies and contractual obligations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82" w:name="page83"/>
    <w:bookmarkEnd w:id="82"/>
    <w:p>
      <w:pPr>
        <w:ind w:left="4"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relating to the privacy and security of IT Systems and Data and to the protection of such IT Systems and Data from unauthorized use, access, misappropriation or modification, except as would not, in the case of clauses (i) and (ii), individually or in the aggregate, have a Material Adverse Effect; and (iii) the Company and its subsidiaries have implemented backup and disaster recovery technology consistent with industry standards and practices.</w:t>
      </w:r>
    </w:p>
    <w:p>
      <w:pPr>
        <w:spacing w:after="0" w:line="79" w:lineRule="exact"/>
        <w:rPr>
          <w:sz w:val="20"/>
          <w:szCs w:val="20"/>
          <w:color w:val="auto"/>
        </w:rPr>
      </w:pPr>
    </w:p>
    <w:p>
      <w:pPr>
        <w:ind w:left="4" w:firstLine="436"/>
        <w:spacing w:after="0" w:line="277" w:lineRule="auto"/>
        <w:tabs>
          <w:tab w:leader="none" w:pos="88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Other Underwriting Agreements</w:t>
      </w:r>
      <w:r>
        <w:rPr>
          <w:rFonts w:ascii="Arial" w:cs="Arial" w:eastAsia="Arial" w:hAnsi="Arial"/>
          <w:sz w:val="18"/>
          <w:szCs w:val="18"/>
          <w:color w:val="auto"/>
        </w:rPr>
        <w:t>. The Company is not a party to any agreement with an agent or underwriter for any other “at the market” or continuous equity transaction.</w:t>
      </w:r>
    </w:p>
    <w:p>
      <w:pPr>
        <w:spacing w:after="0" w:line="62" w:lineRule="exact"/>
        <w:rPr>
          <w:rFonts w:ascii="Arial" w:cs="Arial" w:eastAsia="Arial" w:hAnsi="Arial"/>
          <w:sz w:val="18"/>
          <w:szCs w:val="18"/>
          <w:color w:val="auto"/>
        </w:rPr>
      </w:pPr>
    </w:p>
    <w:p>
      <w:pPr>
        <w:ind w:left="784" w:hanging="344"/>
        <w:spacing w:after="0"/>
        <w:tabs>
          <w:tab w:leader="none" w:pos="784"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FDA Compliance</w:t>
      </w:r>
      <w:r>
        <w:rPr>
          <w:rFonts w:ascii="Arial" w:cs="Arial" w:eastAsia="Arial" w:hAnsi="Arial"/>
          <w:sz w:val="16"/>
          <w:szCs w:val="16"/>
          <w:color w:val="auto"/>
        </w:rPr>
        <w:t>. The Company has operated and currently is in material compliance with all applicable rules, regulations and policies of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FDA.</w:t>
      </w:r>
    </w:p>
    <w:p>
      <w:pPr>
        <w:spacing w:after="0" w:line="102" w:lineRule="exact"/>
        <w:rPr>
          <w:rFonts w:ascii="Arial" w:cs="Arial" w:eastAsia="Arial" w:hAnsi="Arial"/>
          <w:sz w:val="16"/>
          <w:szCs w:val="16"/>
          <w:color w:val="auto"/>
        </w:rPr>
      </w:pPr>
    </w:p>
    <w:p>
      <w:pPr>
        <w:ind w:left="4" w:right="540" w:firstLine="436"/>
        <w:spacing w:after="0" w:line="263" w:lineRule="auto"/>
        <w:tabs>
          <w:tab w:leader="none" w:pos="78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Supplier and Manufacturer Compliance</w:t>
      </w:r>
      <w:r>
        <w:rPr>
          <w:rFonts w:ascii="Arial" w:cs="Arial" w:eastAsia="Arial" w:hAnsi="Arial"/>
          <w:sz w:val="18"/>
          <w:szCs w:val="18"/>
          <w:color w:val="auto"/>
        </w:rPr>
        <w:t>. To the Company’s knowledge, the manufacturing facilities and operations of its suppliers and manufacturers are operated in compliance in all respects with all applicable statutes, rules, regulations and policies of the FDA and comparable regulatory agencies outside of the United States to which the Company is subject.</w:t>
      </w:r>
    </w:p>
    <w:p>
      <w:pPr>
        <w:spacing w:after="0" w:line="75" w:lineRule="exact"/>
        <w:rPr>
          <w:rFonts w:ascii="Arial" w:cs="Arial" w:eastAsia="Arial" w:hAnsi="Arial"/>
          <w:sz w:val="18"/>
          <w:szCs w:val="18"/>
          <w:color w:val="auto"/>
        </w:rPr>
      </w:pPr>
    </w:p>
    <w:p>
      <w:pPr>
        <w:ind w:left="4" w:right="120" w:firstLine="436"/>
        <w:spacing w:after="0" w:line="271" w:lineRule="auto"/>
        <w:tabs>
          <w:tab w:leader="none" w:pos="789"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Except as otherwise disclosed in the Prospectus,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be expected to result in a Material Adverse Effect. Neither the Company nor any of its subsidiaries has been denied any insurance coverage which it has sought or for which it has applied.</w:t>
      </w:r>
    </w:p>
    <w:p>
      <w:pPr>
        <w:spacing w:after="0" w:line="178"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84"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 xml:space="preserve">The Company acknowledges that the Agent and, for purposes of the opinions to be delivered pursuant to </w:t>
      </w:r>
      <w:r>
        <w:rPr>
          <w:rFonts w:ascii="Arial" w:cs="Arial" w:eastAsia="Arial" w:hAnsi="Arial"/>
          <w:sz w:val="18"/>
          <w:szCs w:val="18"/>
          <w:u w:val="single" w:color="auto"/>
          <w:color w:val="auto"/>
        </w:rPr>
        <w:t>Section 4(p)</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5(a)(v)</w:t>
      </w:r>
      <w:r>
        <w:rPr>
          <w:rFonts w:ascii="Arial" w:cs="Arial" w:eastAsia="Arial" w:hAnsi="Arial"/>
          <w:sz w:val="18"/>
          <w:szCs w:val="18"/>
          <w:color w:val="auto"/>
        </w:rPr>
        <w:t xml:space="preserve"> hereof, counsel to the Company and counsel to the Agent, will rely upon the accuracy and truthfulness of the foregoing representations and hereby consents to such reliance.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121" w:lineRule="exact"/>
        <w:rPr>
          <w:sz w:val="20"/>
          <w:szCs w:val="20"/>
          <w:color w:val="auto"/>
        </w:rPr>
      </w:pPr>
    </w:p>
    <w:p>
      <w:pPr>
        <w:ind w:left="4" w:right="60" w:firstLine="436"/>
        <w:spacing w:after="0" w:line="259" w:lineRule="auto"/>
        <w:tabs>
          <w:tab w:leader="none" w:pos="689"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78" w:lineRule="exact"/>
        <w:rPr>
          <w:rFonts w:ascii="Arial" w:cs="Arial" w:eastAsia="Arial" w:hAnsi="Arial"/>
          <w:sz w:val="18"/>
          <w:szCs w:val="18"/>
          <w:color w:val="auto"/>
        </w:rPr>
      </w:pPr>
    </w:p>
    <w:p>
      <w:pPr>
        <w:ind w:left="704" w:hanging="264"/>
        <w:spacing w:after="0"/>
        <w:tabs>
          <w:tab w:leader="none" w:pos="70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117" w:lineRule="exact"/>
        <w:rPr>
          <w:sz w:val="20"/>
          <w:szCs w:val="20"/>
          <w:color w:val="auto"/>
        </w:rPr>
      </w:pPr>
    </w:p>
    <w:p>
      <w:pPr>
        <w:ind w:left="4" w:right="280" w:firstLine="436"/>
        <w:spacing w:after="0" w:line="287" w:lineRule="auto"/>
        <w:tabs>
          <w:tab w:leader="none" w:pos="659"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Issuance Notice</w:t>
      </w:r>
      <w:r>
        <w:rPr>
          <w:rFonts w:ascii="Arial" w:cs="Arial" w:eastAsia="Arial" w:hAnsi="Arial"/>
          <w:sz w:val="16"/>
          <w:szCs w:val="16"/>
          <w:color w:val="auto"/>
        </w:rPr>
        <w:t xml:space="preserve">. Upon the terms and subject to the conditions set forth herein, on any Trading Day during the Agency Period on which the conditions set forth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have been satisfied, the Company may exercise its right to request an issuance of Shares by delivering to the Agent an Issuance Notice;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(A) in no event may the Company deliver an Issuance Notice to the extent that</w:t>
      </w:r>
    </w:p>
    <w:p>
      <w:pPr>
        <w:spacing w:after="0" w:line="2" w:lineRule="exact"/>
        <w:rPr>
          <w:rFonts w:ascii="Arial" w:cs="Arial" w:eastAsia="Arial" w:hAnsi="Arial"/>
          <w:sz w:val="16"/>
          <w:szCs w:val="16"/>
          <w:color w:val="auto"/>
        </w:rPr>
      </w:pPr>
    </w:p>
    <w:p>
      <w:pPr>
        <w:jc w:val="both"/>
        <w:ind w:left="4" w:right="140" w:hanging="4"/>
        <w:spacing w:after="0" w:line="277" w:lineRule="auto"/>
        <w:tabs>
          <w:tab w:leader="none" w:pos="229"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83" w:name="page84"/>
    <w:bookmarkEnd w:id="83"/>
    <w:p>
      <w:pPr>
        <w:ind w:left="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76" w:lineRule="exact"/>
        <w:rPr>
          <w:sz w:val="20"/>
          <w:szCs w:val="20"/>
          <w:color w:val="auto"/>
        </w:rPr>
      </w:pPr>
    </w:p>
    <w:p>
      <w:pPr>
        <w:ind w:left="4" w:firstLine="436"/>
        <w:spacing w:after="0" w:line="296" w:lineRule="auto"/>
        <w:tabs>
          <w:tab w:leader="none" w:pos="709"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Agent Efforts</w:t>
      </w:r>
      <w:r>
        <w:rPr>
          <w:rFonts w:ascii="Arial" w:cs="Arial" w:eastAsia="Arial" w:hAnsi="Arial"/>
          <w:sz w:val="16"/>
          <w:szCs w:val="16"/>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53" w:lineRule="exact"/>
        <w:rPr>
          <w:rFonts w:ascii="Arial" w:cs="Arial" w:eastAsia="Arial" w:hAnsi="Arial"/>
          <w:sz w:val="16"/>
          <w:szCs w:val="16"/>
          <w:color w:val="auto"/>
        </w:rPr>
      </w:pPr>
    </w:p>
    <w:p>
      <w:pPr>
        <w:ind w:left="764" w:hanging="324"/>
        <w:spacing w:after="0"/>
        <w:tabs>
          <w:tab w:leader="none" w:pos="764"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Method of Offer and Sale</w:t>
      </w:r>
      <w:r>
        <w:rPr>
          <w:rFonts w:ascii="Arial" w:cs="Arial" w:eastAsia="Arial" w:hAnsi="Arial"/>
          <w:sz w:val="16"/>
          <w:szCs w:val="16"/>
          <w:color w:val="auto"/>
        </w:rPr>
        <w:t>. The Shares may be offered and sold (A) in privately negotiated transactions with the consent of the Company;</w:t>
      </w:r>
    </w:p>
    <w:p>
      <w:pPr>
        <w:spacing w:after="0" w:line="46" w:lineRule="exact"/>
        <w:rPr>
          <w:rFonts w:ascii="Arial" w:cs="Arial" w:eastAsia="Arial" w:hAnsi="Arial"/>
          <w:sz w:val="16"/>
          <w:szCs w:val="16"/>
          <w:color w:val="auto"/>
        </w:rPr>
      </w:pPr>
    </w:p>
    <w:p>
      <w:pPr>
        <w:ind w:left="4" w:right="100" w:hanging="4"/>
        <w:spacing w:after="0" w:line="295" w:lineRule="auto"/>
        <w:tabs>
          <w:tab w:leader="none" w:pos="289" w:val="left"/>
        </w:tabs>
        <w:numPr>
          <w:ilvl w:val="0"/>
          <w:numId w:val="81"/>
        </w:numPr>
        <w:rPr>
          <w:rFonts w:ascii="Arial" w:cs="Arial" w:eastAsia="Arial" w:hAnsi="Arial"/>
          <w:sz w:val="16"/>
          <w:szCs w:val="16"/>
          <w:color w:val="auto"/>
        </w:rPr>
      </w:pPr>
      <w:r>
        <w:rPr>
          <w:rFonts w:ascii="Arial" w:cs="Arial" w:eastAsia="Arial" w:hAnsi="Arial"/>
          <w:sz w:val="16"/>
          <w:szCs w:val="16"/>
          <w:color w:val="auto"/>
        </w:rPr>
        <w:t>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53" w:lineRule="exact"/>
        <w:rPr>
          <w:rFonts w:ascii="Arial" w:cs="Arial" w:eastAsia="Arial" w:hAnsi="Arial"/>
          <w:sz w:val="16"/>
          <w:szCs w:val="16"/>
          <w:color w:val="auto"/>
        </w:rPr>
      </w:pPr>
    </w:p>
    <w:p>
      <w:pPr>
        <w:ind w:left="4" w:right="20" w:firstLine="436"/>
        <w:spacing w:after="0" w:line="286" w:lineRule="auto"/>
        <w:tabs>
          <w:tab w:leader="none" w:pos="749"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Confirmation to the Company</w:t>
      </w:r>
      <w:r>
        <w:rPr>
          <w:rFonts w:ascii="Arial" w:cs="Arial" w:eastAsia="Arial" w:hAnsi="Arial"/>
          <w:sz w:val="17"/>
          <w:szCs w:val="17"/>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57" w:lineRule="exact"/>
        <w:rPr>
          <w:rFonts w:ascii="Arial" w:cs="Arial" w:eastAsia="Arial" w:hAnsi="Arial"/>
          <w:sz w:val="17"/>
          <w:szCs w:val="17"/>
          <w:color w:val="auto"/>
        </w:rPr>
      </w:pPr>
    </w:p>
    <w:p>
      <w:pPr>
        <w:ind w:left="4" w:right="20" w:firstLine="436"/>
        <w:spacing w:after="0" w:line="291" w:lineRule="auto"/>
        <w:tabs>
          <w:tab w:leader="none" w:pos="699"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Each issuance of Shares will be settled on the applicable Settlement Date for such issuance of Shares and, subject to the provisions of </w:t>
      </w:r>
      <w:r>
        <w:rPr>
          <w:rFonts w:ascii="Arial" w:cs="Arial" w:eastAsia="Arial" w:hAnsi="Arial"/>
          <w:sz w:val="16"/>
          <w:szCs w:val="16"/>
          <w:u w:val="single" w:color="auto"/>
          <w:color w:val="auto"/>
        </w:rPr>
        <w:t>Section 5</w:t>
      </w:r>
      <w:r>
        <w:rPr>
          <w:rFonts w:ascii="Arial" w:cs="Arial" w:eastAsia="Arial" w:hAnsi="Arial"/>
          <w:sz w:val="16"/>
          <w:szCs w:val="16"/>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6"/>
          <w:szCs w:val="16"/>
          <w:b w:val="1"/>
          <w:bCs w:val="1"/>
          <w:color w:val="auto"/>
        </w:rPr>
        <w:t>Time of Sale</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4" w:right="80" w:firstLine="436"/>
        <w:spacing w:after="0" w:line="259" w:lineRule="auto"/>
        <w:tabs>
          <w:tab w:leader="none" w:pos="749"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Suspension or Termination of Sales</w:t>
      </w:r>
      <w:r>
        <w:rPr>
          <w:rFonts w:ascii="Arial" w:cs="Arial" w:eastAsia="Arial" w:hAnsi="Arial"/>
          <w:sz w:val="18"/>
          <w:szCs w:val="18"/>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(A) such suspension and termination shall not affect or impair either party’s obligations with respect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84" w:name="page85"/>
    <w:bookmarkEnd w:id="84"/>
    <w:p>
      <w:pPr>
        <w:ind w:left="4"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w:t>
      </w:r>
    </w:p>
    <w:p>
      <w:pPr>
        <w:spacing w:after="0" w:line="4" w:lineRule="exact"/>
        <w:rPr>
          <w:sz w:val="20"/>
          <w:szCs w:val="20"/>
          <w:color w:val="auto"/>
        </w:rPr>
      </w:pPr>
    </w:p>
    <w:p>
      <w:pPr>
        <w:ind w:left="4" w:right="200" w:hanging="4"/>
        <w:spacing w:after="0" w:line="260" w:lineRule="auto"/>
        <w:tabs>
          <w:tab w:leader="none" w:pos="259"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4" w:firstLine="436"/>
        <w:spacing w:after="0" w:line="259" w:lineRule="auto"/>
        <w:tabs>
          <w:tab w:leader="none" w:pos="799"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78" w:lineRule="exact"/>
        <w:rPr>
          <w:rFonts w:ascii="Arial" w:cs="Arial" w:eastAsia="Arial" w:hAnsi="Arial"/>
          <w:sz w:val="18"/>
          <w:szCs w:val="18"/>
          <w:color w:val="auto"/>
        </w:rPr>
      </w:pPr>
    </w:p>
    <w:p>
      <w:pPr>
        <w:ind w:left="4" w:right="220" w:firstLine="436"/>
        <w:spacing w:after="0" w:line="263" w:lineRule="auto"/>
        <w:tabs>
          <w:tab w:leader="none" w:pos="849"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76" w:lineRule="exact"/>
        <w:rPr>
          <w:sz w:val="20"/>
          <w:szCs w:val="20"/>
          <w:color w:val="auto"/>
        </w:rPr>
      </w:pPr>
    </w:p>
    <w:p>
      <w:pPr>
        <w:jc w:val="both"/>
        <w:ind w:left="4" w:right="20" w:firstLine="436"/>
        <w:spacing w:after="0" w:line="263" w:lineRule="auto"/>
        <w:tabs>
          <w:tab w:leader="none" w:pos="689"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xml:space="preserve"> by the Agent deducting the Selling Commission from the applicable Issuance Amount.</w:t>
      </w:r>
    </w:p>
    <w:p>
      <w:pPr>
        <w:spacing w:after="0" w:line="75" w:lineRule="exact"/>
        <w:rPr>
          <w:rFonts w:ascii="Arial" w:cs="Arial" w:eastAsia="Arial" w:hAnsi="Arial"/>
          <w:sz w:val="18"/>
          <w:szCs w:val="18"/>
          <w:color w:val="auto"/>
        </w:rPr>
      </w:pPr>
    </w:p>
    <w:p>
      <w:pPr>
        <w:ind w:left="4" w:firstLine="436"/>
        <w:spacing w:after="0" w:line="287" w:lineRule="auto"/>
        <w:tabs>
          <w:tab w:leader="none" w:pos="699"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6"/>
          <w:szCs w:val="16"/>
          <w:b w:val="1"/>
          <w:bCs w:val="1"/>
          <w:color w:val="auto"/>
        </w:rPr>
        <w:t>Blue Sky Survey</w:t>
      </w:r>
      <w:r>
        <w:rPr>
          <w:rFonts w:ascii="Arial" w:cs="Arial" w:eastAsia="Arial" w:hAnsi="Arial"/>
          <w:sz w:val="16"/>
          <w:szCs w:val="16"/>
          <w:color w:val="auto"/>
        </w:rPr>
        <w:t>” or memorandum and a “Canadian wrapper,, and any supplements thereto, advising the Agent of</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85" w:name="page86"/>
    <w:bookmarkEnd w:id="85"/>
    <w:p>
      <w:pPr>
        <w:ind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and (ix) the fees and expenses associated with listing the Shares on the Principal Market. The fees and disbursements of Agent’s counsel pursuant to subsections (vi) and (vii) above shall not exceed $50,000.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ADDITIONAL COVENANTS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ind w:right="60" w:firstLine="436"/>
        <w:spacing w:after="0" w:line="254" w:lineRule="auto"/>
        <w:tabs>
          <w:tab w:leader="none" w:pos="6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Exchange Act Compliance</w:t>
      </w:r>
      <w:r>
        <w:rPr>
          <w:rFonts w:ascii="Arial" w:cs="Arial" w:eastAsia="Arial" w:hAnsi="Arial"/>
          <w:sz w:val="18"/>
          <w:szCs w:val="18"/>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8"/>
          <w:szCs w:val="18"/>
          <w:b w:val="1"/>
          <w:bCs w:val="1"/>
          <w:color w:val="auto"/>
        </w:rPr>
        <w:t>Interim</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 Supplement”)</w:t>
      </w:r>
      <w:r>
        <w:rPr>
          <w:rFonts w:ascii="Arial" w:cs="Arial" w:eastAsia="Arial" w:hAnsi="Arial"/>
          <w:sz w:val="18"/>
          <w:szCs w:val="18"/>
          <w:color w:val="auto"/>
        </w:rPr>
        <w:t>, such summary information and, at least once a quarter and subject to this Section 4, file such Interim Prospectus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 pursuant to Rule 424(b) under the Securities Act (and within the time periods required by Rule 424(b) and Rule 430B under the Securities Act).</w:t>
      </w:r>
    </w:p>
    <w:p>
      <w:pPr>
        <w:spacing w:after="0" w:line="83" w:lineRule="exact"/>
        <w:rPr>
          <w:rFonts w:ascii="Arial" w:cs="Arial" w:eastAsia="Arial" w:hAnsi="Arial"/>
          <w:sz w:val="18"/>
          <w:szCs w:val="18"/>
          <w:color w:val="auto"/>
        </w:rPr>
      </w:pPr>
    </w:p>
    <w:p>
      <w:pPr>
        <w:ind w:firstLine="436"/>
        <w:spacing w:after="0" w:line="287"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Securities Act Compliance</w:t>
      </w:r>
      <w:r>
        <w:rPr>
          <w:rFonts w:ascii="Arial" w:cs="Arial" w:eastAsia="Arial" w:hAnsi="Arial"/>
          <w:sz w:val="16"/>
          <w:szCs w:val="16"/>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86" w:name="page87"/>
    <w:bookmarkEnd w:id="86"/>
    <w:p>
      <w:pPr>
        <w:ind w:firstLine="436"/>
        <w:spacing w:after="0" w:line="288" w:lineRule="auto"/>
        <w:tabs>
          <w:tab w:leader="none" w:pos="68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Amendments and Supplements to the Prospectus and Other Securities Act Matters</w:t>
      </w:r>
      <w:r>
        <w:rPr>
          <w:rFonts w:ascii="Arial" w:cs="Arial" w:eastAsia="Arial" w:hAnsi="Arial"/>
          <w:sz w:val="16"/>
          <w:szCs w:val="16"/>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Sections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w:t>
      </w:r>
    </w:p>
    <w:p>
      <w:pPr>
        <w:spacing w:after="0" w:line="60" w:lineRule="exact"/>
        <w:rPr>
          <w:rFonts w:ascii="Arial" w:cs="Arial" w:eastAsia="Arial" w:hAnsi="Arial"/>
          <w:sz w:val="16"/>
          <w:szCs w:val="16"/>
          <w:color w:val="auto"/>
        </w:rPr>
      </w:pPr>
    </w:p>
    <w:p>
      <w:pPr>
        <w:ind w:right="280" w:firstLine="436"/>
        <w:spacing w:after="0" w:line="293" w:lineRule="auto"/>
        <w:tabs>
          <w:tab w:leader="none" w:pos="69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Agent’s Review of Proposed Amendments and Supplements</w:t>
      </w:r>
      <w:r>
        <w:rPr>
          <w:rFonts w:ascii="Arial" w:cs="Arial" w:eastAsia="Arial" w:hAnsi="Arial"/>
          <w:sz w:val="16"/>
          <w:szCs w:val="16"/>
          <w:color w:val="auto"/>
        </w:rPr>
        <w:t>. Prior to filing any amendment or supplement to the Registration Statement (including any registration statement filed under Rule 462(b) under the Securities Act) or the Prospectus (excluding any amendment or supplement through incorporation of any report filed under the Exchange Act) relating to the Shares,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The Company shall file with the Commission within the applicable period specified in Rule 424(b) under the Securities Act any prospectus required to be filed pursuant to such Rule.</w:t>
      </w:r>
    </w:p>
    <w:p>
      <w:pPr>
        <w:spacing w:after="0" w:line="56" w:lineRule="exact"/>
        <w:rPr>
          <w:rFonts w:ascii="Arial" w:cs="Arial" w:eastAsia="Arial" w:hAnsi="Arial"/>
          <w:sz w:val="16"/>
          <w:szCs w:val="16"/>
          <w:color w:val="auto"/>
        </w:rPr>
      </w:pPr>
    </w:p>
    <w:p>
      <w:pPr>
        <w:jc w:val="both"/>
        <w:ind w:right="60" w:firstLine="436"/>
        <w:spacing w:after="0" w:line="259" w:lineRule="auto"/>
        <w:tabs>
          <w:tab w:leader="none" w:pos="68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firstLine="436"/>
        <w:spacing w:after="0" w:line="289" w:lineRule="auto"/>
        <w:tabs>
          <w:tab w:leader="none" w:pos="66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Free Writing Prospectuses</w:t>
      </w:r>
      <w:r>
        <w:rPr>
          <w:rFonts w:ascii="Arial" w:cs="Arial" w:eastAsia="Arial" w:hAnsi="Arial"/>
          <w:sz w:val="16"/>
          <w:szCs w:val="16"/>
          <w:color w:val="auto"/>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relating to the Shares and the Company shall not file, use or refer to any proposed free writing prospectus relating to the Shares or any amendment or supplement thereto without the Agent’s consent. The Company shall furnish to the Agent, without charge, as many copies of any free writing prospectus relating to the Shares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87" w:name="page88"/>
    <w:bookmarkEnd w:id="8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amending or supplementing any such free writing prospectus relating to the Shares,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70" w:lineRule="exact"/>
        <w:rPr>
          <w:sz w:val="20"/>
          <w:szCs w:val="20"/>
          <w:color w:val="auto"/>
        </w:rPr>
      </w:pPr>
    </w:p>
    <w:p>
      <w:pPr>
        <w:ind w:right="200" w:firstLine="436"/>
        <w:spacing w:after="0" w:line="263"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75" w:lineRule="exact"/>
        <w:rPr>
          <w:rFonts w:ascii="Arial" w:cs="Arial" w:eastAsia="Arial" w:hAnsi="Arial"/>
          <w:sz w:val="18"/>
          <w:szCs w:val="18"/>
          <w:color w:val="auto"/>
        </w:rPr>
      </w:pPr>
    </w:p>
    <w:p>
      <w:pPr>
        <w:jc w:val="both"/>
        <w:ind w:right="280" w:firstLine="436"/>
        <w:spacing w:after="0" w:line="286" w:lineRule="auto"/>
        <w:tabs>
          <w:tab w:leader="none" w:pos="69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Copies of Registration Statement and Prospectus</w:t>
      </w:r>
      <w:r>
        <w:rPr>
          <w:rFonts w:ascii="Arial" w:cs="Arial" w:eastAsia="Arial" w:hAnsi="Arial"/>
          <w:sz w:val="16"/>
          <w:szCs w:val="16"/>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w:t>
      </w:r>
    </w:p>
    <w:p>
      <w:pPr>
        <w:spacing w:after="0" w:line="1" w:lineRule="exact"/>
        <w:rPr>
          <w:rFonts w:ascii="Arial" w:cs="Arial" w:eastAsia="Arial" w:hAnsi="Arial"/>
          <w:sz w:val="16"/>
          <w:szCs w:val="16"/>
          <w:color w:val="auto"/>
        </w:rPr>
      </w:pPr>
    </w:p>
    <w:p>
      <w:pPr>
        <w:ind w:right="40"/>
        <w:spacing w:after="0" w:line="285" w:lineRule="auto"/>
        <w:rPr>
          <w:rFonts w:ascii="Arial" w:cs="Arial" w:eastAsia="Arial" w:hAnsi="Arial"/>
          <w:sz w:val="16"/>
          <w:szCs w:val="16"/>
          <w:color w:val="auto"/>
        </w:rPr>
      </w:pPr>
      <w:r>
        <w:rPr>
          <w:rFonts w:ascii="Arial" w:cs="Arial" w:eastAsia="Arial" w:hAnsi="Arial"/>
          <w:sz w:val="16"/>
          <w:szCs w:val="16"/>
          <w:color w:val="auto"/>
        </w:rPr>
        <w:t>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88" w:name="page89"/>
    <w:bookmarkEnd w:id="88"/>
    <w:p>
      <w:pPr>
        <w:ind w:right="120" w:firstLine="436"/>
        <w:spacing w:after="0" w:line="270" w:lineRule="auto"/>
        <w:tabs>
          <w:tab w:leader="none" w:pos="655"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Blue Sky Compliance</w:t>
      </w:r>
      <w:r>
        <w:rPr>
          <w:rFonts w:ascii="Arial" w:cs="Arial" w:eastAsia="Arial" w:hAnsi="Arial"/>
          <w:sz w:val="17"/>
          <w:szCs w:val="17"/>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72" w:lineRule="exact"/>
        <w:rPr>
          <w:rFonts w:ascii="Arial" w:cs="Arial" w:eastAsia="Arial" w:hAnsi="Arial"/>
          <w:sz w:val="17"/>
          <w:szCs w:val="17"/>
          <w:color w:val="auto"/>
        </w:rPr>
      </w:pPr>
    </w:p>
    <w:p>
      <w:pPr>
        <w:jc w:val="both"/>
        <w:ind w:firstLine="436"/>
        <w:spacing w:after="0" w:line="279" w:lineRule="auto"/>
        <w:tabs>
          <w:tab w:leader="none" w:pos="655"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Earnings Statement</w:t>
      </w:r>
      <w:r>
        <w:rPr>
          <w:rFonts w:ascii="Arial" w:cs="Arial" w:eastAsia="Arial" w:hAnsi="Arial"/>
          <w:sz w:val="17"/>
          <w:szCs w:val="17"/>
          <w:color w:val="auto"/>
        </w:rPr>
        <w:t>. As soon as practicable, but in any event not later than 15 months after the end of the Company’s current fiscal quarter as of the date of this Agreement,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63" w:lineRule="exact"/>
        <w:rPr>
          <w:rFonts w:ascii="Arial" w:cs="Arial" w:eastAsia="Arial" w:hAnsi="Arial"/>
          <w:sz w:val="17"/>
          <w:szCs w:val="17"/>
          <w:color w:val="auto"/>
        </w:rPr>
      </w:pPr>
    </w:p>
    <w:p>
      <w:pPr>
        <w:jc w:val="both"/>
        <w:ind w:right="300" w:firstLine="436"/>
        <w:spacing w:after="0" w:line="263"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Listing; Reservation of Shares</w:t>
      </w:r>
      <w:r>
        <w:rPr>
          <w:rFonts w:ascii="Arial" w:cs="Arial" w:eastAsia="Arial" w:hAnsi="Arial"/>
          <w:sz w:val="18"/>
          <w:szCs w:val="18"/>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117" w:lineRule="exact"/>
        <w:rPr>
          <w:rFonts w:ascii="Arial" w:cs="Arial" w:eastAsia="Arial" w:hAnsi="Arial"/>
          <w:sz w:val="18"/>
          <w:szCs w:val="18"/>
          <w:color w:val="auto"/>
        </w:rPr>
      </w:pPr>
    </w:p>
    <w:p>
      <w:pPr>
        <w:ind w:right="220" w:firstLine="436"/>
        <w:spacing w:after="0" w:line="259" w:lineRule="auto"/>
        <w:tabs>
          <w:tab w:leader="none" w:pos="74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78" w:lineRule="exact"/>
        <w:rPr>
          <w:rFonts w:ascii="Arial" w:cs="Arial" w:eastAsia="Arial" w:hAnsi="Arial"/>
          <w:sz w:val="18"/>
          <w:szCs w:val="18"/>
          <w:color w:val="auto"/>
        </w:rPr>
      </w:pPr>
    </w:p>
    <w:p>
      <w:pPr>
        <w:ind w:right="40" w:firstLine="436"/>
        <w:spacing w:after="0" w:line="291" w:lineRule="auto"/>
        <w:tabs>
          <w:tab w:leader="none" w:pos="69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89" w:name="page90"/>
    <w:bookmarkEnd w:id="89"/>
    <w:p>
      <w:pPr>
        <w:ind w:right="160" w:firstLine="436"/>
        <w:spacing w:after="0" w:line="277"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Deliverables at Triggering Event Dates; Certificates.</w:t>
      </w:r>
      <w:r>
        <w:rPr>
          <w:rFonts w:ascii="Arial" w:cs="Arial" w:eastAsia="Arial" w:hAnsi="Arial"/>
          <w:sz w:val="18"/>
          <w:szCs w:val="18"/>
          <w:color w:val="auto"/>
        </w:rPr>
        <w:t xml:space="preserve"> The Company agrees that on or prior to the date of the first Issuance Notice and, during the term of this Agreement after the date of the first Issuance Notice, upon:</w:t>
      </w:r>
    </w:p>
    <w:p>
      <w:pPr>
        <w:spacing w:after="0" w:line="62" w:lineRule="exact"/>
        <w:rPr>
          <w:rFonts w:ascii="Arial" w:cs="Arial" w:eastAsia="Arial" w:hAnsi="Arial"/>
          <w:sz w:val="18"/>
          <w:szCs w:val="18"/>
          <w:color w:val="auto"/>
        </w:rPr>
      </w:pPr>
    </w:p>
    <w:p>
      <w:pPr>
        <w:ind w:firstLine="987"/>
        <w:spacing w:after="0" w:line="311" w:lineRule="auto"/>
        <w:tabs>
          <w:tab w:leader="none" w:pos="1286"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40" w:lineRule="exact"/>
        <w:rPr>
          <w:rFonts w:ascii="Arial" w:cs="Arial" w:eastAsia="Arial" w:hAnsi="Arial"/>
          <w:sz w:val="16"/>
          <w:szCs w:val="16"/>
          <w:color w:val="auto"/>
        </w:rPr>
      </w:pPr>
    </w:p>
    <w:p>
      <w:pPr>
        <w:ind w:right="20" w:firstLine="987"/>
        <w:spacing w:after="0" w:line="263" w:lineRule="auto"/>
        <w:tabs>
          <w:tab w:leader="none" w:pos="1276"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75" w:lineRule="exact"/>
        <w:rPr>
          <w:rFonts w:ascii="Arial" w:cs="Arial" w:eastAsia="Arial" w:hAnsi="Arial"/>
          <w:sz w:val="18"/>
          <w:szCs w:val="18"/>
          <w:color w:val="auto"/>
        </w:rPr>
      </w:pPr>
    </w:p>
    <w:p>
      <w:pPr>
        <w:ind w:right="40" w:firstLine="987"/>
        <w:spacing w:after="0" w:line="259" w:lineRule="auto"/>
        <w:tabs>
          <w:tab w:leader="none" w:pos="1276"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8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(any such event, a “</w:t>
      </w:r>
      <w:r>
        <w:rPr>
          <w:rFonts w:ascii="Arial" w:cs="Arial" w:eastAsia="Arial" w:hAnsi="Arial"/>
          <w:sz w:val="17"/>
          <w:szCs w:val="17"/>
          <w:b w:val="1"/>
          <w:bCs w:val="1"/>
          <w:color w:val="auto"/>
        </w:rPr>
        <w:t>Triggering Event Date</w:t>
      </w:r>
      <w:r>
        <w:rPr>
          <w:rFonts w:ascii="Arial" w:cs="Arial" w:eastAsia="Arial" w:hAnsi="Arial"/>
          <w:sz w:val="17"/>
          <w:szCs w:val="17"/>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that the Company has performed all of its obligations hereunder to be performed on or prior to the date of such certificate and as to the matters set forth in </w:t>
      </w:r>
      <w:r>
        <w:rPr>
          <w:rFonts w:ascii="Arial" w:cs="Arial" w:eastAsia="Arial" w:hAnsi="Arial"/>
          <w:sz w:val="17"/>
          <w:szCs w:val="17"/>
          <w:u w:val="single" w:color="auto"/>
          <w:color w:val="auto"/>
        </w:rPr>
        <w:t>Section 5(a)(iii)</w:t>
      </w:r>
      <w:r>
        <w:rPr>
          <w:rFonts w:ascii="Arial" w:cs="Arial" w:eastAsia="Arial" w:hAnsi="Arial"/>
          <w:sz w:val="17"/>
          <w:szCs w:val="17"/>
          <w:color w:val="auto"/>
        </w:rPr>
        <w:t xml:space="preserve"> in the judgment of an officer of the Company hereof, and (C) containing any other certification that the Agent shall reasonably request. The requirement to provide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90" w:name="page91"/>
    <w:bookmarkEnd w:id="90"/>
    <w:p>
      <w:pPr>
        <w:ind w:left="-40" w:firstLine="436"/>
        <w:spacing w:after="0" w:line="269" w:lineRule="auto"/>
        <w:tabs>
          <w:tab w:leader="none" w:pos="65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Legal Opinions.</w:t>
      </w:r>
      <w:r>
        <w:rPr>
          <w:rFonts w:ascii="Arial" w:cs="Arial" w:eastAsia="Arial" w:hAnsi="Arial"/>
          <w:sz w:val="17"/>
          <w:szCs w:val="17"/>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to be furnished to the Agent (1) a negative assurances letter and the written legal opinion of Cooley LLP, counsel to the Company, and (2) the written legal opinions of Jones Day and Fish &amp; Richardson P.C., intellectual property counsel to the Company,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77" w:lineRule="exact"/>
        <w:rPr>
          <w:rFonts w:ascii="Arial" w:cs="Arial" w:eastAsia="Arial" w:hAnsi="Arial"/>
          <w:sz w:val="17"/>
          <w:szCs w:val="17"/>
          <w:color w:val="auto"/>
        </w:rPr>
      </w:pPr>
    </w:p>
    <w:p>
      <w:pPr>
        <w:ind w:left="-40" w:firstLine="436"/>
        <w:spacing w:after="0" w:line="269" w:lineRule="auto"/>
        <w:tabs>
          <w:tab w:leader="none" w:pos="65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spacing w:after="0" w:line="73" w:lineRule="exact"/>
        <w:rPr>
          <w:rFonts w:ascii="Arial" w:cs="Arial" w:eastAsia="Arial" w:hAnsi="Arial"/>
          <w:sz w:val="17"/>
          <w:szCs w:val="17"/>
          <w:color w:val="auto"/>
        </w:rPr>
      </w:pPr>
    </w:p>
    <w:p>
      <w:pPr>
        <w:ind w:left="-40" w:firstLine="436"/>
        <w:spacing w:after="0" w:line="272" w:lineRule="auto"/>
        <w:tabs>
          <w:tab w:leader="none" w:pos="62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Secretary’s Certificate</w:t>
      </w:r>
      <w:r>
        <w:rPr>
          <w:rFonts w:ascii="Arial" w:cs="Arial" w:eastAsia="Arial" w:hAnsi="Arial"/>
          <w:sz w:val="17"/>
          <w:szCs w:val="17"/>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480" w:top="274" w:right="499" w:bottom="1440" w:gutter="0" w:footer="0" w:header="0"/>
        </w:sectPr>
      </w:pPr>
    </w:p>
    <w:bookmarkStart w:id="91" w:name="page92"/>
    <w:bookmarkEnd w:id="91"/>
    <w:p>
      <w:pPr>
        <w:ind w:left="-20" w:right="380" w:firstLine="436"/>
        <w:spacing w:after="0" w:line="342" w:lineRule="auto"/>
        <w:tabs>
          <w:tab w:leader="none" w:pos="65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Agent’s Own Account; Clients’ Account</w:t>
      </w:r>
      <w:r>
        <w:rPr>
          <w:rFonts w:ascii="Arial" w:cs="Arial" w:eastAsia="Arial" w:hAnsi="Arial"/>
          <w:sz w:val="16"/>
          <w:szCs w:val="16"/>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5" w:lineRule="exact"/>
        <w:rPr>
          <w:rFonts w:ascii="Arial" w:cs="Arial" w:eastAsia="Arial" w:hAnsi="Arial"/>
          <w:sz w:val="16"/>
          <w:szCs w:val="16"/>
          <w:color w:val="auto"/>
        </w:rPr>
      </w:pPr>
    </w:p>
    <w:p>
      <w:pPr>
        <w:ind w:left="-20" w:right="280" w:firstLine="436"/>
        <w:spacing w:after="0" w:line="342" w:lineRule="auto"/>
        <w:tabs>
          <w:tab w:leader="none" w:pos="63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5" w:lineRule="exact"/>
        <w:rPr>
          <w:rFonts w:ascii="Arial" w:cs="Arial" w:eastAsia="Arial" w:hAnsi="Arial"/>
          <w:sz w:val="16"/>
          <w:szCs w:val="16"/>
          <w:color w:val="auto"/>
        </w:rPr>
      </w:pPr>
    </w:p>
    <w:p>
      <w:pPr>
        <w:ind w:left="-20" w:right="140" w:firstLine="436"/>
        <w:spacing w:after="0" w:line="291" w:lineRule="auto"/>
        <w:tabs>
          <w:tab w:leader="none" w:pos="67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Market Activities</w:t>
      </w:r>
      <w:r>
        <w:rPr>
          <w:rFonts w:ascii="Arial" w:cs="Arial" w:eastAsia="Arial" w:hAnsi="Arial"/>
          <w:sz w:val="16"/>
          <w:szCs w:val="16"/>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Arial" w:cs="Arial" w:eastAsia="Arial" w:hAnsi="Arial"/>
          <w:sz w:val="16"/>
          <w:szCs w:val="16"/>
          <w:b w:val="1"/>
          <w:bCs w:val="1"/>
          <w:color w:val="auto"/>
        </w:rPr>
        <w:t>Rule 102</w:t>
      </w:r>
      <w:r>
        <w:rPr>
          <w:rFonts w:ascii="Arial" w:cs="Arial" w:eastAsia="Arial" w:hAnsi="Arial"/>
          <w:sz w:val="16"/>
          <w:szCs w:val="16"/>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58" w:lineRule="exact"/>
        <w:rPr>
          <w:rFonts w:ascii="Arial" w:cs="Arial" w:eastAsia="Arial" w:hAnsi="Arial"/>
          <w:sz w:val="16"/>
          <w:szCs w:val="16"/>
          <w:color w:val="auto"/>
        </w:rPr>
      </w:pPr>
    </w:p>
    <w:p>
      <w:pPr>
        <w:ind w:left="-20" w:firstLine="436"/>
        <w:spacing w:after="0" w:line="286" w:lineRule="auto"/>
        <w:tabs>
          <w:tab w:leader="none" w:pos="67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Notice of Other Sale</w:t>
      </w:r>
      <w:r>
        <w:rPr>
          <w:rFonts w:ascii="Arial" w:cs="Arial" w:eastAsia="Arial" w:hAnsi="Arial"/>
          <w:sz w:val="16"/>
          <w:szCs w:val="16"/>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consultant or director share option, incentive or benefit plan, share purchase or ownership plan, long-term incentive plan, dividend reinvestment plan, inducement award under Nasdaq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and (iii) modification of any outstanding options, warrants or any rights to purchase or acquire Common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60" w:top="274" w:right="4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5. CONDITIONS TO DELIVERY OF ISSUANCE NOTICES AND TO SETTLEMENT</w:t>
      </w:r>
    </w:p>
    <w:p>
      <w:pPr>
        <w:spacing w:after="0" w:line="121" w:lineRule="exact"/>
        <w:rPr>
          <w:sz w:val="20"/>
          <w:szCs w:val="20"/>
          <w:color w:val="auto"/>
        </w:rPr>
      </w:pPr>
    </w:p>
    <w:p>
      <w:pPr>
        <w:ind w:right="60" w:firstLine="436"/>
        <w:spacing w:after="0" w:line="301" w:lineRule="auto"/>
        <w:tabs>
          <w:tab w:leader="none" w:pos="685"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Conditions Precedent to the Right of the Company to Deliver an Issuance Notice and the Obligation of the Agent to Sell Shares</w:t>
      </w:r>
      <w:r>
        <w:rPr>
          <w:rFonts w:ascii="Arial" w:cs="Arial" w:eastAsia="Arial" w:hAnsi="Arial"/>
          <w:sz w:val="16"/>
          <w:szCs w:val="16"/>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62" w:lineRule="exact"/>
        <w:rPr>
          <w:rFonts w:ascii="Arial" w:cs="Arial" w:eastAsia="Arial" w:hAnsi="Arial"/>
          <w:sz w:val="16"/>
          <w:szCs w:val="16"/>
          <w:color w:val="auto"/>
        </w:rPr>
      </w:pPr>
    </w:p>
    <w:p>
      <w:pPr>
        <w:ind w:left="960" w:hanging="532"/>
        <w:spacing w:after="0" w:line="257" w:lineRule="auto"/>
        <w:tabs>
          <w:tab w:leader="none" w:pos="960"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 Performance by the Company</w:t>
      </w:r>
      <w:r>
        <w:rPr>
          <w:rFonts w:ascii="Arial" w:cs="Arial" w:eastAsia="Arial" w:hAnsi="Arial"/>
          <w:sz w:val="18"/>
          <w:szCs w:val="18"/>
          <w:color w:val="auto"/>
        </w:rPr>
        <w:t xml:space="preserve">. The Company shall have delivered the certificate required to be delivered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8"/>
          <w:szCs w:val="18"/>
          <w:u w:val="single" w:color="auto"/>
          <w:color w:val="auto"/>
        </w:rPr>
        <w:t>Section 4(p)</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4(q)</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4(r)</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960" w:right="60" w:hanging="532"/>
        <w:spacing w:after="0" w:line="257" w:lineRule="auto"/>
        <w:tabs>
          <w:tab w:leader="none" w:pos="96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93" w:lineRule="exact"/>
        <w:rPr>
          <w:rFonts w:ascii="Arial" w:cs="Arial" w:eastAsia="Arial" w:hAnsi="Arial"/>
          <w:sz w:val="18"/>
          <w:szCs w:val="18"/>
          <w:color w:val="auto"/>
        </w:rPr>
      </w:pPr>
    </w:p>
    <w:p>
      <w:pPr>
        <w:ind w:left="960" w:right="200" w:hanging="532"/>
        <w:spacing w:after="0" w:line="275" w:lineRule="auto"/>
        <w:tabs>
          <w:tab w:leader="none" w:pos="960"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Material Adverse Effects</w:t>
      </w:r>
      <w:r>
        <w:rPr>
          <w:rFonts w:ascii="Arial" w:cs="Arial" w:eastAsia="Arial" w:hAnsi="Arial"/>
          <w:sz w:val="17"/>
          <w:szCs w:val="17"/>
          <w:color w:val="auto"/>
        </w:rPr>
        <w:t>. Except as disclosed in the Prospectus and the Time of Sale Information, (a) in the judgment of the Agent there shall not have occurred any Material Adverse Effect;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81" w:lineRule="exact"/>
        <w:rPr>
          <w:rFonts w:ascii="Arial" w:cs="Arial" w:eastAsia="Arial" w:hAnsi="Arial"/>
          <w:sz w:val="17"/>
          <w:szCs w:val="17"/>
          <w:color w:val="auto"/>
        </w:rPr>
      </w:pPr>
    </w:p>
    <w:p>
      <w:pPr>
        <w:ind w:left="960" w:right="40" w:hanging="532"/>
        <w:spacing w:after="0" w:line="275" w:lineRule="auto"/>
        <w:tabs>
          <w:tab w:leader="none" w:pos="96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No Suspension of Trading in or Delisting of Common Shares; Other Events</w:t>
      </w:r>
      <w:r>
        <w:rPr>
          <w:rFonts w:ascii="Arial" w:cs="Arial" w:eastAsia="Arial" w:hAnsi="Arial"/>
          <w:sz w:val="17"/>
          <w:szCs w:val="17"/>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93" w:name="page94"/>
    <w:bookmarkEnd w:id="93"/>
    <w:p>
      <w:pPr>
        <w:ind w:left="9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84" w:lineRule="exact"/>
        <w:rPr>
          <w:sz w:val="20"/>
          <w:szCs w:val="20"/>
          <w:color w:val="auto"/>
        </w:rPr>
      </w:pPr>
    </w:p>
    <w:p>
      <w:pPr>
        <w:ind w:left="940" w:right="40" w:hanging="532"/>
        <w:spacing w:after="0" w:line="270" w:lineRule="auto"/>
        <w:tabs>
          <w:tab w:leader="none" w:pos="94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Agent Counsel Opinion and Negative Assurances Letter</w:t>
      </w:r>
      <w:r>
        <w:rPr>
          <w:rFonts w:ascii="Arial" w:cs="Arial" w:eastAsia="Arial" w:hAnsi="Arial"/>
          <w:sz w:val="17"/>
          <w:szCs w:val="17"/>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Davis Polk &amp; Wardwell LLP, counsel to the Agent (“Agent Counsel”), shall have furnished to the Agent a negative assurances letter and the written legal opinion, each dated the date of delivery, in form and substance reasonably satisfactory to the Agent, modified, as necessary, to relate to the Registration Statement and the Prospectus as then amended or supplemented. In lieu of such opinion for subsequent periodic filings, Agent Counsel may furnish a reliance letter,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86" w:lineRule="exact"/>
        <w:rPr>
          <w:rFonts w:ascii="Arial" w:cs="Arial" w:eastAsia="Arial" w:hAnsi="Arial"/>
          <w:sz w:val="17"/>
          <w:szCs w:val="17"/>
          <w:color w:val="auto"/>
        </w:rPr>
      </w:pPr>
    </w:p>
    <w:p>
      <w:pPr>
        <w:ind w:left="940" w:right="100" w:hanging="532"/>
        <w:spacing w:after="0" w:line="259" w:lineRule="auto"/>
        <w:tabs>
          <w:tab w:leader="none" w:pos="9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Agent shall not have advised the Company that the Registration Statement or the Prospectus, or any amendment or supplement thereto, or any Free Writing Prospectus,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78" w:lineRule="exact"/>
        <w:rPr>
          <w:rFonts w:ascii="Arial" w:cs="Arial" w:eastAsia="Arial" w:hAnsi="Arial"/>
          <w:sz w:val="18"/>
          <w:szCs w:val="18"/>
          <w:color w:val="auto"/>
        </w:rPr>
      </w:pPr>
    </w:p>
    <w:p>
      <w:pPr>
        <w:ind w:left="-20" w:right="60" w:firstLine="436"/>
        <w:spacing w:after="0" w:line="275" w:lineRule="auto"/>
        <w:tabs>
          <w:tab w:leader="none" w:pos="675" w:val="left"/>
        </w:tabs>
        <w:numPr>
          <w:ilvl w:val="1"/>
          <w:numId w:val="96"/>
        </w:numPr>
        <w:rPr>
          <w:rFonts w:ascii="Arial" w:cs="Arial" w:eastAsia="Arial" w:hAnsi="Arial"/>
          <w:sz w:val="17"/>
          <w:szCs w:val="17"/>
          <w:color w:val="auto"/>
        </w:rPr>
      </w:pPr>
      <w:r>
        <w:rPr>
          <w:rFonts w:ascii="Arial" w:cs="Arial" w:eastAsia="Arial" w:hAnsi="Arial"/>
          <w:sz w:val="17"/>
          <w:szCs w:val="17"/>
          <w:u w:val="single" w:color="auto"/>
          <w:color w:val="auto"/>
        </w:rPr>
        <w:t>Documents Required to be Delivered on each Issuance Notice Date</w:t>
      </w:r>
      <w:r>
        <w:rPr>
          <w:rFonts w:ascii="Arial" w:cs="Arial" w:eastAsia="Arial" w:hAnsi="Arial"/>
          <w:sz w:val="17"/>
          <w:szCs w:val="17"/>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60" w:top="274" w:right="459" w:bottom="1440" w:gutter="0" w:footer="0" w:header="0"/>
        </w:sectPr>
      </w:pPr>
    </w:p>
    <w:bookmarkStart w:id="94" w:name="page95"/>
    <w:bookmarkEnd w:id="9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 INDEMNIFICATION AND CONTRIBUTION</w:t>
      </w:r>
    </w:p>
    <w:p>
      <w:pPr>
        <w:spacing w:after="0" w:line="121" w:lineRule="exact"/>
        <w:rPr>
          <w:sz w:val="20"/>
          <w:szCs w:val="20"/>
          <w:color w:val="auto"/>
        </w:rPr>
      </w:pPr>
    </w:p>
    <w:p>
      <w:pPr>
        <w:ind w:left="4" w:right="100" w:firstLine="436"/>
        <w:spacing w:after="0" w:line="284" w:lineRule="auto"/>
        <w:tabs>
          <w:tab w:leader="none" w:pos="689"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w:t>
      </w:r>
    </w:p>
    <w:p>
      <w:pPr>
        <w:ind w:left="4" w:hanging="4"/>
        <w:spacing w:after="0" w:line="284" w:lineRule="auto"/>
        <w:tabs>
          <w:tab w:leader="none" w:pos="269"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beginning with the words: “Jefferies and its affiliates may in the future provide various investment banking, commercial banking, financial advisory and other financial services . . . .” The indemnity agreement set forth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shall be in addition to any liabilities that the Company may otherwise have.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0" w:right="479" w:bottom="1440" w:gutter="0" w:footer="0" w:header="0"/>
        </w:sectPr>
      </w:pPr>
    </w:p>
    <w:bookmarkStart w:id="95" w:name="page96"/>
    <w:bookmarkEnd w:id="95"/>
    <w:p>
      <w:pPr>
        <w:ind w:left="4" w:right="40" w:firstLine="436"/>
        <w:spacing w:after="0" w:line="284" w:lineRule="auto"/>
        <w:tabs>
          <w:tab w:leader="none" w:pos="699"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Notifications and Other Indemnification Procedures</w:t>
      </w:r>
      <w:r>
        <w:rPr>
          <w:rFonts w:ascii="Arial" w:cs="Arial" w:eastAsia="Arial" w:hAnsi="Arial"/>
          <w:sz w:val="16"/>
          <w:szCs w:val="16"/>
          <w:color w:val="auto"/>
        </w:rPr>
        <w:t xml:space="preserve">. Promptly after receipt by an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notice of the commencement of any action, such indemnified party will, if a claim in respect thereof is to be made against an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notify the indemnifying party in writing of the commencement thereof, but the omission to so notify the indemnifying party will not relieve it from any liability which it may have to any indemnified party for contribution or otherwise than under the indemnity agreement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86" w:lineRule="exact"/>
        <w:rPr>
          <w:rFonts w:ascii="Arial" w:cs="Arial" w:eastAsia="Arial" w:hAnsi="Arial"/>
          <w:sz w:val="16"/>
          <w:szCs w:val="16"/>
          <w:color w:val="auto"/>
        </w:rPr>
      </w:pPr>
    </w:p>
    <w:p>
      <w:pPr>
        <w:ind w:left="4" w:firstLine="436"/>
        <w:spacing w:after="0" w:line="285" w:lineRule="auto"/>
        <w:tabs>
          <w:tab w:leader="none" w:pos="689"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Settlements</w:t>
      </w:r>
      <w:r>
        <w:rPr>
          <w:rFonts w:ascii="Arial" w:cs="Arial" w:eastAsia="Arial" w:hAnsi="Arial"/>
          <w:sz w:val="16"/>
          <w:szCs w:val="16"/>
          <w:color w:val="auto"/>
        </w:rPr>
        <w:t xml:space="preserve">. The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the indemnifying party agrees that it shall be liable for any settlement of any proceeding effected without its written consent if</w:t>
      </w:r>
    </w:p>
    <w:p>
      <w:pPr>
        <w:spacing w:after="0" w:line="1" w:lineRule="exact"/>
        <w:rPr>
          <w:rFonts w:ascii="Arial" w:cs="Arial" w:eastAsia="Arial" w:hAnsi="Arial"/>
          <w:sz w:val="16"/>
          <w:szCs w:val="16"/>
          <w:color w:val="auto"/>
        </w:rPr>
      </w:pPr>
    </w:p>
    <w:p>
      <w:pPr>
        <w:ind w:left="4" w:right="180" w:hanging="4"/>
        <w:spacing w:after="0" w:line="255" w:lineRule="auto"/>
        <w:tabs>
          <w:tab w:leader="none" w:pos="21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274" w:right="439" w:bottom="1440" w:gutter="0" w:footer="0" w:header="0"/>
        </w:sectPr>
      </w:pPr>
    </w:p>
    <w:bookmarkStart w:id="96" w:name="page97"/>
    <w:bookmarkEnd w:id="96"/>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79" w:lineRule="exact"/>
        <w:rPr>
          <w:sz w:val="20"/>
          <w:szCs w:val="20"/>
          <w:color w:val="auto"/>
        </w:rPr>
      </w:pPr>
    </w:p>
    <w:p>
      <w:pPr>
        <w:ind w:firstLine="436"/>
        <w:spacing w:after="0" w:line="286" w:lineRule="auto"/>
        <w:tabs>
          <w:tab w:leader="none" w:pos="695"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71"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any legal or other fees or expenses reasonably incurred by such party in connection with investigating or defending any action or claim. The provisions set forth in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with respect to notice of commencement of any action shall apply if a claim for contribution is to be made under this </w:t>
      </w:r>
      <w:r>
        <w:rPr>
          <w:rFonts w:ascii="Arial" w:cs="Arial" w:eastAsia="Arial" w:hAnsi="Arial"/>
          <w:sz w:val="17"/>
          <w:szCs w:val="17"/>
          <w:u w:val="single" w:color="auto"/>
          <w:color w:val="auto"/>
        </w:rPr>
        <w:t>Section 6(d)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for purposes of indemnification.</w:t>
      </w:r>
    </w:p>
    <w:p>
      <w:pPr>
        <w:spacing w:after="0" w:line="176"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The Company and the Agent agree that it would not be just and equitable if contribution pursuant to this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6(d)</w:t>
      </w:r>
      <w:r>
        <w:rPr>
          <w:rFonts w:ascii="Arial" w:cs="Arial" w:eastAsia="Arial" w:hAnsi="Arial"/>
          <w:sz w:val="16"/>
          <w:szCs w:val="16"/>
          <w:color w:val="auto"/>
        </w:rPr>
        <w: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97" w:name="page98"/>
    <w:bookmarkEnd w:id="97"/>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the provisions of this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8"/>
          <w:szCs w:val="18"/>
          <w:u w:val="single" w:color="auto"/>
          <w:color w:val="auto"/>
        </w:rPr>
        <w:t>Section 6(d)</w:t>
      </w:r>
      <w:r>
        <w:rPr>
          <w:rFonts w:ascii="Arial" w:cs="Arial" w:eastAsia="Arial" w:hAnsi="Arial"/>
          <w:sz w:val="18"/>
          <w:szCs w:val="18"/>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TERMINATION &amp; SURVIVAL</w:t>
      </w:r>
    </w:p>
    <w:p>
      <w:pPr>
        <w:spacing w:after="0" w:line="121" w:lineRule="exact"/>
        <w:rPr>
          <w:sz w:val="20"/>
          <w:szCs w:val="20"/>
          <w:color w:val="auto"/>
        </w:rPr>
      </w:pPr>
    </w:p>
    <w:p>
      <w:pPr>
        <w:ind w:right="20" w:firstLine="436"/>
        <w:spacing w:after="0" w:line="277" w:lineRule="auto"/>
        <w:tabs>
          <w:tab w:leader="none" w:pos="685"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Termination; Survival Following Termination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right="40" w:hanging="439"/>
        <w:spacing w:after="0" w:line="255" w:lineRule="auto"/>
        <w:tabs>
          <w:tab w:leader="none" w:pos="14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Either party may terminate this Agreement prior to the end of the Agency Period, by giving written notice as required by this Agreement, upon five (5)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18"/>
          <w:szCs w:val="18"/>
          <w:u w:val="single" w:color="auto"/>
          <w:color w:val="auto"/>
        </w:rPr>
        <w:t>Section 3(b)(v)</w:t>
      </w:r>
      <w:r>
        <w:rPr>
          <w:rFonts w:ascii="Arial" w:cs="Arial" w:eastAsia="Arial" w:hAnsi="Arial"/>
          <w:sz w:val="18"/>
          <w:szCs w:val="18"/>
          <w:color w:val="auto"/>
        </w:rPr>
        <w:t xml:space="preserve"> with respect to such Shares and (B)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97" w:lineRule="exact"/>
        <w:rPr>
          <w:rFonts w:ascii="Arial" w:cs="Arial" w:eastAsia="Arial" w:hAnsi="Arial"/>
          <w:sz w:val="18"/>
          <w:szCs w:val="18"/>
          <w:color w:val="auto"/>
        </w:rPr>
      </w:pPr>
    </w:p>
    <w:p>
      <w:pPr>
        <w:ind w:left="1420" w:right="40" w:hanging="439"/>
        <w:spacing w:after="0" w:line="275" w:lineRule="auto"/>
        <w:tabs>
          <w:tab w:leader="none" w:pos="142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 xml:space="preserve">In addition to the survival provision of </w:t>
      </w:r>
      <w:r>
        <w:rPr>
          <w:rFonts w:ascii="Arial" w:cs="Arial" w:eastAsia="Arial" w:hAnsi="Arial"/>
          <w:sz w:val="17"/>
          <w:szCs w:val="17"/>
          <w:u w:val="single" w:color="auto"/>
          <w:color w:val="auto"/>
        </w:rPr>
        <w:t>Section 7(b)(i)</w:t>
      </w:r>
      <w:r>
        <w:rPr>
          <w:rFonts w:ascii="Arial" w:cs="Arial" w:eastAsia="Arial" w:hAnsi="Arial"/>
          <w:sz w:val="17"/>
          <w:szCs w:val="17"/>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MISCELLANEOUS</w:t>
      </w:r>
    </w:p>
    <w:p>
      <w:pPr>
        <w:spacing w:after="0" w:line="121" w:lineRule="exact"/>
        <w:rPr>
          <w:sz w:val="20"/>
          <w:szCs w:val="20"/>
          <w:color w:val="auto"/>
        </w:rPr>
      </w:pPr>
    </w:p>
    <w:p>
      <w:pPr>
        <w:ind w:firstLine="436"/>
        <w:spacing w:after="0" w:line="273" w:lineRule="auto"/>
        <w:tabs>
          <w:tab w:leader="none" w:pos="685"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Press Releases and Disclosure</w:t>
      </w:r>
      <w:r>
        <w:rPr>
          <w:rFonts w:ascii="Arial" w:cs="Arial" w:eastAsia="Arial" w:hAnsi="Arial"/>
          <w:sz w:val="17"/>
          <w:szCs w:val="17"/>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98" w:name="page99"/>
    <w:bookmarkEnd w:id="98"/>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68" w:lineRule="exact"/>
        <w:rPr>
          <w:sz w:val="20"/>
          <w:szCs w:val="20"/>
          <w:color w:val="auto"/>
        </w:rPr>
      </w:pPr>
    </w:p>
    <w:p>
      <w:pPr>
        <w:ind w:firstLine="436"/>
        <w:spacing w:after="0" w:line="269" w:lineRule="auto"/>
        <w:tabs>
          <w:tab w:leader="none" w:pos="69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No Advisory or Fiduciary Relationship</w:t>
      </w:r>
      <w:r>
        <w:rPr>
          <w:rFonts w:ascii="Arial" w:cs="Arial" w:eastAsia="Arial" w:hAnsi="Arial"/>
          <w:sz w:val="17"/>
          <w:szCs w:val="17"/>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77" w:lineRule="exact"/>
        <w:rPr>
          <w:rFonts w:ascii="Arial" w:cs="Arial" w:eastAsia="Arial" w:hAnsi="Arial"/>
          <w:sz w:val="17"/>
          <w:szCs w:val="17"/>
          <w:color w:val="auto"/>
        </w:rPr>
      </w:pPr>
    </w:p>
    <w:p>
      <w:pPr>
        <w:ind w:right="60" w:firstLine="436"/>
        <w:spacing w:after="0" w:line="254" w:lineRule="auto"/>
        <w:tabs>
          <w:tab w:leader="none" w:pos="68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86" w:lineRule="exact"/>
        <w:rPr>
          <w:rFonts w:ascii="Arial" w:cs="Arial" w:eastAsia="Arial" w:hAnsi="Arial"/>
          <w:sz w:val="18"/>
          <w:szCs w:val="18"/>
          <w:color w:val="auto"/>
        </w:rPr>
      </w:pPr>
    </w:p>
    <w:p>
      <w:pPr>
        <w:ind w:right="420" w:firstLine="436"/>
        <w:spacing w:after="0" w:line="277"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or telecopied and confirmed to the parties hereto as follows: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to the Agent:</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99" w:name="page100"/>
    <w:bookmarkEnd w:id="99"/>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1600 El Camino Real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Sarah K. Solum</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sarah.solum@davispolk.com.</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NGM Biopharmaceuticals, Inc.</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333 Oyster Point Boulevard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South San Francisco, CA</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Valerie Pierce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vpierce@ngmbio.com</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Cooley LLP</w:t>
      </w:r>
    </w:p>
    <w:p>
      <w:pPr>
        <w:spacing w:after="0" w:line="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101 California Street, 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Chadwick Mills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cmills@cooley.com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Any party hereto may change the address for receipt of communications by giving written notice to the others in accordance with this </w:t>
      </w:r>
      <w:r>
        <w:rPr>
          <w:rFonts w:ascii="Arial" w:cs="Arial" w:eastAsia="Arial" w:hAnsi="Arial"/>
          <w:sz w:val="17"/>
          <w:szCs w:val="17"/>
          <w:u w:val="single" w:color="auto"/>
          <w:color w:val="auto"/>
        </w:rPr>
        <w:t>Section 8(d)</w:t>
      </w:r>
      <w:r>
        <w:rPr>
          <w:rFonts w:ascii="Arial" w:cs="Arial" w:eastAsia="Arial" w:hAnsi="Arial"/>
          <w:sz w:val="17"/>
          <w:szCs w:val="17"/>
          <w:color w:val="auto"/>
        </w:rPr>
        <w:t>.</w:t>
      </w:r>
    </w:p>
    <w:p>
      <w:pPr>
        <w:spacing w:after="0" w:line="129" w:lineRule="exact"/>
        <w:rPr>
          <w:sz w:val="20"/>
          <w:szCs w:val="20"/>
          <w:color w:val="auto"/>
        </w:rPr>
      </w:pPr>
    </w:p>
    <w:p>
      <w:pPr>
        <w:jc w:val="both"/>
        <w:ind w:right="240" w:firstLine="436"/>
        <w:spacing w:after="0" w:line="311" w:lineRule="auto"/>
        <w:tabs>
          <w:tab w:leader="none" w:pos="685"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40" w:lineRule="exact"/>
        <w:rPr>
          <w:rFonts w:ascii="Arial" w:cs="Arial" w:eastAsia="Arial" w:hAnsi="Arial"/>
          <w:sz w:val="16"/>
          <w:szCs w:val="16"/>
          <w:color w:val="auto"/>
        </w:rPr>
      </w:pPr>
    </w:p>
    <w:p>
      <w:pPr>
        <w:ind w:right="220" w:firstLine="436"/>
        <w:spacing w:after="0" w:line="259" w:lineRule="auto"/>
        <w:tabs>
          <w:tab w:leader="none" w:pos="66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78" w:lineRule="exact"/>
        <w:rPr>
          <w:rFonts w:ascii="Arial" w:cs="Arial" w:eastAsia="Arial" w:hAnsi="Arial"/>
          <w:sz w:val="18"/>
          <w:szCs w:val="18"/>
          <w:color w:val="auto"/>
        </w:rPr>
      </w:pPr>
    </w:p>
    <w:p>
      <w:pPr>
        <w:ind w:firstLine="436"/>
        <w:spacing w:after="0" w:line="296" w:lineRule="auto"/>
        <w:tabs>
          <w:tab w:leader="none" w:pos="695"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Governing Law Provisions</w:t>
      </w:r>
      <w:r>
        <w:rPr>
          <w:rFonts w:ascii="Arial" w:cs="Arial" w:eastAsia="Arial" w:hAnsi="Arial"/>
          <w:sz w:val="16"/>
          <w:szCs w:val="16"/>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 the exclusive jurisdiction (except for proceedings instituted in regard to the enforcement of a</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100" w:name="page101"/>
    <w:bookmarkEnd w:id="100"/>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68" w:lineRule="exact"/>
        <w:rPr>
          <w:sz w:val="20"/>
          <w:szCs w:val="20"/>
          <w:color w:val="auto"/>
        </w:rPr>
      </w:pPr>
    </w:p>
    <w:p>
      <w:pPr>
        <w:ind w:right="20" w:firstLine="436"/>
        <w:spacing w:after="0" w:line="272" w:lineRule="auto"/>
        <w:tabs>
          <w:tab w:leader="none" w:pos="695"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69" w:lineRule="exact"/>
        <w:rPr>
          <w:rFonts w:ascii="Arial" w:cs="Arial" w:eastAsia="Arial" w:hAnsi="Arial"/>
          <w:sz w:val="17"/>
          <w:szCs w:val="17"/>
          <w:color w:val="auto"/>
        </w:rPr>
      </w:pPr>
    </w:p>
    <w:p>
      <w:pPr>
        <w:ind w:left="660" w:hanging="224"/>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19"/>
        <w:spacing w:after="0" w:line="259" w:lineRule="auto"/>
        <w:tabs>
          <w:tab w:leader="none" w:pos="110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440" w:firstLine="419"/>
        <w:spacing w:after="0" w:line="259" w:lineRule="auto"/>
        <w:tabs>
          <w:tab w:leader="none" w:pos="111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 the event that the Agent is a Covered Entity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78" w:lineRule="exact"/>
        <w:rPr>
          <w:rFonts w:ascii="Arial" w:cs="Arial" w:eastAsia="Arial" w:hAnsi="Arial"/>
          <w:sz w:val="18"/>
          <w:szCs w:val="18"/>
          <w:color w:val="auto"/>
        </w:rPr>
      </w:pPr>
    </w:p>
    <w:p>
      <w:pPr>
        <w:ind w:left="1100" w:hanging="241"/>
        <w:spacing w:after="0"/>
        <w:tabs>
          <w:tab w:leader="none" w:pos="11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As used in this Section 8(i):</w:t>
      </w:r>
    </w:p>
    <w:p>
      <w:pPr>
        <w:spacing w:after="0" w:line="117" w:lineRule="exact"/>
        <w:rPr>
          <w:sz w:val="20"/>
          <w:szCs w:val="20"/>
          <w:color w:val="auto"/>
        </w:rPr>
      </w:pPr>
    </w:p>
    <w:p>
      <w:pPr>
        <w:ind w:left="1420" w:right="320"/>
        <w:spacing w:after="0" w:line="277" w:lineRule="auto"/>
        <w:rPr>
          <w:sz w:val="20"/>
          <w:szCs w:val="20"/>
          <w:color w:val="auto"/>
        </w:rPr>
      </w:pPr>
      <w:r>
        <w:rPr>
          <w:rFonts w:ascii="Arial" w:cs="Arial" w:eastAsia="Arial" w:hAnsi="Arial"/>
          <w:sz w:val="18"/>
          <w:szCs w:val="18"/>
          <w:color w:val="auto"/>
        </w:rPr>
        <w:t>“BHC Act Affiliate” has the meaning assigned to the term “affiliate” in, and shall be interpreted in accordance with, 12 U.S.C. § 1841(k).</w:t>
      </w:r>
    </w:p>
    <w:p>
      <w:pPr>
        <w:spacing w:after="0" w:line="6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“Covered Entity” means any of the following:</w:t>
      </w:r>
    </w:p>
    <w:p>
      <w:pPr>
        <w:spacing w:after="0" w:line="117" w:lineRule="exact"/>
        <w:rPr>
          <w:sz w:val="20"/>
          <w:szCs w:val="20"/>
          <w:color w:val="auto"/>
        </w:rPr>
      </w:pPr>
    </w:p>
    <w:p>
      <w:pPr>
        <w:jc w:val="center"/>
        <w:ind w:left="5420" w:right="1940" w:hanging="3992"/>
        <w:spacing w:after="0" w:line="449" w:lineRule="auto"/>
        <w:tabs>
          <w:tab w:leader="none" w:pos="16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 34</w:t>
      </w:r>
    </w:p>
    <w:p>
      <w:pPr>
        <w:sectPr>
          <w:pgSz w:w="11900" w:h="16838" w:orient="portrait"/>
          <w:cols w:equalWidth="0" w:num="1">
            <w:col w:w="11000"/>
          </w:cols>
          <w:pgMar w:left="440" w:top="274" w:right="459" w:bottom="1440" w:gutter="0" w:footer="0" w:header="0"/>
        </w:sectPr>
      </w:pPr>
    </w:p>
    <w:bookmarkStart w:id="101" w:name="page102"/>
    <w:bookmarkEnd w:id="101"/>
    <w:p>
      <w:pPr>
        <w:ind w:left="700" w:hanging="272"/>
        <w:spacing w:after="0"/>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740" w:hanging="312"/>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sz w:val="20"/>
          <w:szCs w:val="20"/>
          <w:color w:val="auto"/>
        </w:rPr>
      </w:pPr>
    </w:p>
    <w:p>
      <w:pPr>
        <w:ind w:left="420" w:right="6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62" w:lineRule="exact"/>
        <w:rPr>
          <w:sz w:val="20"/>
          <w:szCs w:val="20"/>
          <w:color w:val="auto"/>
        </w:rPr>
      </w:pPr>
    </w:p>
    <w:p>
      <w:pPr>
        <w:ind w:left="420"/>
        <w:spacing w:after="0" w:line="342" w:lineRule="auto"/>
        <w:rPr>
          <w:sz w:val="20"/>
          <w:szCs w:val="20"/>
          <w:color w:val="auto"/>
        </w:rPr>
      </w:pPr>
      <w:r>
        <w:rPr>
          <w:rFonts w:ascii="Arial" w:cs="Arial" w:eastAsia="Arial" w:hAnsi="Arial"/>
          <w:sz w:val="16"/>
          <w:szCs w:val="16"/>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24" w:lineRule="exact"/>
        <w:rPr>
          <w:sz w:val="20"/>
          <w:szCs w:val="20"/>
          <w:color w:val="auto"/>
        </w:rPr>
      </w:pPr>
    </w:p>
    <w:p>
      <w:pPr>
        <w:jc w:val="center"/>
        <w:ind w:right="880"/>
        <w:spacing w:after="0"/>
        <w:rPr>
          <w:sz w:val="20"/>
          <w:szCs w:val="20"/>
          <w:color w:val="auto"/>
        </w:rPr>
      </w:pPr>
      <w:r>
        <w:rPr>
          <w:rFonts w:ascii="Arial" w:cs="Arial" w:eastAsia="Arial" w:hAnsi="Arial"/>
          <w:sz w:val="18"/>
          <w:szCs w:val="18"/>
          <w:i w:val="1"/>
          <w:iCs w:val="1"/>
          <w:color w:val="auto"/>
        </w:rPr>
        <w:t>[Signature Page Immediately Follows]</w:t>
      </w:r>
    </w:p>
    <w:p>
      <w:pPr>
        <w:spacing w:after="0" w:line="158"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9880"/>
          </w:cols>
          <w:pgMar w:left="1440" w:top="274" w:right="579" w:bottom="1440" w:gutter="0" w:footer="0" w:header="0"/>
        </w:sectPr>
      </w:pPr>
    </w:p>
    <w:bookmarkStart w:id="102" w:name="page103"/>
    <w:bookmarkEnd w:id="102"/>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David J. Woodhouse, Ph.D.</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7"/>
          <w:szCs w:val="17"/>
          <w:color w:val="auto"/>
        </w:rPr>
        <w:t>Title:</w:t>
        <w:tab/>
        <w:t>Chief Executive Officer and Acting Chief</w:t>
      </w:r>
    </w:p>
    <w:p>
      <w:pPr>
        <w:spacing w:after="0" w:line="34"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foregoing Agreement is hereby confirmed and accepted by the Agent in New York, New York as of the date first above written.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Michael Magarro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700"/>
          </w:cols>
          <w:pgMar w:left="440" w:top="274" w:right="759" w:bottom="1440" w:gutter="0" w:footer="0" w:header="0"/>
        </w:sectPr>
      </w:pPr>
    </w:p>
    <w:bookmarkStart w:id="103" w:name="page104"/>
    <w:bookmarkEnd w:id="103"/>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w:t>
      </w:r>
    </w:p>
    <w:p>
      <w:pPr>
        <w:spacing w:after="0" w:line="221"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color w:val="auto"/>
        </w:rPr>
        <w:t>Reference is made to the Open Market Sale Agreement between NGM Biopharmaceuticals,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and Jefferies LLC (the “</w:t>
      </w:r>
      <w:r>
        <w:rPr>
          <w:rFonts w:ascii="Arial" w:cs="Arial" w:eastAsia="Arial" w:hAnsi="Arial"/>
          <w:sz w:val="16"/>
          <w:szCs w:val="16"/>
          <w:b w:val="1"/>
          <w:bCs w:val="1"/>
          <w:color w:val="auto"/>
        </w:rPr>
        <w:t>Agent</w:t>
      </w:r>
      <w:r>
        <w:rPr>
          <w:rFonts w:ascii="Arial" w:cs="Arial" w:eastAsia="Arial" w:hAnsi="Arial"/>
          <w:sz w:val="16"/>
          <w:szCs w:val="16"/>
          <w:color w:val="auto"/>
        </w:rPr>
        <w:t>”) dated as of June [•], 2020. The Company confirms that all conditions to the delivery of this Issuance Notice are satisfied as of the date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25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2094865</wp:posOffset>
            </wp:positionH>
            <wp:positionV relativeFrom="paragraph">
              <wp:posOffset>-10160</wp:posOffset>
            </wp:positionV>
            <wp:extent cx="10852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1085215" cy="825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126365</wp:posOffset>
            </wp:positionV>
            <wp:extent cx="8566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19545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19545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19545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220345</wp:posOffset>
            </wp:positionV>
            <wp:extent cx="19545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____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-10160</wp:posOffset>
            </wp:positionV>
            <wp:extent cx="63125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631253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280670</wp:posOffset>
            </wp:positionV>
            <wp:extent cx="1456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740"/>
          </w:cols>
          <w:pgMar w:left="440" w:top="270" w:right="719" w:bottom="1440" w:gutter="0" w:footer="0" w:header="0"/>
        </w:sectPr>
      </w:pPr>
    </w:p>
    <w:bookmarkStart w:id="104" w:name="page105"/>
    <w:bookmarkEnd w:id="104"/>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5"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J. Woodhouse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J. Rieflin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 Pierce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Jeremy Boucher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then acting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Matthew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Donald Lynaugh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Magarro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 Fabbri</w:t>
      </w:r>
    </w:p>
    <w:p>
      <w:pPr>
        <w:sectPr>
          <w:pgSz w:w="11900" w:h="16838" w:orient="portrait"/>
          <w:cols w:equalWidth="0" w:num="1">
            <w:col w:w="10019"/>
          </w:cols>
          <w:pgMar w:left="440" w:top="270" w:right="1440"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Issuer</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[TRUSTEE],</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DATED AS OF [</w:t>
      </w:r>
      <w:r>
        <w:rPr>
          <w:rFonts w:ascii="Arial" w:cs="Arial" w:eastAsia="Arial" w:hAnsi="Arial"/>
          <w:sz w:val="18"/>
          <w:szCs w:val="18"/>
          <w:color w:val="auto"/>
        </w:rPr>
        <w:t>●</w:t>
      </w:r>
      <w:r>
        <w:rPr>
          <w:rFonts w:ascii="Arial" w:cs="Arial" w:eastAsia="Arial" w:hAnsi="Arial"/>
          <w:sz w:val="18"/>
          <w:szCs w:val="18"/>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Debt Securities</w:t>
      </w:r>
    </w:p>
    <w:p>
      <w:pPr>
        <w:sectPr>
          <w:pgSz w:w="11900" w:h="16838" w:orient="portrait"/>
          <w:cols w:equalWidth="0" w:num="1">
            <w:col w:w="10020"/>
          </w:cols>
          <w:pgMar w:left="1440" w:top="121" w:right="4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ARTICLE 1</w:t>
            </w:r>
          </w:p>
        </w:tc>
        <w:tc>
          <w:tcPr>
            <w:tcW w:w="858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1.01</w:t>
            </w:r>
          </w:p>
        </w:tc>
        <w:tc>
          <w:tcPr>
            <w:tcW w:w="8580" w:type="dxa"/>
            <w:vAlign w:val="bottom"/>
          </w:tcPr>
          <w:p>
            <w:pPr>
              <w:ind w:left="420"/>
              <w:spacing w:after="0"/>
              <w:rPr>
                <w:sz w:val="20"/>
                <w:szCs w:val="20"/>
                <w:color w:val="auto"/>
              </w:rPr>
            </w:pPr>
            <w:r>
              <w:rPr>
                <w:rFonts w:ascii="Arial" w:cs="Arial" w:eastAsia="Arial" w:hAnsi="Arial"/>
                <w:sz w:val="18"/>
                <w:szCs w:val="18"/>
                <w:color w:val="auto"/>
              </w:rPr>
              <w:t>Definitions of Terms</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2</w:t>
            </w:r>
          </w:p>
        </w:tc>
        <w:tc>
          <w:tcPr>
            <w:tcW w:w="8580" w:type="dxa"/>
            <w:vAlign w:val="bottom"/>
          </w:tcPr>
          <w:p>
            <w:pPr>
              <w:ind w:left="60"/>
              <w:spacing w:after="0"/>
              <w:rPr>
                <w:sz w:val="20"/>
                <w:szCs w:val="20"/>
                <w:color w:val="auto"/>
              </w:rPr>
            </w:pPr>
            <w:r>
              <w:rPr>
                <w:rFonts w:ascii="Arial" w:cs="Arial" w:eastAsia="Arial" w:hAnsi="Arial"/>
                <w:sz w:val="18"/>
                <w:szCs w:val="18"/>
                <w:color w:val="auto"/>
              </w:rPr>
              <w:t>ISSUE, DESCRIPTION, TERMS, EXECUTION, REGISTRATION AND EXCHANGE OF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2.01</w:t>
            </w:r>
          </w:p>
        </w:tc>
        <w:tc>
          <w:tcPr>
            <w:tcW w:w="8580" w:type="dxa"/>
            <w:vAlign w:val="bottom"/>
          </w:tcPr>
          <w:p>
            <w:pPr>
              <w:ind w:left="420"/>
              <w:spacing w:after="0"/>
              <w:rPr>
                <w:sz w:val="20"/>
                <w:szCs w:val="20"/>
                <w:color w:val="auto"/>
              </w:rPr>
            </w:pPr>
            <w:r>
              <w:rPr>
                <w:rFonts w:ascii="Arial" w:cs="Arial" w:eastAsia="Arial" w:hAnsi="Arial"/>
                <w:sz w:val="18"/>
                <w:szCs w:val="18"/>
                <w:color w:val="auto"/>
              </w:rPr>
              <w:t>Designation and Terms of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2.02</w:t>
            </w:r>
          </w:p>
        </w:tc>
        <w:tc>
          <w:tcPr>
            <w:tcW w:w="8580" w:type="dxa"/>
            <w:vAlign w:val="bottom"/>
          </w:tcPr>
          <w:p>
            <w:pPr>
              <w:ind w:left="420"/>
              <w:spacing w:after="0"/>
              <w:rPr>
                <w:sz w:val="20"/>
                <w:szCs w:val="20"/>
                <w:color w:val="auto"/>
              </w:rPr>
            </w:pPr>
            <w:r>
              <w:rPr>
                <w:rFonts w:ascii="Arial" w:cs="Arial" w:eastAsia="Arial" w:hAnsi="Arial"/>
                <w:sz w:val="18"/>
                <w:szCs w:val="18"/>
                <w:color w:val="auto"/>
              </w:rPr>
              <w:t>Form of Securities and Trustee’s Certificate</w:t>
            </w: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2.03</w:t>
            </w:r>
          </w:p>
        </w:tc>
        <w:tc>
          <w:tcPr>
            <w:tcW w:w="8580" w:type="dxa"/>
            <w:vAlign w:val="bottom"/>
          </w:tcPr>
          <w:p>
            <w:pPr>
              <w:ind w:left="420"/>
              <w:spacing w:after="0"/>
              <w:rPr>
                <w:sz w:val="20"/>
                <w:szCs w:val="20"/>
                <w:color w:val="auto"/>
              </w:rPr>
            </w:pPr>
            <w:r>
              <w:rPr>
                <w:rFonts w:ascii="Arial" w:cs="Arial" w:eastAsia="Arial" w:hAnsi="Arial"/>
                <w:sz w:val="18"/>
                <w:szCs w:val="18"/>
                <w:color w:val="auto"/>
              </w:rPr>
              <w:t>Denominations: Provisions for Payment</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2.04</w:t>
            </w:r>
          </w:p>
        </w:tc>
        <w:tc>
          <w:tcPr>
            <w:tcW w:w="8580" w:type="dxa"/>
            <w:vAlign w:val="bottom"/>
          </w:tcPr>
          <w:p>
            <w:pPr>
              <w:ind w:left="420"/>
              <w:spacing w:after="0"/>
              <w:rPr>
                <w:sz w:val="20"/>
                <w:szCs w:val="20"/>
                <w:color w:val="auto"/>
              </w:rPr>
            </w:pPr>
            <w:r>
              <w:rPr>
                <w:rFonts w:ascii="Arial" w:cs="Arial" w:eastAsia="Arial" w:hAnsi="Arial"/>
                <w:sz w:val="18"/>
                <w:szCs w:val="18"/>
                <w:color w:val="auto"/>
              </w:rPr>
              <w:t>Execution and Authentications</w:t>
            </w: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2.05</w:t>
            </w:r>
          </w:p>
        </w:tc>
        <w:tc>
          <w:tcPr>
            <w:tcW w:w="8580" w:type="dxa"/>
            <w:vAlign w:val="bottom"/>
          </w:tcPr>
          <w:p>
            <w:pPr>
              <w:ind w:left="420"/>
              <w:spacing w:after="0"/>
              <w:rPr>
                <w:sz w:val="20"/>
                <w:szCs w:val="20"/>
                <w:color w:val="auto"/>
              </w:rPr>
            </w:pPr>
            <w:r>
              <w:rPr>
                <w:rFonts w:ascii="Arial" w:cs="Arial" w:eastAsia="Arial" w:hAnsi="Arial"/>
                <w:sz w:val="18"/>
                <w:szCs w:val="18"/>
                <w:color w:val="auto"/>
              </w:rPr>
              <w:t>Registration of Transfer and Exchange</w:t>
            </w: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2.06</w:t>
            </w:r>
          </w:p>
        </w:tc>
        <w:tc>
          <w:tcPr>
            <w:tcW w:w="8580" w:type="dxa"/>
            <w:vAlign w:val="bottom"/>
          </w:tcPr>
          <w:p>
            <w:pPr>
              <w:ind w:left="420"/>
              <w:spacing w:after="0"/>
              <w:rPr>
                <w:sz w:val="20"/>
                <w:szCs w:val="20"/>
                <w:color w:val="auto"/>
              </w:rPr>
            </w:pPr>
            <w:r>
              <w:rPr>
                <w:rFonts w:ascii="Arial" w:cs="Arial" w:eastAsia="Arial" w:hAnsi="Arial"/>
                <w:sz w:val="18"/>
                <w:szCs w:val="18"/>
                <w:color w:val="auto"/>
              </w:rPr>
              <w:t>Temporary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2.07</w:t>
            </w:r>
          </w:p>
        </w:tc>
        <w:tc>
          <w:tcPr>
            <w:tcW w:w="8580" w:type="dxa"/>
            <w:vAlign w:val="bottom"/>
          </w:tcPr>
          <w:p>
            <w:pPr>
              <w:ind w:left="420"/>
              <w:spacing w:after="0"/>
              <w:rPr>
                <w:sz w:val="20"/>
                <w:szCs w:val="20"/>
                <w:color w:val="auto"/>
              </w:rPr>
            </w:pPr>
            <w:r>
              <w:rPr>
                <w:rFonts w:ascii="Arial" w:cs="Arial" w:eastAsia="Arial" w:hAnsi="Arial"/>
                <w:sz w:val="18"/>
                <w:szCs w:val="18"/>
                <w:color w:val="auto"/>
              </w:rPr>
              <w:t>Mutilated, Destroyed, Lost or Stolen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2.08</w:t>
            </w:r>
          </w:p>
        </w:tc>
        <w:tc>
          <w:tcPr>
            <w:tcW w:w="8580" w:type="dxa"/>
            <w:vAlign w:val="bottom"/>
          </w:tcPr>
          <w:p>
            <w:pPr>
              <w:ind w:left="420"/>
              <w:spacing w:after="0"/>
              <w:rPr>
                <w:sz w:val="20"/>
                <w:szCs w:val="20"/>
                <w:color w:val="auto"/>
              </w:rPr>
            </w:pPr>
            <w:r>
              <w:rPr>
                <w:rFonts w:ascii="Arial" w:cs="Arial" w:eastAsia="Arial" w:hAnsi="Arial"/>
                <w:sz w:val="18"/>
                <w:szCs w:val="18"/>
                <w:color w:val="auto"/>
              </w:rPr>
              <w:t>Cancellation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2.09</w:t>
            </w:r>
          </w:p>
        </w:tc>
        <w:tc>
          <w:tcPr>
            <w:tcW w:w="8580" w:type="dxa"/>
            <w:vAlign w:val="bottom"/>
          </w:tcPr>
          <w:p>
            <w:pPr>
              <w:ind w:left="420"/>
              <w:spacing w:after="0"/>
              <w:rPr>
                <w:sz w:val="20"/>
                <w:szCs w:val="20"/>
                <w:color w:val="auto"/>
              </w:rPr>
            </w:pPr>
            <w:r>
              <w:rPr>
                <w:rFonts w:ascii="Arial" w:cs="Arial" w:eastAsia="Arial" w:hAnsi="Arial"/>
                <w:sz w:val="18"/>
                <w:szCs w:val="18"/>
                <w:color w:val="auto"/>
              </w:rPr>
              <w:t>Benefits of Indenture</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2.10</w:t>
            </w:r>
          </w:p>
        </w:tc>
        <w:tc>
          <w:tcPr>
            <w:tcW w:w="8580" w:type="dxa"/>
            <w:vAlign w:val="bottom"/>
          </w:tcPr>
          <w:p>
            <w:pPr>
              <w:ind w:left="420"/>
              <w:spacing w:after="0"/>
              <w:rPr>
                <w:sz w:val="20"/>
                <w:szCs w:val="20"/>
                <w:color w:val="auto"/>
              </w:rPr>
            </w:pPr>
            <w:r>
              <w:rPr>
                <w:rFonts w:ascii="Arial" w:cs="Arial" w:eastAsia="Arial" w:hAnsi="Arial"/>
                <w:sz w:val="18"/>
                <w:szCs w:val="18"/>
                <w:color w:val="auto"/>
              </w:rPr>
              <w:t>Authenticating Agent</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2.11</w:t>
            </w:r>
          </w:p>
        </w:tc>
        <w:tc>
          <w:tcPr>
            <w:tcW w:w="8580" w:type="dxa"/>
            <w:vAlign w:val="bottom"/>
          </w:tcPr>
          <w:p>
            <w:pPr>
              <w:ind w:left="420"/>
              <w:spacing w:after="0"/>
              <w:rPr>
                <w:sz w:val="20"/>
                <w:szCs w:val="20"/>
                <w:color w:val="auto"/>
              </w:rPr>
            </w:pPr>
            <w:r>
              <w:rPr>
                <w:rFonts w:ascii="Arial" w:cs="Arial" w:eastAsia="Arial" w:hAnsi="Arial"/>
                <w:sz w:val="18"/>
                <w:szCs w:val="18"/>
                <w:color w:val="auto"/>
              </w:rPr>
              <w:t>Global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2.12</w:t>
            </w:r>
          </w:p>
        </w:tc>
        <w:tc>
          <w:tcPr>
            <w:tcW w:w="8580" w:type="dxa"/>
            <w:vAlign w:val="bottom"/>
          </w:tcPr>
          <w:p>
            <w:pPr>
              <w:ind w:left="420"/>
              <w:spacing w:after="0"/>
              <w:rPr>
                <w:sz w:val="20"/>
                <w:szCs w:val="20"/>
                <w:color w:val="auto"/>
              </w:rPr>
            </w:pPr>
            <w:r>
              <w:rPr>
                <w:rFonts w:ascii="Arial" w:cs="Arial" w:eastAsia="Arial" w:hAnsi="Arial"/>
                <w:sz w:val="18"/>
                <w:szCs w:val="18"/>
                <w:color w:val="auto"/>
              </w:rPr>
              <w:t>CUSIP Numbers</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3</w:t>
            </w:r>
          </w:p>
        </w:tc>
        <w:tc>
          <w:tcPr>
            <w:tcW w:w="8580" w:type="dxa"/>
            <w:vAlign w:val="bottom"/>
          </w:tcPr>
          <w:p>
            <w:pPr>
              <w:ind w:left="60"/>
              <w:spacing w:after="0"/>
              <w:rPr>
                <w:sz w:val="20"/>
                <w:szCs w:val="20"/>
                <w:color w:val="auto"/>
              </w:rPr>
            </w:pPr>
            <w:r>
              <w:rPr>
                <w:rFonts w:ascii="Arial" w:cs="Arial" w:eastAsia="Arial" w:hAnsi="Arial"/>
                <w:sz w:val="18"/>
                <w:szCs w:val="18"/>
                <w:color w:val="auto"/>
              </w:rPr>
              <w:t>REDEMPTION OF SECURITIES AND SINKING FUND PROVISIONS</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3.01</w:t>
            </w:r>
          </w:p>
        </w:tc>
        <w:tc>
          <w:tcPr>
            <w:tcW w:w="8580" w:type="dxa"/>
            <w:vAlign w:val="bottom"/>
          </w:tcPr>
          <w:p>
            <w:pPr>
              <w:ind w:left="420"/>
              <w:spacing w:after="0"/>
              <w:rPr>
                <w:sz w:val="20"/>
                <w:szCs w:val="20"/>
                <w:color w:val="auto"/>
              </w:rPr>
            </w:pPr>
            <w:r>
              <w:rPr>
                <w:rFonts w:ascii="Arial" w:cs="Arial" w:eastAsia="Arial" w:hAnsi="Arial"/>
                <w:sz w:val="18"/>
                <w:szCs w:val="18"/>
                <w:color w:val="auto"/>
              </w:rPr>
              <w:t>Redemption</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3.02</w:t>
            </w:r>
          </w:p>
        </w:tc>
        <w:tc>
          <w:tcPr>
            <w:tcW w:w="8580" w:type="dxa"/>
            <w:vAlign w:val="bottom"/>
          </w:tcPr>
          <w:p>
            <w:pPr>
              <w:ind w:left="420"/>
              <w:spacing w:after="0"/>
              <w:rPr>
                <w:sz w:val="20"/>
                <w:szCs w:val="20"/>
                <w:color w:val="auto"/>
              </w:rPr>
            </w:pPr>
            <w:r>
              <w:rPr>
                <w:rFonts w:ascii="Arial" w:cs="Arial" w:eastAsia="Arial" w:hAnsi="Arial"/>
                <w:sz w:val="18"/>
                <w:szCs w:val="18"/>
                <w:color w:val="auto"/>
              </w:rPr>
              <w:t>Notice of Redemption</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3.03</w:t>
            </w:r>
          </w:p>
        </w:tc>
        <w:tc>
          <w:tcPr>
            <w:tcW w:w="8580" w:type="dxa"/>
            <w:vAlign w:val="bottom"/>
          </w:tcPr>
          <w:p>
            <w:pPr>
              <w:ind w:left="420"/>
              <w:spacing w:after="0"/>
              <w:rPr>
                <w:sz w:val="20"/>
                <w:szCs w:val="20"/>
                <w:color w:val="auto"/>
              </w:rPr>
            </w:pPr>
            <w:r>
              <w:rPr>
                <w:rFonts w:ascii="Arial" w:cs="Arial" w:eastAsia="Arial" w:hAnsi="Arial"/>
                <w:sz w:val="18"/>
                <w:szCs w:val="18"/>
                <w:color w:val="auto"/>
              </w:rPr>
              <w:t>Payment Upon Redemption</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3.04</w:t>
            </w:r>
          </w:p>
        </w:tc>
        <w:tc>
          <w:tcPr>
            <w:tcW w:w="8580" w:type="dxa"/>
            <w:vAlign w:val="bottom"/>
          </w:tcPr>
          <w:p>
            <w:pPr>
              <w:ind w:left="420"/>
              <w:spacing w:after="0"/>
              <w:rPr>
                <w:sz w:val="20"/>
                <w:szCs w:val="20"/>
                <w:color w:val="auto"/>
              </w:rPr>
            </w:pPr>
            <w:r>
              <w:rPr>
                <w:rFonts w:ascii="Arial" w:cs="Arial" w:eastAsia="Arial" w:hAnsi="Arial"/>
                <w:sz w:val="18"/>
                <w:szCs w:val="18"/>
                <w:color w:val="auto"/>
              </w:rPr>
              <w:t>Sinking Fund</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3.05</w:t>
            </w:r>
          </w:p>
        </w:tc>
        <w:tc>
          <w:tcPr>
            <w:tcW w:w="8580" w:type="dxa"/>
            <w:vAlign w:val="bottom"/>
          </w:tcPr>
          <w:p>
            <w:pPr>
              <w:ind w:left="420"/>
              <w:spacing w:after="0"/>
              <w:rPr>
                <w:sz w:val="20"/>
                <w:szCs w:val="20"/>
                <w:color w:val="auto"/>
              </w:rPr>
            </w:pPr>
            <w:r>
              <w:rPr>
                <w:rFonts w:ascii="Arial" w:cs="Arial" w:eastAsia="Arial" w:hAnsi="Arial"/>
                <w:sz w:val="18"/>
                <w:szCs w:val="18"/>
                <w:color w:val="auto"/>
              </w:rPr>
              <w:t>Satisfaction of Sinking Fund Payments with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3.06</w:t>
            </w:r>
          </w:p>
        </w:tc>
        <w:tc>
          <w:tcPr>
            <w:tcW w:w="8580" w:type="dxa"/>
            <w:vAlign w:val="bottom"/>
          </w:tcPr>
          <w:p>
            <w:pPr>
              <w:ind w:left="420"/>
              <w:spacing w:after="0"/>
              <w:rPr>
                <w:sz w:val="20"/>
                <w:szCs w:val="20"/>
                <w:color w:val="auto"/>
              </w:rPr>
            </w:pPr>
            <w:r>
              <w:rPr>
                <w:rFonts w:ascii="Arial" w:cs="Arial" w:eastAsia="Arial" w:hAnsi="Arial"/>
                <w:sz w:val="18"/>
                <w:szCs w:val="18"/>
                <w:color w:val="auto"/>
              </w:rPr>
              <w:t>Redemption of Securities for Sinking Fund</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4</w:t>
            </w:r>
          </w:p>
        </w:tc>
        <w:tc>
          <w:tcPr>
            <w:tcW w:w="8580" w:type="dxa"/>
            <w:vAlign w:val="bottom"/>
          </w:tcPr>
          <w:p>
            <w:pPr>
              <w:ind w:left="60"/>
              <w:spacing w:after="0"/>
              <w:rPr>
                <w:sz w:val="20"/>
                <w:szCs w:val="20"/>
                <w:color w:val="auto"/>
              </w:rPr>
            </w:pPr>
            <w:r>
              <w:rPr>
                <w:rFonts w:ascii="Arial" w:cs="Arial" w:eastAsia="Arial" w:hAnsi="Arial"/>
                <w:sz w:val="18"/>
                <w:szCs w:val="18"/>
                <w:color w:val="auto"/>
              </w:rPr>
              <w:t>COVENANTS</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4.01</w:t>
            </w:r>
          </w:p>
        </w:tc>
        <w:tc>
          <w:tcPr>
            <w:tcW w:w="8580" w:type="dxa"/>
            <w:vAlign w:val="bottom"/>
          </w:tcPr>
          <w:p>
            <w:pPr>
              <w:ind w:left="420"/>
              <w:spacing w:after="0"/>
              <w:rPr>
                <w:sz w:val="20"/>
                <w:szCs w:val="20"/>
                <w:color w:val="auto"/>
              </w:rPr>
            </w:pPr>
            <w:r>
              <w:rPr>
                <w:rFonts w:ascii="Arial" w:cs="Arial" w:eastAsia="Arial" w:hAnsi="Arial"/>
                <w:sz w:val="18"/>
                <w:szCs w:val="18"/>
                <w:color w:val="auto"/>
              </w:rPr>
              <w:t>Payment of Principal, Premium and Interest</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4.02</w:t>
            </w:r>
          </w:p>
        </w:tc>
        <w:tc>
          <w:tcPr>
            <w:tcW w:w="8580" w:type="dxa"/>
            <w:vAlign w:val="bottom"/>
          </w:tcPr>
          <w:p>
            <w:pPr>
              <w:ind w:left="420"/>
              <w:spacing w:after="0"/>
              <w:rPr>
                <w:sz w:val="20"/>
                <w:szCs w:val="20"/>
                <w:color w:val="auto"/>
              </w:rPr>
            </w:pPr>
            <w:r>
              <w:rPr>
                <w:rFonts w:ascii="Arial" w:cs="Arial" w:eastAsia="Arial" w:hAnsi="Arial"/>
                <w:sz w:val="18"/>
                <w:szCs w:val="18"/>
                <w:color w:val="auto"/>
              </w:rPr>
              <w:t>Maintenance of Office or Agency</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4.03</w:t>
            </w:r>
          </w:p>
        </w:tc>
        <w:tc>
          <w:tcPr>
            <w:tcW w:w="8580" w:type="dxa"/>
            <w:vAlign w:val="bottom"/>
          </w:tcPr>
          <w:p>
            <w:pPr>
              <w:ind w:left="420"/>
              <w:spacing w:after="0"/>
              <w:rPr>
                <w:sz w:val="20"/>
                <w:szCs w:val="20"/>
                <w:color w:val="auto"/>
              </w:rPr>
            </w:pPr>
            <w:r>
              <w:rPr>
                <w:rFonts w:ascii="Arial" w:cs="Arial" w:eastAsia="Arial" w:hAnsi="Arial"/>
                <w:sz w:val="18"/>
                <w:szCs w:val="18"/>
                <w:color w:val="auto"/>
              </w:rPr>
              <w:t>Paying Agents</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4.04</w:t>
            </w:r>
          </w:p>
        </w:tc>
        <w:tc>
          <w:tcPr>
            <w:tcW w:w="8580" w:type="dxa"/>
            <w:vAlign w:val="bottom"/>
          </w:tcPr>
          <w:p>
            <w:pPr>
              <w:ind w:left="420"/>
              <w:spacing w:after="0"/>
              <w:rPr>
                <w:sz w:val="20"/>
                <w:szCs w:val="20"/>
                <w:color w:val="auto"/>
              </w:rPr>
            </w:pPr>
            <w:r>
              <w:rPr>
                <w:rFonts w:ascii="Arial" w:cs="Arial" w:eastAsia="Arial" w:hAnsi="Arial"/>
                <w:sz w:val="18"/>
                <w:szCs w:val="18"/>
                <w:color w:val="auto"/>
              </w:rPr>
              <w:t>Appointment to Fill Vacancy in Office of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5</w:t>
            </w:r>
          </w:p>
        </w:tc>
        <w:tc>
          <w:tcPr>
            <w:tcW w:w="8580" w:type="dxa"/>
            <w:vAlign w:val="bottom"/>
          </w:tcPr>
          <w:p>
            <w:pPr>
              <w:ind w:left="60"/>
              <w:spacing w:after="0"/>
              <w:rPr>
                <w:sz w:val="20"/>
                <w:szCs w:val="20"/>
                <w:color w:val="auto"/>
              </w:rPr>
            </w:pPr>
            <w:r>
              <w:rPr>
                <w:rFonts w:ascii="Arial" w:cs="Arial" w:eastAsia="Arial" w:hAnsi="Arial"/>
                <w:sz w:val="18"/>
                <w:szCs w:val="18"/>
                <w:color w:val="auto"/>
              </w:rPr>
              <w:t>SECURITYHOLDERS’ LISTS AND REPORTS BY THE COMPANY AND THE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5.01</w:t>
            </w:r>
          </w:p>
        </w:tc>
        <w:tc>
          <w:tcPr>
            <w:tcW w:w="8580" w:type="dxa"/>
            <w:vAlign w:val="bottom"/>
          </w:tcPr>
          <w:p>
            <w:pPr>
              <w:ind w:left="42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5.02</w:t>
            </w:r>
          </w:p>
        </w:tc>
        <w:tc>
          <w:tcPr>
            <w:tcW w:w="8580" w:type="dxa"/>
            <w:vAlign w:val="bottom"/>
          </w:tcPr>
          <w:p>
            <w:pPr>
              <w:ind w:left="420"/>
              <w:spacing w:after="0"/>
              <w:rPr>
                <w:sz w:val="20"/>
                <w:szCs w:val="20"/>
                <w:color w:val="auto"/>
              </w:rPr>
            </w:pPr>
            <w:r>
              <w:rPr>
                <w:rFonts w:ascii="Arial" w:cs="Arial" w:eastAsia="Arial" w:hAnsi="Arial"/>
                <w:sz w:val="18"/>
                <w:szCs w:val="18"/>
                <w:color w:val="auto"/>
              </w:rPr>
              <w:t>Preservation Of Information; Communications With Securityholders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5.03</w:t>
            </w:r>
          </w:p>
        </w:tc>
        <w:tc>
          <w:tcPr>
            <w:tcW w:w="8580" w:type="dxa"/>
            <w:vAlign w:val="bottom"/>
          </w:tcPr>
          <w:p>
            <w:pPr>
              <w:ind w:left="420"/>
              <w:spacing w:after="0"/>
              <w:rPr>
                <w:sz w:val="20"/>
                <w:szCs w:val="20"/>
                <w:color w:val="auto"/>
              </w:rPr>
            </w:pPr>
            <w:r>
              <w:rPr>
                <w:rFonts w:ascii="Arial" w:cs="Arial" w:eastAsia="Arial" w:hAnsi="Arial"/>
                <w:sz w:val="18"/>
                <w:szCs w:val="18"/>
                <w:color w:val="auto"/>
              </w:rPr>
              <w:t>Reports by the Company</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5.04</w:t>
            </w:r>
          </w:p>
        </w:tc>
        <w:tc>
          <w:tcPr>
            <w:tcW w:w="8580" w:type="dxa"/>
            <w:vAlign w:val="bottom"/>
          </w:tcPr>
          <w:p>
            <w:pPr>
              <w:ind w:left="420"/>
              <w:spacing w:after="0"/>
              <w:rPr>
                <w:sz w:val="20"/>
                <w:szCs w:val="20"/>
                <w:color w:val="auto"/>
              </w:rPr>
            </w:pPr>
            <w:r>
              <w:rPr>
                <w:rFonts w:ascii="Arial" w:cs="Arial" w:eastAsia="Arial" w:hAnsi="Arial"/>
                <w:sz w:val="18"/>
                <w:szCs w:val="18"/>
                <w:color w:val="auto"/>
              </w:rPr>
              <w:t>Reports by the Trustee</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64"/>
        </w:trPr>
        <w:tc>
          <w:tcPr>
            <w:tcW w:w="1300" w:type="dxa"/>
            <w:vAlign w:val="bottom"/>
          </w:tcPr>
          <w:p>
            <w:pPr>
              <w:spacing w:after="0"/>
              <w:rPr>
                <w:sz w:val="24"/>
                <w:szCs w:val="24"/>
                <w:color w:val="auto"/>
              </w:rPr>
            </w:pPr>
          </w:p>
        </w:tc>
        <w:tc>
          <w:tcPr>
            <w:tcW w:w="8580" w:type="dxa"/>
            <w:vAlign w:val="bottom"/>
          </w:tcPr>
          <w:p>
            <w:pPr>
              <w:ind w:left="4180"/>
              <w:spacing w:after="0"/>
              <w:rPr>
                <w:sz w:val="20"/>
                <w:szCs w:val="20"/>
                <w:color w:val="auto"/>
              </w:rPr>
            </w:pPr>
            <w:r>
              <w:rPr>
                <w:rFonts w:ascii="Arial" w:cs="Arial" w:eastAsia="Arial" w:hAnsi="Arial"/>
                <w:sz w:val="18"/>
                <w:szCs w:val="18"/>
                <w:color w:val="auto"/>
              </w:rPr>
              <w:t>i</w:t>
            </w:r>
          </w:p>
        </w:tc>
        <w:tc>
          <w:tcPr>
            <w:tcW w:w="108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ARTICLE 6</w:t>
            </w:r>
          </w:p>
        </w:tc>
        <w:tc>
          <w:tcPr>
            <w:tcW w:w="8040" w:type="dxa"/>
            <w:vAlign w:val="bottom"/>
          </w:tcPr>
          <w:p>
            <w:pPr>
              <w:ind w:left="60"/>
              <w:spacing w:after="0"/>
              <w:rPr>
                <w:sz w:val="20"/>
                <w:szCs w:val="20"/>
                <w:color w:val="auto"/>
              </w:rPr>
            </w:pPr>
            <w:r>
              <w:rPr>
                <w:rFonts w:ascii="Arial" w:cs="Arial" w:eastAsia="Arial" w:hAnsi="Arial"/>
                <w:sz w:val="18"/>
                <w:szCs w:val="18"/>
                <w:color w:val="auto"/>
              </w:rPr>
              <w:t>REMEDIES OF THE TRUSTEE AND SECURITYHOLDERS ON EVENT OF DEFAULT</w:t>
            </w:r>
          </w:p>
        </w:tc>
        <w:tc>
          <w:tcPr>
            <w:tcW w:w="1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6.01</w:t>
            </w:r>
          </w:p>
        </w:tc>
        <w:tc>
          <w:tcPr>
            <w:tcW w:w="8040" w:type="dxa"/>
            <w:vAlign w:val="bottom"/>
          </w:tcPr>
          <w:p>
            <w:pPr>
              <w:ind w:left="420"/>
              <w:spacing w:after="0"/>
              <w:rPr>
                <w:sz w:val="20"/>
                <w:szCs w:val="20"/>
                <w:color w:val="auto"/>
              </w:rPr>
            </w:pPr>
            <w:r>
              <w:rPr>
                <w:rFonts w:ascii="Arial" w:cs="Arial" w:eastAsia="Arial" w:hAnsi="Arial"/>
                <w:sz w:val="18"/>
                <w:szCs w:val="18"/>
                <w:color w:val="auto"/>
              </w:rPr>
              <w:t>Events of Default</w:t>
            </w:r>
          </w:p>
        </w:tc>
        <w:tc>
          <w:tcPr>
            <w:tcW w:w="1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6.02</w:t>
            </w:r>
          </w:p>
        </w:tc>
        <w:tc>
          <w:tcPr>
            <w:tcW w:w="8040" w:type="dxa"/>
            <w:vAlign w:val="bottom"/>
          </w:tcPr>
          <w:p>
            <w:pPr>
              <w:ind w:left="420"/>
              <w:spacing w:after="0"/>
              <w:rPr>
                <w:sz w:val="20"/>
                <w:szCs w:val="20"/>
                <w:color w:val="auto"/>
              </w:rPr>
            </w:pPr>
            <w:r>
              <w:rPr>
                <w:rFonts w:ascii="Arial" w:cs="Arial" w:eastAsia="Arial" w:hAnsi="Arial"/>
                <w:sz w:val="18"/>
                <w:szCs w:val="18"/>
                <w:color w:val="auto"/>
              </w:rPr>
              <w:t>Collection of Indebtedness and Suits for Enforcement by Trustee</w:t>
            </w:r>
          </w:p>
        </w:tc>
        <w:tc>
          <w:tcPr>
            <w:tcW w:w="1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6.03</w:t>
            </w:r>
          </w:p>
        </w:tc>
        <w:tc>
          <w:tcPr>
            <w:tcW w:w="8040" w:type="dxa"/>
            <w:vAlign w:val="bottom"/>
          </w:tcPr>
          <w:p>
            <w:pPr>
              <w:ind w:left="420"/>
              <w:spacing w:after="0"/>
              <w:rPr>
                <w:sz w:val="20"/>
                <w:szCs w:val="20"/>
                <w:color w:val="auto"/>
              </w:rPr>
            </w:pPr>
            <w:r>
              <w:rPr>
                <w:rFonts w:ascii="Arial" w:cs="Arial" w:eastAsia="Arial" w:hAnsi="Arial"/>
                <w:sz w:val="18"/>
                <w:szCs w:val="18"/>
                <w:color w:val="auto"/>
              </w:rPr>
              <w:t>Application of Moneys Collected</w:t>
            </w: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6.04</w:t>
            </w:r>
          </w:p>
        </w:tc>
        <w:tc>
          <w:tcPr>
            <w:tcW w:w="8040" w:type="dxa"/>
            <w:vAlign w:val="bottom"/>
          </w:tcPr>
          <w:p>
            <w:pPr>
              <w:ind w:left="420"/>
              <w:spacing w:after="0"/>
              <w:rPr>
                <w:sz w:val="20"/>
                <w:szCs w:val="20"/>
                <w:color w:val="auto"/>
              </w:rPr>
            </w:pPr>
            <w:r>
              <w:rPr>
                <w:rFonts w:ascii="Arial" w:cs="Arial" w:eastAsia="Arial" w:hAnsi="Arial"/>
                <w:sz w:val="18"/>
                <w:szCs w:val="18"/>
                <w:color w:val="auto"/>
              </w:rPr>
              <w:t>Limitation on Suits</w:t>
            </w: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6.05</w:t>
            </w:r>
          </w:p>
        </w:tc>
        <w:tc>
          <w:tcPr>
            <w:tcW w:w="8040" w:type="dxa"/>
            <w:vAlign w:val="bottom"/>
          </w:tcPr>
          <w:p>
            <w:pPr>
              <w:ind w:left="420"/>
              <w:spacing w:after="0"/>
              <w:rPr>
                <w:sz w:val="20"/>
                <w:szCs w:val="20"/>
                <w:color w:val="auto"/>
              </w:rPr>
            </w:pPr>
            <w:r>
              <w:rPr>
                <w:rFonts w:ascii="Arial" w:cs="Arial" w:eastAsia="Arial" w:hAnsi="Arial"/>
                <w:sz w:val="18"/>
                <w:szCs w:val="18"/>
                <w:color w:val="auto"/>
              </w:rPr>
              <w:t>Rights and Remedies Cumulative; Delay or Omission Not Waiver</w:t>
            </w: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6.06</w:t>
            </w:r>
          </w:p>
        </w:tc>
        <w:tc>
          <w:tcPr>
            <w:tcW w:w="8040" w:type="dxa"/>
            <w:vAlign w:val="bottom"/>
          </w:tcPr>
          <w:p>
            <w:pPr>
              <w:ind w:left="420"/>
              <w:spacing w:after="0"/>
              <w:rPr>
                <w:sz w:val="20"/>
                <w:szCs w:val="20"/>
                <w:color w:val="auto"/>
              </w:rPr>
            </w:pPr>
            <w:r>
              <w:rPr>
                <w:rFonts w:ascii="Arial" w:cs="Arial" w:eastAsia="Arial" w:hAnsi="Arial"/>
                <w:sz w:val="18"/>
                <w:szCs w:val="18"/>
                <w:color w:val="auto"/>
              </w:rPr>
              <w:t>Control by Securityholders</w:t>
            </w:r>
          </w:p>
        </w:tc>
        <w:tc>
          <w:tcPr>
            <w:tcW w:w="1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6.07</w:t>
            </w:r>
          </w:p>
        </w:tc>
        <w:tc>
          <w:tcPr>
            <w:tcW w:w="8040" w:type="dxa"/>
            <w:vAlign w:val="bottom"/>
          </w:tcPr>
          <w:p>
            <w:pPr>
              <w:ind w:left="420"/>
              <w:spacing w:after="0"/>
              <w:rPr>
                <w:sz w:val="20"/>
                <w:szCs w:val="20"/>
                <w:color w:val="auto"/>
              </w:rPr>
            </w:pPr>
            <w:r>
              <w:rPr>
                <w:rFonts w:ascii="Arial" w:cs="Arial" w:eastAsia="Arial" w:hAnsi="Arial"/>
                <w:sz w:val="18"/>
                <w:szCs w:val="18"/>
                <w:color w:val="auto"/>
              </w:rPr>
              <w:t>Undertaking to Pay Costs</w:t>
            </w:r>
          </w:p>
        </w:tc>
        <w:tc>
          <w:tcPr>
            <w:tcW w:w="1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7</w:t>
            </w:r>
          </w:p>
        </w:tc>
        <w:tc>
          <w:tcPr>
            <w:tcW w:w="8040" w:type="dxa"/>
            <w:vAlign w:val="bottom"/>
          </w:tcPr>
          <w:p>
            <w:pPr>
              <w:ind w:left="60"/>
              <w:spacing w:after="0"/>
              <w:rPr>
                <w:sz w:val="20"/>
                <w:szCs w:val="20"/>
                <w:color w:val="auto"/>
              </w:rPr>
            </w:pPr>
            <w:r>
              <w:rPr>
                <w:rFonts w:ascii="Arial" w:cs="Arial" w:eastAsia="Arial" w:hAnsi="Arial"/>
                <w:sz w:val="18"/>
                <w:szCs w:val="18"/>
                <w:color w:val="auto"/>
              </w:rPr>
              <w:t>CONCERNING THE TRUSTEE</w:t>
            </w:r>
          </w:p>
        </w:tc>
        <w:tc>
          <w:tcPr>
            <w:tcW w:w="1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7.01</w:t>
            </w:r>
          </w:p>
        </w:tc>
        <w:tc>
          <w:tcPr>
            <w:tcW w:w="8040" w:type="dxa"/>
            <w:vAlign w:val="bottom"/>
          </w:tcPr>
          <w:p>
            <w:pPr>
              <w:ind w:left="420"/>
              <w:spacing w:after="0"/>
              <w:rPr>
                <w:sz w:val="20"/>
                <w:szCs w:val="20"/>
                <w:color w:val="auto"/>
              </w:rPr>
            </w:pPr>
            <w:r>
              <w:rPr>
                <w:rFonts w:ascii="Arial" w:cs="Arial" w:eastAsia="Arial" w:hAnsi="Arial"/>
                <w:sz w:val="18"/>
                <w:szCs w:val="18"/>
                <w:color w:val="auto"/>
              </w:rPr>
              <w:t>Certain Duties and Responsibilities of Trustee</w:t>
            </w:r>
          </w:p>
        </w:tc>
        <w:tc>
          <w:tcPr>
            <w:tcW w:w="1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7.02</w:t>
            </w:r>
          </w:p>
        </w:tc>
        <w:tc>
          <w:tcPr>
            <w:tcW w:w="8040" w:type="dxa"/>
            <w:vAlign w:val="bottom"/>
          </w:tcPr>
          <w:p>
            <w:pPr>
              <w:ind w:left="420"/>
              <w:spacing w:after="0"/>
              <w:rPr>
                <w:sz w:val="20"/>
                <w:szCs w:val="20"/>
                <w:color w:val="auto"/>
              </w:rPr>
            </w:pPr>
            <w:r>
              <w:rPr>
                <w:rFonts w:ascii="Arial" w:cs="Arial" w:eastAsia="Arial" w:hAnsi="Arial"/>
                <w:sz w:val="18"/>
                <w:szCs w:val="18"/>
                <w:color w:val="auto"/>
              </w:rPr>
              <w:t>Certain Rights of Trustee</w:t>
            </w: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7.03</w:t>
            </w:r>
          </w:p>
        </w:tc>
        <w:tc>
          <w:tcPr>
            <w:tcW w:w="8040" w:type="dxa"/>
            <w:vAlign w:val="bottom"/>
          </w:tcPr>
          <w:p>
            <w:pPr>
              <w:ind w:left="420"/>
              <w:spacing w:after="0"/>
              <w:rPr>
                <w:sz w:val="20"/>
                <w:szCs w:val="20"/>
                <w:color w:val="auto"/>
              </w:rPr>
            </w:pPr>
            <w:r>
              <w:rPr>
                <w:rFonts w:ascii="Arial" w:cs="Arial" w:eastAsia="Arial" w:hAnsi="Arial"/>
                <w:sz w:val="18"/>
                <w:szCs w:val="18"/>
                <w:color w:val="auto"/>
              </w:rPr>
              <w:t>Trustee Not Responsible for Recitals or Issuance or Securities</w:t>
            </w: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7.04</w:t>
            </w:r>
          </w:p>
        </w:tc>
        <w:tc>
          <w:tcPr>
            <w:tcW w:w="8040" w:type="dxa"/>
            <w:vAlign w:val="bottom"/>
          </w:tcPr>
          <w:p>
            <w:pPr>
              <w:ind w:left="420"/>
              <w:spacing w:after="0"/>
              <w:rPr>
                <w:sz w:val="20"/>
                <w:szCs w:val="20"/>
                <w:color w:val="auto"/>
              </w:rPr>
            </w:pPr>
            <w:r>
              <w:rPr>
                <w:rFonts w:ascii="Arial" w:cs="Arial" w:eastAsia="Arial" w:hAnsi="Arial"/>
                <w:sz w:val="18"/>
                <w:szCs w:val="18"/>
                <w:color w:val="auto"/>
              </w:rPr>
              <w:t>May Hold Securities</w:t>
            </w: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7.05</w:t>
            </w:r>
          </w:p>
        </w:tc>
        <w:tc>
          <w:tcPr>
            <w:tcW w:w="8040" w:type="dxa"/>
            <w:vAlign w:val="bottom"/>
          </w:tcPr>
          <w:p>
            <w:pPr>
              <w:ind w:left="420"/>
              <w:spacing w:after="0"/>
              <w:rPr>
                <w:sz w:val="20"/>
                <w:szCs w:val="20"/>
                <w:color w:val="auto"/>
              </w:rPr>
            </w:pPr>
            <w:r>
              <w:rPr>
                <w:rFonts w:ascii="Arial" w:cs="Arial" w:eastAsia="Arial" w:hAnsi="Arial"/>
                <w:sz w:val="18"/>
                <w:szCs w:val="18"/>
                <w:color w:val="auto"/>
              </w:rPr>
              <w:t>Moneys Held in Trust</w:t>
            </w: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7.06</w:t>
            </w:r>
          </w:p>
        </w:tc>
        <w:tc>
          <w:tcPr>
            <w:tcW w:w="8040" w:type="dxa"/>
            <w:vAlign w:val="bottom"/>
          </w:tcPr>
          <w:p>
            <w:pPr>
              <w:ind w:left="420"/>
              <w:spacing w:after="0"/>
              <w:rPr>
                <w:sz w:val="20"/>
                <w:szCs w:val="20"/>
                <w:color w:val="auto"/>
              </w:rPr>
            </w:pPr>
            <w:r>
              <w:rPr>
                <w:rFonts w:ascii="Arial" w:cs="Arial" w:eastAsia="Arial" w:hAnsi="Arial"/>
                <w:sz w:val="18"/>
                <w:szCs w:val="18"/>
                <w:color w:val="auto"/>
              </w:rPr>
              <w:t>Compensation and Reimbursement</w:t>
            </w: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7.07</w:t>
            </w:r>
          </w:p>
        </w:tc>
        <w:tc>
          <w:tcPr>
            <w:tcW w:w="8040" w:type="dxa"/>
            <w:vAlign w:val="bottom"/>
          </w:tcPr>
          <w:p>
            <w:pPr>
              <w:ind w:left="420"/>
              <w:spacing w:after="0"/>
              <w:rPr>
                <w:sz w:val="20"/>
                <w:szCs w:val="20"/>
                <w:color w:val="auto"/>
              </w:rPr>
            </w:pPr>
            <w:r>
              <w:rPr>
                <w:rFonts w:ascii="Arial" w:cs="Arial" w:eastAsia="Arial" w:hAnsi="Arial"/>
                <w:sz w:val="18"/>
                <w:szCs w:val="18"/>
                <w:color w:val="auto"/>
              </w:rPr>
              <w:t>Reliance on Officer’s Certificate</w:t>
            </w: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7.08</w:t>
            </w:r>
          </w:p>
        </w:tc>
        <w:tc>
          <w:tcPr>
            <w:tcW w:w="8040" w:type="dxa"/>
            <w:vAlign w:val="bottom"/>
          </w:tcPr>
          <w:p>
            <w:pPr>
              <w:ind w:left="420"/>
              <w:spacing w:after="0"/>
              <w:rPr>
                <w:sz w:val="20"/>
                <w:szCs w:val="20"/>
                <w:color w:val="auto"/>
              </w:rPr>
            </w:pPr>
            <w:r>
              <w:rPr>
                <w:rFonts w:ascii="Arial" w:cs="Arial" w:eastAsia="Arial" w:hAnsi="Arial"/>
                <w:sz w:val="18"/>
                <w:szCs w:val="18"/>
                <w:color w:val="auto"/>
              </w:rPr>
              <w:t>Disqualification; Conflicting Interests</w:t>
            </w: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7.09</w:t>
            </w:r>
          </w:p>
        </w:tc>
        <w:tc>
          <w:tcPr>
            <w:tcW w:w="8040" w:type="dxa"/>
            <w:vAlign w:val="bottom"/>
          </w:tcPr>
          <w:p>
            <w:pPr>
              <w:ind w:left="420"/>
              <w:spacing w:after="0"/>
              <w:rPr>
                <w:sz w:val="20"/>
                <w:szCs w:val="20"/>
                <w:color w:val="auto"/>
              </w:rPr>
            </w:pPr>
            <w:r>
              <w:rPr>
                <w:rFonts w:ascii="Arial" w:cs="Arial" w:eastAsia="Arial" w:hAnsi="Arial"/>
                <w:sz w:val="18"/>
                <w:szCs w:val="18"/>
                <w:color w:val="auto"/>
              </w:rPr>
              <w:t>Corporate Trustee Required; Eligibility</w:t>
            </w: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7.10</w:t>
            </w:r>
          </w:p>
        </w:tc>
        <w:tc>
          <w:tcPr>
            <w:tcW w:w="8040" w:type="dxa"/>
            <w:vAlign w:val="bottom"/>
          </w:tcPr>
          <w:p>
            <w:pPr>
              <w:ind w:left="420"/>
              <w:spacing w:after="0"/>
              <w:rPr>
                <w:sz w:val="20"/>
                <w:szCs w:val="20"/>
                <w:color w:val="auto"/>
              </w:rPr>
            </w:pPr>
            <w:r>
              <w:rPr>
                <w:rFonts w:ascii="Arial" w:cs="Arial" w:eastAsia="Arial" w:hAnsi="Arial"/>
                <w:sz w:val="18"/>
                <w:szCs w:val="18"/>
                <w:color w:val="auto"/>
              </w:rPr>
              <w:t>Resignation and Removal; Appointment of Successor</w:t>
            </w: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7.11</w:t>
            </w:r>
          </w:p>
        </w:tc>
        <w:tc>
          <w:tcPr>
            <w:tcW w:w="8040" w:type="dxa"/>
            <w:vAlign w:val="bottom"/>
          </w:tcPr>
          <w:p>
            <w:pPr>
              <w:ind w:left="420"/>
              <w:spacing w:after="0"/>
              <w:rPr>
                <w:sz w:val="20"/>
                <w:szCs w:val="20"/>
                <w:color w:val="auto"/>
              </w:rPr>
            </w:pPr>
            <w:r>
              <w:rPr>
                <w:rFonts w:ascii="Arial" w:cs="Arial" w:eastAsia="Arial" w:hAnsi="Arial"/>
                <w:sz w:val="18"/>
                <w:szCs w:val="18"/>
                <w:color w:val="auto"/>
              </w:rPr>
              <w:t>Acceptance of Appointment By Successor</w:t>
            </w:r>
          </w:p>
        </w:tc>
        <w:tc>
          <w:tcPr>
            <w:tcW w:w="1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7.12</w:t>
            </w:r>
          </w:p>
        </w:tc>
        <w:tc>
          <w:tcPr>
            <w:tcW w:w="8040" w:type="dxa"/>
            <w:vAlign w:val="bottom"/>
          </w:tcPr>
          <w:p>
            <w:pPr>
              <w:ind w:left="420"/>
              <w:spacing w:after="0"/>
              <w:rPr>
                <w:sz w:val="20"/>
                <w:szCs w:val="20"/>
                <w:color w:val="auto"/>
              </w:rPr>
            </w:pPr>
            <w:r>
              <w:rPr>
                <w:rFonts w:ascii="Arial" w:cs="Arial" w:eastAsia="Arial" w:hAnsi="Arial"/>
                <w:sz w:val="18"/>
                <w:szCs w:val="18"/>
                <w:color w:val="auto"/>
              </w:rPr>
              <w:t>Merger, Conversion, Consolidation or Succession to Business</w:t>
            </w: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7.13</w:t>
            </w:r>
          </w:p>
        </w:tc>
        <w:tc>
          <w:tcPr>
            <w:tcW w:w="8040" w:type="dxa"/>
            <w:vAlign w:val="bottom"/>
          </w:tcPr>
          <w:p>
            <w:pPr>
              <w:ind w:left="420"/>
              <w:spacing w:after="0"/>
              <w:rPr>
                <w:sz w:val="20"/>
                <w:szCs w:val="20"/>
                <w:color w:val="auto"/>
              </w:rPr>
            </w:pPr>
            <w:r>
              <w:rPr>
                <w:rFonts w:ascii="Arial" w:cs="Arial" w:eastAsia="Arial" w:hAnsi="Arial"/>
                <w:sz w:val="18"/>
                <w:szCs w:val="18"/>
                <w:color w:val="auto"/>
              </w:rPr>
              <w:t>Preferential Collection of Claims Against the Company</w:t>
            </w: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7.14</w:t>
            </w:r>
          </w:p>
        </w:tc>
        <w:tc>
          <w:tcPr>
            <w:tcW w:w="8040" w:type="dxa"/>
            <w:vAlign w:val="bottom"/>
          </w:tcPr>
          <w:p>
            <w:pPr>
              <w:ind w:left="420"/>
              <w:spacing w:after="0"/>
              <w:rPr>
                <w:sz w:val="20"/>
                <w:szCs w:val="20"/>
                <w:color w:val="auto"/>
              </w:rPr>
            </w:pPr>
            <w:r>
              <w:rPr>
                <w:rFonts w:ascii="Arial" w:cs="Arial" w:eastAsia="Arial" w:hAnsi="Arial"/>
                <w:sz w:val="18"/>
                <w:szCs w:val="18"/>
                <w:color w:val="auto"/>
              </w:rPr>
              <w:t>Notice of Default</w:t>
            </w: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8</w:t>
            </w:r>
          </w:p>
        </w:tc>
        <w:tc>
          <w:tcPr>
            <w:tcW w:w="8040" w:type="dxa"/>
            <w:vAlign w:val="bottom"/>
          </w:tcPr>
          <w:p>
            <w:pPr>
              <w:ind w:left="60"/>
              <w:spacing w:after="0"/>
              <w:rPr>
                <w:sz w:val="20"/>
                <w:szCs w:val="20"/>
                <w:color w:val="auto"/>
              </w:rPr>
            </w:pPr>
            <w:r>
              <w:rPr>
                <w:rFonts w:ascii="Arial" w:cs="Arial" w:eastAsia="Arial" w:hAnsi="Arial"/>
                <w:sz w:val="18"/>
                <w:szCs w:val="18"/>
                <w:color w:val="auto"/>
              </w:rPr>
              <w:t>CONCERNING THE SECURITYHOLDERS</w:t>
            </w: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8.01</w:t>
            </w:r>
          </w:p>
        </w:tc>
        <w:tc>
          <w:tcPr>
            <w:tcW w:w="8040" w:type="dxa"/>
            <w:vAlign w:val="bottom"/>
          </w:tcPr>
          <w:p>
            <w:pPr>
              <w:ind w:left="420"/>
              <w:spacing w:after="0"/>
              <w:rPr>
                <w:sz w:val="20"/>
                <w:szCs w:val="20"/>
                <w:color w:val="auto"/>
              </w:rPr>
            </w:pPr>
            <w:r>
              <w:rPr>
                <w:rFonts w:ascii="Arial" w:cs="Arial" w:eastAsia="Arial" w:hAnsi="Arial"/>
                <w:sz w:val="18"/>
                <w:szCs w:val="18"/>
                <w:color w:val="auto"/>
              </w:rPr>
              <w:t>Evidence of Action by Securityholders</w:t>
            </w: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8.02</w:t>
            </w:r>
          </w:p>
        </w:tc>
        <w:tc>
          <w:tcPr>
            <w:tcW w:w="8040" w:type="dxa"/>
            <w:vAlign w:val="bottom"/>
          </w:tcPr>
          <w:p>
            <w:pPr>
              <w:ind w:left="420"/>
              <w:spacing w:after="0"/>
              <w:rPr>
                <w:sz w:val="20"/>
                <w:szCs w:val="20"/>
                <w:color w:val="auto"/>
              </w:rPr>
            </w:pPr>
            <w:r>
              <w:rPr>
                <w:rFonts w:ascii="Arial" w:cs="Arial" w:eastAsia="Arial" w:hAnsi="Arial"/>
                <w:sz w:val="18"/>
                <w:szCs w:val="18"/>
                <w:color w:val="auto"/>
              </w:rPr>
              <w:t>Proof of Execution by Securityholders</w:t>
            </w: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8.03</w:t>
            </w:r>
          </w:p>
        </w:tc>
        <w:tc>
          <w:tcPr>
            <w:tcW w:w="8040" w:type="dxa"/>
            <w:vAlign w:val="bottom"/>
          </w:tcPr>
          <w:p>
            <w:pPr>
              <w:ind w:left="420"/>
              <w:spacing w:after="0"/>
              <w:rPr>
                <w:sz w:val="20"/>
                <w:szCs w:val="20"/>
                <w:color w:val="auto"/>
              </w:rPr>
            </w:pPr>
            <w:r>
              <w:rPr>
                <w:rFonts w:ascii="Arial" w:cs="Arial" w:eastAsia="Arial" w:hAnsi="Arial"/>
                <w:sz w:val="18"/>
                <w:szCs w:val="18"/>
                <w:color w:val="auto"/>
              </w:rPr>
              <w:t>Who May be Deemed Owners</w:t>
            </w: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8.04</w:t>
            </w:r>
          </w:p>
        </w:tc>
        <w:tc>
          <w:tcPr>
            <w:tcW w:w="8040" w:type="dxa"/>
            <w:vAlign w:val="bottom"/>
          </w:tcPr>
          <w:p>
            <w:pPr>
              <w:ind w:left="420"/>
              <w:spacing w:after="0"/>
              <w:rPr>
                <w:sz w:val="20"/>
                <w:szCs w:val="20"/>
                <w:color w:val="auto"/>
              </w:rPr>
            </w:pPr>
            <w:r>
              <w:rPr>
                <w:rFonts w:ascii="Arial" w:cs="Arial" w:eastAsia="Arial" w:hAnsi="Arial"/>
                <w:sz w:val="18"/>
                <w:szCs w:val="18"/>
                <w:color w:val="auto"/>
              </w:rPr>
              <w:t>Certain Securities Owned by Company Disregarded</w:t>
            </w: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8.05</w:t>
            </w:r>
          </w:p>
        </w:tc>
        <w:tc>
          <w:tcPr>
            <w:tcW w:w="8040" w:type="dxa"/>
            <w:vAlign w:val="bottom"/>
          </w:tcPr>
          <w:p>
            <w:pPr>
              <w:ind w:left="420"/>
              <w:spacing w:after="0"/>
              <w:rPr>
                <w:sz w:val="20"/>
                <w:szCs w:val="20"/>
                <w:color w:val="auto"/>
              </w:rPr>
            </w:pPr>
            <w:r>
              <w:rPr>
                <w:rFonts w:ascii="Arial" w:cs="Arial" w:eastAsia="Arial" w:hAnsi="Arial"/>
                <w:sz w:val="18"/>
                <w:szCs w:val="18"/>
                <w:color w:val="auto"/>
              </w:rPr>
              <w:t>Actions Binding on Future Securityholders</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9</w:t>
            </w:r>
          </w:p>
        </w:tc>
        <w:tc>
          <w:tcPr>
            <w:tcW w:w="8040" w:type="dxa"/>
            <w:vAlign w:val="bottom"/>
          </w:tcPr>
          <w:p>
            <w:pPr>
              <w:ind w:left="60"/>
              <w:spacing w:after="0"/>
              <w:rPr>
                <w:sz w:val="20"/>
                <w:szCs w:val="20"/>
                <w:color w:val="auto"/>
              </w:rPr>
            </w:pPr>
            <w:r>
              <w:rPr>
                <w:rFonts w:ascii="Arial" w:cs="Arial" w:eastAsia="Arial" w:hAnsi="Arial"/>
                <w:sz w:val="18"/>
                <w:szCs w:val="18"/>
                <w:color w:val="auto"/>
              </w:rPr>
              <w:t>SUPPLEMENTAL INDENTURES</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9.01</w:t>
            </w:r>
          </w:p>
        </w:tc>
        <w:tc>
          <w:tcPr>
            <w:tcW w:w="8040" w:type="dxa"/>
            <w:vAlign w:val="bottom"/>
          </w:tcPr>
          <w:p>
            <w:pPr>
              <w:ind w:left="420"/>
              <w:spacing w:after="0"/>
              <w:rPr>
                <w:sz w:val="20"/>
                <w:szCs w:val="20"/>
                <w:color w:val="auto"/>
              </w:rPr>
            </w:pPr>
            <w:r>
              <w:rPr>
                <w:rFonts w:ascii="Arial" w:cs="Arial" w:eastAsia="Arial" w:hAnsi="Arial"/>
                <w:sz w:val="18"/>
                <w:szCs w:val="18"/>
                <w:color w:val="auto"/>
              </w:rPr>
              <w:t>Supplemental Indentures Without the Consent of Securityholders</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9.02</w:t>
            </w:r>
          </w:p>
        </w:tc>
        <w:tc>
          <w:tcPr>
            <w:tcW w:w="8040" w:type="dxa"/>
            <w:vAlign w:val="bottom"/>
          </w:tcPr>
          <w:p>
            <w:pPr>
              <w:ind w:left="420"/>
              <w:spacing w:after="0"/>
              <w:rPr>
                <w:sz w:val="20"/>
                <w:szCs w:val="20"/>
                <w:color w:val="auto"/>
              </w:rPr>
            </w:pPr>
            <w:r>
              <w:rPr>
                <w:rFonts w:ascii="Arial" w:cs="Arial" w:eastAsia="Arial" w:hAnsi="Arial"/>
                <w:sz w:val="18"/>
                <w:szCs w:val="18"/>
                <w:color w:val="auto"/>
              </w:rPr>
              <w:t>Supplemental Indentures With Consent of Securityholders</w:t>
            </w: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9.03</w:t>
            </w:r>
          </w:p>
        </w:tc>
        <w:tc>
          <w:tcPr>
            <w:tcW w:w="8040" w:type="dxa"/>
            <w:vAlign w:val="bottom"/>
          </w:tcPr>
          <w:p>
            <w:pPr>
              <w:ind w:left="420"/>
              <w:spacing w:after="0"/>
              <w:rPr>
                <w:sz w:val="20"/>
                <w:szCs w:val="20"/>
                <w:color w:val="auto"/>
              </w:rPr>
            </w:pPr>
            <w:r>
              <w:rPr>
                <w:rFonts w:ascii="Arial" w:cs="Arial" w:eastAsia="Arial" w:hAnsi="Arial"/>
                <w:sz w:val="18"/>
                <w:szCs w:val="18"/>
                <w:color w:val="auto"/>
              </w:rPr>
              <w:t>Effect of Supplemental Indentures</w:t>
            </w: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9.04</w:t>
            </w:r>
          </w:p>
        </w:tc>
        <w:tc>
          <w:tcPr>
            <w:tcW w:w="8040" w:type="dxa"/>
            <w:vAlign w:val="bottom"/>
          </w:tcPr>
          <w:p>
            <w:pPr>
              <w:ind w:left="420"/>
              <w:spacing w:after="0"/>
              <w:rPr>
                <w:sz w:val="20"/>
                <w:szCs w:val="20"/>
                <w:color w:val="auto"/>
              </w:rPr>
            </w:pPr>
            <w:r>
              <w:rPr>
                <w:rFonts w:ascii="Arial" w:cs="Arial" w:eastAsia="Arial" w:hAnsi="Arial"/>
                <w:sz w:val="18"/>
                <w:szCs w:val="18"/>
                <w:color w:val="auto"/>
              </w:rPr>
              <w:t>Securities Affected by Supplemental Indentures</w:t>
            </w:r>
          </w:p>
        </w:tc>
        <w:tc>
          <w:tcPr>
            <w:tcW w:w="1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9.05</w:t>
            </w:r>
          </w:p>
        </w:tc>
        <w:tc>
          <w:tcPr>
            <w:tcW w:w="8040" w:type="dxa"/>
            <w:vAlign w:val="bottom"/>
          </w:tcPr>
          <w:p>
            <w:pPr>
              <w:ind w:left="420"/>
              <w:spacing w:after="0"/>
              <w:rPr>
                <w:sz w:val="20"/>
                <w:szCs w:val="20"/>
                <w:color w:val="auto"/>
              </w:rPr>
            </w:pPr>
            <w:r>
              <w:rPr>
                <w:rFonts w:ascii="Arial" w:cs="Arial" w:eastAsia="Arial" w:hAnsi="Arial"/>
                <w:sz w:val="18"/>
                <w:szCs w:val="18"/>
                <w:color w:val="auto"/>
              </w:rPr>
              <w:t>Execution of Supplemental Indentures</w:t>
            </w:r>
          </w:p>
        </w:tc>
        <w:tc>
          <w:tcPr>
            <w:tcW w:w="1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64"/>
        </w:trPr>
        <w:tc>
          <w:tcPr>
            <w:tcW w:w="1300" w:type="dxa"/>
            <w:vAlign w:val="bottom"/>
          </w:tcPr>
          <w:p>
            <w:pPr>
              <w:spacing w:after="0"/>
              <w:rPr>
                <w:sz w:val="24"/>
                <w:szCs w:val="24"/>
                <w:color w:val="auto"/>
              </w:rPr>
            </w:pPr>
          </w:p>
        </w:tc>
        <w:tc>
          <w:tcPr>
            <w:tcW w:w="8040" w:type="dxa"/>
            <w:vAlign w:val="bottom"/>
          </w:tcPr>
          <w:p>
            <w:pPr>
              <w:ind w:left="4160"/>
              <w:spacing w:after="0"/>
              <w:rPr>
                <w:sz w:val="20"/>
                <w:szCs w:val="20"/>
                <w:color w:val="auto"/>
              </w:rPr>
            </w:pPr>
            <w:r>
              <w:rPr>
                <w:rFonts w:ascii="Arial" w:cs="Arial" w:eastAsia="Arial" w:hAnsi="Arial"/>
                <w:sz w:val="18"/>
                <w:szCs w:val="18"/>
                <w:color w:val="auto"/>
              </w:rPr>
              <w:t>ii</w:t>
            </w:r>
          </w:p>
        </w:tc>
        <w:tc>
          <w:tcPr>
            <w:tcW w:w="162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108" w:name="page109"/>
    <w:bookmarkEnd w:id="1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400" w:type="dxa"/>
            <w:vAlign w:val="bottom"/>
          </w:tcPr>
          <w:p>
            <w:pPr>
              <w:spacing w:after="0"/>
              <w:rPr>
                <w:sz w:val="19"/>
                <w:szCs w:val="19"/>
                <w:color w:val="auto"/>
              </w:rPr>
            </w:pPr>
          </w:p>
        </w:tc>
        <w:tc>
          <w:tcPr>
            <w:tcW w:w="7980" w:type="dxa"/>
            <w:vAlign w:val="bottom"/>
          </w:tcPr>
          <w:p>
            <w:pPr>
              <w:ind w:left="3140"/>
              <w:spacing w:after="0"/>
              <w:rPr>
                <w:sz w:val="20"/>
                <w:szCs w:val="20"/>
                <w:color w:val="auto"/>
              </w:rPr>
            </w:pPr>
            <w:r>
              <w:rPr>
                <w:rFonts w:ascii="Arial" w:cs="Arial" w:eastAsia="Arial" w:hAnsi="Arial"/>
                <w:sz w:val="18"/>
                <w:szCs w:val="18"/>
                <w:b w:val="1"/>
                <w:bCs w:val="1"/>
                <w:color w:val="auto"/>
              </w:rPr>
              <w:t>TABLE OF CONTENTS</w:t>
            </w:r>
          </w:p>
        </w:tc>
        <w:tc>
          <w:tcPr>
            <w:tcW w:w="1580" w:type="dxa"/>
            <w:vAlign w:val="bottom"/>
          </w:tcPr>
          <w:p>
            <w:pPr>
              <w:spacing w:after="0"/>
              <w:rPr>
                <w:sz w:val="19"/>
                <w:szCs w:val="19"/>
                <w:color w:val="auto"/>
              </w:rPr>
            </w:pPr>
          </w:p>
        </w:tc>
      </w:tr>
      <w:tr>
        <w:trPr>
          <w:trHeight w:val="230"/>
        </w:trPr>
        <w:tc>
          <w:tcPr>
            <w:tcW w:w="1400" w:type="dxa"/>
            <w:vAlign w:val="bottom"/>
          </w:tcPr>
          <w:p>
            <w:pPr>
              <w:spacing w:after="0"/>
              <w:rPr>
                <w:sz w:val="20"/>
                <w:szCs w:val="20"/>
                <w:color w:val="auto"/>
              </w:rPr>
            </w:pPr>
          </w:p>
        </w:tc>
        <w:tc>
          <w:tcPr>
            <w:tcW w:w="7980" w:type="dxa"/>
            <w:vAlign w:val="bottom"/>
          </w:tcPr>
          <w:p>
            <w:pPr>
              <w:ind w:left="3680"/>
              <w:spacing w:after="0"/>
              <w:rPr>
                <w:sz w:val="20"/>
                <w:szCs w:val="20"/>
                <w:color w:val="auto"/>
              </w:rPr>
            </w:pPr>
            <w:r>
              <w:rPr>
                <w:rFonts w:ascii="Arial" w:cs="Arial" w:eastAsia="Arial" w:hAnsi="Arial"/>
                <w:sz w:val="18"/>
                <w:szCs w:val="18"/>
                <w:color w:val="auto"/>
              </w:rPr>
              <w:t>(continued)</w:t>
            </w:r>
          </w:p>
        </w:tc>
        <w:tc>
          <w:tcPr>
            <w:tcW w:w="1580" w:type="dxa"/>
            <w:vAlign w:val="bottom"/>
          </w:tcPr>
          <w:p>
            <w:pPr>
              <w:spacing w:after="0"/>
              <w:rPr>
                <w:sz w:val="20"/>
                <w:szCs w:val="20"/>
                <w:color w:val="auto"/>
              </w:rPr>
            </w:pPr>
          </w:p>
        </w:tc>
      </w:tr>
      <w:tr>
        <w:trPr>
          <w:trHeight w:val="283"/>
        </w:trPr>
        <w:tc>
          <w:tcPr>
            <w:tcW w:w="14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ARTICLE 10</w:t>
            </w:r>
          </w:p>
        </w:tc>
        <w:tc>
          <w:tcPr>
            <w:tcW w:w="7980" w:type="dxa"/>
            <w:vAlign w:val="bottom"/>
          </w:tcPr>
          <w:p>
            <w:pPr>
              <w:ind w:left="40"/>
              <w:spacing w:after="0"/>
              <w:rPr>
                <w:sz w:val="20"/>
                <w:szCs w:val="20"/>
                <w:color w:val="auto"/>
              </w:rPr>
            </w:pPr>
            <w:r>
              <w:rPr>
                <w:rFonts w:ascii="Arial" w:cs="Arial" w:eastAsia="Arial" w:hAnsi="Arial"/>
                <w:sz w:val="18"/>
                <w:szCs w:val="18"/>
                <w:color w:val="auto"/>
              </w:rPr>
              <w:t>SUCCESSOR ENTITY</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10.01</w:t>
            </w:r>
          </w:p>
        </w:tc>
        <w:tc>
          <w:tcPr>
            <w:tcW w:w="7980" w:type="dxa"/>
            <w:vAlign w:val="bottom"/>
          </w:tcPr>
          <w:p>
            <w:pPr>
              <w:ind w:left="400"/>
              <w:spacing w:after="0"/>
              <w:rPr>
                <w:sz w:val="20"/>
                <w:szCs w:val="20"/>
                <w:color w:val="auto"/>
              </w:rPr>
            </w:pPr>
            <w:r>
              <w:rPr>
                <w:rFonts w:ascii="Arial" w:cs="Arial" w:eastAsia="Arial" w:hAnsi="Arial"/>
                <w:sz w:val="18"/>
                <w:szCs w:val="18"/>
                <w:color w:val="auto"/>
              </w:rPr>
              <w:t>Company May Consolidate, Etc</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10.02</w:t>
            </w:r>
          </w:p>
        </w:tc>
        <w:tc>
          <w:tcPr>
            <w:tcW w:w="7980" w:type="dxa"/>
            <w:vAlign w:val="bottom"/>
          </w:tcPr>
          <w:p>
            <w:pPr>
              <w:ind w:left="400"/>
              <w:spacing w:after="0"/>
              <w:rPr>
                <w:sz w:val="20"/>
                <w:szCs w:val="20"/>
                <w:color w:val="auto"/>
              </w:rPr>
            </w:pPr>
            <w:r>
              <w:rPr>
                <w:rFonts w:ascii="Arial" w:cs="Arial" w:eastAsia="Arial" w:hAnsi="Arial"/>
                <w:sz w:val="18"/>
                <w:szCs w:val="18"/>
                <w:color w:val="auto"/>
              </w:rPr>
              <w:t>Successor Entity Substituted</w:t>
            </w:r>
          </w:p>
        </w:tc>
        <w:tc>
          <w:tcPr>
            <w:tcW w:w="1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ARTICLE 11</w:t>
            </w:r>
          </w:p>
        </w:tc>
        <w:tc>
          <w:tcPr>
            <w:tcW w:w="7980" w:type="dxa"/>
            <w:vAlign w:val="bottom"/>
          </w:tcPr>
          <w:p>
            <w:pPr>
              <w:ind w:left="40"/>
              <w:spacing w:after="0"/>
              <w:rPr>
                <w:sz w:val="20"/>
                <w:szCs w:val="20"/>
                <w:color w:val="auto"/>
              </w:rPr>
            </w:pPr>
            <w:r>
              <w:rPr>
                <w:rFonts w:ascii="Arial" w:cs="Arial" w:eastAsia="Arial" w:hAnsi="Arial"/>
                <w:sz w:val="18"/>
                <w:szCs w:val="18"/>
                <w:color w:val="auto"/>
              </w:rPr>
              <w:t>SATISFACTION AND DISCHARGE</w:t>
            </w:r>
          </w:p>
        </w:tc>
        <w:tc>
          <w:tcPr>
            <w:tcW w:w="1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11.01</w:t>
            </w:r>
          </w:p>
        </w:tc>
        <w:tc>
          <w:tcPr>
            <w:tcW w:w="7980" w:type="dxa"/>
            <w:vAlign w:val="bottom"/>
          </w:tcPr>
          <w:p>
            <w:pPr>
              <w:ind w:left="400"/>
              <w:spacing w:after="0"/>
              <w:rPr>
                <w:sz w:val="20"/>
                <w:szCs w:val="20"/>
                <w:color w:val="auto"/>
              </w:rPr>
            </w:pPr>
            <w:r>
              <w:rPr>
                <w:rFonts w:ascii="Arial" w:cs="Arial" w:eastAsia="Arial" w:hAnsi="Arial"/>
                <w:sz w:val="18"/>
                <w:szCs w:val="18"/>
                <w:color w:val="auto"/>
              </w:rPr>
              <w:t>Satisfaction and Discharge of Indenture</w:t>
            </w:r>
          </w:p>
        </w:tc>
        <w:tc>
          <w:tcPr>
            <w:tcW w:w="1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11.02</w:t>
            </w:r>
          </w:p>
        </w:tc>
        <w:tc>
          <w:tcPr>
            <w:tcW w:w="7980" w:type="dxa"/>
            <w:vAlign w:val="bottom"/>
          </w:tcPr>
          <w:p>
            <w:pPr>
              <w:ind w:left="400"/>
              <w:spacing w:after="0"/>
              <w:rPr>
                <w:sz w:val="20"/>
                <w:szCs w:val="20"/>
                <w:color w:val="auto"/>
              </w:rPr>
            </w:pPr>
            <w:r>
              <w:rPr>
                <w:rFonts w:ascii="Arial" w:cs="Arial" w:eastAsia="Arial" w:hAnsi="Arial"/>
                <w:sz w:val="18"/>
                <w:szCs w:val="18"/>
                <w:color w:val="auto"/>
              </w:rPr>
              <w:t>Discharge of Obligations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11.03</w:t>
            </w:r>
          </w:p>
        </w:tc>
        <w:tc>
          <w:tcPr>
            <w:tcW w:w="7980" w:type="dxa"/>
            <w:vAlign w:val="bottom"/>
          </w:tcPr>
          <w:p>
            <w:pPr>
              <w:ind w:left="400"/>
              <w:spacing w:after="0"/>
              <w:rPr>
                <w:sz w:val="20"/>
                <w:szCs w:val="20"/>
                <w:color w:val="auto"/>
              </w:rPr>
            </w:pPr>
            <w:r>
              <w:rPr>
                <w:rFonts w:ascii="Arial" w:cs="Arial" w:eastAsia="Arial" w:hAnsi="Arial"/>
                <w:sz w:val="18"/>
                <w:szCs w:val="18"/>
                <w:color w:val="auto"/>
              </w:rPr>
              <w:t>Deposited Moneys to be Held in Trust</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11.04</w:t>
            </w:r>
          </w:p>
        </w:tc>
        <w:tc>
          <w:tcPr>
            <w:tcW w:w="7980" w:type="dxa"/>
            <w:vAlign w:val="bottom"/>
          </w:tcPr>
          <w:p>
            <w:pPr>
              <w:ind w:left="400"/>
              <w:spacing w:after="0"/>
              <w:rPr>
                <w:sz w:val="20"/>
                <w:szCs w:val="20"/>
                <w:color w:val="auto"/>
              </w:rPr>
            </w:pPr>
            <w:r>
              <w:rPr>
                <w:rFonts w:ascii="Arial" w:cs="Arial" w:eastAsia="Arial" w:hAnsi="Arial"/>
                <w:sz w:val="18"/>
                <w:szCs w:val="18"/>
                <w:color w:val="auto"/>
              </w:rPr>
              <w:t>Payment of Moneys Held by Paying Agents</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11.05</w:t>
            </w:r>
          </w:p>
        </w:tc>
        <w:tc>
          <w:tcPr>
            <w:tcW w:w="7980" w:type="dxa"/>
            <w:vAlign w:val="bottom"/>
          </w:tcPr>
          <w:p>
            <w:pPr>
              <w:ind w:left="400"/>
              <w:spacing w:after="0"/>
              <w:rPr>
                <w:sz w:val="20"/>
                <w:szCs w:val="20"/>
                <w:color w:val="auto"/>
              </w:rPr>
            </w:pPr>
            <w:r>
              <w:rPr>
                <w:rFonts w:ascii="Arial" w:cs="Arial" w:eastAsia="Arial" w:hAnsi="Arial"/>
                <w:sz w:val="18"/>
                <w:szCs w:val="18"/>
                <w:color w:val="auto"/>
              </w:rPr>
              <w:t>Repayment to Company</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ARTICLE 12</w:t>
            </w:r>
          </w:p>
        </w:tc>
        <w:tc>
          <w:tcPr>
            <w:tcW w:w="7980" w:type="dxa"/>
            <w:vAlign w:val="bottom"/>
          </w:tcPr>
          <w:p>
            <w:pPr>
              <w:ind w:left="40"/>
              <w:spacing w:after="0"/>
              <w:rPr>
                <w:sz w:val="20"/>
                <w:szCs w:val="20"/>
                <w:color w:val="auto"/>
              </w:rPr>
            </w:pPr>
            <w:r>
              <w:rPr>
                <w:rFonts w:ascii="Arial" w:cs="Arial" w:eastAsia="Arial" w:hAnsi="Arial"/>
                <w:sz w:val="18"/>
                <w:szCs w:val="18"/>
                <w:color w:val="auto"/>
              </w:rPr>
              <w:t>IMMUNITY OF INCORPORATORS, STOCKHOLDERS, OFFICERS AND DIRECTORS</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12.01</w:t>
            </w:r>
          </w:p>
        </w:tc>
        <w:tc>
          <w:tcPr>
            <w:tcW w:w="7980" w:type="dxa"/>
            <w:vAlign w:val="bottom"/>
          </w:tcPr>
          <w:p>
            <w:pPr>
              <w:ind w:left="400"/>
              <w:spacing w:after="0"/>
              <w:rPr>
                <w:sz w:val="20"/>
                <w:szCs w:val="20"/>
                <w:color w:val="auto"/>
              </w:rPr>
            </w:pPr>
            <w:r>
              <w:rPr>
                <w:rFonts w:ascii="Arial" w:cs="Arial" w:eastAsia="Arial" w:hAnsi="Arial"/>
                <w:sz w:val="18"/>
                <w:szCs w:val="18"/>
                <w:color w:val="auto"/>
              </w:rPr>
              <w:t>No Recourse</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ARTICLE 13</w:t>
            </w:r>
          </w:p>
        </w:tc>
        <w:tc>
          <w:tcPr>
            <w:tcW w:w="7980" w:type="dxa"/>
            <w:vAlign w:val="bottom"/>
          </w:tcPr>
          <w:p>
            <w:pPr>
              <w:ind w:left="40"/>
              <w:spacing w:after="0"/>
              <w:rPr>
                <w:sz w:val="20"/>
                <w:szCs w:val="20"/>
                <w:color w:val="auto"/>
              </w:rPr>
            </w:pPr>
            <w:r>
              <w:rPr>
                <w:rFonts w:ascii="Arial" w:cs="Arial" w:eastAsia="Arial" w:hAnsi="Arial"/>
                <w:sz w:val="18"/>
                <w:szCs w:val="18"/>
                <w:color w:val="auto"/>
              </w:rPr>
              <w:t>MISCELLANEOUS PROVISIONS</w:t>
            </w: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13.01</w:t>
            </w:r>
          </w:p>
        </w:tc>
        <w:tc>
          <w:tcPr>
            <w:tcW w:w="7980" w:type="dxa"/>
            <w:vAlign w:val="bottom"/>
          </w:tcPr>
          <w:p>
            <w:pPr>
              <w:ind w:left="400"/>
              <w:spacing w:after="0"/>
              <w:rPr>
                <w:sz w:val="20"/>
                <w:szCs w:val="20"/>
                <w:color w:val="auto"/>
              </w:rPr>
            </w:pPr>
            <w:r>
              <w:rPr>
                <w:rFonts w:ascii="Arial" w:cs="Arial" w:eastAsia="Arial" w:hAnsi="Arial"/>
                <w:sz w:val="18"/>
                <w:szCs w:val="18"/>
                <w:color w:val="auto"/>
              </w:rPr>
              <w:t>Effect on Successors and Assigns</w:t>
            </w: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13.02</w:t>
            </w:r>
          </w:p>
        </w:tc>
        <w:tc>
          <w:tcPr>
            <w:tcW w:w="7980" w:type="dxa"/>
            <w:vAlign w:val="bottom"/>
          </w:tcPr>
          <w:p>
            <w:pPr>
              <w:ind w:left="400"/>
              <w:spacing w:after="0"/>
              <w:rPr>
                <w:sz w:val="20"/>
                <w:szCs w:val="20"/>
                <w:color w:val="auto"/>
              </w:rPr>
            </w:pPr>
            <w:r>
              <w:rPr>
                <w:rFonts w:ascii="Arial" w:cs="Arial" w:eastAsia="Arial" w:hAnsi="Arial"/>
                <w:sz w:val="18"/>
                <w:szCs w:val="18"/>
                <w:color w:val="auto"/>
              </w:rPr>
              <w:t>Actions by Successor</w:t>
            </w: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13.03</w:t>
            </w:r>
          </w:p>
        </w:tc>
        <w:tc>
          <w:tcPr>
            <w:tcW w:w="7980" w:type="dxa"/>
            <w:vAlign w:val="bottom"/>
          </w:tcPr>
          <w:p>
            <w:pPr>
              <w:ind w:left="400"/>
              <w:spacing w:after="0"/>
              <w:rPr>
                <w:sz w:val="20"/>
                <w:szCs w:val="20"/>
                <w:color w:val="auto"/>
              </w:rPr>
            </w:pPr>
            <w:r>
              <w:rPr>
                <w:rFonts w:ascii="Arial" w:cs="Arial" w:eastAsia="Arial" w:hAnsi="Arial"/>
                <w:sz w:val="18"/>
                <w:szCs w:val="18"/>
                <w:color w:val="auto"/>
              </w:rPr>
              <w:t>Surrender of Company Powers</w:t>
            </w: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13.04</w:t>
            </w:r>
          </w:p>
        </w:tc>
        <w:tc>
          <w:tcPr>
            <w:tcW w:w="7980" w:type="dxa"/>
            <w:vAlign w:val="bottom"/>
          </w:tcPr>
          <w:p>
            <w:pPr>
              <w:ind w:left="400"/>
              <w:spacing w:after="0"/>
              <w:rPr>
                <w:sz w:val="20"/>
                <w:szCs w:val="20"/>
                <w:color w:val="auto"/>
              </w:rPr>
            </w:pPr>
            <w:r>
              <w:rPr>
                <w:rFonts w:ascii="Arial" w:cs="Arial" w:eastAsia="Arial" w:hAnsi="Arial"/>
                <w:sz w:val="18"/>
                <w:szCs w:val="18"/>
                <w:color w:val="auto"/>
              </w:rPr>
              <w:t>Notices</w:t>
            </w: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13.05</w:t>
            </w:r>
          </w:p>
        </w:tc>
        <w:tc>
          <w:tcPr>
            <w:tcW w:w="7980" w:type="dxa"/>
            <w:vAlign w:val="bottom"/>
          </w:tcPr>
          <w:p>
            <w:pPr>
              <w:ind w:left="400"/>
              <w:spacing w:after="0"/>
              <w:rPr>
                <w:sz w:val="20"/>
                <w:szCs w:val="20"/>
                <w:color w:val="auto"/>
              </w:rPr>
            </w:pPr>
            <w:r>
              <w:rPr>
                <w:rFonts w:ascii="Arial" w:cs="Arial" w:eastAsia="Arial" w:hAnsi="Arial"/>
                <w:sz w:val="18"/>
                <w:szCs w:val="18"/>
                <w:color w:val="auto"/>
              </w:rPr>
              <w:t>Governing Law; Jury Trial Waiver</w:t>
            </w: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13.06</w:t>
            </w:r>
          </w:p>
        </w:tc>
        <w:tc>
          <w:tcPr>
            <w:tcW w:w="7980" w:type="dxa"/>
            <w:vAlign w:val="bottom"/>
          </w:tcPr>
          <w:p>
            <w:pPr>
              <w:ind w:left="400"/>
              <w:spacing w:after="0"/>
              <w:rPr>
                <w:sz w:val="20"/>
                <w:szCs w:val="20"/>
                <w:color w:val="auto"/>
              </w:rPr>
            </w:pPr>
            <w:r>
              <w:rPr>
                <w:rFonts w:ascii="Arial" w:cs="Arial" w:eastAsia="Arial" w:hAnsi="Arial"/>
                <w:sz w:val="18"/>
                <w:szCs w:val="18"/>
                <w:color w:val="auto"/>
              </w:rPr>
              <w:t>Treatment of Securities as Debt</w:t>
            </w: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13.07</w:t>
            </w:r>
          </w:p>
        </w:tc>
        <w:tc>
          <w:tcPr>
            <w:tcW w:w="7980" w:type="dxa"/>
            <w:vAlign w:val="bottom"/>
          </w:tcPr>
          <w:p>
            <w:pPr>
              <w:ind w:left="400"/>
              <w:spacing w:after="0"/>
              <w:rPr>
                <w:sz w:val="20"/>
                <w:szCs w:val="20"/>
                <w:color w:val="auto"/>
              </w:rPr>
            </w:pPr>
            <w:r>
              <w:rPr>
                <w:rFonts w:ascii="Arial" w:cs="Arial" w:eastAsia="Arial" w:hAnsi="Arial"/>
                <w:sz w:val="18"/>
                <w:szCs w:val="18"/>
                <w:color w:val="auto"/>
              </w:rPr>
              <w:t>Certificates and Opinions as to Conditions Precedent</w:t>
            </w: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13.08</w:t>
            </w:r>
          </w:p>
        </w:tc>
        <w:tc>
          <w:tcPr>
            <w:tcW w:w="7980" w:type="dxa"/>
            <w:vAlign w:val="bottom"/>
          </w:tcPr>
          <w:p>
            <w:pPr>
              <w:ind w:left="400"/>
              <w:spacing w:after="0"/>
              <w:rPr>
                <w:sz w:val="20"/>
                <w:szCs w:val="20"/>
                <w:color w:val="auto"/>
              </w:rPr>
            </w:pPr>
            <w:r>
              <w:rPr>
                <w:rFonts w:ascii="Arial" w:cs="Arial" w:eastAsia="Arial" w:hAnsi="Arial"/>
                <w:sz w:val="18"/>
                <w:szCs w:val="18"/>
                <w:color w:val="auto"/>
              </w:rPr>
              <w:t>Payments on Business Days</w:t>
            </w: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13.09</w:t>
            </w:r>
          </w:p>
        </w:tc>
        <w:tc>
          <w:tcPr>
            <w:tcW w:w="7980" w:type="dxa"/>
            <w:vAlign w:val="bottom"/>
          </w:tcPr>
          <w:p>
            <w:pPr>
              <w:ind w:left="400"/>
              <w:spacing w:after="0"/>
              <w:rPr>
                <w:sz w:val="20"/>
                <w:szCs w:val="20"/>
                <w:color w:val="auto"/>
              </w:rPr>
            </w:pPr>
            <w:r>
              <w:rPr>
                <w:rFonts w:ascii="Arial" w:cs="Arial" w:eastAsia="Arial" w:hAnsi="Arial"/>
                <w:sz w:val="18"/>
                <w:szCs w:val="18"/>
                <w:color w:val="auto"/>
              </w:rPr>
              <w:t>Conflict with Trust Indenture Act</w:t>
            </w: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13.10</w:t>
            </w:r>
          </w:p>
        </w:tc>
        <w:tc>
          <w:tcPr>
            <w:tcW w:w="7980" w:type="dxa"/>
            <w:vAlign w:val="bottom"/>
          </w:tcPr>
          <w:p>
            <w:pPr>
              <w:ind w:left="400"/>
              <w:spacing w:after="0"/>
              <w:rPr>
                <w:sz w:val="20"/>
                <w:szCs w:val="20"/>
                <w:color w:val="auto"/>
              </w:rPr>
            </w:pPr>
            <w:r>
              <w:rPr>
                <w:rFonts w:ascii="Arial" w:cs="Arial" w:eastAsia="Arial" w:hAnsi="Arial"/>
                <w:sz w:val="18"/>
                <w:szCs w:val="18"/>
                <w:color w:val="auto"/>
              </w:rPr>
              <w:t>Counterparts</w:t>
            </w: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13.11</w:t>
            </w:r>
          </w:p>
        </w:tc>
        <w:tc>
          <w:tcPr>
            <w:tcW w:w="7980" w:type="dxa"/>
            <w:vAlign w:val="bottom"/>
          </w:tcPr>
          <w:p>
            <w:pPr>
              <w:ind w:left="400"/>
              <w:spacing w:after="0"/>
              <w:rPr>
                <w:sz w:val="20"/>
                <w:szCs w:val="20"/>
                <w:color w:val="auto"/>
              </w:rPr>
            </w:pPr>
            <w:r>
              <w:rPr>
                <w:rFonts w:ascii="Arial" w:cs="Arial" w:eastAsia="Arial" w:hAnsi="Arial"/>
                <w:sz w:val="18"/>
                <w:szCs w:val="18"/>
                <w:color w:val="auto"/>
              </w:rPr>
              <w:t>Separability</w:t>
            </w: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13.12</w:t>
            </w:r>
          </w:p>
        </w:tc>
        <w:tc>
          <w:tcPr>
            <w:tcW w:w="7980" w:type="dxa"/>
            <w:vAlign w:val="bottom"/>
          </w:tcPr>
          <w:p>
            <w:pPr>
              <w:ind w:left="400"/>
              <w:spacing w:after="0"/>
              <w:rPr>
                <w:sz w:val="20"/>
                <w:szCs w:val="20"/>
                <w:color w:val="auto"/>
              </w:rPr>
            </w:pPr>
            <w:r>
              <w:rPr>
                <w:rFonts w:ascii="Arial" w:cs="Arial" w:eastAsia="Arial" w:hAnsi="Arial"/>
                <w:sz w:val="18"/>
                <w:szCs w:val="18"/>
                <w:color w:val="auto"/>
              </w:rPr>
              <w:t>Compliance Certificates</w:t>
            </w:r>
          </w:p>
        </w:tc>
        <w:tc>
          <w:tcPr>
            <w:tcW w:w="1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13.13</w:t>
            </w:r>
          </w:p>
        </w:tc>
        <w:tc>
          <w:tcPr>
            <w:tcW w:w="7980" w:type="dxa"/>
            <w:vAlign w:val="bottom"/>
          </w:tcPr>
          <w:p>
            <w:pPr>
              <w:ind w:left="400"/>
              <w:spacing w:after="0"/>
              <w:rPr>
                <w:sz w:val="20"/>
                <w:szCs w:val="20"/>
                <w:color w:val="auto"/>
              </w:rPr>
            </w:pPr>
            <w:r>
              <w:rPr>
                <w:rFonts w:ascii="Arial" w:cs="Arial" w:eastAsia="Arial" w:hAnsi="Arial"/>
                <w:sz w:val="18"/>
                <w:szCs w:val="18"/>
                <w:color w:val="auto"/>
              </w:rPr>
              <w:t>U.S.A Patriot Act</w:t>
            </w:r>
          </w:p>
        </w:tc>
        <w:tc>
          <w:tcPr>
            <w:tcW w:w="1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13.14</w:t>
            </w:r>
          </w:p>
        </w:tc>
        <w:tc>
          <w:tcPr>
            <w:tcW w:w="7980" w:type="dxa"/>
            <w:vAlign w:val="bottom"/>
          </w:tcPr>
          <w:p>
            <w:pPr>
              <w:ind w:left="400"/>
              <w:spacing w:after="0"/>
              <w:rPr>
                <w:sz w:val="20"/>
                <w:szCs w:val="20"/>
                <w:color w:val="auto"/>
              </w:rPr>
            </w:pPr>
            <w:r>
              <w:rPr>
                <w:rFonts w:ascii="Arial" w:cs="Arial" w:eastAsia="Arial" w:hAnsi="Arial"/>
                <w:sz w:val="18"/>
                <w:szCs w:val="18"/>
                <w:color w:val="auto"/>
              </w:rPr>
              <w:t>Force Majeure</w:t>
            </w:r>
          </w:p>
        </w:tc>
        <w:tc>
          <w:tcPr>
            <w:tcW w:w="1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13.15</w:t>
            </w:r>
          </w:p>
        </w:tc>
        <w:tc>
          <w:tcPr>
            <w:tcW w:w="7980" w:type="dxa"/>
            <w:vAlign w:val="bottom"/>
          </w:tcPr>
          <w:p>
            <w:pPr>
              <w:ind w:left="400"/>
              <w:spacing w:after="0"/>
              <w:rPr>
                <w:sz w:val="20"/>
                <w:szCs w:val="20"/>
                <w:color w:val="auto"/>
              </w:rPr>
            </w:pPr>
            <w:r>
              <w:rPr>
                <w:rFonts w:ascii="Arial" w:cs="Arial" w:eastAsia="Arial" w:hAnsi="Arial"/>
                <w:sz w:val="18"/>
                <w:szCs w:val="18"/>
                <w:color w:val="auto"/>
              </w:rPr>
              <w:t>Table of Contents; Headings</w:t>
            </w:r>
          </w:p>
        </w:tc>
        <w:tc>
          <w:tcPr>
            <w:tcW w:w="158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NDENTURE</w:t>
      </w:r>
      <w:r>
        <w:rPr>
          <w:rFonts w:ascii="Arial" w:cs="Arial" w:eastAsia="Arial" w:hAnsi="Arial"/>
          <w:sz w:val="18"/>
          <w:szCs w:val="18"/>
          <w:color w:val="auto"/>
        </w:rPr>
        <w:t>, dated as of [●], 20 , among</w:t>
      </w:r>
      <w:r>
        <w:rPr>
          <w:rFonts w:ascii="Arial" w:cs="Arial" w:eastAsia="Arial" w:hAnsi="Arial"/>
          <w:sz w:val="18"/>
          <w:szCs w:val="18"/>
          <w:b w:val="1"/>
          <w:bCs w:val="1"/>
          <w:color w:val="auto"/>
        </w:rPr>
        <w:t xml:space="preserve"> 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[TRUSTEE], as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62"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for its lawful corporate purposes, the Company has duly authorized the execution and delivery of this Indenture to provide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of debt securities (hereinafter referred to as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in an unlimited aggregate principal amount to be issued from time to time in one or more series as in this Indenture provided, as registered Securities without coupons, to be authenticated by the certificate of the Trustee;</w:t>
      </w:r>
    </w:p>
    <w:p>
      <w:pPr>
        <w:spacing w:after="0" w:line="158"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to provide the terms and conditions upon which the Securities are to be authenticated, issued and delivered, the Company has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the execution of this Indenture;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all things necessary to make this Indenture a valid agreement of the Company, in accordance with its terms, have been done.</w:t>
      </w:r>
    </w:p>
    <w:p>
      <w:pPr>
        <w:spacing w:after="0" w:line="237"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premises and the purchase of the Securities by the holders thereof, it is mutually covenanted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agreed as follows for the equal and ratable benefit of the holders of Securities: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333"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Definitions of Terms</w:t>
      </w:r>
      <w:r>
        <w:rPr>
          <w:rFonts w:ascii="Arial" w:cs="Arial" w:eastAsia="Arial" w:hAnsi="Arial"/>
          <w:sz w:val="16"/>
          <w:szCs w:val="16"/>
          <w:color w:val="auto"/>
        </w:rPr>
        <w:t>.</w:t>
      </w:r>
    </w:p>
    <w:p>
      <w:pPr>
        <w:spacing w:after="0" w:line="12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7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Authenticating Agent</w:t>
      </w:r>
      <w:r>
        <w:rPr>
          <w:rFonts w:ascii="Arial" w:cs="Arial" w:eastAsia="Arial" w:hAnsi="Arial"/>
          <w:sz w:val="18"/>
          <w:szCs w:val="18"/>
          <w:color w:val="auto"/>
        </w:rPr>
        <w:t>” means the Trustee or an authenticating agent with respect to all or any of the series of Securities appointed by the Trustee pursuant to Section 2.10.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the Board of Directors (or the functional equivalent thereof) of the Company or any duly authorized committee of such Board.</w:t>
      </w:r>
    </w:p>
    <w:p>
      <w:pPr>
        <w:spacing w:after="0" w:line="170"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 Resolution</w:t>
      </w:r>
      <w:r>
        <w:rPr>
          <w:rFonts w:ascii="Arial" w:cs="Arial" w:eastAsia="Arial" w:hAnsi="Arial"/>
          <w:sz w:val="17"/>
          <w:szCs w:val="17"/>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46"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110" w:name="page111"/>
    <w:bookmarkEnd w:id="110"/>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4"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NGM Biopharmaceuticals, Inc., a corporation duly organized and existing under the laws of the State of Delaware, and, subject to the provisions of Article Ten, shall also include its successors and assigns.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Trust Office</w:t>
      </w:r>
      <w:r>
        <w:rPr>
          <w:rFonts w:ascii="Arial" w:cs="Arial" w:eastAsia="Arial" w:hAnsi="Arial"/>
          <w:sz w:val="17"/>
          <w:szCs w:val="17"/>
          <w:color w:val="auto"/>
        </w:rPr>
        <w:t>” means the office of the Trustee at which, at any particular time, its corporate trust business shall be principally</w:t>
      </w:r>
    </w:p>
    <w:p>
      <w:pPr>
        <w:spacing w:after="0" w:line="3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administered, which office at the date hereof is located at</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has the meaning set forth in Section 2.03.</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Depositary</w:t>
      </w:r>
      <w:r>
        <w:rPr>
          <w:rFonts w:ascii="Arial" w:cs="Arial" w:eastAsia="Arial" w:hAnsi="Arial"/>
          <w:sz w:val="17"/>
          <w:szCs w:val="17"/>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6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means, with respect to Securities of a particular series, any event specified in Section 6.01, continued for the period of time, if any, therein designated.</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United States Securities and Exchange Act of 1934, as amended, and the rules and regulations promulgated by the Commission thereunder.</w:t>
      </w:r>
    </w:p>
    <w:p>
      <w:pPr>
        <w:spacing w:after="0" w:line="170"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given</w:t>
      </w:r>
      <w:r>
        <w:rPr>
          <w:rFonts w:ascii="Arial" w:cs="Arial" w:eastAsia="Arial" w:hAnsi="Arial"/>
          <w:sz w:val="17"/>
          <w:szCs w:val="17"/>
          <w:color w:val="auto"/>
        </w:rPr>
        <w:t>”, “</w:t>
      </w:r>
      <w:r>
        <w:rPr>
          <w:rFonts w:ascii="Arial" w:cs="Arial" w:eastAsia="Arial" w:hAnsi="Arial"/>
          <w:sz w:val="17"/>
          <w:szCs w:val="17"/>
          <w:b w:val="1"/>
          <w:bCs w:val="1"/>
          <w:i w:val="1"/>
          <w:iCs w:val="1"/>
          <w:color w:val="auto"/>
        </w:rPr>
        <w:t>mailed</w:t>
      </w:r>
      <w:r>
        <w:rPr>
          <w:rFonts w:ascii="Arial" w:cs="Arial" w:eastAsia="Arial" w:hAnsi="Arial"/>
          <w:sz w:val="17"/>
          <w:szCs w:val="17"/>
          <w:color w:val="auto"/>
        </w:rPr>
        <w:t>”, “</w:t>
      </w:r>
      <w:r>
        <w:rPr>
          <w:rFonts w:ascii="Arial" w:cs="Arial" w:eastAsia="Arial" w:hAnsi="Arial"/>
          <w:sz w:val="17"/>
          <w:szCs w:val="17"/>
          <w:b w:val="1"/>
          <w:bCs w:val="1"/>
          <w:i w:val="1"/>
          <w:iCs w:val="1"/>
          <w:color w:val="auto"/>
        </w:rPr>
        <w:t>notify</w:t>
      </w:r>
      <w:r>
        <w:rPr>
          <w:rFonts w:ascii="Arial" w:cs="Arial" w:eastAsia="Arial" w:hAnsi="Arial"/>
          <w:sz w:val="17"/>
          <w:szCs w:val="17"/>
          <w:color w:val="auto"/>
        </w:rPr>
        <w:t>” or “</w:t>
      </w:r>
      <w:r>
        <w:rPr>
          <w:rFonts w:ascii="Arial" w:cs="Arial" w:eastAsia="Arial" w:hAnsi="Arial"/>
          <w:sz w:val="17"/>
          <w:szCs w:val="17"/>
          <w:b w:val="1"/>
          <w:bCs w:val="1"/>
          <w:i w:val="1"/>
          <w:iCs w:val="1"/>
          <w:color w:val="auto"/>
        </w:rPr>
        <w:t>sent</w:t>
      </w:r>
      <w:r>
        <w:rPr>
          <w:rFonts w:ascii="Arial" w:cs="Arial" w:eastAsia="Arial" w:hAnsi="Arial"/>
          <w:sz w:val="17"/>
          <w:szCs w:val="17"/>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17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Security</w:t>
      </w:r>
      <w:r>
        <w:rPr>
          <w:rFonts w:ascii="Arial" w:cs="Arial" w:eastAsia="Arial" w:hAnsi="Arial"/>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84"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Obligations</w:t>
      </w:r>
      <w:r>
        <w:rPr>
          <w:rFonts w:ascii="Arial" w:cs="Arial" w:eastAsia="Arial" w:hAnsi="Arial"/>
          <w:sz w:val="17"/>
          <w:szCs w:val="17"/>
          <w:color w:val="auto"/>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11" w:name="page112"/>
    <w:bookmarkEnd w:id="111"/>
    <w:p>
      <w:pPr>
        <w:ind w:right="5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herein</w:t>
      </w:r>
      <w:r>
        <w:rPr>
          <w:rFonts w:ascii="Arial" w:cs="Arial" w:eastAsia="Arial" w:hAnsi="Arial"/>
          <w:sz w:val="18"/>
          <w:szCs w:val="18"/>
          <w:color w:val="auto"/>
        </w:rPr>
        <w:t>”, “</w:t>
      </w:r>
      <w:r>
        <w:rPr>
          <w:rFonts w:ascii="Arial" w:cs="Arial" w:eastAsia="Arial" w:hAnsi="Arial"/>
          <w:sz w:val="18"/>
          <w:szCs w:val="18"/>
          <w:b w:val="1"/>
          <w:bCs w:val="1"/>
          <w:i w:val="1"/>
          <w:iCs w:val="1"/>
          <w:color w:val="auto"/>
        </w:rPr>
        <w:t>hereof</w:t>
      </w:r>
      <w:r>
        <w:rPr>
          <w:rFonts w:ascii="Arial" w:cs="Arial" w:eastAsia="Arial" w:hAnsi="Arial"/>
          <w:sz w:val="18"/>
          <w:szCs w:val="18"/>
          <w:color w:val="auto"/>
        </w:rPr>
        <w:t>” and “</w:t>
      </w:r>
      <w:r>
        <w:rPr>
          <w:rFonts w:ascii="Arial" w:cs="Arial" w:eastAsia="Arial" w:hAnsi="Arial"/>
          <w:sz w:val="18"/>
          <w:szCs w:val="18"/>
          <w:b w:val="1"/>
          <w:bCs w:val="1"/>
          <w:i w:val="1"/>
          <w:i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84"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a certificate signed by any Officer. Each such certificate shall include the statements provided for in Section 13.07, if and to the extent required by the provisions thereof.</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Outstanding</w:t>
      </w:r>
      <w:r>
        <w:rPr>
          <w:rFonts w:ascii="Arial" w:cs="Arial" w:eastAsia="Arial" w:hAnsi="Arial"/>
          <w:sz w:val="17"/>
          <w:szCs w:val="17"/>
          <w:color w:val="auto"/>
        </w:rPr>
        <w:t xml:space="preserve">”,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1" w:lineRule="exact"/>
        <w:rPr>
          <w:sz w:val="20"/>
          <w:szCs w:val="20"/>
          <w:color w:val="auto"/>
        </w:rPr>
      </w:pPr>
    </w:p>
    <w:p>
      <w:pPr>
        <w:jc w:val="center"/>
        <w:ind w:right="2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2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Predecessor Security</w:t>
      </w:r>
      <w:r>
        <w:rPr>
          <w:rFonts w:ascii="Arial" w:cs="Arial" w:eastAsia="Arial" w:hAnsi="Arial"/>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84"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12" w:name="page113"/>
    <w:bookmarkEnd w:id="112"/>
    <w:p>
      <w:pPr>
        <w:ind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4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Securityholder</w:t>
      </w:r>
      <w:r>
        <w:rPr>
          <w:rFonts w:ascii="Arial" w:cs="Arial" w:eastAsia="Arial" w:hAnsi="Arial"/>
          <w:sz w:val="17"/>
          <w:szCs w:val="17"/>
          <w:color w:val="auto"/>
        </w:rPr>
        <w:t>”, “</w:t>
      </w:r>
      <w:r>
        <w:rPr>
          <w:rFonts w:ascii="Arial" w:cs="Arial" w:eastAsia="Arial" w:hAnsi="Arial"/>
          <w:sz w:val="17"/>
          <w:szCs w:val="17"/>
          <w:b w:val="1"/>
          <w:bCs w:val="1"/>
          <w:i w:val="1"/>
          <w:iCs w:val="1"/>
          <w:color w:val="auto"/>
        </w:rPr>
        <w:t>holder of Securities</w:t>
      </w:r>
      <w:r>
        <w:rPr>
          <w:rFonts w:ascii="Arial" w:cs="Arial" w:eastAsia="Arial" w:hAnsi="Arial"/>
          <w:sz w:val="17"/>
          <w:szCs w:val="17"/>
          <w:color w:val="auto"/>
        </w:rPr>
        <w:t>”, “</w:t>
      </w:r>
      <w:r>
        <w:rPr>
          <w:rFonts w:ascii="Arial" w:cs="Arial" w:eastAsia="Arial" w:hAnsi="Arial"/>
          <w:sz w:val="17"/>
          <w:szCs w:val="17"/>
          <w:b w:val="1"/>
          <w:bCs w:val="1"/>
          <w:i w:val="1"/>
          <w:iCs w:val="1"/>
          <w:color w:val="auto"/>
        </w:rPr>
        <w:t>registered holder</w:t>
      </w:r>
      <w:r>
        <w:rPr>
          <w:rFonts w:ascii="Arial" w:cs="Arial" w:eastAsia="Arial" w:hAnsi="Arial"/>
          <w:sz w:val="17"/>
          <w:szCs w:val="17"/>
          <w:color w:val="auto"/>
        </w:rPr>
        <w:t>”, or other similar term, means the Person or Persons in whose name or names a particular Security is registered on the Security Register kept for that purpose in accordance with the terms of this Indenture.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shall have the meanings as set forth in Section 2.05.</w:t>
      </w:r>
    </w:p>
    <w:p>
      <w:pPr>
        <w:spacing w:after="0" w:line="225"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5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 and, subject to the provisions of Article Seven, shall also include its successors and assigns, and, if at any time there is more than one Person acting in such capacity hereunder,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shall mean each such Person. The term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as used with respect to a particular series of the Securities shall mean the trustee with respect to that series.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Pub. L. 107-56, as amended and signed into law October 26, 2001.</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 DESCRIPTION, TERMS, EXECUTION, REGISTRATION AND EXCHANGE OF SECURITIES</w:t>
      </w:r>
    </w:p>
    <w:p>
      <w:pPr>
        <w:spacing w:after="0" w:line="333"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5"/>
          <w:szCs w:val="15"/>
          <w:b w:val="1"/>
          <w:bCs w:val="1"/>
          <w:color w:val="auto"/>
        </w:rPr>
        <w:t>Designation and Terms of Securities</w:t>
      </w:r>
      <w:r>
        <w:rPr>
          <w:rFonts w:ascii="Arial" w:cs="Arial" w:eastAsia="Arial" w:hAnsi="Arial"/>
          <w:sz w:val="15"/>
          <w:szCs w:val="15"/>
          <w:color w:val="auto"/>
        </w:rPr>
        <w:t>.</w:t>
      </w:r>
    </w:p>
    <w:p>
      <w:pPr>
        <w:spacing w:after="0" w:line="121" w:lineRule="exact"/>
        <w:rPr>
          <w:sz w:val="20"/>
          <w:szCs w:val="20"/>
          <w:color w:val="auto"/>
        </w:rPr>
      </w:pPr>
    </w:p>
    <w:p>
      <w:pPr>
        <w:ind w:right="80" w:firstLine="987"/>
        <w:spacing w:after="0" w:line="257" w:lineRule="auto"/>
        <w:tabs>
          <w:tab w:leader="none" w:pos="1378"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87" w:lineRule="exact"/>
        <w:rPr>
          <w:rFonts w:ascii="Arial" w:cs="Arial" w:eastAsia="Arial" w:hAnsi="Arial"/>
          <w:sz w:val="18"/>
          <w:szCs w:val="18"/>
          <w:b w:val="1"/>
          <w:bCs w:val="1"/>
          <w:color w:val="auto"/>
        </w:rPr>
      </w:pPr>
    </w:p>
    <w:p>
      <w:pPr>
        <w:ind w:left="1820" w:hanging="392"/>
        <w:spacing w:after="0"/>
        <w:tabs>
          <w:tab w:leader="none" w:pos="1820" w:val="left"/>
        </w:tabs>
        <w:numPr>
          <w:ilvl w:val="1"/>
          <w:numId w:val="109"/>
        </w:numPr>
        <w:rPr>
          <w:rFonts w:ascii="Arial" w:cs="Arial" w:eastAsia="Arial" w:hAnsi="Arial"/>
          <w:sz w:val="18"/>
          <w:szCs w:val="18"/>
          <w:b w:val="1"/>
          <w:bCs w:val="1"/>
          <w:color w:val="auto"/>
        </w:rPr>
      </w:pPr>
      <w:r>
        <w:rPr>
          <w:rFonts w:ascii="Arial" w:cs="Arial" w:eastAsia="Arial" w:hAnsi="Arial"/>
          <w:sz w:val="18"/>
          <w:szCs w:val="18"/>
          <w:color w:val="auto"/>
        </w:rPr>
        <w:t>the title of the Securities of the series (which shall distinguish the Securities of that series from all other Securities);</w:t>
      </w:r>
    </w:p>
    <w:p>
      <w:pPr>
        <w:spacing w:after="0" w:line="225" w:lineRule="exact"/>
        <w:rPr>
          <w:rFonts w:ascii="Arial" w:cs="Arial" w:eastAsia="Arial" w:hAnsi="Arial"/>
          <w:sz w:val="18"/>
          <w:szCs w:val="18"/>
          <w:b w:val="1"/>
          <w:bCs w:val="1"/>
          <w:color w:val="auto"/>
        </w:rPr>
      </w:pPr>
    </w:p>
    <w:p>
      <w:pPr>
        <w:ind w:firstLine="1428"/>
        <w:spacing w:after="0" w:line="263" w:lineRule="auto"/>
        <w:tabs>
          <w:tab w:leader="none" w:pos="1822" w:val="left"/>
        </w:tabs>
        <w:numPr>
          <w:ilvl w:val="1"/>
          <w:numId w:val="109"/>
        </w:numPr>
        <w:rPr>
          <w:rFonts w:ascii="Arial" w:cs="Arial" w:eastAsia="Arial" w:hAnsi="Arial"/>
          <w:sz w:val="18"/>
          <w:szCs w:val="18"/>
          <w:b w:val="1"/>
          <w:bCs w:val="1"/>
          <w:color w:val="auto"/>
        </w:rPr>
      </w:pPr>
      <w:r>
        <w:rPr>
          <w:rFonts w:ascii="Arial" w:cs="Arial" w:eastAsia="Arial" w:hAnsi="Arial"/>
          <w:sz w:val="18"/>
          <w:szCs w:val="18"/>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83" w:lineRule="exact"/>
        <w:rPr>
          <w:rFonts w:ascii="Arial" w:cs="Arial" w:eastAsia="Arial" w:hAnsi="Arial"/>
          <w:sz w:val="18"/>
          <w:szCs w:val="18"/>
          <w:b w:val="1"/>
          <w:bCs w:val="1"/>
          <w:color w:val="auto"/>
        </w:rPr>
      </w:pPr>
    </w:p>
    <w:p>
      <w:pPr>
        <w:ind w:left="1820" w:hanging="392"/>
        <w:spacing w:after="0"/>
        <w:tabs>
          <w:tab w:leader="none" w:pos="1820" w:val="left"/>
        </w:tabs>
        <w:numPr>
          <w:ilvl w:val="1"/>
          <w:numId w:val="109"/>
        </w:numPr>
        <w:rPr>
          <w:rFonts w:ascii="Arial" w:cs="Arial" w:eastAsia="Arial" w:hAnsi="Arial"/>
          <w:sz w:val="18"/>
          <w:szCs w:val="18"/>
          <w:b w:val="1"/>
          <w:bCs w:val="1"/>
          <w:color w:val="auto"/>
        </w:rPr>
      </w:pPr>
      <w:r>
        <w:rPr>
          <w:rFonts w:ascii="Arial" w:cs="Arial" w:eastAsia="Arial" w:hAnsi="Arial"/>
          <w:sz w:val="18"/>
          <w:szCs w:val="18"/>
          <w:color w:val="auto"/>
        </w:rPr>
        <w:t>the maturity date or dates on which the principal of the Securities of the series is payable;</w:t>
      </w:r>
    </w:p>
    <w:p>
      <w:pPr>
        <w:spacing w:after="0" w:line="225" w:lineRule="exact"/>
        <w:rPr>
          <w:rFonts w:ascii="Arial" w:cs="Arial" w:eastAsia="Arial" w:hAnsi="Arial"/>
          <w:sz w:val="18"/>
          <w:szCs w:val="18"/>
          <w:b w:val="1"/>
          <w:bCs w:val="1"/>
          <w:color w:val="auto"/>
        </w:rPr>
      </w:pPr>
    </w:p>
    <w:p>
      <w:pPr>
        <w:ind w:left="1820" w:hanging="392"/>
        <w:spacing w:after="0"/>
        <w:tabs>
          <w:tab w:leader="none" w:pos="1820" w:val="left"/>
        </w:tabs>
        <w:numPr>
          <w:ilvl w:val="1"/>
          <w:numId w:val="109"/>
        </w:numPr>
        <w:rPr>
          <w:rFonts w:ascii="Arial" w:cs="Arial" w:eastAsia="Arial" w:hAnsi="Arial"/>
          <w:sz w:val="18"/>
          <w:szCs w:val="18"/>
          <w:b w:val="1"/>
          <w:bCs w:val="1"/>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13" w:name="page114"/>
    <w:bookmarkEnd w:id="113"/>
    <w:p>
      <w:pPr>
        <w:ind w:left="1760" w:hanging="392"/>
        <w:spacing w:after="0"/>
        <w:tabs>
          <w:tab w:leader="none" w:pos="176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applicability of any guarantees;</w:t>
      </w:r>
    </w:p>
    <w:p>
      <w:pPr>
        <w:spacing w:after="0" w:line="225" w:lineRule="exact"/>
        <w:rPr>
          <w:rFonts w:ascii="Arial" w:cs="Arial" w:eastAsia="Arial" w:hAnsi="Arial"/>
          <w:sz w:val="18"/>
          <w:szCs w:val="18"/>
          <w:b w:val="1"/>
          <w:bCs w:val="1"/>
          <w:color w:val="auto"/>
        </w:rPr>
      </w:pPr>
    </w:p>
    <w:p>
      <w:pPr>
        <w:ind w:left="1760" w:hanging="392"/>
        <w:spacing w:after="0"/>
        <w:tabs>
          <w:tab w:leader="none" w:pos="176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whether or not the Securities will be secured or unsecured, and the terms of any secured debt;</w:t>
      </w:r>
    </w:p>
    <w:p>
      <w:pPr>
        <w:spacing w:after="0" w:line="225" w:lineRule="exact"/>
        <w:rPr>
          <w:rFonts w:ascii="Arial" w:cs="Arial" w:eastAsia="Arial" w:hAnsi="Arial"/>
          <w:sz w:val="18"/>
          <w:szCs w:val="18"/>
          <w:b w:val="1"/>
          <w:bCs w:val="1"/>
          <w:color w:val="auto"/>
        </w:rPr>
      </w:pPr>
    </w:p>
    <w:p>
      <w:pPr>
        <w:ind w:left="-60" w:right="280" w:firstLine="1428"/>
        <w:spacing w:after="0" w:line="277" w:lineRule="auto"/>
        <w:tabs>
          <w:tab w:leader="none" w:pos="1762"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whether the Securities rank as senior debt, senior subordinated debt, subordinated debt or any combination thereof, and the terms of any subordination;</w:t>
      </w:r>
    </w:p>
    <w:p>
      <w:pPr>
        <w:spacing w:after="0" w:line="170" w:lineRule="exact"/>
        <w:rPr>
          <w:rFonts w:ascii="Arial" w:cs="Arial" w:eastAsia="Arial" w:hAnsi="Arial"/>
          <w:sz w:val="18"/>
          <w:szCs w:val="18"/>
          <w:b w:val="1"/>
          <w:bCs w:val="1"/>
          <w:color w:val="auto"/>
        </w:rPr>
      </w:pPr>
    </w:p>
    <w:p>
      <w:pPr>
        <w:ind w:left="-60" w:right="40" w:firstLine="1428"/>
        <w:spacing w:after="0" w:line="259" w:lineRule="auto"/>
        <w:tabs>
          <w:tab w:leader="none" w:pos="1762"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86" w:lineRule="exact"/>
        <w:rPr>
          <w:rFonts w:ascii="Arial" w:cs="Arial" w:eastAsia="Arial" w:hAnsi="Arial"/>
          <w:sz w:val="18"/>
          <w:szCs w:val="18"/>
          <w:b w:val="1"/>
          <w:bCs w:val="1"/>
          <w:color w:val="auto"/>
        </w:rPr>
      </w:pPr>
    </w:p>
    <w:p>
      <w:pPr>
        <w:ind w:left="-60" w:firstLine="1428"/>
        <w:spacing w:after="0" w:line="342" w:lineRule="auto"/>
        <w:tabs>
          <w:tab w:leader="none" w:pos="1762"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23" w:lineRule="exact"/>
        <w:rPr>
          <w:rFonts w:ascii="Arial" w:cs="Arial" w:eastAsia="Arial" w:hAnsi="Arial"/>
          <w:sz w:val="16"/>
          <w:szCs w:val="16"/>
          <w:b w:val="1"/>
          <w:bCs w:val="1"/>
          <w:color w:val="auto"/>
        </w:rPr>
      </w:pPr>
    </w:p>
    <w:p>
      <w:pPr>
        <w:ind w:left="1840" w:hanging="472"/>
        <w:spacing w:after="0"/>
        <w:tabs>
          <w:tab w:leader="none" w:pos="184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the Company’s right, if any, to defer the payment of interest and the maximum length of any such deferral period;</w:t>
      </w:r>
    </w:p>
    <w:p>
      <w:pPr>
        <w:spacing w:after="0" w:line="225" w:lineRule="exact"/>
        <w:rPr>
          <w:rFonts w:ascii="Arial" w:cs="Arial" w:eastAsia="Arial" w:hAnsi="Arial"/>
          <w:sz w:val="18"/>
          <w:szCs w:val="18"/>
          <w:b w:val="1"/>
          <w:bCs w:val="1"/>
          <w:color w:val="auto"/>
        </w:rPr>
      </w:pPr>
    </w:p>
    <w:p>
      <w:pPr>
        <w:jc w:val="both"/>
        <w:ind w:left="-60" w:right="580" w:firstLine="1428"/>
        <w:spacing w:after="0" w:line="263" w:lineRule="auto"/>
        <w:tabs>
          <w:tab w:leader="none" w:pos="1842"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83" w:lineRule="exact"/>
        <w:rPr>
          <w:rFonts w:ascii="Arial" w:cs="Arial" w:eastAsia="Arial" w:hAnsi="Arial"/>
          <w:sz w:val="18"/>
          <w:szCs w:val="18"/>
          <w:b w:val="1"/>
          <w:bCs w:val="1"/>
          <w:color w:val="auto"/>
        </w:rPr>
      </w:pPr>
    </w:p>
    <w:p>
      <w:pPr>
        <w:ind w:left="-60" w:right="360" w:firstLine="1428"/>
        <w:spacing w:after="0" w:line="263" w:lineRule="auto"/>
        <w:tabs>
          <w:tab w:leader="none" w:pos="1852"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83" w:lineRule="exact"/>
        <w:rPr>
          <w:rFonts w:ascii="Arial" w:cs="Arial" w:eastAsia="Arial" w:hAnsi="Arial"/>
          <w:sz w:val="18"/>
          <w:szCs w:val="18"/>
          <w:b w:val="1"/>
          <w:bCs w:val="1"/>
          <w:color w:val="auto"/>
        </w:rPr>
      </w:pPr>
    </w:p>
    <w:p>
      <w:pPr>
        <w:ind w:left="-60" w:right="240" w:firstLine="1428"/>
        <w:spacing w:after="0" w:line="277" w:lineRule="auto"/>
        <w:tabs>
          <w:tab w:leader="none" w:pos="1852"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the denominations in which the Securities of the series shall be issuable, if other than denominations of one thousand U.S. dollars ($1,000) or any integral multiple thereof;</w:t>
      </w:r>
    </w:p>
    <w:p>
      <w:pPr>
        <w:spacing w:after="0" w:line="170" w:lineRule="exact"/>
        <w:rPr>
          <w:rFonts w:ascii="Arial" w:cs="Arial" w:eastAsia="Arial" w:hAnsi="Arial"/>
          <w:sz w:val="18"/>
          <w:szCs w:val="18"/>
          <w:b w:val="1"/>
          <w:bCs w:val="1"/>
          <w:color w:val="auto"/>
        </w:rPr>
      </w:pPr>
    </w:p>
    <w:p>
      <w:pPr>
        <w:jc w:val="both"/>
        <w:ind w:left="-60" w:right="80" w:firstLine="1428"/>
        <w:spacing w:after="0" w:line="263" w:lineRule="auto"/>
        <w:tabs>
          <w:tab w:leader="none" w:pos="1852"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183" w:lineRule="exact"/>
        <w:rPr>
          <w:rFonts w:ascii="Arial" w:cs="Arial" w:eastAsia="Arial" w:hAnsi="Arial"/>
          <w:sz w:val="18"/>
          <w:szCs w:val="18"/>
          <w:b w:val="1"/>
          <w:bCs w:val="1"/>
          <w:color w:val="auto"/>
        </w:rPr>
      </w:pPr>
    </w:p>
    <w:p>
      <w:pPr>
        <w:ind w:left="-60" w:firstLine="1428"/>
        <w:spacing w:after="0" w:line="263" w:lineRule="auto"/>
        <w:tabs>
          <w:tab w:leader="none" w:pos="1852"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83" w:lineRule="exact"/>
        <w:rPr>
          <w:rFonts w:ascii="Arial" w:cs="Arial" w:eastAsia="Arial" w:hAnsi="Arial"/>
          <w:sz w:val="18"/>
          <w:szCs w:val="18"/>
          <w:b w:val="1"/>
          <w:bCs w:val="1"/>
          <w:color w:val="auto"/>
        </w:rPr>
      </w:pPr>
    </w:p>
    <w:p>
      <w:pPr>
        <w:ind w:left="-60" w:right="220" w:firstLine="1428"/>
        <w:spacing w:after="0" w:line="257" w:lineRule="auto"/>
        <w:tabs>
          <w:tab w:leader="none" w:pos="1852"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87" w:lineRule="exact"/>
        <w:rPr>
          <w:rFonts w:ascii="Arial" w:cs="Arial" w:eastAsia="Arial" w:hAnsi="Arial"/>
          <w:sz w:val="18"/>
          <w:szCs w:val="18"/>
          <w:b w:val="1"/>
          <w:bCs w:val="1"/>
          <w:color w:val="auto"/>
        </w:rPr>
      </w:pPr>
    </w:p>
    <w:p>
      <w:pPr>
        <w:ind w:left="-60" w:right="220" w:firstLine="1428"/>
        <w:spacing w:after="0" w:line="277" w:lineRule="auto"/>
        <w:tabs>
          <w:tab w:leader="none" w:pos="1852"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500" w:top="274" w:right="519" w:bottom="1440" w:gutter="0" w:footer="0" w:header="0"/>
        </w:sectPr>
      </w:pPr>
    </w:p>
    <w:bookmarkStart w:id="114" w:name="page115"/>
    <w:bookmarkEnd w:id="114"/>
    <w:p>
      <w:pPr>
        <w:ind w:right="500" w:firstLine="1428"/>
        <w:spacing w:after="0" w:line="277" w:lineRule="auto"/>
        <w:tabs>
          <w:tab w:leader="none" w:pos="1912"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additions to or changes in the covenants applicable to the series of Securities being issued, including, among others, the consolidation, merger or sale covenant;</w:t>
      </w:r>
    </w:p>
    <w:p>
      <w:pPr>
        <w:spacing w:after="0" w:line="170" w:lineRule="exact"/>
        <w:rPr>
          <w:rFonts w:ascii="Arial" w:cs="Arial" w:eastAsia="Arial" w:hAnsi="Arial"/>
          <w:sz w:val="18"/>
          <w:szCs w:val="18"/>
          <w:b w:val="1"/>
          <w:bCs w:val="1"/>
          <w:color w:val="auto"/>
        </w:rPr>
      </w:pPr>
    </w:p>
    <w:p>
      <w:pPr>
        <w:ind w:right="40" w:firstLine="1428"/>
        <w:spacing w:after="0" w:line="308" w:lineRule="auto"/>
        <w:tabs>
          <w:tab w:leader="none" w:pos="1912" w:val="left"/>
        </w:tabs>
        <w:numPr>
          <w:ilvl w:val="0"/>
          <w:numId w:val="111"/>
        </w:numPr>
        <w:rPr>
          <w:rFonts w:ascii="Arial" w:cs="Arial" w:eastAsia="Arial" w:hAnsi="Arial"/>
          <w:sz w:val="17"/>
          <w:szCs w:val="17"/>
          <w:b w:val="1"/>
          <w:bCs w:val="1"/>
          <w:color w:val="auto"/>
        </w:rPr>
      </w:pPr>
      <w:r>
        <w:rPr>
          <w:rFonts w:ascii="Arial" w:cs="Arial" w:eastAsia="Arial" w:hAnsi="Arial"/>
          <w:sz w:val="17"/>
          <w:szCs w:val="17"/>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46" w:lineRule="exact"/>
        <w:rPr>
          <w:rFonts w:ascii="Arial" w:cs="Arial" w:eastAsia="Arial" w:hAnsi="Arial"/>
          <w:sz w:val="17"/>
          <w:szCs w:val="17"/>
          <w:b w:val="1"/>
          <w:bCs w:val="1"/>
          <w:color w:val="auto"/>
        </w:rPr>
      </w:pPr>
    </w:p>
    <w:p>
      <w:pPr>
        <w:ind w:left="1900" w:hanging="472"/>
        <w:spacing w:after="0"/>
        <w:tabs>
          <w:tab w:leader="none" w:pos="1900"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225" w:lineRule="exact"/>
        <w:rPr>
          <w:rFonts w:ascii="Arial" w:cs="Arial" w:eastAsia="Arial" w:hAnsi="Arial"/>
          <w:sz w:val="18"/>
          <w:szCs w:val="18"/>
          <w:b w:val="1"/>
          <w:bCs w:val="1"/>
          <w:color w:val="auto"/>
        </w:rPr>
      </w:pPr>
    </w:p>
    <w:p>
      <w:pPr>
        <w:ind w:left="1900" w:hanging="472"/>
        <w:spacing w:after="0"/>
        <w:tabs>
          <w:tab w:leader="none" w:pos="1900"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additions to or changes in the provisions relating to satisfaction and discharge of this Indenture;</w:t>
      </w:r>
    </w:p>
    <w:p>
      <w:pPr>
        <w:spacing w:after="0" w:line="225" w:lineRule="exact"/>
        <w:rPr>
          <w:rFonts w:ascii="Arial" w:cs="Arial" w:eastAsia="Arial" w:hAnsi="Arial"/>
          <w:sz w:val="18"/>
          <w:szCs w:val="18"/>
          <w:b w:val="1"/>
          <w:bCs w:val="1"/>
          <w:color w:val="auto"/>
        </w:rPr>
      </w:pPr>
    </w:p>
    <w:p>
      <w:pPr>
        <w:ind w:right="260" w:firstLine="1428"/>
        <w:spacing w:after="0" w:line="277" w:lineRule="auto"/>
        <w:tabs>
          <w:tab w:leader="none" w:pos="1912"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additions to or changes in the provisions relating to the modification of this Indenture both with and without the consent of Securityholders of Securities issued under this Indenture;</w:t>
      </w:r>
    </w:p>
    <w:p>
      <w:pPr>
        <w:spacing w:after="0" w:line="170" w:lineRule="exact"/>
        <w:rPr>
          <w:rFonts w:ascii="Arial" w:cs="Arial" w:eastAsia="Arial" w:hAnsi="Arial"/>
          <w:sz w:val="18"/>
          <w:szCs w:val="18"/>
          <w:b w:val="1"/>
          <w:bCs w:val="1"/>
          <w:color w:val="auto"/>
        </w:rPr>
      </w:pPr>
    </w:p>
    <w:p>
      <w:pPr>
        <w:ind w:left="1900" w:hanging="472"/>
        <w:spacing w:after="0"/>
        <w:tabs>
          <w:tab w:leader="none" w:pos="1900" w:val="left"/>
        </w:tabs>
        <w:numPr>
          <w:ilvl w:val="0"/>
          <w:numId w:val="111"/>
        </w:numPr>
        <w:rPr>
          <w:rFonts w:ascii="Arial" w:cs="Arial" w:eastAsia="Arial" w:hAnsi="Arial"/>
          <w:sz w:val="16"/>
          <w:szCs w:val="16"/>
          <w:b w:val="1"/>
          <w:bCs w:val="1"/>
          <w:color w:val="auto"/>
        </w:rPr>
      </w:pPr>
      <w:r>
        <w:rPr>
          <w:rFonts w:ascii="Arial" w:cs="Arial" w:eastAsia="Arial" w:hAnsi="Arial"/>
          <w:sz w:val="16"/>
          <w:szCs w:val="16"/>
          <w:color w:val="auto"/>
        </w:rPr>
        <w:t>the currency of payment of Securities if other than U.S. dollars and the manner of determining the equivalent amount in U.S.</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dollars;</w:t>
      </w:r>
    </w:p>
    <w:p>
      <w:pPr>
        <w:spacing w:after="0" w:line="210" w:lineRule="exact"/>
        <w:rPr>
          <w:rFonts w:ascii="Arial" w:cs="Arial" w:eastAsia="Arial" w:hAnsi="Arial"/>
          <w:sz w:val="16"/>
          <w:szCs w:val="16"/>
          <w:b w:val="1"/>
          <w:bCs w:val="1"/>
          <w:color w:val="auto"/>
        </w:rPr>
      </w:pPr>
    </w:p>
    <w:p>
      <w:pPr>
        <w:ind w:right="20" w:firstLine="1428"/>
        <w:spacing w:after="0" w:line="277" w:lineRule="auto"/>
        <w:tabs>
          <w:tab w:leader="none" w:pos="1912"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whether interest will be payable in cash or additional Securities at the Company’s or the Securityholders’ option and the terms and conditions upon which the election may be made;</w:t>
      </w:r>
    </w:p>
    <w:p>
      <w:pPr>
        <w:spacing w:after="0" w:line="170" w:lineRule="exact"/>
        <w:rPr>
          <w:rFonts w:ascii="Arial" w:cs="Arial" w:eastAsia="Arial" w:hAnsi="Arial"/>
          <w:sz w:val="18"/>
          <w:szCs w:val="18"/>
          <w:b w:val="1"/>
          <w:bCs w:val="1"/>
          <w:color w:val="auto"/>
        </w:rPr>
      </w:pPr>
    </w:p>
    <w:p>
      <w:pPr>
        <w:ind w:firstLine="1428"/>
        <w:spacing w:after="0" w:line="308" w:lineRule="auto"/>
        <w:tabs>
          <w:tab w:leader="none" w:pos="1912" w:val="left"/>
        </w:tabs>
        <w:numPr>
          <w:ilvl w:val="0"/>
          <w:numId w:val="111"/>
        </w:numPr>
        <w:rPr>
          <w:rFonts w:ascii="Arial" w:cs="Arial" w:eastAsia="Arial" w:hAnsi="Arial"/>
          <w:sz w:val="17"/>
          <w:szCs w:val="17"/>
          <w:b w:val="1"/>
          <w:bCs w:val="1"/>
          <w:color w:val="auto"/>
        </w:rPr>
      </w:pPr>
      <w:r>
        <w:rPr>
          <w:rFonts w:ascii="Arial" w:cs="Arial" w:eastAsia="Arial" w:hAnsi="Arial"/>
          <w:sz w:val="17"/>
          <w:szCs w:val="17"/>
          <w:color w:val="auto"/>
        </w:rPr>
        <w:t>the terms and conditions, if any, upon which the Company shall pay amounts in addition to the stated interest, premium, if any and principal amounts of the Securities of the series to any Securityholder that is not a “</w:t>
      </w:r>
      <w:r>
        <w:rPr>
          <w:rFonts w:ascii="Arial" w:cs="Arial" w:eastAsia="Arial" w:hAnsi="Arial"/>
          <w:sz w:val="17"/>
          <w:szCs w:val="17"/>
          <w:b w:val="1"/>
          <w:bCs w:val="1"/>
          <w:i w:val="1"/>
          <w:iCs w:val="1"/>
          <w:color w:val="auto"/>
        </w:rPr>
        <w:t>United States person</w:t>
      </w:r>
      <w:r>
        <w:rPr>
          <w:rFonts w:ascii="Arial" w:cs="Arial" w:eastAsia="Arial" w:hAnsi="Arial"/>
          <w:sz w:val="17"/>
          <w:szCs w:val="17"/>
          <w:color w:val="auto"/>
        </w:rPr>
        <w:t>” for federal tax purposes;</w:t>
      </w:r>
    </w:p>
    <w:p>
      <w:pPr>
        <w:spacing w:after="0" w:line="146" w:lineRule="exact"/>
        <w:rPr>
          <w:rFonts w:ascii="Arial" w:cs="Arial" w:eastAsia="Arial" w:hAnsi="Arial"/>
          <w:sz w:val="17"/>
          <w:szCs w:val="17"/>
          <w:b w:val="1"/>
          <w:bCs w:val="1"/>
          <w:color w:val="auto"/>
        </w:rPr>
      </w:pPr>
    </w:p>
    <w:p>
      <w:pPr>
        <w:ind w:left="1900" w:hanging="472"/>
        <w:spacing w:after="0"/>
        <w:tabs>
          <w:tab w:leader="none" w:pos="1900"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any restrictions on transfer, sale or assignment of the Securities of the series; and</w:t>
      </w:r>
    </w:p>
    <w:p>
      <w:pPr>
        <w:spacing w:after="0" w:line="225" w:lineRule="exact"/>
        <w:rPr>
          <w:rFonts w:ascii="Arial" w:cs="Arial" w:eastAsia="Arial" w:hAnsi="Arial"/>
          <w:sz w:val="18"/>
          <w:szCs w:val="18"/>
          <w:b w:val="1"/>
          <w:bCs w:val="1"/>
          <w:color w:val="auto"/>
        </w:rPr>
      </w:pPr>
    </w:p>
    <w:p>
      <w:pPr>
        <w:ind w:right="80" w:firstLine="1428"/>
        <w:spacing w:after="0" w:line="308" w:lineRule="auto"/>
        <w:tabs>
          <w:tab w:leader="none" w:pos="1912" w:val="left"/>
        </w:tabs>
        <w:numPr>
          <w:ilvl w:val="0"/>
          <w:numId w:val="111"/>
        </w:numPr>
        <w:rPr>
          <w:rFonts w:ascii="Arial" w:cs="Arial" w:eastAsia="Arial" w:hAnsi="Arial"/>
          <w:sz w:val="17"/>
          <w:szCs w:val="17"/>
          <w:b w:val="1"/>
          <w:bCs w:val="1"/>
          <w:color w:val="auto"/>
        </w:rPr>
      </w:pPr>
      <w:r>
        <w:rPr>
          <w:rFonts w:ascii="Arial" w:cs="Arial" w:eastAsia="Arial" w:hAnsi="Arial"/>
          <w:sz w:val="17"/>
          <w:szCs w:val="17"/>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46"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may otherwise be provided in or pursuant to any such Board Resolution or in any indentures supplemental hereto.</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4"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28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2.02</w:t>
      </w:r>
      <w:r>
        <w:rPr>
          <w:sz w:val="20"/>
          <w:szCs w:val="20"/>
          <w:color w:val="auto"/>
        </w:rPr>
        <w:tab/>
      </w:r>
      <w:r>
        <w:rPr>
          <w:rFonts w:ascii="Arial" w:cs="Arial" w:eastAsia="Arial" w:hAnsi="Arial"/>
          <w:sz w:val="16"/>
          <w:szCs w:val="16"/>
          <w:b w:val="1"/>
          <w:bCs w:val="1"/>
          <w:color w:val="auto"/>
        </w:rPr>
        <w:t>Form of Securities and Trustee’s Certificate</w:t>
      </w:r>
      <w:r>
        <w:rPr>
          <w:rFonts w:ascii="Arial" w:cs="Arial" w:eastAsia="Arial" w:hAnsi="Arial"/>
          <w:sz w:val="16"/>
          <w:szCs w:val="16"/>
          <w:color w:val="auto"/>
        </w:rPr>
        <w:t>.</w:t>
      </w:r>
    </w:p>
    <w:p>
      <w:pPr>
        <w:spacing w:after="0" w:line="12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15" w:name="page116"/>
    <w:bookmarkEnd w:id="115"/>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2.03</w:t>
      </w:r>
      <w:r>
        <w:rPr>
          <w:sz w:val="20"/>
          <w:szCs w:val="20"/>
          <w:color w:val="auto"/>
        </w:rPr>
        <w:tab/>
      </w:r>
      <w:r>
        <w:rPr>
          <w:rFonts w:ascii="Arial" w:cs="Arial" w:eastAsia="Arial" w:hAnsi="Arial"/>
          <w:sz w:val="16"/>
          <w:szCs w:val="16"/>
          <w:b w:val="1"/>
          <w:bCs w:val="1"/>
          <w:color w:val="auto"/>
        </w:rPr>
        <w:t>Denominations: Provisions for Payment</w:t>
      </w:r>
      <w:r>
        <w:rPr>
          <w:rFonts w:ascii="Arial" w:cs="Arial" w:eastAsia="Arial" w:hAnsi="Arial"/>
          <w:sz w:val="16"/>
          <w:szCs w:val="16"/>
          <w:color w:val="auto"/>
        </w:rPr>
        <w:t>.</w:t>
      </w:r>
    </w:p>
    <w:p>
      <w:pPr>
        <w:spacing w:after="0" w:line="121"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9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76"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w:t>
      </w:r>
      <w:r>
        <w:rPr>
          <w:rFonts w:ascii="Arial" w:cs="Arial" w:eastAsia="Arial" w:hAnsi="Arial"/>
          <w:sz w:val="16"/>
          <w:szCs w:val="16"/>
          <w:b w:val="1"/>
          <w:bCs w:val="1"/>
          <w:i w:val="1"/>
          <w:iCs w:val="1"/>
          <w:color w:val="auto"/>
        </w:rPr>
        <w:t>Defaulted Interest</w:t>
      </w:r>
      <w:r>
        <w:rPr>
          <w:rFonts w:ascii="Arial" w:cs="Arial" w:eastAsia="Arial" w:hAnsi="Arial"/>
          <w:sz w:val="16"/>
          <w:szCs w:val="16"/>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49" w:lineRule="exact"/>
        <w:rPr>
          <w:sz w:val="20"/>
          <w:szCs w:val="20"/>
          <w:color w:val="auto"/>
        </w:rPr>
      </w:pPr>
    </w:p>
    <w:p>
      <w:pPr>
        <w:ind w:firstLine="1428"/>
        <w:spacing w:after="0" w:line="286" w:lineRule="auto"/>
        <w:tabs>
          <w:tab w:leader="none" w:pos="1818" w:val="left"/>
        </w:tabs>
        <w:numPr>
          <w:ilvl w:val="0"/>
          <w:numId w:val="112"/>
        </w:numPr>
        <w:rPr>
          <w:rFonts w:ascii="Arial" w:cs="Arial" w:eastAsia="Arial" w:hAnsi="Arial"/>
          <w:sz w:val="16"/>
          <w:szCs w:val="16"/>
          <w:b w:val="1"/>
          <w:bCs w:val="1"/>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173" w:lineRule="exact"/>
        <w:rPr>
          <w:rFonts w:ascii="Arial" w:cs="Arial" w:eastAsia="Arial" w:hAnsi="Arial"/>
          <w:sz w:val="16"/>
          <w:szCs w:val="16"/>
          <w:b w:val="1"/>
          <w:bCs w:val="1"/>
          <w:color w:val="auto"/>
        </w:rPr>
      </w:pPr>
    </w:p>
    <w:p>
      <w:pPr>
        <w:jc w:val="both"/>
        <w:ind w:firstLine="1428"/>
        <w:spacing w:after="0" w:line="259" w:lineRule="auto"/>
        <w:tabs>
          <w:tab w:leader="none" w:pos="1818"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16" w:name="page117"/>
    <w:bookmarkEnd w:id="116"/>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otherwise set forth in a Board Resolution or one or more indentures supplemental hereto establishing the terms of any series of Securities pursuant to Section 2.01 hereof, the term “</w:t>
      </w:r>
      <w:r>
        <w:rPr>
          <w:rFonts w:ascii="Arial" w:cs="Arial" w:eastAsia="Arial" w:hAnsi="Arial"/>
          <w:sz w:val="18"/>
          <w:szCs w:val="18"/>
          <w:b w:val="1"/>
          <w:bCs w:val="1"/>
          <w:i w:val="1"/>
          <w:iCs w:val="1"/>
          <w:color w:val="auto"/>
        </w:rPr>
        <w:t>regular record date</w:t>
      </w:r>
      <w:r>
        <w:rPr>
          <w:rFonts w:ascii="Arial" w:cs="Arial" w:eastAsia="Arial" w:hAnsi="Arial"/>
          <w:sz w:val="18"/>
          <w:szCs w:val="18"/>
          <w:color w:val="auto"/>
        </w:rPr>
        <w:t>”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92" w:lineRule="exact"/>
        <w:rPr>
          <w:sz w:val="20"/>
          <w:szCs w:val="20"/>
          <w:color w:val="auto"/>
        </w:rPr>
      </w:pPr>
    </w:p>
    <w:p>
      <w:pPr>
        <w:jc w:val="both"/>
        <w:ind w:right="160" w:firstLine="440"/>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22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2.04</w:t>
      </w:r>
      <w:r>
        <w:rPr>
          <w:sz w:val="20"/>
          <w:szCs w:val="20"/>
          <w:color w:val="auto"/>
        </w:rPr>
        <w:tab/>
      </w:r>
      <w:r>
        <w:rPr>
          <w:rFonts w:ascii="Arial" w:cs="Arial" w:eastAsia="Arial" w:hAnsi="Arial"/>
          <w:sz w:val="16"/>
          <w:szCs w:val="16"/>
          <w:b w:val="1"/>
          <w:bCs w:val="1"/>
          <w:color w:val="auto"/>
        </w:rPr>
        <w:t>Execution and Authentications</w:t>
      </w:r>
      <w:r>
        <w:rPr>
          <w:rFonts w:ascii="Arial" w:cs="Arial" w:eastAsia="Arial" w:hAnsi="Arial"/>
          <w:sz w:val="16"/>
          <w:szCs w:val="16"/>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Securities shall be signed on behalf of the Company by one of its Officers. Signatures may be in the form of a manual or facsimile signature.</w:t>
      </w:r>
    </w:p>
    <w:p>
      <w:pPr>
        <w:spacing w:after="0" w:line="24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7"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92" w:lineRule="exact"/>
        <w:rPr>
          <w:sz w:val="20"/>
          <w:szCs w:val="20"/>
          <w:color w:val="auto"/>
        </w:rPr>
      </w:pPr>
    </w:p>
    <w:p>
      <w:pPr>
        <w:ind w:right="460" w:firstLine="440"/>
        <w:spacing w:after="0" w:line="279" w:lineRule="auto"/>
        <w:rPr>
          <w:sz w:val="20"/>
          <w:szCs w:val="20"/>
          <w:color w:val="auto"/>
        </w:rPr>
      </w:pPr>
      <w:r>
        <w:rPr>
          <w:rFonts w:ascii="Arial" w:cs="Arial" w:eastAsia="Arial" w:hAnsi="Arial"/>
          <w:sz w:val="17"/>
          <w:szCs w:val="17"/>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71"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22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2.05</w:t>
      </w:r>
      <w:r>
        <w:rPr>
          <w:sz w:val="20"/>
          <w:szCs w:val="20"/>
          <w:color w:val="auto"/>
        </w:rPr>
        <w:tab/>
      </w:r>
      <w:r>
        <w:rPr>
          <w:rFonts w:ascii="Arial" w:cs="Arial" w:eastAsia="Arial" w:hAnsi="Arial"/>
          <w:sz w:val="16"/>
          <w:szCs w:val="16"/>
          <w:b w:val="1"/>
          <w:bCs w:val="1"/>
          <w:color w:val="auto"/>
        </w:rPr>
        <w:t>Registration of Transfer and Exchange</w:t>
      </w:r>
      <w:r>
        <w:rPr>
          <w:rFonts w:ascii="Arial" w:cs="Arial" w:eastAsia="Arial" w:hAnsi="Arial"/>
          <w:sz w:val="16"/>
          <w:szCs w:val="16"/>
          <w:color w:val="auto"/>
        </w:rPr>
        <w:t>.</w:t>
      </w:r>
    </w:p>
    <w:p>
      <w:pPr>
        <w:spacing w:after="0" w:line="121" w:lineRule="exact"/>
        <w:rPr>
          <w:sz w:val="20"/>
          <w:szCs w:val="20"/>
          <w:color w:val="auto"/>
        </w:rPr>
      </w:pPr>
    </w:p>
    <w:p>
      <w:pPr>
        <w:ind w:right="100" w:firstLine="987"/>
        <w:spacing w:after="0" w:line="296" w:lineRule="auto"/>
        <w:tabs>
          <w:tab w:leader="none" w:pos="1381"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17" w:name="page118"/>
    <w:bookmarkEnd w:id="117"/>
    <w:p>
      <w:pPr>
        <w:ind w:right="20" w:firstLine="987"/>
        <w:spacing w:after="0" w:line="257" w:lineRule="auto"/>
        <w:tabs>
          <w:tab w:leader="none" w:pos="1388"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keep, or cause to be kept, at its office or agency designated for such purpose a register or registers (herein referred to as the “</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w:t>
      </w:r>
    </w:p>
    <w:p>
      <w:pPr>
        <w:spacing w:after="0" w:line="188"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initially appoints the Trustee as Security Registrar for each series of Securities.</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84" w:lineRule="exact"/>
        <w:rPr>
          <w:sz w:val="20"/>
          <w:szCs w:val="20"/>
          <w:color w:val="auto"/>
        </w:rPr>
      </w:pPr>
    </w:p>
    <w:p>
      <w:pPr>
        <w:ind w:firstLine="987"/>
        <w:spacing w:after="0" w:line="275" w:lineRule="auto"/>
        <w:tabs>
          <w:tab w:leader="none" w:pos="1371" w:val="left"/>
        </w:tabs>
        <w:numPr>
          <w:ilvl w:val="0"/>
          <w:numId w:val="115"/>
        </w:numPr>
        <w:rPr>
          <w:rFonts w:ascii="Arial" w:cs="Arial" w:eastAsia="Arial" w:hAnsi="Arial"/>
          <w:sz w:val="17"/>
          <w:szCs w:val="17"/>
          <w:b w:val="1"/>
          <w:bCs w:val="1"/>
          <w:color w:val="auto"/>
        </w:rPr>
      </w:pPr>
      <w:r>
        <w:rPr>
          <w:rFonts w:ascii="Arial" w:cs="Arial" w:eastAsia="Arial" w:hAnsi="Arial"/>
          <w:sz w:val="17"/>
          <w:szCs w:val="17"/>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76" w:lineRule="exact"/>
        <w:rPr>
          <w:rFonts w:ascii="Arial" w:cs="Arial" w:eastAsia="Arial" w:hAnsi="Arial"/>
          <w:sz w:val="17"/>
          <w:szCs w:val="17"/>
          <w:b w:val="1"/>
          <w:bCs w:val="1"/>
          <w:color w:val="auto"/>
        </w:rPr>
      </w:pPr>
    </w:p>
    <w:p>
      <w:pPr>
        <w:ind w:right="40" w:firstLine="987"/>
        <w:spacing w:after="0" w:line="255" w:lineRule="auto"/>
        <w:tabs>
          <w:tab w:leader="none" w:pos="1388"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9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9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2.06</w:t>
      </w:r>
      <w:r>
        <w:rPr>
          <w:sz w:val="20"/>
          <w:szCs w:val="20"/>
          <w:color w:val="auto"/>
        </w:rPr>
        <w:tab/>
      </w:r>
      <w:r>
        <w:rPr>
          <w:rFonts w:ascii="Arial" w:cs="Arial" w:eastAsia="Arial" w:hAnsi="Arial"/>
          <w:sz w:val="16"/>
          <w:szCs w:val="16"/>
          <w:b w:val="1"/>
          <w:bCs w:val="1"/>
          <w:color w:val="auto"/>
        </w:rPr>
        <w:t>Temporary Securities</w:t>
      </w:r>
      <w:r>
        <w:rPr>
          <w:rFonts w:ascii="Arial" w:cs="Arial" w:eastAsia="Arial" w:hAnsi="Arial"/>
          <w:sz w:val="16"/>
          <w:szCs w:val="16"/>
          <w:color w:val="auto"/>
        </w:rPr>
        <w:t>.</w:t>
      </w:r>
    </w:p>
    <w:p>
      <w:pPr>
        <w:spacing w:after="0" w:line="12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18" w:name="page119"/>
    <w:bookmarkEnd w:id="118"/>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29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2.07</w:t>
      </w:r>
      <w:r>
        <w:rPr>
          <w:sz w:val="20"/>
          <w:szCs w:val="20"/>
          <w:color w:val="auto"/>
        </w:rPr>
        <w:tab/>
      </w:r>
      <w:r>
        <w:rPr>
          <w:rFonts w:ascii="Arial" w:cs="Arial" w:eastAsia="Arial" w:hAnsi="Arial"/>
          <w:sz w:val="16"/>
          <w:szCs w:val="16"/>
          <w:b w:val="1"/>
          <w:bCs w:val="1"/>
          <w:color w:val="auto"/>
        </w:rPr>
        <w:t>Mutilated, Destroyed, Lost or Stolen Securities</w:t>
      </w:r>
      <w:r>
        <w:rPr>
          <w:rFonts w:ascii="Arial" w:cs="Arial" w:eastAsia="Arial" w:hAnsi="Arial"/>
          <w:sz w:val="16"/>
          <w:szCs w:val="16"/>
          <w:color w:val="auto"/>
        </w:rPr>
        <w:t>.</w:t>
      </w:r>
    </w:p>
    <w:p>
      <w:pPr>
        <w:spacing w:after="0" w:line="12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6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8"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299"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2.08</w:t>
      </w:r>
      <w:r>
        <w:rPr>
          <w:sz w:val="20"/>
          <w:szCs w:val="20"/>
          <w:color w:val="auto"/>
        </w:rPr>
        <w:tab/>
      </w:r>
      <w:r>
        <w:rPr>
          <w:rFonts w:ascii="Arial" w:cs="Arial" w:eastAsia="Arial" w:hAnsi="Arial"/>
          <w:sz w:val="16"/>
          <w:szCs w:val="16"/>
          <w:b w:val="1"/>
          <w:bCs w:val="1"/>
          <w:color w:val="auto"/>
        </w:rPr>
        <w:t>Cancellation</w:t>
      </w:r>
      <w:r>
        <w:rPr>
          <w:rFonts w:ascii="Arial" w:cs="Arial" w:eastAsia="Arial" w:hAnsi="Arial"/>
          <w:sz w:val="16"/>
          <w:szCs w:val="16"/>
          <w:color w:val="auto"/>
        </w:rPr>
        <w:t>.</w:t>
      </w:r>
    </w:p>
    <w:p>
      <w:pPr>
        <w:spacing w:after="0" w:line="121"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19" w:name="page120"/>
    <w:bookmarkEnd w:id="119"/>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2.09</w:t>
      </w:r>
      <w:r>
        <w:rPr>
          <w:sz w:val="20"/>
          <w:szCs w:val="20"/>
          <w:color w:val="auto"/>
        </w:rPr>
        <w:tab/>
      </w:r>
      <w:r>
        <w:rPr>
          <w:rFonts w:ascii="Arial" w:cs="Arial" w:eastAsia="Arial" w:hAnsi="Arial"/>
          <w:sz w:val="16"/>
          <w:szCs w:val="16"/>
          <w:b w:val="1"/>
          <w:bCs w:val="1"/>
          <w:color w:val="auto"/>
        </w:rPr>
        <w:t>Benefits of Indenture</w:t>
      </w:r>
      <w:r>
        <w:rPr>
          <w:rFonts w:ascii="Arial" w:cs="Arial" w:eastAsia="Arial" w:hAnsi="Arial"/>
          <w:sz w:val="16"/>
          <w:szCs w:val="16"/>
          <w:color w:val="auto"/>
        </w:rPr>
        <w:t>.</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291"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6"/>
          <w:szCs w:val="16"/>
          <w:b w:val="1"/>
          <w:bCs w:val="1"/>
          <w:color w:val="auto"/>
        </w:rPr>
        <w:t>Authenticating Agent</w:t>
      </w:r>
      <w:r>
        <w:rPr>
          <w:rFonts w:ascii="Arial" w:cs="Arial" w:eastAsia="Arial" w:hAnsi="Arial"/>
          <w:sz w:val="16"/>
          <w:szCs w:val="16"/>
          <w:color w:val="auto"/>
        </w:rPr>
        <w:t>.</w:t>
      </w:r>
    </w:p>
    <w:p>
      <w:pPr>
        <w:spacing w:after="0" w:line="121"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66"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2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6"/>
          <w:szCs w:val="16"/>
          <w:b w:val="1"/>
          <w:bCs w:val="1"/>
          <w:color w:val="auto"/>
        </w:rPr>
        <w:t>Global Securities</w:t>
      </w:r>
      <w:r>
        <w:rPr>
          <w:rFonts w:ascii="Arial" w:cs="Arial" w:eastAsia="Arial" w:hAnsi="Arial"/>
          <w:sz w:val="16"/>
          <w:szCs w:val="16"/>
          <w:color w:val="auto"/>
        </w:rPr>
        <w:t>.</w:t>
      </w:r>
    </w:p>
    <w:p>
      <w:pPr>
        <w:spacing w:after="0" w:line="121" w:lineRule="exact"/>
        <w:rPr>
          <w:sz w:val="20"/>
          <w:szCs w:val="20"/>
          <w:color w:val="auto"/>
        </w:rPr>
      </w:pPr>
    </w:p>
    <w:p>
      <w:pPr>
        <w:ind w:firstLine="987"/>
        <w:spacing w:after="0" w:line="272" w:lineRule="auto"/>
        <w:tabs>
          <w:tab w:leader="none" w:pos="1381" w:val="left"/>
        </w:tabs>
        <w:numPr>
          <w:ilvl w:val="0"/>
          <w:numId w:val="116"/>
        </w:numPr>
        <w:rPr>
          <w:rFonts w:ascii="Arial" w:cs="Arial" w:eastAsia="Arial" w:hAnsi="Arial"/>
          <w:sz w:val="17"/>
          <w:szCs w:val="17"/>
          <w:b w:val="1"/>
          <w:bCs w:val="1"/>
          <w:color w:val="auto"/>
        </w:rPr>
      </w:pPr>
      <w:r>
        <w:rPr>
          <w:rFonts w:ascii="Arial" w:cs="Arial" w:eastAsia="Arial" w:hAnsi="Arial"/>
          <w:sz w:val="17"/>
          <w:szCs w:val="17"/>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77" w:lineRule="exact"/>
        <w:rPr>
          <w:rFonts w:ascii="Arial" w:cs="Arial" w:eastAsia="Arial" w:hAnsi="Arial"/>
          <w:sz w:val="17"/>
          <w:szCs w:val="17"/>
          <w:b w:val="1"/>
          <w:bCs w:val="1"/>
          <w:color w:val="auto"/>
        </w:rPr>
      </w:pPr>
    </w:p>
    <w:p>
      <w:pPr>
        <w:ind w:right="20" w:firstLine="987"/>
        <w:spacing w:after="0" w:line="263" w:lineRule="auto"/>
        <w:tabs>
          <w:tab w:leader="none" w:pos="1391"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83" w:lineRule="exact"/>
        <w:rPr>
          <w:rFonts w:ascii="Arial" w:cs="Arial" w:eastAsia="Arial" w:hAnsi="Arial"/>
          <w:sz w:val="18"/>
          <w:szCs w:val="18"/>
          <w:b w:val="1"/>
          <w:bCs w:val="1"/>
          <w:color w:val="auto"/>
        </w:rPr>
      </w:pPr>
    </w:p>
    <w:p>
      <w:pPr>
        <w:ind w:right="80" w:firstLine="987"/>
        <w:spacing w:after="0" w:line="296" w:lineRule="auto"/>
        <w:tabs>
          <w:tab w:leader="none" w:pos="1371" w:val="left"/>
        </w:tabs>
        <w:numPr>
          <w:ilvl w:val="0"/>
          <w:numId w:val="116"/>
        </w:numPr>
        <w:rPr>
          <w:rFonts w:ascii="Arial" w:cs="Arial" w:eastAsia="Arial" w:hAnsi="Arial"/>
          <w:sz w:val="16"/>
          <w:szCs w:val="16"/>
          <w:b w:val="1"/>
          <w:bCs w:val="1"/>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120" w:name="page121"/>
    <w:bookmarkEnd w:id="120"/>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83"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6"/>
          <w:szCs w:val="16"/>
          <w:b w:val="1"/>
          <w:bCs w:val="1"/>
          <w:color w:val="auto"/>
        </w:rPr>
        <w:t>CUSIP Numbers</w:t>
      </w:r>
      <w:r>
        <w:rPr>
          <w:rFonts w:ascii="Arial" w:cs="Arial" w:eastAsia="Arial" w:hAnsi="Arial"/>
          <w:sz w:val="16"/>
          <w:szCs w:val="16"/>
          <w:color w:val="auto"/>
        </w:rPr>
        <w:t>.</w:t>
      </w:r>
    </w:p>
    <w:p>
      <w:pPr>
        <w:spacing w:after="0" w:line="12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The Company in issuing the Securities may use “</w:t>
      </w:r>
      <w:r>
        <w:rPr>
          <w:rFonts w:ascii="Arial" w:cs="Arial" w:eastAsia="Arial" w:hAnsi="Arial"/>
          <w:sz w:val="17"/>
          <w:szCs w:val="17"/>
          <w:b w:val="1"/>
          <w:bCs w:val="1"/>
          <w:i w:val="1"/>
          <w:iCs w:val="1"/>
          <w:color w:val="auto"/>
        </w:rPr>
        <w:t>CUSIP</w:t>
      </w:r>
      <w:r>
        <w:rPr>
          <w:rFonts w:ascii="Arial" w:cs="Arial" w:eastAsia="Arial" w:hAnsi="Arial"/>
          <w:sz w:val="17"/>
          <w:szCs w:val="17"/>
          <w:color w:val="auto"/>
        </w:rPr>
        <w:t>” numbers (if then generally in use), and, if so, the Trustee shall use “</w:t>
      </w:r>
      <w:r>
        <w:rPr>
          <w:rFonts w:ascii="Arial" w:cs="Arial" w:eastAsia="Arial" w:hAnsi="Arial"/>
          <w:sz w:val="17"/>
          <w:szCs w:val="17"/>
          <w:b w:val="1"/>
          <w:bCs w:val="1"/>
          <w:i w:val="1"/>
          <w:iCs w:val="1"/>
          <w:color w:val="auto"/>
        </w:rPr>
        <w:t>CUSIP</w:t>
      </w:r>
      <w:r>
        <w:rPr>
          <w:rFonts w:ascii="Arial" w:cs="Arial" w:eastAsia="Arial" w:hAnsi="Arial"/>
          <w:sz w:val="17"/>
          <w:szCs w:val="17"/>
          <w:color w:val="auto"/>
        </w:rPr>
        <w:t>”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w:t>
      </w:r>
      <w:r>
        <w:rPr>
          <w:rFonts w:ascii="Arial" w:cs="Arial" w:eastAsia="Arial" w:hAnsi="Arial"/>
          <w:sz w:val="17"/>
          <w:szCs w:val="17"/>
          <w:b w:val="1"/>
          <w:bCs w:val="1"/>
          <w:i w:val="1"/>
          <w:iCs w:val="1"/>
          <w:color w:val="auto"/>
        </w:rPr>
        <w:t>CUSIP</w:t>
      </w:r>
      <w:r>
        <w:rPr>
          <w:rFonts w:ascii="Arial" w:cs="Arial" w:eastAsia="Arial" w:hAnsi="Arial"/>
          <w:sz w:val="17"/>
          <w:szCs w:val="17"/>
          <w:color w:val="auto"/>
        </w:rPr>
        <w:t>” numbers.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6"/>
          <w:szCs w:val="16"/>
          <w:b w:val="1"/>
          <w:bCs w:val="1"/>
          <w:color w:val="auto"/>
        </w:rPr>
        <w:t>Redemption</w:t>
      </w:r>
      <w:r>
        <w:rPr>
          <w:rFonts w:ascii="Arial" w:cs="Arial" w:eastAsia="Arial" w:hAnsi="Arial"/>
          <w:sz w:val="16"/>
          <w:szCs w:val="16"/>
          <w:color w:val="auto"/>
        </w:rPr>
        <w:t>.</w:t>
      </w:r>
    </w:p>
    <w:p>
      <w:pPr>
        <w:spacing w:after="0" w:line="12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274"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6"/>
          <w:szCs w:val="16"/>
          <w:b w:val="1"/>
          <w:bCs w:val="1"/>
          <w:color w:val="auto"/>
        </w:rPr>
        <w:t>Notice of Redemption</w:t>
      </w:r>
      <w:r>
        <w:rPr>
          <w:rFonts w:ascii="Arial" w:cs="Arial" w:eastAsia="Arial" w:hAnsi="Arial"/>
          <w:sz w:val="16"/>
          <w:szCs w:val="16"/>
          <w:color w:val="auto"/>
        </w:rPr>
        <w:t>.</w:t>
      </w:r>
    </w:p>
    <w:p>
      <w:pPr>
        <w:spacing w:after="0" w:line="121" w:lineRule="exact"/>
        <w:rPr>
          <w:sz w:val="20"/>
          <w:szCs w:val="20"/>
          <w:color w:val="auto"/>
        </w:rPr>
      </w:pPr>
    </w:p>
    <w:p>
      <w:pPr>
        <w:ind w:firstLine="987"/>
        <w:spacing w:after="0" w:line="269" w:lineRule="auto"/>
        <w:tabs>
          <w:tab w:leader="none" w:pos="1381" w:val="left"/>
        </w:tabs>
        <w:numPr>
          <w:ilvl w:val="0"/>
          <w:numId w:val="117"/>
        </w:numPr>
        <w:rPr>
          <w:rFonts w:ascii="Arial" w:cs="Arial" w:eastAsia="Arial" w:hAnsi="Arial"/>
          <w:sz w:val="17"/>
          <w:szCs w:val="17"/>
          <w:b w:val="1"/>
          <w:bCs w:val="1"/>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82"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Each such notice of redemption shall identify the Securities to be redeemed (including CUSIP numbers, if any), specify the date fixed for redemption and the redemption price at which Securities of that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21" w:name="page122"/>
    <w:bookmarkEnd w:id="121"/>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8"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84" w:lineRule="exact"/>
        <w:rPr>
          <w:sz w:val="20"/>
          <w:szCs w:val="20"/>
          <w:color w:val="auto"/>
        </w:rPr>
      </w:pPr>
    </w:p>
    <w:p>
      <w:pPr>
        <w:ind w:firstLine="987"/>
        <w:spacing w:after="0" w:line="287" w:lineRule="auto"/>
        <w:tabs>
          <w:tab w:leader="none" w:pos="1391"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27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3.03</w:t>
      </w:r>
      <w:r>
        <w:rPr>
          <w:sz w:val="20"/>
          <w:szCs w:val="20"/>
          <w:color w:val="auto"/>
        </w:rPr>
        <w:tab/>
      </w:r>
      <w:r>
        <w:rPr>
          <w:rFonts w:ascii="Arial" w:cs="Arial" w:eastAsia="Arial" w:hAnsi="Arial"/>
          <w:sz w:val="16"/>
          <w:szCs w:val="16"/>
          <w:b w:val="1"/>
          <w:bCs w:val="1"/>
          <w:color w:val="auto"/>
        </w:rPr>
        <w:t>Payment Upon Redemption</w:t>
      </w:r>
      <w:r>
        <w:rPr>
          <w:rFonts w:ascii="Arial" w:cs="Arial" w:eastAsia="Arial" w:hAnsi="Arial"/>
          <w:sz w:val="16"/>
          <w:szCs w:val="16"/>
          <w:color w:val="auto"/>
        </w:rPr>
        <w:t>.</w:t>
      </w:r>
    </w:p>
    <w:p>
      <w:pPr>
        <w:spacing w:after="0" w:line="121" w:lineRule="exact"/>
        <w:rPr>
          <w:sz w:val="20"/>
          <w:szCs w:val="20"/>
          <w:color w:val="auto"/>
        </w:rPr>
      </w:pPr>
    </w:p>
    <w:p>
      <w:pPr>
        <w:ind w:right="20" w:firstLine="987"/>
        <w:spacing w:after="0" w:line="290" w:lineRule="auto"/>
        <w:tabs>
          <w:tab w:leader="none" w:pos="1381" w:val="left"/>
        </w:tabs>
        <w:numPr>
          <w:ilvl w:val="0"/>
          <w:numId w:val="119"/>
        </w:numPr>
        <w:rPr>
          <w:rFonts w:ascii="Arial" w:cs="Arial" w:eastAsia="Arial" w:hAnsi="Arial"/>
          <w:sz w:val="16"/>
          <w:szCs w:val="16"/>
          <w:b w:val="1"/>
          <w:bCs w:val="1"/>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65" w:lineRule="exact"/>
        <w:rPr>
          <w:rFonts w:ascii="Arial" w:cs="Arial" w:eastAsia="Arial" w:hAnsi="Arial"/>
          <w:sz w:val="16"/>
          <w:szCs w:val="16"/>
          <w:b w:val="1"/>
          <w:bCs w:val="1"/>
          <w:color w:val="auto"/>
        </w:rPr>
      </w:pPr>
    </w:p>
    <w:p>
      <w:pPr>
        <w:ind w:right="60" w:firstLine="987"/>
        <w:spacing w:after="0" w:line="311" w:lineRule="auto"/>
        <w:tabs>
          <w:tab w:leader="none" w:pos="1391" w:val="left"/>
        </w:tabs>
        <w:numPr>
          <w:ilvl w:val="0"/>
          <w:numId w:val="119"/>
        </w:numPr>
        <w:rPr>
          <w:rFonts w:ascii="Arial" w:cs="Arial" w:eastAsia="Arial" w:hAnsi="Arial"/>
          <w:sz w:val="16"/>
          <w:szCs w:val="16"/>
          <w:b w:val="1"/>
          <w:bCs w:val="1"/>
          <w:color w:val="auto"/>
        </w:rPr>
      </w:pPr>
      <w:r>
        <w:rPr>
          <w:rFonts w:ascii="Arial" w:cs="Arial" w:eastAsia="Arial" w:hAnsi="Arial"/>
          <w:sz w:val="16"/>
          <w:szCs w:val="16"/>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253"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3.04</w:t>
      </w:r>
      <w:r>
        <w:rPr>
          <w:sz w:val="20"/>
          <w:szCs w:val="20"/>
          <w:color w:val="auto"/>
        </w:rPr>
        <w:tab/>
      </w:r>
      <w:r>
        <w:rPr>
          <w:rFonts w:ascii="Arial" w:cs="Arial" w:eastAsia="Arial" w:hAnsi="Arial"/>
          <w:sz w:val="16"/>
          <w:szCs w:val="16"/>
          <w:b w:val="1"/>
          <w:bCs w:val="1"/>
          <w:color w:val="auto"/>
        </w:rPr>
        <w:t>Sinking Fund</w:t>
      </w:r>
      <w:r>
        <w:rPr>
          <w:rFonts w:ascii="Arial" w:cs="Arial" w:eastAsia="Arial" w:hAnsi="Arial"/>
          <w:sz w:val="16"/>
          <w:szCs w:val="16"/>
          <w:color w:val="auto"/>
        </w:rPr>
        <w:t>.</w:t>
      </w:r>
    </w:p>
    <w:p>
      <w:pPr>
        <w:spacing w:after="0" w:line="121"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22" w:name="page123"/>
    <w:bookmarkEnd w:id="122"/>
    <w:p>
      <w:pPr>
        <w:ind w:right="1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minimum amount of any sinking fund payment provided for by the terms of Securities of any series is herein referred to as a “</w:t>
      </w:r>
      <w:r>
        <w:rPr>
          <w:rFonts w:ascii="Arial" w:cs="Arial" w:eastAsia="Arial" w:hAnsi="Arial"/>
          <w:sz w:val="18"/>
          <w:szCs w:val="18"/>
          <w:b w:val="1"/>
          <w:bCs w:val="1"/>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sinking fund payment,</w:t>
      </w:r>
      <w:r>
        <w:rPr>
          <w:rFonts w:ascii="Arial" w:cs="Arial" w:eastAsia="Arial" w:hAnsi="Arial"/>
          <w:sz w:val="18"/>
          <w:szCs w:val="18"/>
          <w:color w:val="auto"/>
        </w:rPr>
        <w:t>” and any payment in excess of such minimum amount provided for by the terms of Securities of any series is herein referred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an “</w:t>
      </w:r>
      <w:r>
        <w:rPr>
          <w:rFonts w:ascii="Arial" w:cs="Arial" w:eastAsia="Arial" w:hAnsi="Arial"/>
          <w:sz w:val="18"/>
          <w:szCs w:val="18"/>
          <w:b w:val="1"/>
          <w:bCs w:val="1"/>
          <w:i w:val="1"/>
          <w:iCs w:val="1"/>
          <w:color w:val="auto"/>
        </w:rPr>
        <w:t>optional sinking fund payment</w:t>
      </w:r>
      <w:r>
        <w:rPr>
          <w:rFonts w:ascii="Arial" w:cs="Arial" w:eastAsia="Arial" w:hAnsi="Arial"/>
          <w:sz w:val="18"/>
          <w:szCs w:val="18"/>
          <w:color w:val="auto"/>
        </w:rPr>
        <w: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29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3.05</w:t>
      </w:r>
      <w:r>
        <w:rPr>
          <w:sz w:val="20"/>
          <w:szCs w:val="20"/>
          <w:color w:val="auto"/>
        </w:rPr>
        <w:tab/>
      </w:r>
      <w:r>
        <w:rPr>
          <w:rFonts w:ascii="Arial" w:cs="Arial" w:eastAsia="Arial" w:hAnsi="Arial"/>
          <w:sz w:val="16"/>
          <w:szCs w:val="16"/>
          <w:b w:val="1"/>
          <w:bCs w:val="1"/>
          <w:color w:val="auto"/>
        </w:rPr>
        <w:t>Satisfaction of Sinking Fund Payments with Securities</w:t>
      </w:r>
      <w:r>
        <w:rPr>
          <w:rFonts w:ascii="Arial" w:cs="Arial" w:eastAsia="Arial" w:hAnsi="Arial"/>
          <w:sz w:val="16"/>
          <w:szCs w:val="16"/>
          <w:color w:val="auto"/>
        </w:rPr>
        <w:t>.</w:t>
      </w:r>
    </w:p>
    <w:p>
      <w:pPr>
        <w:spacing w:after="0" w:line="12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26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3.06</w:t>
      </w:r>
      <w:r>
        <w:rPr>
          <w:sz w:val="20"/>
          <w:szCs w:val="20"/>
          <w:color w:val="auto"/>
        </w:rPr>
        <w:tab/>
      </w:r>
      <w:r>
        <w:rPr>
          <w:rFonts w:ascii="Arial" w:cs="Arial" w:eastAsia="Arial" w:hAnsi="Arial"/>
          <w:sz w:val="16"/>
          <w:szCs w:val="16"/>
          <w:b w:val="1"/>
          <w:bCs w:val="1"/>
          <w:color w:val="auto"/>
        </w:rPr>
        <w:t>Redemption of Securities for Sinking Fund</w:t>
      </w:r>
      <w:r>
        <w:rPr>
          <w:rFonts w:ascii="Arial" w:cs="Arial" w:eastAsia="Arial" w:hAnsi="Arial"/>
          <w:sz w:val="16"/>
          <w:szCs w:val="16"/>
          <w:color w:val="auto"/>
        </w:rPr>
        <w:t>.</w:t>
      </w:r>
    </w:p>
    <w:p>
      <w:pPr>
        <w:spacing w:after="0" w:line="12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6"/>
          <w:szCs w:val="16"/>
          <w:b w:val="1"/>
          <w:bCs w:val="1"/>
          <w:color w:val="auto"/>
        </w:rPr>
        <w:t>Payment of Principal, Premium and Interest</w:t>
      </w:r>
      <w:r>
        <w:rPr>
          <w:rFonts w:ascii="Arial" w:cs="Arial" w:eastAsia="Arial" w:hAnsi="Arial"/>
          <w:sz w:val="16"/>
          <w:szCs w:val="16"/>
          <w:color w:val="auto"/>
        </w:rPr>
        <w:t>.</w:t>
      </w:r>
    </w:p>
    <w:p>
      <w:pPr>
        <w:spacing w:after="0" w:line="121"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23" w:name="page124"/>
    <w:bookmarkEnd w:id="123"/>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4.02</w:t>
      </w:r>
      <w:r>
        <w:rPr>
          <w:sz w:val="20"/>
          <w:szCs w:val="20"/>
          <w:color w:val="auto"/>
        </w:rPr>
        <w:tab/>
      </w:r>
      <w:r>
        <w:rPr>
          <w:rFonts w:ascii="Arial" w:cs="Arial" w:eastAsia="Arial" w:hAnsi="Arial"/>
          <w:sz w:val="16"/>
          <w:szCs w:val="16"/>
          <w:b w:val="1"/>
          <w:bCs w:val="1"/>
          <w:color w:val="auto"/>
        </w:rPr>
        <w:t>Maintenance of Office or Agency</w:t>
      </w:r>
      <w:r>
        <w:rPr>
          <w:rFonts w:ascii="Arial" w:cs="Arial" w:eastAsia="Arial" w:hAnsi="Arial"/>
          <w:sz w:val="16"/>
          <w:szCs w:val="16"/>
          <w:color w:val="auto"/>
        </w:rPr>
        <w:t>.</w:t>
      </w:r>
    </w:p>
    <w:p>
      <w:pPr>
        <w:spacing w:after="0" w:line="121"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270"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4.03</w:t>
      </w:r>
      <w:r>
        <w:rPr>
          <w:sz w:val="20"/>
          <w:szCs w:val="20"/>
          <w:color w:val="auto"/>
        </w:rPr>
        <w:tab/>
      </w:r>
      <w:r>
        <w:rPr>
          <w:rFonts w:ascii="Arial" w:cs="Arial" w:eastAsia="Arial" w:hAnsi="Arial"/>
          <w:sz w:val="15"/>
          <w:szCs w:val="15"/>
          <w:b w:val="1"/>
          <w:bCs w:val="1"/>
          <w:color w:val="auto"/>
        </w:rPr>
        <w:t>Paying Agents</w:t>
      </w:r>
      <w:r>
        <w:rPr>
          <w:rFonts w:ascii="Arial" w:cs="Arial" w:eastAsia="Arial" w:hAnsi="Arial"/>
          <w:sz w:val="15"/>
          <w:szCs w:val="15"/>
          <w:color w:val="auto"/>
        </w:rPr>
        <w:t>.</w:t>
      </w:r>
    </w:p>
    <w:p>
      <w:pPr>
        <w:spacing w:after="0" w:line="121" w:lineRule="exact"/>
        <w:rPr>
          <w:sz w:val="20"/>
          <w:szCs w:val="20"/>
          <w:color w:val="auto"/>
        </w:rPr>
      </w:pPr>
    </w:p>
    <w:p>
      <w:pPr>
        <w:ind w:right="220" w:firstLine="987"/>
        <w:spacing w:after="0" w:line="263" w:lineRule="auto"/>
        <w:tabs>
          <w:tab w:leader="none" w:pos="1381"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3" w:lineRule="exact"/>
        <w:rPr>
          <w:rFonts w:ascii="Arial" w:cs="Arial" w:eastAsia="Arial" w:hAnsi="Arial"/>
          <w:sz w:val="18"/>
          <w:szCs w:val="18"/>
          <w:b w:val="1"/>
          <w:bCs w:val="1"/>
          <w:color w:val="auto"/>
        </w:rPr>
      </w:pPr>
    </w:p>
    <w:p>
      <w:pPr>
        <w:ind w:firstLine="1428"/>
        <w:spacing w:after="0" w:line="263" w:lineRule="auto"/>
        <w:tabs>
          <w:tab w:leader="none" w:pos="1822" w:val="left"/>
        </w:tabs>
        <w:numPr>
          <w:ilvl w:val="1"/>
          <w:numId w:val="120"/>
        </w:numPr>
        <w:rPr>
          <w:rFonts w:ascii="Arial" w:cs="Arial" w:eastAsia="Arial" w:hAnsi="Arial"/>
          <w:sz w:val="18"/>
          <w:szCs w:val="18"/>
          <w:b w:val="1"/>
          <w:bCs w:val="1"/>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83" w:lineRule="exact"/>
        <w:rPr>
          <w:rFonts w:ascii="Arial" w:cs="Arial" w:eastAsia="Arial" w:hAnsi="Arial"/>
          <w:sz w:val="18"/>
          <w:szCs w:val="18"/>
          <w:b w:val="1"/>
          <w:bCs w:val="1"/>
          <w:color w:val="auto"/>
        </w:rPr>
      </w:pPr>
    </w:p>
    <w:p>
      <w:pPr>
        <w:ind w:right="440" w:firstLine="1428"/>
        <w:spacing w:after="0" w:line="308" w:lineRule="auto"/>
        <w:tabs>
          <w:tab w:leader="none" w:pos="1822" w:val="left"/>
        </w:tabs>
        <w:numPr>
          <w:ilvl w:val="1"/>
          <w:numId w:val="120"/>
        </w:numPr>
        <w:rPr>
          <w:rFonts w:ascii="Arial" w:cs="Arial" w:eastAsia="Arial" w:hAnsi="Arial"/>
          <w:sz w:val="17"/>
          <w:szCs w:val="17"/>
          <w:b w:val="1"/>
          <w:bCs w:val="1"/>
          <w:color w:val="auto"/>
        </w:rPr>
      </w:pPr>
      <w:r>
        <w:rPr>
          <w:rFonts w:ascii="Arial" w:cs="Arial" w:eastAsia="Arial" w:hAnsi="Arial"/>
          <w:sz w:val="17"/>
          <w:szCs w:val="17"/>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46" w:lineRule="exact"/>
        <w:rPr>
          <w:rFonts w:ascii="Arial" w:cs="Arial" w:eastAsia="Arial" w:hAnsi="Arial"/>
          <w:sz w:val="17"/>
          <w:szCs w:val="17"/>
          <w:b w:val="1"/>
          <w:bCs w:val="1"/>
          <w:color w:val="auto"/>
        </w:rPr>
      </w:pPr>
    </w:p>
    <w:p>
      <w:pPr>
        <w:ind w:right="440" w:firstLine="1428"/>
        <w:spacing w:after="0" w:line="277" w:lineRule="auto"/>
        <w:tabs>
          <w:tab w:leader="none" w:pos="1822" w:val="left"/>
        </w:tabs>
        <w:numPr>
          <w:ilvl w:val="1"/>
          <w:numId w:val="120"/>
        </w:numPr>
        <w:rPr>
          <w:rFonts w:ascii="Arial" w:cs="Arial" w:eastAsia="Arial" w:hAnsi="Arial"/>
          <w:sz w:val="18"/>
          <w:szCs w:val="18"/>
          <w:b w:val="1"/>
          <w:bCs w:val="1"/>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70" w:lineRule="exact"/>
        <w:rPr>
          <w:rFonts w:ascii="Arial" w:cs="Arial" w:eastAsia="Arial" w:hAnsi="Arial"/>
          <w:sz w:val="18"/>
          <w:szCs w:val="18"/>
          <w:b w:val="1"/>
          <w:bCs w:val="1"/>
          <w:color w:val="auto"/>
        </w:rPr>
      </w:pPr>
    </w:p>
    <w:p>
      <w:pPr>
        <w:ind w:left="1820" w:hanging="392"/>
        <w:spacing w:after="0"/>
        <w:tabs>
          <w:tab w:leader="none" w:pos="1820" w:val="left"/>
        </w:tabs>
        <w:numPr>
          <w:ilvl w:val="1"/>
          <w:numId w:val="120"/>
        </w:numPr>
        <w:rPr>
          <w:rFonts w:ascii="Arial" w:cs="Arial" w:eastAsia="Arial" w:hAnsi="Arial"/>
          <w:sz w:val="18"/>
          <w:szCs w:val="18"/>
          <w:b w:val="1"/>
          <w:bCs w:val="1"/>
          <w:color w:val="auto"/>
        </w:rPr>
      </w:pPr>
      <w:r>
        <w:rPr>
          <w:rFonts w:ascii="Arial" w:cs="Arial" w:eastAsia="Arial" w:hAnsi="Arial"/>
          <w:sz w:val="18"/>
          <w:szCs w:val="18"/>
          <w:color w:val="auto"/>
        </w:rPr>
        <w:t>that it will perform all other duties of paying agent as set forth in this Indenture.</w:t>
      </w:r>
    </w:p>
    <w:p>
      <w:pPr>
        <w:spacing w:after="0" w:line="225" w:lineRule="exact"/>
        <w:rPr>
          <w:rFonts w:ascii="Arial" w:cs="Arial" w:eastAsia="Arial" w:hAnsi="Arial"/>
          <w:sz w:val="18"/>
          <w:szCs w:val="18"/>
          <w:b w:val="1"/>
          <w:bCs w:val="1"/>
          <w:color w:val="auto"/>
        </w:rPr>
      </w:pPr>
    </w:p>
    <w:p>
      <w:pPr>
        <w:ind w:right="20" w:firstLine="987"/>
        <w:spacing w:after="0" w:line="290" w:lineRule="auto"/>
        <w:tabs>
          <w:tab w:leader="none" w:pos="1391"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65" w:lineRule="exact"/>
        <w:rPr>
          <w:rFonts w:ascii="Arial" w:cs="Arial" w:eastAsia="Arial" w:hAnsi="Arial"/>
          <w:sz w:val="16"/>
          <w:szCs w:val="16"/>
          <w:b w:val="1"/>
          <w:bCs w:val="1"/>
          <w:color w:val="auto"/>
        </w:rPr>
      </w:pPr>
    </w:p>
    <w:p>
      <w:pPr>
        <w:ind w:firstLine="987"/>
        <w:spacing w:after="0" w:line="255" w:lineRule="auto"/>
        <w:tabs>
          <w:tab w:leader="none" w:pos="1371"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124" w:name="page125"/>
    <w:bookmarkEnd w:id="124"/>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4.04</w:t>
      </w:r>
      <w:r>
        <w:rPr>
          <w:sz w:val="20"/>
          <w:szCs w:val="20"/>
          <w:color w:val="auto"/>
        </w:rPr>
        <w:tab/>
      </w:r>
      <w:r>
        <w:rPr>
          <w:rFonts w:ascii="Arial" w:cs="Arial" w:eastAsia="Arial" w:hAnsi="Arial"/>
          <w:sz w:val="16"/>
          <w:szCs w:val="16"/>
          <w:b w:val="1"/>
          <w:bCs w:val="1"/>
          <w:color w:val="auto"/>
        </w:rPr>
        <w:t>Appointment to Fill Vacancy in Office of Trustee</w:t>
      </w:r>
      <w:r>
        <w:rPr>
          <w:rFonts w:ascii="Arial" w:cs="Arial" w:eastAsia="Arial" w:hAnsi="Arial"/>
          <w:sz w:val="16"/>
          <w:szCs w:val="16"/>
          <w:color w:val="auto"/>
        </w:rPr>
        <w:t>.</w:t>
      </w:r>
    </w:p>
    <w:p>
      <w:pPr>
        <w:spacing w:after="0" w:line="12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SECURITYHOLDERS’ LISTS AND REPORTS BY THE COMPANY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TRUSTEE</w:t>
      </w:r>
    </w:p>
    <w:p>
      <w:pPr>
        <w:spacing w:after="0" w:line="20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6"/>
          <w:szCs w:val="16"/>
          <w:b w:val="1"/>
          <w:bCs w:val="1"/>
          <w:color w:val="auto"/>
        </w:rPr>
        <w:t>Company to Furnish Trustee Names and Addresses of Securityholders</w:t>
      </w:r>
      <w:r>
        <w:rPr>
          <w:rFonts w:ascii="Arial" w:cs="Arial" w:eastAsia="Arial" w:hAnsi="Arial"/>
          <w:sz w:val="16"/>
          <w:szCs w:val="16"/>
          <w:color w:val="auto"/>
        </w:rPr>
        <w:t>.</w:t>
      </w:r>
    </w:p>
    <w:p>
      <w:pPr>
        <w:spacing w:after="0" w:line="121"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either case, no such list need be furnished for any series for which the Trustee shall be the Security Registrar.</w:t>
      </w:r>
    </w:p>
    <w:p>
      <w:pPr>
        <w:spacing w:after="0" w:line="26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5.02</w:t>
      </w:r>
      <w:r>
        <w:rPr>
          <w:sz w:val="20"/>
          <w:szCs w:val="20"/>
          <w:color w:val="auto"/>
        </w:rPr>
        <w:tab/>
      </w:r>
      <w:r>
        <w:rPr>
          <w:rFonts w:ascii="Arial" w:cs="Arial" w:eastAsia="Arial" w:hAnsi="Arial"/>
          <w:sz w:val="16"/>
          <w:szCs w:val="16"/>
          <w:b w:val="1"/>
          <w:bCs w:val="1"/>
          <w:color w:val="auto"/>
        </w:rPr>
        <w:t>Preservation Of Information; Communications With Securityholders</w:t>
      </w:r>
      <w:r>
        <w:rPr>
          <w:rFonts w:ascii="Arial" w:cs="Arial" w:eastAsia="Arial" w:hAnsi="Arial"/>
          <w:sz w:val="16"/>
          <w:szCs w:val="16"/>
          <w:color w:val="auto"/>
        </w:rPr>
        <w:t>.</w:t>
      </w:r>
    </w:p>
    <w:p>
      <w:pPr>
        <w:spacing w:after="0" w:line="121" w:lineRule="exact"/>
        <w:rPr>
          <w:sz w:val="20"/>
          <w:szCs w:val="20"/>
          <w:color w:val="auto"/>
        </w:rPr>
      </w:pPr>
    </w:p>
    <w:p>
      <w:pPr>
        <w:ind w:right="400" w:firstLine="987"/>
        <w:spacing w:after="0" w:line="286" w:lineRule="auto"/>
        <w:tabs>
          <w:tab w:leader="none" w:pos="1378" w:val="left"/>
        </w:tabs>
        <w:numPr>
          <w:ilvl w:val="0"/>
          <w:numId w:val="121"/>
        </w:numPr>
        <w:rPr>
          <w:rFonts w:ascii="Arial" w:cs="Arial" w:eastAsia="Arial" w:hAnsi="Arial"/>
          <w:sz w:val="17"/>
          <w:szCs w:val="17"/>
          <w:b w:val="1"/>
          <w:bCs w:val="1"/>
          <w:color w:val="auto"/>
        </w:rPr>
      </w:pPr>
      <w:r>
        <w:rPr>
          <w:rFonts w:ascii="Arial" w:cs="Arial" w:eastAsia="Arial" w:hAnsi="Arial"/>
          <w:sz w:val="17"/>
          <w:szCs w:val="17"/>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65" w:lineRule="exact"/>
        <w:rPr>
          <w:rFonts w:ascii="Arial" w:cs="Arial" w:eastAsia="Arial" w:hAnsi="Arial"/>
          <w:sz w:val="17"/>
          <w:szCs w:val="17"/>
          <w:b w:val="1"/>
          <w:bCs w:val="1"/>
          <w:color w:val="auto"/>
        </w:rPr>
      </w:pPr>
    </w:p>
    <w:p>
      <w:pPr>
        <w:ind w:left="1380" w:hanging="393"/>
        <w:spacing w:after="0"/>
        <w:tabs>
          <w:tab w:leader="none" w:pos="138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225" w:lineRule="exact"/>
        <w:rPr>
          <w:rFonts w:ascii="Arial" w:cs="Arial" w:eastAsia="Arial" w:hAnsi="Arial"/>
          <w:sz w:val="18"/>
          <w:szCs w:val="18"/>
          <w:b w:val="1"/>
          <w:bCs w:val="1"/>
          <w:color w:val="auto"/>
        </w:rPr>
      </w:pPr>
    </w:p>
    <w:p>
      <w:pPr>
        <w:ind w:right="180" w:firstLine="987"/>
        <w:spacing w:after="0" w:line="286" w:lineRule="auto"/>
        <w:tabs>
          <w:tab w:leader="none" w:pos="1371" w:val="left"/>
        </w:tabs>
        <w:numPr>
          <w:ilvl w:val="0"/>
          <w:numId w:val="121"/>
        </w:numPr>
        <w:rPr>
          <w:rFonts w:ascii="Arial" w:cs="Arial" w:eastAsia="Arial" w:hAnsi="Arial"/>
          <w:sz w:val="17"/>
          <w:szCs w:val="17"/>
          <w:b w:val="1"/>
          <w:bCs w:val="1"/>
          <w:color w:val="auto"/>
        </w:rPr>
      </w:pPr>
      <w:r>
        <w:rPr>
          <w:rFonts w:ascii="Arial" w:cs="Arial" w:eastAsia="Arial" w:hAnsi="Arial"/>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269"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5.03</w:t>
      </w:r>
      <w:r>
        <w:rPr>
          <w:sz w:val="20"/>
          <w:szCs w:val="20"/>
          <w:color w:val="auto"/>
        </w:rPr>
        <w:tab/>
      </w:r>
      <w:r>
        <w:rPr>
          <w:rFonts w:ascii="Arial" w:cs="Arial" w:eastAsia="Arial" w:hAnsi="Arial"/>
          <w:sz w:val="16"/>
          <w:szCs w:val="16"/>
          <w:b w:val="1"/>
          <w:bCs w:val="1"/>
          <w:color w:val="auto"/>
        </w:rPr>
        <w:t>Reports by the Company</w:t>
      </w:r>
      <w:r>
        <w:rPr>
          <w:rFonts w:ascii="Arial" w:cs="Arial" w:eastAsia="Arial" w:hAnsi="Arial"/>
          <w:sz w:val="16"/>
          <w:szCs w:val="16"/>
          <w:color w:val="auto"/>
        </w:rPr>
        <w:t>.</w:t>
      </w:r>
    </w:p>
    <w:p>
      <w:pPr>
        <w:spacing w:after="0" w:line="121" w:lineRule="exact"/>
        <w:rPr>
          <w:sz w:val="20"/>
          <w:szCs w:val="20"/>
          <w:color w:val="auto"/>
        </w:rPr>
      </w:pPr>
    </w:p>
    <w:p>
      <w:pPr>
        <w:ind w:firstLine="987"/>
        <w:spacing w:after="0" w:line="269" w:lineRule="auto"/>
        <w:tabs>
          <w:tab w:leader="none" w:pos="1378" w:val="left"/>
        </w:tabs>
        <w:numPr>
          <w:ilvl w:val="0"/>
          <w:numId w:val="122"/>
        </w:numPr>
        <w:rPr>
          <w:rFonts w:ascii="Arial" w:cs="Arial" w:eastAsia="Arial" w:hAnsi="Arial"/>
          <w:sz w:val="17"/>
          <w:szCs w:val="17"/>
          <w:b w:val="1"/>
          <w:bCs w:val="1"/>
          <w:color w:val="auto"/>
        </w:rPr>
      </w:pPr>
      <w:r>
        <w:rPr>
          <w:rFonts w:ascii="Arial" w:cs="Arial" w:eastAsia="Arial" w:hAnsi="Arial"/>
          <w:sz w:val="17"/>
          <w:szCs w:val="17"/>
          <w:color w:val="auto"/>
        </w:rPr>
        <w:t xml:space="preserve">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the Company shall not be required to deliver to the Trustee any correspondence filed with the Commission or any materials for which the Company has sought and received confidential treatment by the Commission;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125" w:name="page126"/>
    <w:bookmarkEnd w:id="125"/>
    <w:p>
      <w:pPr>
        <w:ind w:left="-20" w:firstLine="987"/>
        <w:spacing w:after="0" w:line="272" w:lineRule="auto"/>
        <w:tabs>
          <w:tab w:leader="none" w:pos="1371" w:val="left"/>
        </w:tabs>
        <w:numPr>
          <w:ilvl w:val="0"/>
          <w:numId w:val="12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281" w:lineRule="exact"/>
        <w:rPr>
          <w:sz w:val="20"/>
          <w:szCs w:val="20"/>
          <w:color w:val="auto"/>
        </w:rPr>
      </w:pPr>
    </w:p>
    <w:p>
      <w:pPr>
        <w:ind w:left="420"/>
        <w:spacing w:after="0"/>
        <w:tabs>
          <w:tab w:leader="none" w:pos="1500" w:val="left"/>
        </w:tabs>
        <w:rPr>
          <w:sz w:val="20"/>
          <w:szCs w:val="20"/>
          <w:color w:val="auto"/>
        </w:rPr>
      </w:pPr>
      <w:r>
        <w:rPr>
          <w:rFonts w:ascii="Arial" w:cs="Arial" w:eastAsia="Arial" w:hAnsi="Arial"/>
          <w:sz w:val="18"/>
          <w:szCs w:val="18"/>
          <w:b w:val="1"/>
          <w:bCs w:val="1"/>
          <w:color w:val="auto"/>
        </w:rPr>
        <w:t>Section 5.04</w:t>
      </w:r>
      <w:r>
        <w:rPr>
          <w:sz w:val="20"/>
          <w:szCs w:val="20"/>
          <w:color w:val="auto"/>
        </w:rPr>
        <w:tab/>
      </w:r>
      <w:r>
        <w:rPr>
          <w:rFonts w:ascii="Arial" w:cs="Arial" w:eastAsia="Arial" w:hAnsi="Arial"/>
          <w:sz w:val="16"/>
          <w:szCs w:val="16"/>
          <w:b w:val="1"/>
          <w:bCs w:val="1"/>
          <w:color w:val="auto"/>
        </w:rPr>
        <w:t>Reports by the Trustee</w:t>
      </w:r>
      <w:r>
        <w:rPr>
          <w:rFonts w:ascii="Arial" w:cs="Arial" w:eastAsia="Arial" w:hAnsi="Arial"/>
          <w:sz w:val="16"/>
          <w:szCs w:val="16"/>
          <w:color w:val="auto"/>
        </w:rPr>
        <w:t>.</w:t>
      </w:r>
    </w:p>
    <w:p>
      <w:pPr>
        <w:spacing w:after="0" w:line="121" w:lineRule="exact"/>
        <w:rPr>
          <w:sz w:val="20"/>
          <w:szCs w:val="20"/>
          <w:color w:val="auto"/>
        </w:rPr>
      </w:pPr>
    </w:p>
    <w:p>
      <w:pPr>
        <w:ind w:left="-20" w:right="540" w:firstLine="987"/>
        <w:spacing w:after="0" w:line="277" w:lineRule="auto"/>
        <w:tabs>
          <w:tab w:leader="none" w:pos="1361"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170" w:lineRule="exact"/>
        <w:rPr>
          <w:rFonts w:ascii="Arial" w:cs="Arial" w:eastAsia="Arial" w:hAnsi="Arial"/>
          <w:sz w:val="18"/>
          <w:szCs w:val="18"/>
          <w:b w:val="1"/>
          <w:bCs w:val="1"/>
          <w:color w:val="auto"/>
        </w:rPr>
      </w:pPr>
    </w:p>
    <w:p>
      <w:pPr>
        <w:ind w:left="1360" w:hanging="393"/>
        <w:spacing w:after="0"/>
        <w:tabs>
          <w:tab w:leader="none" w:pos="136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The Trustee shall comply with Section 313(b) and 313(c) of the Trust Indenture Act.</w:t>
      </w:r>
    </w:p>
    <w:p>
      <w:pPr>
        <w:spacing w:after="0" w:line="225" w:lineRule="exact"/>
        <w:rPr>
          <w:rFonts w:ascii="Arial" w:cs="Arial" w:eastAsia="Arial" w:hAnsi="Arial"/>
          <w:sz w:val="18"/>
          <w:szCs w:val="18"/>
          <w:b w:val="1"/>
          <w:bCs w:val="1"/>
          <w:color w:val="auto"/>
        </w:rPr>
      </w:pPr>
    </w:p>
    <w:p>
      <w:pPr>
        <w:ind w:left="-20" w:right="100" w:firstLine="987"/>
        <w:spacing w:after="0" w:line="263" w:lineRule="auto"/>
        <w:tabs>
          <w:tab w:leader="none" w:pos="1341"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REMEDIES OF THE TRUSTEE AND SECURITYHOLDERS ON EVENT OF DEFAULT</w:t>
      </w:r>
    </w:p>
    <w:p>
      <w:pPr>
        <w:spacing w:after="0" w:line="225" w:lineRule="exact"/>
        <w:rPr>
          <w:sz w:val="20"/>
          <w:szCs w:val="20"/>
          <w:color w:val="auto"/>
        </w:rPr>
      </w:pPr>
    </w:p>
    <w:p>
      <w:pPr>
        <w:ind w:left="420"/>
        <w:spacing w:after="0"/>
        <w:tabs>
          <w:tab w:leader="none" w:pos="1500" w:val="left"/>
        </w:tabs>
        <w:rPr>
          <w:sz w:val="20"/>
          <w:szCs w:val="20"/>
          <w:color w:val="auto"/>
        </w:rPr>
      </w:pPr>
      <w:r>
        <w:rPr>
          <w:rFonts w:ascii="Arial" w:cs="Arial" w:eastAsia="Arial" w:hAnsi="Arial"/>
          <w:sz w:val="18"/>
          <w:szCs w:val="18"/>
          <w:b w:val="1"/>
          <w:bCs w:val="1"/>
          <w:color w:val="auto"/>
        </w:rPr>
        <w:t>Section 6.01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w:t>
      </w:r>
    </w:p>
    <w:p>
      <w:pPr>
        <w:spacing w:after="0" w:line="121" w:lineRule="exact"/>
        <w:rPr>
          <w:sz w:val="20"/>
          <w:szCs w:val="20"/>
          <w:color w:val="auto"/>
        </w:rPr>
      </w:pPr>
    </w:p>
    <w:p>
      <w:pPr>
        <w:ind w:left="-20" w:right="220" w:firstLine="987"/>
        <w:spacing w:after="0" w:line="277" w:lineRule="auto"/>
        <w:tabs>
          <w:tab w:leader="none" w:pos="1358"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Whenever used herein with respect to Securities of a particular series,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means any one or more of the following events that has occurred and is continuing:</w:t>
      </w:r>
    </w:p>
    <w:p>
      <w:pPr>
        <w:spacing w:after="0" w:line="170" w:lineRule="exact"/>
        <w:rPr>
          <w:rFonts w:ascii="Arial" w:cs="Arial" w:eastAsia="Arial" w:hAnsi="Arial"/>
          <w:sz w:val="18"/>
          <w:szCs w:val="18"/>
          <w:b w:val="1"/>
          <w:bCs w:val="1"/>
          <w:color w:val="auto"/>
        </w:rPr>
      </w:pPr>
    </w:p>
    <w:p>
      <w:pPr>
        <w:ind w:left="-20" w:right="20" w:firstLine="1428"/>
        <w:spacing w:after="0" w:line="259" w:lineRule="auto"/>
        <w:tabs>
          <w:tab w:leader="none" w:pos="1802" w:val="left"/>
        </w:tabs>
        <w:numPr>
          <w:ilvl w:val="1"/>
          <w:numId w:val="125"/>
        </w:numPr>
        <w:rPr>
          <w:rFonts w:ascii="Arial" w:cs="Arial" w:eastAsia="Arial" w:hAnsi="Arial"/>
          <w:sz w:val="18"/>
          <w:szCs w:val="18"/>
          <w:b w:val="1"/>
          <w:bCs w:val="1"/>
          <w:color w:val="auto"/>
        </w:rPr>
      </w:pPr>
      <w:r>
        <w:rPr>
          <w:rFonts w:ascii="Arial" w:cs="Arial" w:eastAsia="Arial" w:hAnsi="Arial"/>
          <w:sz w:val="18"/>
          <w:szCs w:val="18"/>
          <w:color w:val="auto"/>
        </w:rPr>
        <w:t xml:space="preserve">the Company defaults in the payment of any installment of interest upon any of the Securities of that series, as and when the same shall become due and payable, and such default continues for a period of 90 days; </w:t>
      </w:r>
      <w:r>
        <w:rPr>
          <w:rFonts w:ascii="Arial" w:cs="Arial" w:eastAsia="Arial" w:hAnsi="Arial"/>
          <w:sz w:val="18"/>
          <w:szCs w:val="18"/>
          <w:i w:val="1"/>
          <w:iCs w:val="1"/>
          <w:color w:val="auto"/>
        </w:rPr>
        <w:t>provided, however</w:t>
      </w:r>
      <w:r>
        <w:rPr>
          <w:rFonts w:ascii="Arial" w:cs="Arial" w:eastAsia="Arial" w:hAnsi="Arial"/>
          <w:sz w:val="18"/>
          <w:szCs w:val="18"/>
          <w:color w:val="auto"/>
        </w:rPr>
        <w:t>, that a valid extension of an interest payment period by the Company in accordance with the terms of any indenture supplemental hereto shall not constitute a default in the payment of interest for this purpose;</w:t>
      </w:r>
    </w:p>
    <w:p>
      <w:pPr>
        <w:spacing w:after="0" w:line="186" w:lineRule="exact"/>
        <w:rPr>
          <w:rFonts w:ascii="Arial" w:cs="Arial" w:eastAsia="Arial" w:hAnsi="Arial"/>
          <w:sz w:val="18"/>
          <w:szCs w:val="18"/>
          <w:b w:val="1"/>
          <w:bCs w:val="1"/>
          <w:color w:val="auto"/>
        </w:rPr>
      </w:pPr>
    </w:p>
    <w:p>
      <w:pPr>
        <w:jc w:val="both"/>
        <w:ind w:left="-20" w:right="340" w:firstLine="1428"/>
        <w:spacing w:after="0" w:line="301" w:lineRule="auto"/>
        <w:tabs>
          <w:tab w:leader="none" w:pos="1802" w:val="left"/>
        </w:tabs>
        <w:numPr>
          <w:ilvl w:val="1"/>
          <w:numId w:val="125"/>
        </w:numPr>
        <w:rPr>
          <w:rFonts w:ascii="Arial" w:cs="Arial" w:eastAsia="Arial" w:hAnsi="Arial"/>
          <w:sz w:val="16"/>
          <w:szCs w:val="16"/>
          <w:b w:val="1"/>
          <w:bCs w:val="1"/>
          <w:color w:val="auto"/>
        </w:rPr>
      </w:pPr>
      <w:r>
        <w:rPr>
          <w:rFonts w:ascii="Arial" w:cs="Arial" w:eastAsia="Arial" w:hAnsi="Arial"/>
          <w:sz w:val="16"/>
          <w:szCs w:val="16"/>
          <w:color w:val="auto"/>
        </w:rPr>
        <w:t xml:space="preserve">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 valid extension of the maturity of such Securities in accordance with the terms of any indenture supplemental hereto shall not constitute a default in the payment of principal or premium, if any;</w:t>
      </w:r>
    </w:p>
    <w:p>
      <w:pPr>
        <w:spacing w:after="0" w:line="157" w:lineRule="exact"/>
        <w:rPr>
          <w:rFonts w:ascii="Arial" w:cs="Arial" w:eastAsia="Arial" w:hAnsi="Arial"/>
          <w:sz w:val="16"/>
          <w:szCs w:val="16"/>
          <w:b w:val="1"/>
          <w:bCs w:val="1"/>
          <w:color w:val="auto"/>
        </w:rPr>
      </w:pPr>
    </w:p>
    <w:p>
      <w:pPr>
        <w:jc w:val="both"/>
        <w:ind w:left="-20" w:firstLine="1428"/>
        <w:spacing w:after="0" w:line="259" w:lineRule="auto"/>
        <w:tabs>
          <w:tab w:leader="none" w:pos="1802" w:val="left"/>
        </w:tabs>
        <w:numPr>
          <w:ilvl w:val="1"/>
          <w:numId w:val="125"/>
        </w:numPr>
        <w:rPr>
          <w:rFonts w:ascii="Arial" w:cs="Arial" w:eastAsia="Arial" w:hAnsi="Arial"/>
          <w:sz w:val="18"/>
          <w:szCs w:val="18"/>
          <w:b w:val="1"/>
          <w:bCs w:val="1"/>
          <w:color w:val="auto"/>
        </w:rPr>
      </w:pPr>
      <w:r>
        <w:rPr>
          <w:rFonts w:ascii="Arial" w:cs="Arial" w:eastAsia="Arial" w:hAnsi="Arial"/>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60" w:top="274" w:right="479" w:bottom="1440" w:gutter="0" w:footer="0" w:header="0"/>
        </w:sectPr>
      </w:pPr>
    </w:p>
    <w:bookmarkStart w:id="126" w:name="page127"/>
    <w:bookmarkEnd w:id="126"/>
    <w:p>
      <w:pPr>
        <w:ind w:left="4" w:right="4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remedied and stating that such notice is a “</w:t>
      </w:r>
      <w:r>
        <w:rPr>
          <w:rFonts w:ascii="Arial" w:cs="Arial" w:eastAsia="Arial" w:hAnsi="Arial"/>
          <w:sz w:val="18"/>
          <w:szCs w:val="18"/>
          <w:b w:val="1"/>
          <w:bCs w:val="1"/>
          <w:i w:val="1"/>
          <w:iCs w:val="1"/>
          <w:color w:val="auto"/>
        </w:rPr>
        <w:t>Notice of Default</w:t>
      </w:r>
      <w:r>
        <w:rPr>
          <w:rFonts w:ascii="Arial" w:cs="Arial" w:eastAsia="Arial" w:hAnsi="Arial"/>
          <w:sz w:val="18"/>
          <w:szCs w:val="18"/>
          <w:color w:val="auto"/>
        </w:rPr>
        <w:t>” hereunder, shall have been given to the Company by the Trustee, by registered or certified mail, or to the Company and the Trustee by the holders of at least 25% in principal amount of the Securities of that series at the time Outstanding;</w:t>
      </w:r>
    </w:p>
    <w:p>
      <w:pPr>
        <w:spacing w:after="0" w:line="184" w:lineRule="exact"/>
        <w:rPr>
          <w:sz w:val="20"/>
          <w:szCs w:val="20"/>
          <w:color w:val="auto"/>
        </w:rPr>
      </w:pPr>
    </w:p>
    <w:p>
      <w:pPr>
        <w:ind w:left="4" w:right="240" w:firstLine="1428"/>
        <w:spacing w:after="0" w:line="263" w:lineRule="auto"/>
        <w:tabs>
          <w:tab w:leader="none" w:pos="1826" w:val="left"/>
        </w:tabs>
        <w:numPr>
          <w:ilvl w:val="2"/>
          <w:numId w:val="126"/>
        </w:numPr>
        <w:rPr>
          <w:rFonts w:ascii="Arial" w:cs="Arial" w:eastAsia="Arial" w:hAnsi="Arial"/>
          <w:sz w:val="18"/>
          <w:szCs w:val="18"/>
          <w:b w:val="1"/>
          <w:bCs w:val="1"/>
          <w:color w:val="auto"/>
        </w:rPr>
      </w:pPr>
      <w:r>
        <w:rPr>
          <w:rFonts w:ascii="Arial" w:cs="Arial" w:eastAsia="Arial" w:hAnsi="Arial"/>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83" w:lineRule="exact"/>
        <w:rPr>
          <w:rFonts w:ascii="Arial" w:cs="Arial" w:eastAsia="Arial" w:hAnsi="Arial"/>
          <w:sz w:val="18"/>
          <w:szCs w:val="18"/>
          <w:b w:val="1"/>
          <w:bCs w:val="1"/>
          <w:color w:val="auto"/>
        </w:rPr>
      </w:pPr>
    </w:p>
    <w:p>
      <w:pPr>
        <w:ind w:left="4" w:right="200" w:firstLine="1428"/>
        <w:spacing w:after="0" w:line="263" w:lineRule="auto"/>
        <w:tabs>
          <w:tab w:leader="none" w:pos="1826" w:val="left"/>
        </w:tabs>
        <w:numPr>
          <w:ilvl w:val="2"/>
          <w:numId w:val="126"/>
        </w:numPr>
        <w:rPr>
          <w:rFonts w:ascii="Arial" w:cs="Arial" w:eastAsia="Arial" w:hAnsi="Arial"/>
          <w:sz w:val="18"/>
          <w:szCs w:val="18"/>
          <w:b w:val="1"/>
          <w:bCs w:val="1"/>
          <w:color w:val="auto"/>
        </w:rPr>
      </w:pPr>
      <w:r>
        <w:rPr>
          <w:rFonts w:ascii="Arial" w:cs="Arial" w:eastAsia="Arial" w:hAnsi="Arial"/>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83" w:lineRule="exact"/>
        <w:rPr>
          <w:rFonts w:ascii="Arial" w:cs="Arial" w:eastAsia="Arial" w:hAnsi="Arial"/>
          <w:sz w:val="18"/>
          <w:szCs w:val="18"/>
          <w:b w:val="1"/>
          <w:bCs w:val="1"/>
          <w:color w:val="auto"/>
        </w:rPr>
      </w:pPr>
    </w:p>
    <w:p>
      <w:pPr>
        <w:ind w:left="4" w:right="40" w:firstLine="987"/>
        <w:spacing w:after="0" w:line="285" w:lineRule="auto"/>
        <w:tabs>
          <w:tab w:leader="none" w:pos="1395" w:val="left"/>
        </w:tabs>
        <w:numPr>
          <w:ilvl w:val="1"/>
          <w:numId w:val="127"/>
        </w:numPr>
        <w:rPr>
          <w:rFonts w:ascii="Arial" w:cs="Arial" w:eastAsia="Arial" w:hAnsi="Arial"/>
          <w:sz w:val="16"/>
          <w:szCs w:val="16"/>
          <w:b w:val="1"/>
          <w:bCs w:val="1"/>
          <w:color w:val="auto"/>
        </w:rPr>
      </w:pPr>
      <w:r>
        <w:rPr>
          <w:rFonts w:ascii="Arial" w:cs="Arial" w:eastAsia="Arial" w:hAnsi="Arial"/>
          <w:sz w:val="16"/>
          <w:szCs w:val="16"/>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1" w:lineRule="exact"/>
        <w:rPr>
          <w:rFonts w:ascii="Arial" w:cs="Arial" w:eastAsia="Arial" w:hAnsi="Arial"/>
          <w:sz w:val="16"/>
          <w:szCs w:val="16"/>
          <w:b w:val="1"/>
          <w:bCs w:val="1"/>
          <w:color w:val="auto"/>
        </w:rPr>
      </w:pPr>
    </w:p>
    <w:p>
      <w:pPr>
        <w:ind w:left="4" w:right="40" w:hanging="4"/>
        <w:spacing w:after="0" w:line="260" w:lineRule="auto"/>
        <w:tabs>
          <w:tab w:leader="none" w:pos="25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5" w:lineRule="exact"/>
        <w:rPr>
          <w:rFonts w:ascii="Arial" w:cs="Arial" w:eastAsia="Arial" w:hAnsi="Arial"/>
          <w:sz w:val="18"/>
          <w:szCs w:val="18"/>
          <w:color w:val="auto"/>
        </w:rPr>
      </w:pPr>
    </w:p>
    <w:p>
      <w:pPr>
        <w:ind w:left="4" w:firstLine="987"/>
        <w:spacing w:after="0" w:line="288" w:lineRule="auto"/>
        <w:tabs>
          <w:tab w:leader="none" w:pos="1365" w:val="left"/>
        </w:tabs>
        <w:numPr>
          <w:ilvl w:val="1"/>
          <w:numId w:val="128"/>
        </w:numPr>
        <w:rPr>
          <w:rFonts w:ascii="Arial" w:cs="Arial" w:eastAsia="Arial" w:hAnsi="Arial"/>
          <w:sz w:val="16"/>
          <w:szCs w:val="16"/>
          <w:b w:val="1"/>
          <w:bCs w:val="1"/>
          <w:color w:val="auto"/>
        </w:rPr>
      </w:pPr>
      <w:r>
        <w:rPr>
          <w:rFonts w:ascii="Arial" w:cs="Arial" w:eastAsia="Arial" w:hAnsi="Arial"/>
          <w:sz w:val="16"/>
          <w:szCs w:val="16"/>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ind w:left="4" w:right="40" w:firstLine="987"/>
        <w:spacing w:after="0" w:line="257" w:lineRule="auto"/>
        <w:tabs>
          <w:tab w:leader="none" w:pos="1395"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292" w:lineRule="exact"/>
        <w:rPr>
          <w:sz w:val="20"/>
          <w:szCs w:val="20"/>
          <w:color w:val="auto"/>
        </w:rPr>
      </w:pPr>
    </w:p>
    <w:p>
      <w:pPr>
        <w:ind w:left="444"/>
        <w:spacing w:after="0"/>
        <w:tabs>
          <w:tab w:leader="none" w:pos="1524" w:val="left"/>
        </w:tabs>
        <w:rPr>
          <w:sz w:val="20"/>
          <w:szCs w:val="20"/>
          <w:color w:val="auto"/>
        </w:rPr>
      </w:pPr>
      <w:r>
        <w:rPr>
          <w:rFonts w:ascii="Arial" w:cs="Arial" w:eastAsia="Arial" w:hAnsi="Arial"/>
          <w:sz w:val="18"/>
          <w:szCs w:val="18"/>
          <w:b w:val="1"/>
          <w:bCs w:val="1"/>
          <w:color w:val="auto"/>
        </w:rPr>
        <w:t>Section 6.02</w:t>
      </w:r>
      <w:r>
        <w:rPr>
          <w:sz w:val="20"/>
          <w:szCs w:val="20"/>
          <w:color w:val="auto"/>
        </w:rPr>
        <w:tab/>
      </w:r>
      <w:r>
        <w:rPr>
          <w:rFonts w:ascii="Arial" w:cs="Arial" w:eastAsia="Arial" w:hAnsi="Arial"/>
          <w:sz w:val="16"/>
          <w:szCs w:val="16"/>
          <w:b w:val="1"/>
          <w:bCs w:val="1"/>
          <w:color w:val="auto"/>
        </w:rPr>
        <w:t>Collection of Indebtedness and Suits for Enforcement by Trustee</w:t>
      </w:r>
      <w:r>
        <w:rPr>
          <w:rFonts w:ascii="Arial" w:cs="Arial" w:eastAsia="Arial" w:hAnsi="Arial"/>
          <w:sz w:val="16"/>
          <w:szCs w:val="16"/>
          <w:color w:val="auto"/>
        </w:rPr>
        <w:t>.</w:t>
      </w:r>
    </w:p>
    <w:p>
      <w:pPr>
        <w:spacing w:after="0" w:line="121" w:lineRule="exact"/>
        <w:rPr>
          <w:sz w:val="20"/>
          <w:szCs w:val="20"/>
          <w:color w:val="auto"/>
        </w:rPr>
      </w:pPr>
    </w:p>
    <w:p>
      <w:pPr>
        <w:ind w:left="4" w:right="400" w:firstLine="987"/>
        <w:spacing w:after="0" w:line="277" w:lineRule="auto"/>
        <w:tabs>
          <w:tab w:leader="none" w:pos="1382"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The Company covenants that (i) in case it shall default in the payment of any installment of interest on any of the Securities of a series, or in any payment required by any sinking or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127" w:name="page128"/>
    <w:bookmarkEnd w:id="127"/>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65" w:lineRule="exact"/>
        <w:rPr>
          <w:sz w:val="20"/>
          <w:szCs w:val="20"/>
          <w:color w:val="auto"/>
        </w:rPr>
      </w:pPr>
    </w:p>
    <w:p>
      <w:pPr>
        <w:jc w:val="both"/>
        <w:ind w:firstLine="987"/>
        <w:spacing w:after="0" w:line="275" w:lineRule="auto"/>
        <w:tabs>
          <w:tab w:leader="none" w:pos="1391" w:val="left"/>
        </w:tabs>
        <w:numPr>
          <w:ilvl w:val="0"/>
          <w:numId w:val="131"/>
        </w:numPr>
        <w:rPr>
          <w:rFonts w:ascii="Arial" w:cs="Arial" w:eastAsia="Arial" w:hAnsi="Arial"/>
          <w:sz w:val="17"/>
          <w:szCs w:val="17"/>
          <w:b w:val="1"/>
          <w:bCs w:val="1"/>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76" w:lineRule="exact"/>
        <w:rPr>
          <w:rFonts w:ascii="Arial" w:cs="Arial" w:eastAsia="Arial" w:hAnsi="Arial"/>
          <w:sz w:val="17"/>
          <w:szCs w:val="17"/>
          <w:b w:val="1"/>
          <w:bCs w:val="1"/>
          <w:color w:val="auto"/>
        </w:rPr>
      </w:pPr>
    </w:p>
    <w:p>
      <w:pPr>
        <w:ind w:right="60" w:firstLine="987"/>
        <w:spacing w:after="0" w:line="269" w:lineRule="auto"/>
        <w:tabs>
          <w:tab w:leader="none" w:pos="1371" w:val="left"/>
        </w:tabs>
        <w:numPr>
          <w:ilvl w:val="0"/>
          <w:numId w:val="131"/>
        </w:numPr>
        <w:rPr>
          <w:rFonts w:ascii="Arial" w:cs="Arial" w:eastAsia="Arial" w:hAnsi="Arial"/>
          <w:sz w:val="17"/>
          <w:szCs w:val="17"/>
          <w:b w:val="1"/>
          <w:bCs w:val="1"/>
          <w:color w:val="auto"/>
        </w:rPr>
      </w:pPr>
      <w:r>
        <w:rPr>
          <w:rFonts w:ascii="Arial" w:cs="Arial" w:eastAsia="Arial" w:hAnsi="Arial"/>
          <w:sz w:val="17"/>
          <w:szCs w:val="17"/>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85" w:lineRule="exact"/>
        <w:rPr>
          <w:rFonts w:ascii="Arial" w:cs="Arial" w:eastAsia="Arial" w:hAnsi="Arial"/>
          <w:sz w:val="17"/>
          <w:szCs w:val="17"/>
          <w:b w:val="1"/>
          <w:bCs w:val="1"/>
          <w:color w:val="auto"/>
        </w:rPr>
      </w:pPr>
    </w:p>
    <w:p>
      <w:pPr>
        <w:ind w:right="40" w:firstLine="987"/>
        <w:spacing w:after="0" w:line="257" w:lineRule="auto"/>
        <w:tabs>
          <w:tab w:leader="none" w:pos="1381"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5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28" w:name="page129"/>
    <w:bookmarkEnd w:id="128"/>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6.03</w:t>
      </w:r>
      <w:r>
        <w:rPr>
          <w:sz w:val="20"/>
          <w:szCs w:val="20"/>
          <w:color w:val="auto"/>
        </w:rPr>
        <w:tab/>
      </w:r>
      <w:r>
        <w:rPr>
          <w:rFonts w:ascii="Arial" w:cs="Arial" w:eastAsia="Arial" w:hAnsi="Arial"/>
          <w:sz w:val="16"/>
          <w:szCs w:val="16"/>
          <w:b w:val="1"/>
          <w:bCs w:val="1"/>
          <w:color w:val="auto"/>
        </w:rPr>
        <w:t>Application of Moneys Collected</w:t>
      </w:r>
      <w:r>
        <w:rPr>
          <w:rFonts w:ascii="Arial" w:cs="Arial" w:eastAsia="Arial" w:hAnsi="Arial"/>
          <w:sz w:val="16"/>
          <w:szCs w:val="16"/>
          <w:color w:val="auto"/>
        </w:rPr>
        <w:t>.</w:t>
      </w:r>
    </w:p>
    <w:p>
      <w:pPr>
        <w:spacing w:after="0" w:line="12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To the payment of costs and expenses of collection and of all amounts payable to the Trustee under Section 7.06;</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To the payment of the remainder, if any, to the Company or any other Person lawfully entitled thereto.</w:t>
      </w:r>
    </w:p>
    <w:p>
      <w:pPr>
        <w:spacing w:after="0" w:line="329"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6.04</w:t>
      </w:r>
      <w:r>
        <w:rPr>
          <w:sz w:val="20"/>
          <w:szCs w:val="20"/>
          <w:color w:val="auto"/>
        </w:rPr>
        <w:tab/>
      </w:r>
      <w:r>
        <w:rPr>
          <w:rFonts w:ascii="Arial" w:cs="Arial" w:eastAsia="Arial" w:hAnsi="Arial"/>
          <w:sz w:val="16"/>
          <w:szCs w:val="16"/>
          <w:b w:val="1"/>
          <w:bCs w:val="1"/>
          <w:color w:val="auto"/>
        </w:rPr>
        <w:t>Limitation on Suits</w:t>
      </w:r>
      <w:r>
        <w:rPr>
          <w:rFonts w:ascii="Arial" w:cs="Arial" w:eastAsia="Arial" w:hAnsi="Arial"/>
          <w:sz w:val="16"/>
          <w:szCs w:val="16"/>
          <w:color w:val="auto"/>
        </w:rPr>
        <w:t>.</w:t>
      </w:r>
    </w:p>
    <w:p>
      <w:pPr>
        <w:spacing w:after="0" w:line="121"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66"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27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6.05</w:t>
      </w:r>
      <w:r>
        <w:rPr>
          <w:sz w:val="20"/>
          <w:szCs w:val="20"/>
          <w:color w:val="auto"/>
        </w:rPr>
        <w:tab/>
      </w:r>
      <w:r>
        <w:rPr>
          <w:rFonts w:ascii="Arial" w:cs="Arial" w:eastAsia="Arial" w:hAnsi="Arial"/>
          <w:sz w:val="16"/>
          <w:szCs w:val="16"/>
          <w:b w:val="1"/>
          <w:bCs w:val="1"/>
          <w:color w:val="auto"/>
        </w:rPr>
        <w:t>Rights and Remedies Cumulative; Delay or Omission Not Waiver</w:t>
      </w:r>
      <w:r>
        <w:rPr>
          <w:rFonts w:ascii="Arial" w:cs="Arial" w:eastAsia="Arial" w:hAnsi="Arial"/>
          <w:sz w:val="16"/>
          <w:szCs w:val="16"/>
          <w:color w:val="auto"/>
        </w:rPr>
        <w:t>.</w:t>
      </w:r>
    </w:p>
    <w:p>
      <w:pPr>
        <w:spacing w:after="0" w:line="121" w:lineRule="exact"/>
        <w:rPr>
          <w:sz w:val="20"/>
          <w:szCs w:val="20"/>
          <w:color w:val="auto"/>
        </w:rPr>
      </w:pPr>
    </w:p>
    <w:p>
      <w:pPr>
        <w:ind w:firstLine="987"/>
        <w:spacing w:after="0" w:line="259" w:lineRule="auto"/>
        <w:tabs>
          <w:tab w:leader="none" w:pos="1381"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129" w:name="page130"/>
    <w:bookmarkEnd w:id="129"/>
    <w:p>
      <w:pPr>
        <w:ind w:right="80" w:firstLine="987"/>
        <w:spacing w:after="0" w:line="301" w:lineRule="auto"/>
        <w:tabs>
          <w:tab w:leader="none" w:pos="1391"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261"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6.06</w:t>
      </w:r>
      <w:r>
        <w:rPr>
          <w:sz w:val="20"/>
          <w:szCs w:val="20"/>
          <w:color w:val="auto"/>
        </w:rPr>
        <w:tab/>
      </w:r>
      <w:r>
        <w:rPr>
          <w:rFonts w:ascii="Arial" w:cs="Arial" w:eastAsia="Arial" w:hAnsi="Arial"/>
          <w:sz w:val="16"/>
          <w:szCs w:val="16"/>
          <w:b w:val="1"/>
          <w:bCs w:val="1"/>
          <w:color w:val="auto"/>
        </w:rPr>
        <w:t>Control by Securityholders</w:t>
      </w:r>
      <w:r>
        <w:rPr>
          <w:rFonts w:ascii="Arial" w:cs="Arial" w:eastAsia="Arial" w:hAnsi="Arial"/>
          <w:sz w:val="16"/>
          <w:szCs w:val="16"/>
          <w:color w:val="auto"/>
        </w:rPr>
        <w:t>.</w:t>
      </w:r>
    </w:p>
    <w:p>
      <w:pPr>
        <w:spacing w:after="0" w:line="1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271"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6.07</w:t>
      </w:r>
      <w:r>
        <w:rPr>
          <w:sz w:val="20"/>
          <w:szCs w:val="20"/>
          <w:color w:val="auto"/>
        </w:rPr>
        <w:tab/>
      </w:r>
      <w:r>
        <w:rPr>
          <w:rFonts w:ascii="Arial" w:cs="Arial" w:eastAsia="Arial" w:hAnsi="Arial"/>
          <w:sz w:val="16"/>
          <w:szCs w:val="16"/>
          <w:b w:val="1"/>
          <w:bCs w:val="1"/>
          <w:color w:val="auto"/>
        </w:rPr>
        <w:t>Undertaking to Pay Costs</w:t>
      </w:r>
      <w:r>
        <w:rPr>
          <w:rFonts w:ascii="Arial" w:cs="Arial" w:eastAsia="Arial" w:hAnsi="Arial"/>
          <w:sz w:val="16"/>
          <w:szCs w:val="16"/>
          <w:color w:val="auto"/>
        </w:rPr>
        <w:t>.</w:t>
      </w:r>
    </w:p>
    <w:p>
      <w:pPr>
        <w:spacing w:after="0" w:line="12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7</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CONCERNING THE TRUSTEE</w:t>
      </w:r>
    </w:p>
    <w:p>
      <w:pPr>
        <w:spacing w:after="0" w:line="225" w:lineRule="exact"/>
        <w:rPr>
          <w:sz w:val="20"/>
          <w:szCs w:val="20"/>
          <w:color w:val="auto"/>
        </w:rPr>
      </w:pPr>
    </w:p>
    <w:p>
      <w:pPr>
        <w:ind w:left="420"/>
        <w:spacing w:after="0"/>
        <w:tabs>
          <w:tab w:leader="none" w:pos="150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6"/>
          <w:szCs w:val="16"/>
          <w:b w:val="1"/>
          <w:bCs w:val="1"/>
          <w:color w:val="auto"/>
        </w:rPr>
        <w:t>Certain Duties and Responsibilities of Trustee</w:t>
      </w:r>
      <w:r>
        <w:rPr>
          <w:rFonts w:ascii="Arial" w:cs="Arial" w:eastAsia="Arial" w:hAnsi="Arial"/>
          <w:sz w:val="16"/>
          <w:szCs w:val="16"/>
          <w:color w:val="auto"/>
        </w:rPr>
        <w:t>.</w:t>
      </w:r>
    </w:p>
    <w:p>
      <w:pPr>
        <w:spacing w:after="0" w:line="121" w:lineRule="exact"/>
        <w:rPr>
          <w:sz w:val="20"/>
          <w:szCs w:val="20"/>
          <w:color w:val="auto"/>
        </w:rPr>
      </w:pPr>
    </w:p>
    <w:p>
      <w:pPr>
        <w:ind w:left="-20" w:right="60" w:firstLine="987"/>
        <w:spacing w:after="0" w:line="293" w:lineRule="auto"/>
        <w:tabs>
          <w:tab w:leader="none" w:pos="1358" w:val="left"/>
        </w:tabs>
        <w:numPr>
          <w:ilvl w:val="0"/>
          <w:numId w:val="134"/>
        </w:numPr>
        <w:rPr>
          <w:rFonts w:ascii="Arial" w:cs="Arial" w:eastAsia="Arial" w:hAnsi="Arial"/>
          <w:sz w:val="16"/>
          <w:szCs w:val="16"/>
          <w:b w:val="1"/>
          <w:bCs w:val="1"/>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164" w:lineRule="exact"/>
        <w:rPr>
          <w:rFonts w:ascii="Arial" w:cs="Arial" w:eastAsia="Arial" w:hAnsi="Arial"/>
          <w:sz w:val="16"/>
          <w:szCs w:val="16"/>
          <w:b w:val="1"/>
          <w:bCs w:val="1"/>
          <w:color w:val="auto"/>
        </w:rPr>
      </w:pPr>
    </w:p>
    <w:p>
      <w:pPr>
        <w:ind w:left="-20" w:right="160" w:firstLine="987"/>
        <w:spacing w:after="0" w:line="277" w:lineRule="auto"/>
        <w:tabs>
          <w:tab w:leader="none" w:pos="1371"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sz w:val="20"/>
          <w:szCs w:val="20"/>
          <w:color w:val="auto"/>
        </w:rPr>
      </w:pPr>
    </w:p>
    <w:p>
      <w:pPr>
        <w:ind w:left="-20" w:right="400" w:firstLine="987"/>
        <w:spacing w:after="0" w:line="277" w:lineRule="auto"/>
        <w:tabs>
          <w:tab w:leader="none" w:pos="1321"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70" w:lineRule="exact"/>
        <w:rPr>
          <w:rFonts w:ascii="Arial" w:cs="Arial" w:eastAsia="Arial" w:hAnsi="Arial"/>
          <w:sz w:val="18"/>
          <w:szCs w:val="18"/>
          <w:b w:val="1"/>
          <w:bCs w:val="1"/>
          <w:color w:val="auto"/>
        </w:rPr>
      </w:pPr>
    </w:p>
    <w:p>
      <w:pPr>
        <w:ind w:left="-20" w:firstLine="1428"/>
        <w:spacing w:after="0" w:line="259" w:lineRule="auto"/>
        <w:tabs>
          <w:tab w:leader="none" w:pos="1842" w:val="left"/>
        </w:tabs>
        <w:numPr>
          <w:ilvl w:val="1"/>
          <w:numId w:val="135"/>
        </w:numPr>
        <w:rPr>
          <w:rFonts w:ascii="Arial" w:cs="Arial" w:eastAsia="Arial" w:hAnsi="Arial"/>
          <w:sz w:val="18"/>
          <w:szCs w:val="18"/>
          <w:b w:val="1"/>
          <w:bCs w:val="1"/>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86" w:lineRule="exact"/>
        <w:rPr>
          <w:rFonts w:ascii="Arial" w:cs="Arial" w:eastAsia="Arial" w:hAnsi="Arial"/>
          <w:sz w:val="18"/>
          <w:szCs w:val="18"/>
          <w:b w:val="1"/>
          <w:bCs w:val="1"/>
          <w:color w:val="auto"/>
        </w:rPr>
      </w:pPr>
    </w:p>
    <w:p>
      <w:pPr>
        <w:ind w:left="-20" w:right="20" w:firstLine="1428"/>
        <w:spacing w:after="0" w:line="257" w:lineRule="auto"/>
        <w:tabs>
          <w:tab w:leader="none" w:pos="1832" w:val="left"/>
        </w:tabs>
        <w:numPr>
          <w:ilvl w:val="1"/>
          <w:numId w:val="135"/>
        </w:numPr>
        <w:rPr>
          <w:rFonts w:ascii="Arial" w:cs="Arial" w:eastAsia="Arial" w:hAnsi="Arial"/>
          <w:sz w:val="18"/>
          <w:szCs w:val="18"/>
          <w:b w:val="1"/>
          <w:bCs w:val="1"/>
          <w:color w:val="auto"/>
        </w:rPr>
      </w:pPr>
      <w:r>
        <w:rPr>
          <w:rFonts w:ascii="Arial" w:cs="Arial" w:eastAsia="Arial" w:hAnsi="Arial"/>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87" w:lineRule="exact"/>
        <w:rPr>
          <w:rFonts w:ascii="Arial" w:cs="Arial" w:eastAsia="Arial" w:hAnsi="Arial"/>
          <w:sz w:val="18"/>
          <w:szCs w:val="18"/>
          <w:b w:val="1"/>
          <w:bCs w:val="1"/>
          <w:color w:val="auto"/>
        </w:rPr>
      </w:pPr>
    </w:p>
    <w:p>
      <w:pPr>
        <w:ind w:left="-20" w:right="240" w:firstLine="987"/>
        <w:spacing w:after="0" w:line="342" w:lineRule="auto"/>
        <w:tabs>
          <w:tab w:leader="none" w:pos="1371" w:val="left"/>
        </w:tabs>
        <w:numPr>
          <w:ilvl w:val="0"/>
          <w:numId w:val="135"/>
        </w:numPr>
        <w:rPr>
          <w:rFonts w:ascii="Arial" w:cs="Arial" w:eastAsia="Arial" w:hAnsi="Arial"/>
          <w:sz w:val="16"/>
          <w:szCs w:val="16"/>
          <w:b w:val="1"/>
          <w:bCs w:val="1"/>
          <w:color w:val="auto"/>
        </w:rPr>
      </w:pPr>
      <w:r>
        <w:rPr>
          <w:rFonts w:ascii="Arial" w:cs="Arial" w:eastAsia="Arial" w:hAnsi="Arial"/>
          <w:sz w:val="16"/>
          <w:szCs w:val="16"/>
          <w:color w:val="auto"/>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123" w:lineRule="exact"/>
        <w:rPr>
          <w:rFonts w:ascii="Arial" w:cs="Arial" w:eastAsia="Arial" w:hAnsi="Arial"/>
          <w:sz w:val="16"/>
          <w:szCs w:val="16"/>
          <w:b w:val="1"/>
          <w:bCs w:val="1"/>
          <w:color w:val="auto"/>
        </w:rPr>
      </w:pPr>
    </w:p>
    <w:p>
      <w:pPr>
        <w:ind w:left="-20" w:firstLine="987"/>
        <w:spacing w:after="0" w:line="259" w:lineRule="auto"/>
        <w:tabs>
          <w:tab w:leader="none" w:pos="1421"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86" w:lineRule="exact"/>
        <w:rPr>
          <w:rFonts w:ascii="Arial" w:cs="Arial" w:eastAsia="Arial" w:hAnsi="Arial"/>
          <w:sz w:val="18"/>
          <w:szCs w:val="18"/>
          <w:b w:val="1"/>
          <w:bCs w:val="1"/>
          <w:color w:val="auto"/>
        </w:rPr>
      </w:pPr>
    </w:p>
    <w:p>
      <w:pPr>
        <w:jc w:val="both"/>
        <w:ind w:left="-20" w:right="340" w:firstLine="987"/>
        <w:spacing w:after="0" w:line="259" w:lineRule="auto"/>
        <w:tabs>
          <w:tab w:leader="none" w:pos="1411"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6" w:lineRule="exact"/>
        <w:rPr>
          <w:rFonts w:ascii="Arial" w:cs="Arial" w:eastAsia="Arial" w:hAnsi="Arial"/>
          <w:sz w:val="18"/>
          <w:szCs w:val="18"/>
          <w:b w:val="1"/>
          <w:bCs w:val="1"/>
          <w:color w:val="auto"/>
        </w:rPr>
      </w:pPr>
    </w:p>
    <w:p>
      <w:pPr>
        <w:ind w:left="1360" w:hanging="393"/>
        <w:spacing w:after="0"/>
        <w:tabs>
          <w:tab w:leader="none" w:pos="1360" w:val="left"/>
        </w:tabs>
        <w:numPr>
          <w:ilvl w:val="0"/>
          <w:numId w:val="135"/>
        </w:numPr>
        <w:rPr>
          <w:rFonts w:ascii="Arial" w:cs="Arial" w:eastAsia="Arial" w:hAnsi="Arial"/>
          <w:sz w:val="17"/>
          <w:szCs w:val="17"/>
          <w:b w:val="1"/>
          <w:bCs w:val="1"/>
          <w:color w:val="auto"/>
        </w:rPr>
      </w:pPr>
      <w:r>
        <w:rPr>
          <w:rFonts w:ascii="Arial" w:cs="Arial" w:eastAsia="Arial" w:hAnsi="Arial"/>
          <w:sz w:val="17"/>
          <w:szCs w:val="17"/>
          <w:color w:val="auto"/>
        </w:rPr>
        <w:t>The Trustee shall not be required to give any bond or surety in respect of the performance of its powers or duties hereunder;</w:t>
      </w:r>
    </w:p>
    <w:p>
      <w:pPr>
        <w:spacing w:after="0" w:line="236" w:lineRule="exact"/>
        <w:rPr>
          <w:rFonts w:ascii="Arial" w:cs="Arial" w:eastAsia="Arial" w:hAnsi="Arial"/>
          <w:sz w:val="17"/>
          <w:szCs w:val="17"/>
          <w:b w:val="1"/>
          <w:bCs w:val="1"/>
          <w:color w:val="auto"/>
        </w:rPr>
      </w:pPr>
    </w:p>
    <w:p>
      <w:pPr>
        <w:ind w:left="1400" w:hanging="433"/>
        <w:spacing w:after="0"/>
        <w:tabs>
          <w:tab w:leader="none" w:pos="1400" w:val="left"/>
        </w:tabs>
        <w:numPr>
          <w:ilvl w:val="0"/>
          <w:numId w:val="135"/>
        </w:numPr>
        <w:rPr>
          <w:rFonts w:ascii="Arial" w:cs="Arial" w:eastAsia="Arial" w:hAnsi="Arial"/>
          <w:sz w:val="16"/>
          <w:szCs w:val="16"/>
          <w:b w:val="1"/>
          <w:bCs w:val="1"/>
          <w:color w:val="auto"/>
        </w:rPr>
      </w:pPr>
      <w:r>
        <w:rPr>
          <w:rFonts w:ascii="Arial" w:cs="Arial" w:eastAsia="Arial" w:hAnsi="Arial"/>
          <w:sz w:val="16"/>
          <w:szCs w:val="16"/>
          <w:color w:val="auto"/>
        </w:rPr>
        <w:t>The permissive right of the Trustee to do things enumerated in this Indenture shall not be construed as a duty of the Trustee; and</w:t>
      </w:r>
    </w:p>
    <w:p>
      <w:pPr>
        <w:spacing w:after="0" w:line="248" w:lineRule="exact"/>
        <w:rPr>
          <w:rFonts w:ascii="Arial" w:cs="Arial" w:eastAsia="Arial" w:hAnsi="Arial"/>
          <w:sz w:val="16"/>
          <w:szCs w:val="16"/>
          <w:b w:val="1"/>
          <w:bCs w:val="1"/>
          <w:color w:val="auto"/>
        </w:rPr>
      </w:pPr>
    </w:p>
    <w:p>
      <w:pPr>
        <w:ind w:left="-20" w:right="220" w:firstLine="987"/>
        <w:spacing w:after="0" w:line="277" w:lineRule="auto"/>
        <w:tabs>
          <w:tab w:leader="none" w:pos="1461"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No Trustee shall have any duty or responsibility for any act or omission of any other Trustee appointed with respect to a series of Securities 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60" w:top="270" w:right="479" w:bottom="1440" w:gutter="0" w:footer="0" w:header="0"/>
        </w:sectPr>
      </w:pPr>
    </w:p>
    <w:bookmarkStart w:id="131" w:name="page132"/>
    <w:bookmarkEnd w:id="131"/>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7.02</w:t>
      </w:r>
      <w:r>
        <w:rPr>
          <w:sz w:val="20"/>
          <w:szCs w:val="20"/>
          <w:color w:val="auto"/>
        </w:rPr>
        <w:tab/>
      </w:r>
      <w:r>
        <w:rPr>
          <w:rFonts w:ascii="Arial" w:cs="Arial" w:eastAsia="Arial" w:hAnsi="Arial"/>
          <w:sz w:val="16"/>
          <w:szCs w:val="16"/>
          <w:b w:val="1"/>
          <w:bCs w:val="1"/>
          <w:color w:val="auto"/>
        </w:rPr>
        <w:t>Certain Rights of Trustee</w:t>
      </w:r>
      <w:r>
        <w:rPr>
          <w:rFonts w:ascii="Arial" w:cs="Arial" w:eastAsia="Arial" w:hAnsi="Arial"/>
          <w:sz w:val="16"/>
          <w:szCs w:val="16"/>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otherwise provided in Section 7.01:</w:t>
      </w:r>
    </w:p>
    <w:p>
      <w:pPr>
        <w:spacing w:after="0" w:line="225" w:lineRule="exact"/>
        <w:rPr>
          <w:sz w:val="20"/>
          <w:szCs w:val="20"/>
          <w:color w:val="auto"/>
        </w:rPr>
      </w:pPr>
    </w:p>
    <w:p>
      <w:pPr>
        <w:ind w:right="180" w:firstLine="987"/>
        <w:spacing w:after="0" w:line="263" w:lineRule="auto"/>
        <w:tabs>
          <w:tab w:leader="none" w:pos="1378"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3" w:lineRule="exact"/>
        <w:rPr>
          <w:rFonts w:ascii="Arial" w:cs="Arial" w:eastAsia="Arial" w:hAnsi="Arial"/>
          <w:sz w:val="18"/>
          <w:szCs w:val="18"/>
          <w:b w:val="1"/>
          <w:bCs w:val="1"/>
          <w:color w:val="auto"/>
        </w:rPr>
      </w:pPr>
    </w:p>
    <w:p>
      <w:pPr>
        <w:ind w:right="140" w:firstLine="987"/>
        <w:spacing w:after="0" w:line="263" w:lineRule="auto"/>
        <w:tabs>
          <w:tab w:leader="none" w:pos="1381"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83" w:lineRule="exact"/>
        <w:rPr>
          <w:rFonts w:ascii="Arial" w:cs="Arial" w:eastAsia="Arial" w:hAnsi="Arial"/>
          <w:sz w:val="18"/>
          <w:szCs w:val="18"/>
          <w:b w:val="1"/>
          <w:bCs w:val="1"/>
          <w:color w:val="auto"/>
        </w:rPr>
      </w:pPr>
    </w:p>
    <w:p>
      <w:pPr>
        <w:ind w:right="380" w:firstLine="987"/>
        <w:spacing w:after="0" w:line="263" w:lineRule="auto"/>
        <w:tabs>
          <w:tab w:leader="none" w:pos="1368"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183" w:lineRule="exact"/>
        <w:rPr>
          <w:rFonts w:ascii="Arial" w:cs="Arial" w:eastAsia="Arial" w:hAnsi="Arial"/>
          <w:sz w:val="18"/>
          <w:szCs w:val="18"/>
          <w:b w:val="1"/>
          <w:bCs w:val="1"/>
          <w:color w:val="auto"/>
        </w:rPr>
      </w:pPr>
    </w:p>
    <w:p>
      <w:pPr>
        <w:ind w:right="20" w:firstLine="987"/>
        <w:spacing w:after="0" w:line="293" w:lineRule="auto"/>
        <w:tabs>
          <w:tab w:leader="none" w:pos="1388" w:val="left"/>
        </w:tabs>
        <w:numPr>
          <w:ilvl w:val="0"/>
          <w:numId w:val="136"/>
        </w:numPr>
        <w:rPr>
          <w:rFonts w:ascii="Arial" w:cs="Arial" w:eastAsia="Arial" w:hAnsi="Arial"/>
          <w:sz w:val="16"/>
          <w:szCs w:val="16"/>
          <w:b w:val="1"/>
          <w:bCs w:val="1"/>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64" w:lineRule="exact"/>
        <w:rPr>
          <w:rFonts w:ascii="Arial" w:cs="Arial" w:eastAsia="Arial" w:hAnsi="Arial"/>
          <w:sz w:val="16"/>
          <w:szCs w:val="16"/>
          <w:b w:val="1"/>
          <w:bCs w:val="1"/>
          <w:color w:val="auto"/>
        </w:rPr>
      </w:pPr>
    </w:p>
    <w:p>
      <w:pPr>
        <w:ind w:right="300" w:firstLine="987"/>
        <w:spacing w:after="0" w:line="277" w:lineRule="auto"/>
        <w:tabs>
          <w:tab w:leader="none" w:pos="1368"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70" w:lineRule="exact"/>
        <w:rPr>
          <w:rFonts w:ascii="Arial" w:cs="Arial" w:eastAsia="Arial" w:hAnsi="Arial"/>
          <w:sz w:val="18"/>
          <w:szCs w:val="18"/>
          <w:b w:val="1"/>
          <w:bCs w:val="1"/>
          <w:color w:val="auto"/>
        </w:rPr>
      </w:pPr>
    </w:p>
    <w:p>
      <w:pPr>
        <w:ind w:firstLine="987"/>
        <w:spacing w:after="0" w:line="290" w:lineRule="auto"/>
        <w:tabs>
          <w:tab w:leader="none" w:pos="1348" w:val="left"/>
        </w:tabs>
        <w:numPr>
          <w:ilvl w:val="0"/>
          <w:numId w:val="136"/>
        </w:numPr>
        <w:rPr>
          <w:rFonts w:ascii="Arial" w:cs="Arial" w:eastAsia="Arial" w:hAnsi="Arial"/>
          <w:sz w:val="16"/>
          <w:szCs w:val="16"/>
          <w:b w:val="1"/>
          <w:bCs w:val="1"/>
          <w:color w:val="auto"/>
        </w:rPr>
      </w:pPr>
      <w:r>
        <w:rPr>
          <w:rFonts w:ascii="Arial" w:cs="Arial" w:eastAsia="Arial" w:hAnsi="Arial"/>
          <w:sz w:val="16"/>
          <w:szCs w:val="16"/>
          <w:color w:val="auto"/>
        </w:rPr>
        <w:t xml:space="preserve">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165" w:lineRule="exact"/>
        <w:rPr>
          <w:rFonts w:ascii="Arial" w:cs="Arial" w:eastAsia="Arial" w:hAnsi="Arial"/>
          <w:sz w:val="16"/>
          <w:szCs w:val="16"/>
          <w:b w:val="1"/>
          <w:bCs w:val="1"/>
          <w:color w:val="auto"/>
        </w:rPr>
      </w:pPr>
    </w:p>
    <w:p>
      <w:pPr>
        <w:ind w:right="300" w:firstLine="987"/>
        <w:spacing w:after="0" w:line="263" w:lineRule="auto"/>
        <w:tabs>
          <w:tab w:leader="none" w:pos="1378"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3" w:lineRule="exact"/>
        <w:rPr>
          <w:rFonts w:ascii="Arial" w:cs="Arial" w:eastAsia="Arial" w:hAnsi="Arial"/>
          <w:sz w:val="18"/>
          <w:szCs w:val="18"/>
          <w:b w:val="1"/>
          <w:bCs w:val="1"/>
          <w:color w:val="auto"/>
        </w:rPr>
      </w:pPr>
    </w:p>
    <w:p>
      <w:pPr>
        <w:ind w:right="200" w:firstLine="987"/>
        <w:spacing w:after="0" w:line="275" w:lineRule="auto"/>
        <w:tabs>
          <w:tab w:leader="none" w:pos="1391" w:val="left"/>
        </w:tabs>
        <w:numPr>
          <w:ilvl w:val="0"/>
          <w:numId w:val="136"/>
        </w:numPr>
        <w:rPr>
          <w:rFonts w:ascii="Arial" w:cs="Arial" w:eastAsia="Arial" w:hAnsi="Arial"/>
          <w:sz w:val="17"/>
          <w:szCs w:val="17"/>
          <w:b w:val="1"/>
          <w:bCs w:val="1"/>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132" w:name="page133"/>
    <w:bookmarkEnd w:id="132"/>
    <w:p>
      <w:pPr>
        <w:ind w:right="260" w:firstLine="987"/>
        <w:spacing w:after="0" w:line="263" w:lineRule="auto"/>
        <w:tabs>
          <w:tab w:leader="none" w:pos="1341"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83" w:lineRule="exact"/>
        <w:rPr>
          <w:rFonts w:ascii="Arial" w:cs="Arial" w:eastAsia="Arial" w:hAnsi="Arial"/>
          <w:sz w:val="18"/>
          <w:szCs w:val="18"/>
          <w:b w:val="1"/>
          <w:bCs w:val="1"/>
          <w:color w:val="auto"/>
        </w:rPr>
      </w:pPr>
    </w:p>
    <w:p>
      <w:pPr>
        <w:ind w:firstLine="987"/>
        <w:spacing w:after="0" w:line="288" w:lineRule="auto"/>
        <w:tabs>
          <w:tab w:leader="none" w:pos="1348" w:val="left"/>
        </w:tabs>
        <w:numPr>
          <w:ilvl w:val="0"/>
          <w:numId w:val="137"/>
        </w:numPr>
        <w:rPr>
          <w:rFonts w:ascii="Arial" w:cs="Arial" w:eastAsia="Arial" w:hAnsi="Arial"/>
          <w:sz w:val="16"/>
          <w:szCs w:val="16"/>
          <w:b w:val="1"/>
          <w:bCs w:val="1"/>
          <w:color w:val="auto"/>
        </w:rPr>
      </w:pPr>
      <w:r>
        <w:rPr>
          <w:rFonts w:ascii="Arial" w:cs="Arial" w:eastAsia="Arial" w:hAnsi="Arial"/>
          <w:sz w:val="16"/>
          <w:szCs w:val="16"/>
          <w:color w:val="auto"/>
        </w:rPr>
        <w:t xml:space="preserve">The Trustee agrees to accept and act upon instructions or directions pursuant to this Indenture sent by unsecured e-mail, facsimile transmission or other similar unsecured electronic methods;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168" w:lineRule="exact"/>
        <w:rPr>
          <w:rFonts w:ascii="Arial" w:cs="Arial" w:eastAsia="Arial" w:hAnsi="Arial"/>
          <w:sz w:val="16"/>
          <w:szCs w:val="16"/>
          <w:b w:val="1"/>
          <w:bCs w:val="1"/>
          <w:color w:val="auto"/>
        </w:rPr>
      </w:pPr>
    </w:p>
    <w:p>
      <w:pPr>
        <w:ind w:right="540" w:firstLine="987"/>
        <w:spacing w:after="0" w:line="263" w:lineRule="auto"/>
        <w:tabs>
          <w:tab w:leader="none" w:pos="1388"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183" w:lineRule="exact"/>
        <w:rPr>
          <w:rFonts w:ascii="Arial" w:cs="Arial" w:eastAsia="Arial" w:hAnsi="Arial"/>
          <w:sz w:val="18"/>
          <w:szCs w:val="18"/>
          <w:b w:val="1"/>
          <w:bCs w:val="1"/>
          <w:color w:val="auto"/>
        </w:rPr>
      </w:pPr>
    </w:p>
    <w:p>
      <w:pPr>
        <w:ind w:right="220" w:firstLine="987"/>
        <w:spacing w:after="0" w:line="259" w:lineRule="auto"/>
        <w:tabs>
          <w:tab w:leader="none" w:pos="1338"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291"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7.03</w:t>
      </w:r>
      <w:r>
        <w:rPr>
          <w:sz w:val="20"/>
          <w:szCs w:val="20"/>
          <w:color w:val="auto"/>
        </w:rPr>
        <w:tab/>
      </w:r>
      <w:r>
        <w:rPr>
          <w:rFonts w:ascii="Arial" w:cs="Arial" w:eastAsia="Arial" w:hAnsi="Arial"/>
          <w:sz w:val="15"/>
          <w:szCs w:val="15"/>
          <w:b w:val="1"/>
          <w:bCs w:val="1"/>
          <w:color w:val="auto"/>
        </w:rPr>
        <w:t>Trustee Not Responsible for Recitals or Issuance or Securities</w:t>
      </w:r>
      <w:r>
        <w:rPr>
          <w:rFonts w:ascii="Arial" w:cs="Arial" w:eastAsia="Arial" w:hAnsi="Arial"/>
          <w:sz w:val="15"/>
          <w:szCs w:val="15"/>
          <w:color w:val="auto"/>
        </w:rPr>
        <w:t>.</w:t>
      </w:r>
    </w:p>
    <w:p>
      <w:pPr>
        <w:spacing w:after="0" w:line="121" w:lineRule="exact"/>
        <w:rPr>
          <w:sz w:val="20"/>
          <w:szCs w:val="20"/>
          <w:color w:val="auto"/>
        </w:rPr>
      </w:pPr>
    </w:p>
    <w:p>
      <w:pPr>
        <w:ind w:right="120" w:firstLine="987"/>
        <w:spacing w:after="0" w:line="259" w:lineRule="auto"/>
        <w:tabs>
          <w:tab w:leader="none" w:pos="1378"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86" w:lineRule="exact"/>
        <w:rPr>
          <w:rFonts w:ascii="Arial" w:cs="Arial" w:eastAsia="Arial" w:hAnsi="Arial"/>
          <w:sz w:val="18"/>
          <w:szCs w:val="18"/>
          <w:b w:val="1"/>
          <w:bCs w:val="1"/>
          <w:color w:val="auto"/>
        </w:rPr>
      </w:pPr>
    </w:p>
    <w:p>
      <w:pPr>
        <w:ind w:left="1380" w:hanging="393"/>
        <w:spacing w:after="0"/>
        <w:tabs>
          <w:tab w:leader="none" w:pos="1380"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25" w:lineRule="exact"/>
        <w:rPr>
          <w:rFonts w:ascii="Arial" w:cs="Arial" w:eastAsia="Arial" w:hAnsi="Arial"/>
          <w:sz w:val="18"/>
          <w:szCs w:val="18"/>
          <w:b w:val="1"/>
          <w:bCs w:val="1"/>
          <w:color w:val="auto"/>
        </w:rPr>
      </w:pPr>
    </w:p>
    <w:p>
      <w:pPr>
        <w:ind w:right="300" w:firstLine="987"/>
        <w:spacing w:after="0" w:line="286" w:lineRule="auto"/>
        <w:tabs>
          <w:tab w:leader="none" w:pos="1368" w:val="left"/>
        </w:tabs>
        <w:numPr>
          <w:ilvl w:val="0"/>
          <w:numId w:val="138"/>
        </w:numPr>
        <w:rPr>
          <w:rFonts w:ascii="Arial" w:cs="Arial" w:eastAsia="Arial" w:hAnsi="Arial"/>
          <w:sz w:val="17"/>
          <w:szCs w:val="17"/>
          <w:b w:val="1"/>
          <w:bCs w:val="1"/>
          <w:color w:val="auto"/>
        </w:rPr>
      </w:pPr>
      <w:r>
        <w:rPr>
          <w:rFonts w:ascii="Arial" w:cs="Arial" w:eastAsia="Arial" w:hAnsi="Arial"/>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33" w:name="page134"/>
    <w:bookmarkEnd w:id="133"/>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7.04</w:t>
      </w:r>
      <w:r>
        <w:rPr>
          <w:sz w:val="20"/>
          <w:szCs w:val="20"/>
          <w:color w:val="auto"/>
        </w:rPr>
        <w:tab/>
      </w:r>
      <w:r>
        <w:rPr>
          <w:rFonts w:ascii="Arial" w:cs="Arial" w:eastAsia="Arial" w:hAnsi="Arial"/>
          <w:sz w:val="16"/>
          <w:szCs w:val="16"/>
          <w:b w:val="1"/>
          <w:bCs w:val="1"/>
          <w:color w:val="auto"/>
        </w:rPr>
        <w:t>May Hold Securities</w:t>
      </w:r>
      <w:r>
        <w:rPr>
          <w:rFonts w:ascii="Arial" w:cs="Arial" w:eastAsia="Arial" w:hAnsi="Arial"/>
          <w:sz w:val="16"/>
          <w:szCs w:val="16"/>
          <w:color w:val="auto"/>
        </w:rPr>
        <w:t>.</w:t>
      </w:r>
    </w:p>
    <w:p>
      <w:pPr>
        <w:spacing w:after="0" w:line="12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274"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7.05</w:t>
      </w:r>
      <w:r>
        <w:rPr>
          <w:sz w:val="20"/>
          <w:szCs w:val="20"/>
          <w:color w:val="auto"/>
        </w:rPr>
        <w:tab/>
      </w:r>
      <w:r>
        <w:rPr>
          <w:rFonts w:ascii="Arial" w:cs="Arial" w:eastAsia="Arial" w:hAnsi="Arial"/>
          <w:sz w:val="16"/>
          <w:szCs w:val="16"/>
          <w:b w:val="1"/>
          <w:bCs w:val="1"/>
          <w:color w:val="auto"/>
        </w:rPr>
        <w:t>Moneys Held in Trust</w:t>
      </w:r>
      <w:r>
        <w:rPr>
          <w:rFonts w:ascii="Arial" w:cs="Arial" w:eastAsia="Arial" w:hAnsi="Arial"/>
          <w:sz w:val="16"/>
          <w:szCs w:val="16"/>
          <w:color w:val="auto"/>
        </w:rPr>
        <w:t>.</w:t>
      </w:r>
    </w:p>
    <w:p>
      <w:pPr>
        <w:spacing w:after="0" w:line="121"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253"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7.06</w:t>
      </w:r>
      <w:r>
        <w:rPr>
          <w:sz w:val="20"/>
          <w:szCs w:val="20"/>
          <w:color w:val="auto"/>
        </w:rPr>
        <w:tab/>
      </w:r>
      <w:r>
        <w:rPr>
          <w:rFonts w:ascii="Arial" w:cs="Arial" w:eastAsia="Arial" w:hAnsi="Arial"/>
          <w:sz w:val="16"/>
          <w:szCs w:val="16"/>
          <w:b w:val="1"/>
          <w:bCs w:val="1"/>
          <w:color w:val="auto"/>
        </w:rPr>
        <w:t>Compensation and Reimbursement</w:t>
      </w:r>
      <w:r>
        <w:rPr>
          <w:rFonts w:ascii="Arial" w:cs="Arial" w:eastAsia="Arial" w:hAnsi="Arial"/>
          <w:sz w:val="16"/>
          <w:szCs w:val="16"/>
          <w:color w:val="auto"/>
        </w:rPr>
        <w:t>.</w:t>
      </w:r>
    </w:p>
    <w:p>
      <w:pPr>
        <w:spacing w:after="0" w:line="121" w:lineRule="exact"/>
        <w:rPr>
          <w:sz w:val="20"/>
          <w:szCs w:val="20"/>
          <w:color w:val="auto"/>
        </w:rPr>
      </w:pPr>
    </w:p>
    <w:p>
      <w:pPr>
        <w:ind w:firstLine="987"/>
        <w:spacing w:after="0" w:line="279" w:lineRule="auto"/>
        <w:tabs>
          <w:tab w:leader="none" w:pos="1378" w:val="left"/>
        </w:tabs>
        <w:numPr>
          <w:ilvl w:val="0"/>
          <w:numId w:val="139"/>
        </w:numPr>
        <w:rPr>
          <w:rFonts w:ascii="Arial" w:cs="Arial" w:eastAsia="Arial" w:hAnsi="Arial"/>
          <w:sz w:val="17"/>
          <w:szCs w:val="17"/>
          <w:b w:val="1"/>
          <w:bCs w:val="1"/>
          <w:color w:val="auto"/>
        </w:rPr>
      </w:pPr>
      <w:r>
        <w:rPr>
          <w:rFonts w:ascii="Arial" w:cs="Arial" w:eastAsia="Arial" w:hAnsi="Arial"/>
          <w:sz w:val="17"/>
          <w:szCs w:val="17"/>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71" w:lineRule="exact"/>
        <w:rPr>
          <w:rFonts w:ascii="Arial" w:cs="Arial" w:eastAsia="Arial" w:hAnsi="Arial"/>
          <w:sz w:val="17"/>
          <w:szCs w:val="17"/>
          <w:b w:val="1"/>
          <w:bCs w:val="1"/>
          <w:color w:val="auto"/>
        </w:rPr>
      </w:pPr>
    </w:p>
    <w:p>
      <w:pPr>
        <w:ind w:right="40" w:firstLine="987"/>
        <w:spacing w:after="0" w:line="272" w:lineRule="auto"/>
        <w:tabs>
          <w:tab w:leader="none" w:pos="1388" w:val="left"/>
        </w:tabs>
        <w:numPr>
          <w:ilvl w:val="0"/>
          <w:numId w:val="139"/>
        </w:numPr>
        <w:rPr>
          <w:rFonts w:ascii="Arial" w:cs="Arial" w:eastAsia="Arial" w:hAnsi="Arial"/>
          <w:sz w:val="17"/>
          <w:szCs w:val="17"/>
          <w:b w:val="1"/>
          <w:bCs w:val="1"/>
          <w:color w:val="auto"/>
        </w:rPr>
      </w:pPr>
      <w:r>
        <w:rPr>
          <w:rFonts w:ascii="Arial" w:cs="Arial" w:eastAsia="Arial" w:hAnsi="Arial"/>
          <w:sz w:val="17"/>
          <w:szCs w:val="17"/>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77" w:lineRule="exact"/>
        <w:rPr>
          <w:rFonts w:ascii="Arial" w:cs="Arial" w:eastAsia="Arial" w:hAnsi="Arial"/>
          <w:sz w:val="17"/>
          <w:szCs w:val="17"/>
          <w:b w:val="1"/>
          <w:bCs w:val="1"/>
          <w:color w:val="auto"/>
        </w:rPr>
      </w:pPr>
    </w:p>
    <w:p>
      <w:pPr>
        <w:ind w:right="260" w:firstLine="987"/>
        <w:spacing w:after="0" w:line="277" w:lineRule="auto"/>
        <w:tabs>
          <w:tab w:leader="none" w:pos="1368"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or agent of the Trustee through negligence or bad faith.</w:t>
      </w:r>
    </w:p>
    <w:p>
      <w:pPr>
        <w:spacing w:after="0" w:line="170" w:lineRule="exact"/>
        <w:rPr>
          <w:rFonts w:ascii="Arial" w:cs="Arial" w:eastAsia="Arial" w:hAnsi="Arial"/>
          <w:sz w:val="18"/>
          <w:szCs w:val="18"/>
          <w:b w:val="1"/>
          <w:bCs w:val="1"/>
          <w:color w:val="auto"/>
        </w:rPr>
      </w:pPr>
    </w:p>
    <w:p>
      <w:pPr>
        <w:ind w:right="80" w:firstLine="987"/>
        <w:spacing w:after="0" w:line="296" w:lineRule="auto"/>
        <w:tabs>
          <w:tab w:leader="none" w:pos="1388" w:val="left"/>
        </w:tabs>
        <w:numPr>
          <w:ilvl w:val="0"/>
          <w:numId w:val="139"/>
        </w:numPr>
        <w:rPr>
          <w:rFonts w:ascii="Arial" w:cs="Arial" w:eastAsia="Arial" w:hAnsi="Arial"/>
          <w:sz w:val="16"/>
          <w:szCs w:val="16"/>
          <w:b w:val="1"/>
          <w:bCs w:val="1"/>
          <w:color w:val="auto"/>
        </w:rPr>
      </w:pPr>
      <w:r>
        <w:rPr>
          <w:rFonts w:ascii="Arial" w:cs="Arial" w:eastAsia="Arial" w:hAnsi="Arial"/>
          <w:sz w:val="16"/>
          <w:szCs w:val="16"/>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26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7.07</w:t>
      </w:r>
      <w:r>
        <w:rPr>
          <w:sz w:val="20"/>
          <w:szCs w:val="20"/>
          <w:color w:val="auto"/>
        </w:rPr>
        <w:tab/>
      </w:r>
      <w:r>
        <w:rPr>
          <w:rFonts w:ascii="Arial" w:cs="Arial" w:eastAsia="Arial" w:hAnsi="Arial"/>
          <w:sz w:val="16"/>
          <w:szCs w:val="16"/>
          <w:b w:val="1"/>
          <w:bCs w:val="1"/>
          <w:color w:val="auto"/>
        </w:rPr>
        <w:t>Reliance on Officer’s Certificate</w:t>
      </w:r>
      <w:r>
        <w:rPr>
          <w:rFonts w:ascii="Arial" w:cs="Arial" w:eastAsia="Arial" w:hAnsi="Arial"/>
          <w:sz w:val="16"/>
          <w:szCs w:val="16"/>
          <w:color w:val="auto"/>
        </w:rPr>
        <w:t>.</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0" w:right="499" w:bottom="1440" w:gutter="0" w:footer="0" w:header="0"/>
        </w:sectPr>
      </w:pPr>
    </w:p>
    <w:bookmarkStart w:id="134" w:name="page135"/>
    <w:bookmarkEnd w:id="134"/>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7.08</w:t>
      </w:r>
      <w:r>
        <w:rPr>
          <w:sz w:val="20"/>
          <w:szCs w:val="20"/>
          <w:color w:val="auto"/>
        </w:rPr>
        <w:tab/>
      </w:r>
      <w:r>
        <w:rPr>
          <w:rFonts w:ascii="Arial" w:cs="Arial" w:eastAsia="Arial" w:hAnsi="Arial"/>
          <w:sz w:val="16"/>
          <w:szCs w:val="16"/>
          <w:b w:val="1"/>
          <w:bCs w:val="1"/>
          <w:color w:val="auto"/>
        </w:rPr>
        <w:t>Disqualification; Conflicting Interests</w:t>
      </w:r>
      <w:r>
        <w:rPr>
          <w:rFonts w:ascii="Arial" w:cs="Arial" w:eastAsia="Arial" w:hAnsi="Arial"/>
          <w:sz w:val="16"/>
          <w:szCs w:val="16"/>
          <w:color w:val="auto"/>
        </w:rPr>
        <w:t>.</w:t>
      </w:r>
    </w:p>
    <w:p>
      <w:pPr>
        <w:spacing w:after="0" w:line="12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If the Trustee has or shall acquire any “</w:t>
      </w:r>
      <w:r>
        <w:rPr>
          <w:rFonts w:ascii="Arial" w:cs="Arial" w:eastAsia="Arial" w:hAnsi="Arial"/>
          <w:sz w:val="18"/>
          <w:szCs w:val="18"/>
          <w:b w:val="1"/>
          <w:bCs w:val="1"/>
          <w:i w:val="1"/>
          <w:iCs w:val="1"/>
          <w:color w:val="auto"/>
        </w:rPr>
        <w:t>conflicting interest</w:t>
      </w:r>
      <w:r>
        <w:rPr>
          <w:rFonts w:ascii="Arial" w:cs="Arial" w:eastAsia="Arial" w:hAnsi="Arial"/>
          <w:sz w:val="18"/>
          <w:szCs w:val="18"/>
          <w:color w:val="auto"/>
        </w:rPr>
        <w:t>” within the meaning of Section 310(b) of the Trust Indenture Act, the Trustee and the Company shall in all respects comply with the provisions of Section 310(b) of the Trust Indenture Act.</w:t>
      </w:r>
    </w:p>
    <w:p>
      <w:pPr>
        <w:spacing w:after="0" w:line="274"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7.09</w:t>
      </w:r>
      <w:r>
        <w:rPr>
          <w:sz w:val="20"/>
          <w:szCs w:val="20"/>
          <w:color w:val="auto"/>
        </w:rPr>
        <w:tab/>
      </w:r>
      <w:r>
        <w:rPr>
          <w:rFonts w:ascii="Arial" w:cs="Arial" w:eastAsia="Arial" w:hAnsi="Arial"/>
          <w:sz w:val="16"/>
          <w:szCs w:val="16"/>
          <w:b w:val="1"/>
          <w:bCs w:val="1"/>
          <w:color w:val="auto"/>
        </w:rPr>
        <w:t>Corporate Trustee Required; Eligibility</w:t>
      </w:r>
      <w:r>
        <w:rPr>
          <w:rFonts w:ascii="Arial" w:cs="Arial" w:eastAsia="Arial" w:hAnsi="Arial"/>
          <w:sz w:val="16"/>
          <w:szCs w:val="16"/>
          <w:color w:val="auto"/>
        </w:rPr>
        <w:t>.</w:t>
      </w:r>
    </w:p>
    <w:p>
      <w:pPr>
        <w:spacing w:after="0" w:line="121" w:lineRule="exact"/>
        <w:rPr>
          <w:sz w:val="20"/>
          <w:szCs w:val="20"/>
          <w:color w:val="auto"/>
        </w:rPr>
      </w:pPr>
    </w:p>
    <w:p>
      <w:pPr>
        <w:jc w:val="both"/>
        <w:ind w:right="60" w:firstLine="440"/>
        <w:spacing w:after="0" w:line="301"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57"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296"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5"/>
          <w:szCs w:val="15"/>
          <w:b w:val="1"/>
          <w:bCs w:val="1"/>
          <w:color w:val="auto"/>
        </w:rPr>
        <w:t>Resignation and Removal; Appointment of Successor</w:t>
      </w:r>
      <w:r>
        <w:rPr>
          <w:rFonts w:ascii="Arial" w:cs="Arial" w:eastAsia="Arial" w:hAnsi="Arial"/>
          <w:sz w:val="15"/>
          <w:szCs w:val="15"/>
          <w:color w:val="auto"/>
        </w:rPr>
        <w:t>.</w:t>
      </w:r>
    </w:p>
    <w:p>
      <w:pPr>
        <w:spacing w:after="0" w:line="121" w:lineRule="exact"/>
        <w:rPr>
          <w:sz w:val="20"/>
          <w:szCs w:val="20"/>
          <w:color w:val="auto"/>
        </w:rPr>
      </w:pPr>
    </w:p>
    <w:p>
      <w:pPr>
        <w:ind w:firstLine="987"/>
        <w:spacing w:after="0" w:line="253" w:lineRule="auto"/>
        <w:tabs>
          <w:tab w:leader="none" w:pos="1378"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96" w:lineRule="exact"/>
        <w:rPr>
          <w:rFonts w:ascii="Arial" w:cs="Arial" w:eastAsia="Arial" w:hAnsi="Arial"/>
          <w:sz w:val="18"/>
          <w:szCs w:val="18"/>
          <w:b w:val="1"/>
          <w:bCs w:val="1"/>
          <w:color w:val="auto"/>
        </w:rPr>
      </w:pPr>
    </w:p>
    <w:p>
      <w:pPr>
        <w:ind w:left="1380" w:hanging="393"/>
        <w:spacing w:after="0"/>
        <w:tabs>
          <w:tab w:leader="none" w:pos="1380"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In case at any time any one of the following shall occur:</w:t>
      </w:r>
    </w:p>
    <w:p>
      <w:pPr>
        <w:spacing w:after="0" w:line="225" w:lineRule="exact"/>
        <w:rPr>
          <w:rFonts w:ascii="Arial" w:cs="Arial" w:eastAsia="Arial" w:hAnsi="Arial"/>
          <w:sz w:val="18"/>
          <w:szCs w:val="18"/>
          <w:b w:val="1"/>
          <w:bCs w:val="1"/>
          <w:color w:val="auto"/>
        </w:rPr>
      </w:pPr>
    </w:p>
    <w:p>
      <w:pPr>
        <w:ind w:right="360" w:firstLine="1428"/>
        <w:spacing w:after="0" w:line="277" w:lineRule="auto"/>
        <w:tabs>
          <w:tab w:leader="none" w:pos="1782" w:val="left"/>
        </w:tabs>
        <w:numPr>
          <w:ilvl w:val="1"/>
          <w:numId w:val="140"/>
        </w:numPr>
        <w:rPr>
          <w:rFonts w:ascii="Arial" w:cs="Arial" w:eastAsia="Arial" w:hAnsi="Arial"/>
          <w:sz w:val="18"/>
          <w:szCs w:val="18"/>
          <w:b w:val="1"/>
          <w:bCs w:val="1"/>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70" w:lineRule="exact"/>
        <w:rPr>
          <w:rFonts w:ascii="Arial" w:cs="Arial" w:eastAsia="Arial" w:hAnsi="Arial"/>
          <w:sz w:val="18"/>
          <w:szCs w:val="18"/>
          <w:b w:val="1"/>
          <w:bCs w:val="1"/>
          <w:color w:val="auto"/>
        </w:rPr>
      </w:pPr>
    </w:p>
    <w:p>
      <w:pPr>
        <w:ind w:right="400" w:firstLine="1428"/>
        <w:spacing w:after="0" w:line="277" w:lineRule="auto"/>
        <w:tabs>
          <w:tab w:leader="none" w:pos="1832" w:val="left"/>
        </w:tabs>
        <w:numPr>
          <w:ilvl w:val="1"/>
          <w:numId w:val="140"/>
        </w:numPr>
        <w:rPr>
          <w:rFonts w:ascii="Arial" w:cs="Arial" w:eastAsia="Arial" w:hAnsi="Arial"/>
          <w:sz w:val="18"/>
          <w:szCs w:val="18"/>
          <w:b w:val="1"/>
          <w:bCs w:val="1"/>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170" w:lineRule="exact"/>
        <w:rPr>
          <w:rFonts w:ascii="Arial" w:cs="Arial" w:eastAsia="Arial" w:hAnsi="Arial"/>
          <w:sz w:val="18"/>
          <w:szCs w:val="18"/>
          <w:b w:val="1"/>
          <w:bCs w:val="1"/>
          <w:color w:val="auto"/>
        </w:rPr>
      </w:pPr>
    </w:p>
    <w:p>
      <w:pPr>
        <w:ind w:firstLine="1428"/>
        <w:spacing w:after="0" w:line="263" w:lineRule="auto"/>
        <w:tabs>
          <w:tab w:leader="none" w:pos="1882" w:val="left"/>
        </w:tabs>
        <w:numPr>
          <w:ilvl w:val="1"/>
          <w:numId w:val="140"/>
        </w:numPr>
        <w:rPr>
          <w:rFonts w:ascii="Arial" w:cs="Arial" w:eastAsia="Arial" w:hAnsi="Arial"/>
          <w:sz w:val="18"/>
          <w:szCs w:val="18"/>
          <w:b w:val="1"/>
          <w:bCs w:val="1"/>
          <w:color w:val="auto"/>
        </w:rPr>
      </w:pPr>
      <w:r>
        <w:rPr>
          <w:rFonts w:ascii="Arial" w:cs="Arial" w:eastAsia="Arial" w:hAnsi="Arial"/>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135" w:name="page136"/>
    <w:bookmarkEnd w:id="135"/>
    <w:p>
      <w:pPr>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1" w:lineRule="exact"/>
        <w:rPr>
          <w:sz w:val="20"/>
          <w:szCs w:val="20"/>
          <w:color w:val="auto"/>
        </w:rPr>
      </w:pPr>
    </w:p>
    <w:p>
      <w:pPr>
        <w:ind w:firstLine="987"/>
        <w:spacing w:after="0" w:line="263" w:lineRule="auto"/>
        <w:tabs>
          <w:tab w:leader="none" w:pos="1368"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83" w:lineRule="exact"/>
        <w:rPr>
          <w:rFonts w:ascii="Arial" w:cs="Arial" w:eastAsia="Arial" w:hAnsi="Arial"/>
          <w:sz w:val="18"/>
          <w:szCs w:val="18"/>
          <w:b w:val="1"/>
          <w:bCs w:val="1"/>
          <w:color w:val="auto"/>
        </w:rPr>
      </w:pPr>
    </w:p>
    <w:p>
      <w:pPr>
        <w:ind w:right="20" w:firstLine="987"/>
        <w:spacing w:after="0" w:line="342" w:lineRule="auto"/>
        <w:tabs>
          <w:tab w:leader="none" w:pos="1381" w:val="left"/>
        </w:tabs>
        <w:numPr>
          <w:ilvl w:val="0"/>
          <w:numId w:val="141"/>
        </w:numPr>
        <w:rPr>
          <w:rFonts w:ascii="Arial" w:cs="Arial" w:eastAsia="Arial" w:hAnsi="Arial"/>
          <w:sz w:val="16"/>
          <w:szCs w:val="16"/>
          <w:b w:val="1"/>
          <w:bCs w:val="1"/>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23" w:lineRule="exact"/>
        <w:rPr>
          <w:rFonts w:ascii="Arial" w:cs="Arial" w:eastAsia="Arial" w:hAnsi="Arial"/>
          <w:sz w:val="16"/>
          <w:szCs w:val="16"/>
          <w:b w:val="1"/>
          <w:bCs w:val="1"/>
          <w:color w:val="auto"/>
        </w:rPr>
      </w:pPr>
    </w:p>
    <w:p>
      <w:pPr>
        <w:ind w:right="140" w:firstLine="987"/>
        <w:spacing w:after="0" w:line="277" w:lineRule="auto"/>
        <w:tabs>
          <w:tab w:leader="none" w:pos="1361"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27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b w:val="1"/>
          <w:bCs w:val="1"/>
          <w:color w:val="auto"/>
        </w:rPr>
        <w:t>Section 7.11</w:t>
      </w:r>
      <w:r>
        <w:rPr>
          <w:sz w:val="20"/>
          <w:szCs w:val="20"/>
          <w:color w:val="auto"/>
        </w:rPr>
        <w:tab/>
      </w:r>
      <w:r>
        <w:rPr>
          <w:rFonts w:ascii="Arial" w:cs="Arial" w:eastAsia="Arial" w:hAnsi="Arial"/>
          <w:sz w:val="15"/>
          <w:szCs w:val="15"/>
          <w:b w:val="1"/>
          <w:bCs w:val="1"/>
          <w:color w:val="auto"/>
        </w:rPr>
        <w:t>Acceptance of Appointment By Successor</w:t>
      </w:r>
      <w:r>
        <w:rPr>
          <w:rFonts w:ascii="Arial" w:cs="Arial" w:eastAsia="Arial" w:hAnsi="Arial"/>
          <w:sz w:val="15"/>
          <w:szCs w:val="15"/>
          <w:color w:val="auto"/>
        </w:rPr>
        <w:t>.</w:t>
      </w:r>
    </w:p>
    <w:p>
      <w:pPr>
        <w:spacing w:after="0" w:line="121" w:lineRule="exact"/>
        <w:rPr>
          <w:sz w:val="20"/>
          <w:szCs w:val="20"/>
          <w:color w:val="auto"/>
        </w:rPr>
      </w:pPr>
    </w:p>
    <w:p>
      <w:pPr>
        <w:ind w:right="160" w:firstLine="987"/>
        <w:spacing w:after="0" w:line="272" w:lineRule="auto"/>
        <w:tabs>
          <w:tab w:leader="none" w:pos="1381" w:val="left"/>
        </w:tabs>
        <w:numPr>
          <w:ilvl w:val="0"/>
          <w:numId w:val="142"/>
        </w:numPr>
        <w:rPr>
          <w:rFonts w:ascii="Arial" w:cs="Arial" w:eastAsia="Arial" w:hAnsi="Arial"/>
          <w:sz w:val="17"/>
          <w:szCs w:val="17"/>
          <w:b w:val="1"/>
          <w:bCs w:val="1"/>
          <w:color w:val="auto"/>
        </w:rPr>
      </w:pPr>
      <w:r>
        <w:rPr>
          <w:rFonts w:ascii="Arial" w:cs="Arial" w:eastAsia="Arial" w:hAnsi="Arial"/>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7" w:lineRule="exact"/>
        <w:rPr>
          <w:rFonts w:ascii="Arial" w:cs="Arial" w:eastAsia="Arial" w:hAnsi="Arial"/>
          <w:sz w:val="17"/>
          <w:szCs w:val="17"/>
          <w:b w:val="1"/>
          <w:bCs w:val="1"/>
          <w:color w:val="auto"/>
        </w:rPr>
      </w:pPr>
    </w:p>
    <w:p>
      <w:pPr>
        <w:ind w:right="140" w:firstLine="987"/>
        <w:spacing w:after="0" w:line="286" w:lineRule="auto"/>
        <w:tabs>
          <w:tab w:leader="none" w:pos="1391" w:val="left"/>
        </w:tabs>
        <w:numPr>
          <w:ilvl w:val="0"/>
          <w:numId w:val="142"/>
        </w:numPr>
        <w:rPr>
          <w:rFonts w:ascii="Arial" w:cs="Arial" w:eastAsia="Arial" w:hAnsi="Arial"/>
          <w:sz w:val="16"/>
          <w:szCs w:val="16"/>
          <w:b w:val="1"/>
          <w:bCs w:val="1"/>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36" w:name="page137"/>
    <w:bookmarkEnd w:id="136"/>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71" w:lineRule="exact"/>
        <w:rPr>
          <w:sz w:val="20"/>
          <w:szCs w:val="20"/>
          <w:color w:val="auto"/>
        </w:rPr>
      </w:pPr>
    </w:p>
    <w:p>
      <w:pPr>
        <w:ind w:right="20" w:firstLine="987"/>
        <w:spacing w:after="0" w:line="342" w:lineRule="auto"/>
        <w:tabs>
          <w:tab w:leader="none" w:pos="1371" w:val="left"/>
        </w:tabs>
        <w:numPr>
          <w:ilvl w:val="0"/>
          <w:numId w:val="143"/>
        </w:numPr>
        <w:rPr>
          <w:rFonts w:ascii="Arial" w:cs="Arial" w:eastAsia="Arial" w:hAnsi="Arial"/>
          <w:sz w:val="16"/>
          <w:szCs w:val="16"/>
          <w:b w:val="1"/>
          <w:bCs w:val="1"/>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b w:val="1"/>
          <w:bCs w:val="1"/>
          <w:color w:val="auto"/>
        </w:rPr>
      </w:pPr>
    </w:p>
    <w:p>
      <w:pPr>
        <w:ind w:right="180" w:firstLine="987"/>
        <w:spacing w:after="0" w:line="277" w:lineRule="auto"/>
        <w:tabs>
          <w:tab w:leader="none" w:pos="1391"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b w:val="1"/>
          <w:bCs w:val="1"/>
          <w:color w:val="auto"/>
        </w:rPr>
      </w:pPr>
    </w:p>
    <w:p>
      <w:pPr>
        <w:ind w:right="140" w:firstLine="987"/>
        <w:spacing w:after="0" w:line="286" w:lineRule="auto"/>
        <w:tabs>
          <w:tab w:leader="none" w:pos="1371" w:val="left"/>
        </w:tabs>
        <w:numPr>
          <w:ilvl w:val="0"/>
          <w:numId w:val="143"/>
        </w:numPr>
        <w:rPr>
          <w:rFonts w:ascii="Arial" w:cs="Arial" w:eastAsia="Arial" w:hAnsi="Arial"/>
          <w:sz w:val="17"/>
          <w:szCs w:val="17"/>
          <w:b w:val="1"/>
          <w:bCs w:val="1"/>
          <w:color w:val="auto"/>
        </w:rPr>
      </w:pPr>
      <w:r>
        <w:rPr>
          <w:rFonts w:ascii="Arial" w:cs="Arial" w:eastAsia="Arial" w:hAnsi="Arial"/>
          <w:sz w:val="17"/>
          <w:szCs w:val="17"/>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269"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7.12</w:t>
      </w:r>
      <w:r>
        <w:rPr>
          <w:sz w:val="20"/>
          <w:szCs w:val="20"/>
          <w:color w:val="auto"/>
        </w:rPr>
        <w:tab/>
      </w:r>
      <w:r>
        <w:rPr>
          <w:rFonts w:ascii="Arial" w:cs="Arial" w:eastAsia="Arial" w:hAnsi="Arial"/>
          <w:sz w:val="15"/>
          <w:szCs w:val="15"/>
          <w:b w:val="1"/>
          <w:bCs w:val="1"/>
          <w:color w:val="auto"/>
        </w:rPr>
        <w:t>Merger, Conversion, Consolidation or Succession to Business</w:t>
      </w:r>
      <w:r>
        <w:rPr>
          <w:rFonts w:ascii="Arial" w:cs="Arial" w:eastAsia="Arial" w:hAnsi="Arial"/>
          <w:sz w:val="15"/>
          <w:szCs w:val="15"/>
          <w:color w:val="auto"/>
        </w:rPr>
        <w:t>.</w:t>
      </w:r>
    </w:p>
    <w:p>
      <w:pPr>
        <w:spacing w:after="0" w:line="12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96"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7.13</w:t>
      </w:r>
      <w:r>
        <w:rPr>
          <w:sz w:val="20"/>
          <w:szCs w:val="20"/>
          <w:color w:val="auto"/>
        </w:rPr>
        <w:tab/>
      </w:r>
      <w:r>
        <w:rPr>
          <w:rFonts w:ascii="Arial" w:cs="Arial" w:eastAsia="Arial" w:hAnsi="Arial"/>
          <w:sz w:val="16"/>
          <w:szCs w:val="16"/>
          <w:b w:val="1"/>
          <w:bCs w:val="1"/>
          <w:color w:val="auto"/>
        </w:rPr>
        <w:t>Preferential Collection of Claims Against the Company</w:t>
      </w:r>
      <w:r>
        <w:rPr>
          <w:rFonts w:ascii="Arial" w:cs="Arial" w:eastAsia="Arial" w:hAnsi="Arial"/>
          <w:sz w:val="16"/>
          <w:szCs w:val="16"/>
          <w:color w:val="auto"/>
        </w:rPr>
        <w:t>.</w:t>
      </w:r>
    </w:p>
    <w:p>
      <w:pPr>
        <w:spacing w:after="0" w:line="121"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28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7.14</w:t>
      </w:r>
      <w:r>
        <w:rPr>
          <w:sz w:val="20"/>
          <w:szCs w:val="20"/>
          <w:color w:val="auto"/>
        </w:rPr>
        <w:tab/>
      </w:r>
      <w:r>
        <w:rPr>
          <w:rFonts w:ascii="Arial" w:cs="Arial" w:eastAsia="Arial" w:hAnsi="Arial"/>
          <w:sz w:val="16"/>
          <w:szCs w:val="16"/>
          <w:b w:val="1"/>
          <w:bCs w:val="1"/>
          <w:color w:val="auto"/>
        </w:rPr>
        <w:t>Notice of Default</w:t>
      </w:r>
      <w:r>
        <w:rPr>
          <w:rFonts w:ascii="Arial" w:cs="Arial" w:eastAsia="Arial" w:hAnsi="Arial"/>
          <w:sz w:val="16"/>
          <w:szCs w:val="16"/>
          <w:color w:val="auto"/>
        </w:rPr>
        <w:t>.</w:t>
      </w:r>
    </w:p>
    <w:p>
      <w:pPr>
        <w:spacing w:after="0" w:line="12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8</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CONCERNING THE SECURITYHOLDERS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8.01</w:t>
      </w:r>
      <w:r>
        <w:rPr>
          <w:sz w:val="20"/>
          <w:szCs w:val="20"/>
          <w:color w:val="auto"/>
        </w:rPr>
        <w:tab/>
      </w:r>
      <w:r>
        <w:rPr>
          <w:rFonts w:ascii="Arial" w:cs="Arial" w:eastAsia="Arial" w:hAnsi="Arial"/>
          <w:sz w:val="16"/>
          <w:szCs w:val="16"/>
          <w:b w:val="1"/>
          <w:bCs w:val="1"/>
          <w:color w:val="auto"/>
        </w:rPr>
        <w:t>Evidence of Action by Securityholders</w:t>
      </w:r>
      <w:r>
        <w:rPr>
          <w:rFonts w:ascii="Arial" w:cs="Arial" w:eastAsia="Arial" w:hAnsi="Arial"/>
          <w:sz w:val="16"/>
          <w:szCs w:val="16"/>
          <w:color w:val="auto"/>
        </w:rPr>
        <w:t>.</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289"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8.02</w:t>
      </w:r>
      <w:r>
        <w:rPr>
          <w:sz w:val="20"/>
          <w:szCs w:val="20"/>
          <w:color w:val="auto"/>
        </w:rPr>
        <w:tab/>
      </w:r>
      <w:r>
        <w:rPr>
          <w:rFonts w:ascii="Arial" w:cs="Arial" w:eastAsia="Arial" w:hAnsi="Arial"/>
          <w:sz w:val="16"/>
          <w:szCs w:val="16"/>
          <w:b w:val="1"/>
          <w:bCs w:val="1"/>
          <w:color w:val="auto"/>
        </w:rPr>
        <w:t>Proof of Execution by Securityholders</w:t>
      </w:r>
      <w:r>
        <w:rPr>
          <w:rFonts w:ascii="Arial" w:cs="Arial" w:eastAsia="Arial" w:hAnsi="Arial"/>
          <w:sz w:val="16"/>
          <w:szCs w:val="16"/>
          <w:color w:val="auto"/>
        </w:rPr>
        <w:t>.</w:t>
      </w:r>
    </w:p>
    <w:p>
      <w:pPr>
        <w:spacing w:after="0" w:line="121"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24" w:lineRule="exact"/>
        <w:rPr>
          <w:sz w:val="20"/>
          <w:szCs w:val="20"/>
          <w:color w:val="auto"/>
        </w:rPr>
      </w:pPr>
    </w:p>
    <w:p>
      <w:pPr>
        <w:ind w:left="1380" w:hanging="393"/>
        <w:spacing w:after="0"/>
        <w:tabs>
          <w:tab w:leader="none" w:pos="1380" w:val="left"/>
        </w:tabs>
        <w:numPr>
          <w:ilvl w:val="0"/>
          <w:numId w:val="144"/>
        </w:numPr>
        <w:rPr>
          <w:rFonts w:ascii="Arial" w:cs="Arial" w:eastAsia="Arial" w:hAnsi="Arial"/>
          <w:sz w:val="16"/>
          <w:szCs w:val="16"/>
          <w:b w:val="1"/>
          <w:bCs w:val="1"/>
          <w:color w:val="auto"/>
        </w:rPr>
      </w:pPr>
      <w:r>
        <w:rPr>
          <w:rFonts w:ascii="Arial" w:cs="Arial" w:eastAsia="Arial" w:hAnsi="Arial"/>
          <w:sz w:val="16"/>
          <w:szCs w:val="16"/>
          <w:color w:val="auto"/>
        </w:rPr>
        <w:t>The fact and date of the execution by any such Person of any instrument may be proved in any reasonable manner acceptable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1380" w:hanging="393"/>
        <w:spacing w:after="0"/>
        <w:tabs>
          <w:tab w:leader="none" w:pos="1380" w:val="left"/>
        </w:tabs>
        <w:numPr>
          <w:ilvl w:val="0"/>
          <w:numId w:val="145"/>
        </w:numPr>
        <w:rPr>
          <w:rFonts w:ascii="Arial" w:cs="Arial" w:eastAsia="Arial" w:hAnsi="Arial"/>
          <w:sz w:val="16"/>
          <w:szCs w:val="16"/>
          <w:b w:val="1"/>
          <w:bCs w:val="1"/>
          <w:color w:val="auto"/>
        </w:rPr>
      </w:pPr>
      <w:r>
        <w:rPr>
          <w:rFonts w:ascii="Arial" w:cs="Arial" w:eastAsia="Arial" w:hAnsi="Arial"/>
          <w:sz w:val="16"/>
          <w:szCs w:val="16"/>
          <w:color w:val="auto"/>
        </w:rPr>
        <w:t>The ownership of Securities shall be proved by the Security Register of such Securities or by a certificate of the Security Registrar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329"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8.03</w:t>
      </w:r>
      <w:r>
        <w:rPr>
          <w:sz w:val="20"/>
          <w:szCs w:val="20"/>
          <w:color w:val="auto"/>
        </w:rPr>
        <w:tab/>
      </w:r>
      <w:r>
        <w:rPr>
          <w:rFonts w:ascii="Arial" w:cs="Arial" w:eastAsia="Arial" w:hAnsi="Arial"/>
          <w:sz w:val="16"/>
          <w:szCs w:val="16"/>
          <w:b w:val="1"/>
          <w:bCs w:val="1"/>
          <w:color w:val="auto"/>
        </w:rPr>
        <w:t>Who May be Deemed Owners</w:t>
      </w:r>
      <w:r>
        <w:rPr>
          <w:rFonts w:ascii="Arial" w:cs="Arial" w:eastAsia="Arial" w:hAnsi="Arial"/>
          <w:sz w:val="16"/>
          <w:szCs w:val="16"/>
          <w:color w:val="auto"/>
        </w:rPr>
        <w:t>.</w:t>
      </w:r>
    </w:p>
    <w:p>
      <w:pPr>
        <w:spacing w:after="0" w:line="12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296"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8.04</w:t>
      </w:r>
      <w:r>
        <w:rPr>
          <w:sz w:val="20"/>
          <w:szCs w:val="20"/>
          <w:color w:val="auto"/>
        </w:rPr>
        <w:tab/>
      </w:r>
      <w:r>
        <w:rPr>
          <w:rFonts w:ascii="Arial" w:cs="Arial" w:eastAsia="Arial" w:hAnsi="Arial"/>
          <w:sz w:val="16"/>
          <w:szCs w:val="16"/>
          <w:b w:val="1"/>
          <w:bCs w:val="1"/>
          <w:color w:val="auto"/>
        </w:rPr>
        <w:t>Certain Securities Owned by Company Disregarded</w:t>
      </w:r>
      <w:r>
        <w:rPr>
          <w:rFonts w:ascii="Arial" w:cs="Arial" w:eastAsia="Arial" w:hAnsi="Arial"/>
          <w:sz w:val="16"/>
          <w:szCs w:val="16"/>
          <w:color w:val="auto"/>
        </w:rPr>
        <w:t>.</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In determining whether the holders of the requisite aggregate principal amount of Securities of a particular series have concurred in any direction, consent or waiver under this Indenture, the Securities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0" w:right="459" w:bottom="1440" w:gutter="0" w:footer="0" w:header="0"/>
        </w:sectPr>
      </w:pPr>
    </w:p>
    <w:bookmarkStart w:id="138" w:name="page139"/>
    <w:bookmarkEnd w:id="13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28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8.05</w:t>
      </w:r>
      <w:r>
        <w:rPr>
          <w:sz w:val="20"/>
          <w:szCs w:val="20"/>
          <w:color w:val="auto"/>
        </w:rPr>
        <w:tab/>
      </w:r>
      <w:r>
        <w:rPr>
          <w:rFonts w:ascii="Arial" w:cs="Arial" w:eastAsia="Arial" w:hAnsi="Arial"/>
          <w:sz w:val="16"/>
          <w:szCs w:val="16"/>
          <w:b w:val="1"/>
          <w:bCs w:val="1"/>
          <w:color w:val="auto"/>
        </w:rPr>
        <w:t>Actions Binding on Future Securityholders</w:t>
      </w:r>
      <w:r>
        <w:rPr>
          <w:rFonts w:ascii="Arial" w:cs="Arial" w:eastAsia="Arial" w:hAnsi="Arial"/>
          <w:sz w:val="16"/>
          <w:szCs w:val="16"/>
          <w:color w:val="auto"/>
        </w:rPr>
        <w:t>.</w:t>
      </w:r>
    </w:p>
    <w:p>
      <w:pPr>
        <w:spacing w:after="0" w:line="121"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6"/>
          <w:szCs w:val="16"/>
          <w:b w:val="1"/>
          <w:bCs w:val="1"/>
          <w:color w:val="auto"/>
        </w:rPr>
        <w:t>Supplemental Indentures Without the Consent of Securityholders</w:t>
      </w:r>
      <w:r>
        <w:rPr>
          <w:rFonts w:ascii="Arial" w:cs="Arial" w:eastAsia="Arial" w:hAnsi="Arial"/>
          <w:sz w:val="16"/>
          <w:szCs w:val="16"/>
          <w:color w:val="auto"/>
        </w:rPr>
        <w:t>.</w:t>
      </w:r>
    </w:p>
    <w:p>
      <w:pPr>
        <w:spacing w:after="0" w:line="12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84" w:lineRule="exact"/>
        <w:rPr>
          <w:sz w:val="20"/>
          <w:szCs w:val="20"/>
          <w:color w:val="auto"/>
        </w:rPr>
      </w:pPr>
    </w:p>
    <w:p>
      <w:pPr>
        <w:ind w:left="1380" w:hanging="393"/>
        <w:spacing w:after="0"/>
        <w:tabs>
          <w:tab w:leader="none" w:pos="1380"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to cure any ambiguity, defect, or inconsistency herein or in the Securities of any series;</w:t>
      </w:r>
    </w:p>
    <w:p>
      <w:pPr>
        <w:spacing w:after="0" w:line="225" w:lineRule="exact"/>
        <w:rPr>
          <w:rFonts w:ascii="Arial" w:cs="Arial" w:eastAsia="Arial" w:hAnsi="Arial"/>
          <w:sz w:val="18"/>
          <w:szCs w:val="18"/>
          <w:b w:val="1"/>
          <w:bCs w:val="1"/>
          <w:color w:val="auto"/>
        </w:rPr>
      </w:pPr>
    </w:p>
    <w:p>
      <w:pPr>
        <w:ind w:left="1380" w:hanging="393"/>
        <w:spacing w:after="0"/>
        <w:tabs>
          <w:tab w:leader="none" w:pos="1380"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to comply with Article Ten;</w:t>
      </w:r>
    </w:p>
    <w:p>
      <w:pPr>
        <w:spacing w:after="0" w:line="225" w:lineRule="exact"/>
        <w:rPr>
          <w:rFonts w:ascii="Arial" w:cs="Arial" w:eastAsia="Arial" w:hAnsi="Arial"/>
          <w:sz w:val="18"/>
          <w:szCs w:val="18"/>
          <w:b w:val="1"/>
          <w:bCs w:val="1"/>
          <w:color w:val="auto"/>
        </w:rPr>
      </w:pPr>
    </w:p>
    <w:p>
      <w:pPr>
        <w:ind w:left="1360" w:hanging="373"/>
        <w:spacing w:after="0"/>
        <w:tabs>
          <w:tab w:leader="none" w:pos="1360"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b w:val="1"/>
          <w:bCs w:val="1"/>
          <w:color w:val="auto"/>
        </w:rPr>
      </w:pPr>
    </w:p>
    <w:p>
      <w:pPr>
        <w:ind w:right="80" w:firstLine="987"/>
        <w:spacing w:after="0" w:line="257" w:lineRule="auto"/>
        <w:tabs>
          <w:tab w:leader="none" w:pos="1391"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139" w:name="page140"/>
    <w:bookmarkEnd w:id="139"/>
    <w:p>
      <w:pPr>
        <w:ind w:right="300" w:firstLine="987"/>
        <w:spacing w:after="0" w:line="277" w:lineRule="auto"/>
        <w:tabs>
          <w:tab w:leader="none" w:pos="1371" w:val="left"/>
        </w:tabs>
        <w:numPr>
          <w:ilvl w:val="0"/>
          <w:numId w:val="14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b w:val="1"/>
          <w:bCs w:val="1"/>
          <w:color w:val="auto"/>
        </w:rPr>
      </w:pPr>
    </w:p>
    <w:p>
      <w:pPr>
        <w:ind w:left="1340" w:hanging="353"/>
        <w:spacing w:after="0"/>
        <w:tabs>
          <w:tab w:leader="none" w:pos="1340" w:val="left"/>
        </w:tabs>
        <w:numPr>
          <w:ilvl w:val="0"/>
          <w:numId w:val="147"/>
        </w:numPr>
        <w:rPr>
          <w:rFonts w:ascii="Arial" w:cs="Arial" w:eastAsia="Arial" w:hAnsi="Arial"/>
          <w:sz w:val="18"/>
          <w:szCs w:val="18"/>
          <w:b w:val="1"/>
          <w:bCs w:val="1"/>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b w:val="1"/>
          <w:bCs w:val="1"/>
          <w:color w:val="auto"/>
        </w:rPr>
      </w:pPr>
    </w:p>
    <w:p>
      <w:pPr>
        <w:ind w:left="1380" w:hanging="393"/>
        <w:spacing w:after="0"/>
        <w:tabs>
          <w:tab w:leader="none" w:pos="1380" w:val="left"/>
        </w:tabs>
        <w:numPr>
          <w:ilvl w:val="0"/>
          <w:numId w:val="147"/>
        </w:numPr>
        <w:rPr>
          <w:rFonts w:ascii="Arial" w:cs="Arial" w:eastAsia="Arial" w:hAnsi="Arial"/>
          <w:sz w:val="17"/>
          <w:szCs w:val="17"/>
          <w:b w:val="1"/>
          <w:bCs w:val="1"/>
          <w:color w:val="auto"/>
        </w:rPr>
      </w:pPr>
      <w:r>
        <w:rPr>
          <w:rFonts w:ascii="Arial" w:cs="Arial" w:eastAsia="Arial" w:hAnsi="Arial"/>
          <w:sz w:val="17"/>
          <w:szCs w:val="17"/>
          <w:color w:val="auto"/>
        </w:rPr>
        <w:t>to provide for the issuance of and establish the form and terms and conditions of the Securities of any series as provided in</w:t>
      </w:r>
    </w:p>
    <w:p>
      <w:pPr>
        <w:spacing w:after="0" w:line="3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Section 2.01, to establish the form of any certifications required to be furnished pursuant to the terms of this Indenture or any series of Securities, or to add to the rights of the holders of any series of Securities;</w:t>
      </w:r>
    </w:p>
    <w:p>
      <w:pPr>
        <w:spacing w:after="0" w:line="185" w:lineRule="exact"/>
        <w:rPr>
          <w:sz w:val="20"/>
          <w:szCs w:val="20"/>
          <w:color w:val="auto"/>
        </w:rPr>
      </w:pPr>
    </w:p>
    <w:p>
      <w:pPr>
        <w:ind w:left="1380" w:hanging="393"/>
        <w:spacing w:after="0"/>
        <w:tabs>
          <w:tab w:leader="none" w:pos="1380"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to evidence and provide for the acceptance of appointment hereunder by a successor trustee; or</w:t>
      </w:r>
    </w:p>
    <w:p>
      <w:pPr>
        <w:spacing w:after="0" w:line="225" w:lineRule="exact"/>
        <w:rPr>
          <w:rFonts w:ascii="Arial" w:cs="Arial" w:eastAsia="Arial" w:hAnsi="Arial"/>
          <w:sz w:val="18"/>
          <w:szCs w:val="18"/>
          <w:b w:val="1"/>
          <w:bCs w:val="1"/>
          <w:color w:val="auto"/>
        </w:rPr>
      </w:pPr>
    </w:p>
    <w:p>
      <w:pPr>
        <w:ind w:right="60" w:firstLine="987"/>
        <w:spacing w:after="0" w:line="277" w:lineRule="auto"/>
        <w:tabs>
          <w:tab w:leader="none" w:pos="1341"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to comply with any requirements of the Commission or any successor in connection with the qualification of this Indenture under the Trust Indenture Act.</w:t>
      </w:r>
    </w:p>
    <w:p>
      <w:pPr>
        <w:spacing w:after="0" w:line="170" w:lineRule="exact"/>
        <w:rPr>
          <w:sz w:val="20"/>
          <w:szCs w:val="20"/>
          <w:color w:val="auto"/>
        </w:rPr>
      </w:pPr>
    </w:p>
    <w:p>
      <w:pPr>
        <w:jc w:val="both"/>
        <w:ind w:right="600" w:firstLine="440"/>
        <w:spacing w:after="0" w:line="286" w:lineRule="auto"/>
        <w:rPr>
          <w:sz w:val="20"/>
          <w:szCs w:val="20"/>
          <w:color w:val="auto"/>
        </w:rPr>
      </w:pPr>
      <w:r>
        <w:rPr>
          <w:rFonts w:ascii="Arial" w:cs="Arial" w:eastAsia="Arial" w:hAnsi="Arial"/>
          <w:sz w:val="17"/>
          <w:szCs w:val="17"/>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6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274"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9.02</w:t>
      </w:r>
      <w:r>
        <w:rPr>
          <w:sz w:val="20"/>
          <w:szCs w:val="20"/>
          <w:color w:val="auto"/>
        </w:rPr>
        <w:tab/>
      </w:r>
      <w:r>
        <w:rPr>
          <w:rFonts w:ascii="Arial" w:cs="Arial" w:eastAsia="Arial" w:hAnsi="Arial"/>
          <w:sz w:val="16"/>
          <w:szCs w:val="16"/>
          <w:b w:val="1"/>
          <w:bCs w:val="1"/>
          <w:color w:val="auto"/>
        </w:rPr>
        <w:t>Supplemental Indentures With Consent of Securityholders</w:t>
      </w:r>
      <w:r>
        <w:rPr>
          <w:rFonts w:ascii="Arial" w:cs="Arial" w:eastAsia="Arial" w:hAnsi="Arial"/>
          <w:sz w:val="16"/>
          <w:szCs w:val="16"/>
          <w:color w:val="auto"/>
        </w:rPr>
        <w:t>.</w:t>
      </w:r>
    </w:p>
    <w:p>
      <w:pPr>
        <w:spacing w:after="0" w:line="12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6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274"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9.03</w:t>
      </w:r>
      <w:r>
        <w:rPr>
          <w:sz w:val="20"/>
          <w:szCs w:val="20"/>
          <w:color w:val="auto"/>
        </w:rPr>
        <w:tab/>
      </w:r>
      <w:r>
        <w:rPr>
          <w:rFonts w:ascii="Arial" w:cs="Arial" w:eastAsia="Arial" w:hAnsi="Arial"/>
          <w:sz w:val="16"/>
          <w:szCs w:val="16"/>
          <w:b w:val="1"/>
          <w:bCs w:val="1"/>
          <w:color w:val="auto"/>
        </w:rPr>
        <w:t>Effect of Supplemental Indentures</w:t>
      </w:r>
      <w:r>
        <w:rPr>
          <w:rFonts w:ascii="Arial" w:cs="Arial" w:eastAsia="Arial" w:hAnsi="Arial"/>
          <w:sz w:val="16"/>
          <w:szCs w:val="16"/>
          <w:color w:val="auto"/>
        </w:rPr>
        <w:t>.</w:t>
      </w:r>
    </w:p>
    <w:p>
      <w:pPr>
        <w:spacing w:after="0" w:line="121"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140" w:name="page141"/>
    <w:bookmarkEnd w:id="140"/>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9.04</w:t>
      </w:r>
      <w:r>
        <w:rPr>
          <w:sz w:val="20"/>
          <w:szCs w:val="20"/>
          <w:color w:val="auto"/>
        </w:rPr>
        <w:tab/>
      </w:r>
      <w:r>
        <w:rPr>
          <w:rFonts w:ascii="Arial" w:cs="Arial" w:eastAsia="Arial" w:hAnsi="Arial"/>
          <w:sz w:val="16"/>
          <w:szCs w:val="16"/>
          <w:b w:val="1"/>
          <w:bCs w:val="1"/>
          <w:color w:val="auto"/>
        </w:rPr>
        <w:t>Securities Affected by Supplemental Indentures</w:t>
      </w:r>
      <w:r>
        <w:rPr>
          <w:rFonts w:ascii="Arial" w:cs="Arial" w:eastAsia="Arial" w:hAnsi="Arial"/>
          <w:sz w:val="16"/>
          <w:szCs w:val="16"/>
          <w:color w:val="auto"/>
        </w:rPr>
        <w:t>.</w:t>
      </w:r>
    </w:p>
    <w:p>
      <w:pPr>
        <w:spacing w:after="0" w:line="121"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28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9.05</w:t>
      </w:r>
      <w:r>
        <w:rPr>
          <w:sz w:val="20"/>
          <w:szCs w:val="20"/>
          <w:color w:val="auto"/>
        </w:rPr>
        <w:tab/>
      </w:r>
      <w:r>
        <w:rPr>
          <w:rFonts w:ascii="Arial" w:cs="Arial" w:eastAsia="Arial" w:hAnsi="Arial"/>
          <w:sz w:val="16"/>
          <w:szCs w:val="16"/>
          <w:b w:val="1"/>
          <w:bCs w:val="1"/>
          <w:color w:val="auto"/>
        </w:rPr>
        <w:t>Execution of Supplemental Indentures</w:t>
      </w:r>
      <w:r>
        <w:rPr>
          <w:rFonts w:ascii="Arial" w:cs="Arial" w:eastAsia="Arial" w:hAnsi="Arial"/>
          <w:sz w:val="16"/>
          <w:szCs w:val="16"/>
          <w:color w:val="auto"/>
        </w:rPr>
        <w:t>.</w:t>
      </w:r>
    </w:p>
    <w:p>
      <w:pPr>
        <w:spacing w:after="0" w:line="12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Officer’s Certificate or Opinion of Counsel need not be provided in connection with the execution of a supplemental indenture that establishes the terms of a series of Securities pursuant to Section 2.01 hereof.</w:t>
      </w:r>
    </w:p>
    <w:p>
      <w:pPr>
        <w:spacing w:after="0" w:line="165"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ENTITY</w:t>
      </w:r>
    </w:p>
    <w:p>
      <w:pPr>
        <w:spacing w:after="0" w:line="225"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10.01</w:t>
      </w:r>
      <w:r>
        <w:rPr>
          <w:sz w:val="20"/>
          <w:szCs w:val="20"/>
          <w:color w:val="auto"/>
        </w:rPr>
        <w:tab/>
      </w:r>
      <w:r>
        <w:rPr>
          <w:rFonts w:ascii="Arial" w:cs="Arial" w:eastAsia="Arial" w:hAnsi="Arial"/>
          <w:sz w:val="16"/>
          <w:szCs w:val="16"/>
          <w:b w:val="1"/>
          <w:bCs w:val="1"/>
          <w:color w:val="auto"/>
        </w:rPr>
        <w:t>Company May Consolidate, Etc</w:t>
      </w:r>
      <w:r>
        <w:rPr>
          <w:rFonts w:ascii="Arial" w:cs="Arial" w:eastAsia="Arial" w:hAnsi="Arial"/>
          <w:sz w:val="16"/>
          <w:szCs w:val="16"/>
          <w:color w:val="auto"/>
        </w:rPr>
        <w:t>.</w:t>
      </w:r>
    </w:p>
    <w:p>
      <w:pPr>
        <w:spacing w:after="0" w:line="1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w:t>
      </w:r>
      <w:r>
        <w:rPr>
          <w:rFonts w:ascii="Arial" w:cs="Arial" w:eastAsia="Arial" w:hAnsi="Arial"/>
          <w:sz w:val="16"/>
          <w:szCs w:val="16"/>
          <w:i w:val="1"/>
          <w:iCs w:val="1"/>
          <w:color w:val="auto"/>
        </w:rPr>
        <w:t>provided, however</w:t>
      </w:r>
      <w:r>
        <w:rPr>
          <w:rFonts w:ascii="Arial" w:cs="Arial" w:eastAsia="Arial" w:hAnsi="Arial"/>
          <w:sz w:val="16"/>
          <w:szCs w:val="16"/>
          <w:color w:val="auto"/>
        </w:rPr>
        <w:t>,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141" w:name="page142"/>
    <w:bookmarkEnd w:id="141"/>
    <w:p>
      <w:pPr>
        <w:ind w:left="4"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 reasonably satisfactory in form to the Trustee executed and delivered to the Trustee by the entity formed by such consolidation, or into which the Company shall have been merged, or by the entity which shall have acquired such property.</w:t>
      </w:r>
    </w:p>
    <w:p>
      <w:pPr>
        <w:spacing w:after="0" w:line="274" w:lineRule="exact"/>
        <w:rPr>
          <w:sz w:val="20"/>
          <w:szCs w:val="20"/>
          <w:color w:val="auto"/>
        </w:rPr>
      </w:pPr>
    </w:p>
    <w:p>
      <w:pPr>
        <w:ind w:left="444"/>
        <w:spacing w:after="0"/>
        <w:tabs>
          <w:tab w:leader="none" w:pos="1604" w:val="left"/>
        </w:tabs>
        <w:rPr>
          <w:sz w:val="20"/>
          <w:szCs w:val="20"/>
          <w:color w:val="auto"/>
        </w:rPr>
      </w:pPr>
      <w:r>
        <w:rPr>
          <w:rFonts w:ascii="Arial" w:cs="Arial" w:eastAsia="Arial" w:hAnsi="Arial"/>
          <w:sz w:val="18"/>
          <w:szCs w:val="18"/>
          <w:b w:val="1"/>
          <w:bCs w:val="1"/>
          <w:color w:val="auto"/>
        </w:rPr>
        <w:t>Section 10.02</w:t>
      </w:r>
      <w:r>
        <w:rPr>
          <w:sz w:val="20"/>
          <w:szCs w:val="20"/>
          <w:color w:val="auto"/>
        </w:rPr>
        <w:tab/>
      </w:r>
      <w:r>
        <w:rPr>
          <w:rFonts w:ascii="Arial" w:cs="Arial" w:eastAsia="Arial" w:hAnsi="Arial"/>
          <w:sz w:val="15"/>
          <w:szCs w:val="15"/>
          <w:b w:val="1"/>
          <w:bCs w:val="1"/>
          <w:color w:val="auto"/>
        </w:rPr>
        <w:t>Successor Entity Substituted</w:t>
      </w:r>
      <w:r>
        <w:rPr>
          <w:rFonts w:ascii="Arial" w:cs="Arial" w:eastAsia="Arial" w:hAnsi="Arial"/>
          <w:sz w:val="15"/>
          <w:szCs w:val="15"/>
          <w:color w:val="auto"/>
        </w:rPr>
        <w:t>.</w:t>
      </w:r>
    </w:p>
    <w:p>
      <w:pPr>
        <w:spacing w:after="0" w:line="121" w:lineRule="exact"/>
        <w:rPr>
          <w:sz w:val="20"/>
          <w:szCs w:val="20"/>
          <w:color w:val="auto"/>
        </w:rPr>
      </w:pPr>
    </w:p>
    <w:p>
      <w:pPr>
        <w:ind w:left="4" w:right="20" w:firstLine="987"/>
        <w:spacing w:after="0" w:line="257" w:lineRule="auto"/>
        <w:tabs>
          <w:tab w:leader="none" w:pos="1385"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7" w:lineRule="exact"/>
        <w:rPr>
          <w:rFonts w:ascii="Arial" w:cs="Arial" w:eastAsia="Arial" w:hAnsi="Arial"/>
          <w:sz w:val="18"/>
          <w:szCs w:val="18"/>
          <w:b w:val="1"/>
          <w:bCs w:val="1"/>
          <w:color w:val="auto"/>
        </w:rPr>
      </w:pPr>
    </w:p>
    <w:p>
      <w:pPr>
        <w:ind w:left="4" w:right="20" w:firstLine="987"/>
        <w:spacing w:after="0" w:line="277" w:lineRule="auto"/>
        <w:tabs>
          <w:tab w:leader="none" w:pos="1395"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b w:val="1"/>
          <w:bCs w:val="1"/>
          <w:color w:val="auto"/>
        </w:rPr>
      </w:pPr>
    </w:p>
    <w:p>
      <w:pPr>
        <w:ind w:left="4" w:right="40" w:firstLine="987"/>
        <w:spacing w:after="0" w:line="263" w:lineRule="auto"/>
        <w:tabs>
          <w:tab w:leader="none" w:pos="1375"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96"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ind w:left="4064"/>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ind w:left="444"/>
        <w:spacing w:after="0"/>
        <w:tabs>
          <w:tab w:leader="none" w:pos="1604" w:val="left"/>
        </w:tabs>
        <w:rPr>
          <w:sz w:val="20"/>
          <w:szCs w:val="20"/>
          <w:color w:val="auto"/>
        </w:rPr>
      </w:pPr>
      <w:r>
        <w:rPr>
          <w:rFonts w:ascii="Arial" w:cs="Arial" w:eastAsia="Arial" w:hAnsi="Arial"/>
          <w:sz w:val="18"/>
          <w:szCs w:val="18"/>
          <w:b w:val="1"/>
          <w:bCs w:val="1"/>
          <w:color w:val="auto"/>
        </w:rPr>
        <w:t>Section 11.01</w:t>
      </w:r>
      <w:r>
        <w:rPr>
          <w:sz w:val="20"/>
          <w:szCs w:val="20"/>
          <w:color w:val="auto"/>
        </w:rPr>
        <w:tab/>
      </w:r>
      <w:r>
        <w:rPr>
          <w:rFonts w:ascii="Arial" w:cs="Arial" w:eastAsia="Arial" w:hAnsi="Arial"/>
          <w:sz w:val="16"/>
          <w:szCs w:val="16"/>
          <w:b w:val="1"/>
          <w:bCs w:val="1"/>
          <w:color w:val="auto"/>
        </w:rPr>
        <w:t>Satisfaction and Discharge of Indenture</w:t>
      </w:r>
      <w:r>
        <w:rPr>
          <w:rFonts w:ascii="Arial" w:cs="Arial" w:eastAsia="Arial" w:hAnsi="Arial"/>
          <w:sz w:val="16"/>
          <w:szCs w:val="16"/>
          <w:color w:val="auto"/>
        </w:rPr>
        <w:t>.</w:t>
      </w:r>
    </w:p>
    <w:p>
      <w:pPr>
        <w:spacing w:after="0" w:line="121"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w:t>
      </w:r>
    </w:p>
    <w:p>
      <w:pPr>
        <w:spacing w:after="0" w:line="1" w:lineRule="exact"/>
        <w:rPr>
          <w:sz w:val="20"/>
          <w:szCs w:val="20"/>
          <w:color w:val="auto"/>
        </w:rPr>
      </w:pPr>
    </w:p>
    <w:p>
      <w:pPr>
        <w:ind w:left="4" w:right="140" w:hanging="4"/>
        <w:spacing w:after="0" w:line="281" w:lineRule="auto"/>
        <w:tabs>
          <w:tab w:leader="none" w:pos="25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w:t>
      </w:r>
    </w:p>
    <w:p>
      <w:pPr>
        <w:spacing w:after="0" w:line="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2.03, 2.05, 2.07, 4.01, 4.02, 4.03, 7.10, 11.05 and 13.04, that shall survive until the date of maturity or redemption date, as the case may be, and Sections</w:t>
      </w:r>
    </w:p>
    <w:p>
      <w:pPr>
        <w:spacing w:after="0" w:line="32" w:lineRule="exact"/>
        <w:rPr>
          <w:rFonts w:ascii="Arial" w:cs="Arial" w:eastAsia="Arial" w:hAnsi="Arial"/>
          <w:sz w:val="16"/>
          <w:szCs w:val="16"/>
          <w:color w:val="auto"/>
        </w:rPr>
      </w:pPr>
    </w:p>
    <w:p>
      <w:pPr>
        <w:ind w:left="4" w:right="180"/>
        <w:spacing w:after="0" w:line="290" w:lineRule="auto"/>
        <w:rPr>
          <w:rFonts w:ascii="Arial" w:cs="Arial" w:eastAsia="Arial" w:hAnsi="Arial"/>
          <w:sz w:val="16"/>
          <w:szCs w:val="16"/>
          <w:color w:val="auto"/>
        </w:rPr>
      </w:pPr>
      <w:r>
        <w:rPr>
          <w:rFonts w:ascii="Arial" w:cs="Arial" w:eastAsia="Arial" w:hAnsi="Arial"/>
          <w:sz w:val="17"/>
          <w:szCs w:val="17"/>
          <w:color w:val="auto"/>
        </w:rPr>
        <w:t>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4"/>
          </w:cols>
          <w:pgMar w:left="436" w:top="274" w:right="479" w:bottom="1440" w:gutter="0" w:footer="0" w:header="0"/>
        </w:sectPr>
      </w:pPr>
    </w:p>
    <w:bookmarkStart w:id="142" w:name="page143"/>
    <w:bookmarkEnd w:id="142"/>
    <w:p>
      <w:pPr>
        <w:ind w:left="440"/>
        <w:spacing w:after="0"/>
        <w:tabs>
          <w:tab w:leader="none" w:pos="1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11.02</w:t>
      </w:r>
      <w:r>
        <w:rPr>
          <w:sz w:val="20"/>
          <w:szCs w:val="20"/>
          <w:color w:val="auto"/>
        </w:rPr>
        <w:tab/>
      </w:r>
      <w:r>
        <w:rPr>
          <w:rFonts w:ascii="Arial" w:cs="Arial" w:eastAsia="Arial" w:hAnsi="Arial"/>
          <w:sz w:val="16"/>
          <w:szCs w:val="16"/>
          <w:b w:val="1"/>
          <w:bCs w:val="1"/>
          <w:color w:val="auto"/>
        </w:rPr>
        <w:t>Discharge of Obligations</w:t>
      </w:r>
      <w:r>
        <w:rPr>
          <w:rFonts w:ascii="Arial" w:cs="Arial" w:eastAsia="Arial" w:hAnsi="Arial"/>
          <w:sz w:val="16"/>
          <w:szCs w:val="16"/>
          <w:color w:val="auto"/>
        </w:rPr>
        <w:t>.</w:t>
      </w:r>
    </w:p>
    <w:p>
      <w:pPr>
        <w:spacing w:after="0" w:line="121"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Thereafter, Sections 7.06 and 11.05 shall survive.</w:t>
      </w:r>
    </w:p>
    <w:p>
      <w:pPr>
        <w:spacing w:after="0" w:line="329"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11.03</w:t>
      </w:r>
      <w:r>
        <w:rPr>
          <w:sz w:val="20"/>
          <w:szCs w:val="20"/>
          <w:color w:val="auto"/>
        </w:rPr>
        <w:tab/>
      </w:r>
      <w:r>
        <w:rPr>
          <w:rFonts w:ascii="Arial" w:cs="Arial" w:eastAsia="Arial" w:hAnsi="Arial"/>
          <w:sz w:val="16"/>
          <w:szCs w:val="16"/>
          <w:b w:val="1"/>
          <w:bCs w:val="1"/>
          <w:color w:val="auto"/>
        </w:rPr>
        <w:t>Deposited Moneys to be Held in Trust</w:t>
      </w:r>
      <w:r>
        <w:rPr>
          <w:rFonts w:ascii="Arial" w:cs="Arial" w:eastAsia="Arial" w:hAnsi="Arial"/>
          <w:sz w:val="16"/>
          <w:szCs w:val="16"/>
          <w:color w:val="auto"/>
        </w:rPr>
        <w:t>.</w:t>
      </w:r>
    </w:p>
    <w:p>
      <w:pPr>
        <w:spacing w:after="0" w:line="121"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253"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11.04</w:t>
      </w:r>
      <w:r>
        <w:rPr>
          <w:sz w:val="20"/>
          <w:szCs w:val="20"/>
          <w:color w:val="auto"/>
        </w:rPr>
        <w:tab/>
      </w:r>
      <w:r>
        <w:rPr>
          <w:rFonts w:ascii="Arial" w:cs="Arial" w:eastAsia="Arial" w:hAnsi="Arial"/>
          <w:sz w:val="16"/>
          <w:szCs w:val="16"/>
          <w:b w:val="1"/>
          <w:bCs w:val="1"/>
          <w:color w:val="auto"/>
        </w:rPr>
        <w:t>Payment of Moneys Held by Paying Agents</w:t>
      </w:r>
      <w:r>
        <w:rPr>
          <w:rFonts w:ascii="Arial" w:cs="Arial" w:eastAsia="Arial" w:hAnsi="Arial"/>
          <w:sz w:val="16"/>
          <w:szCs w:val="16"/>
          <w:color w:val="auto"/>
        </w:rPr>
        <w:t>.</w:t>
      </w:r>
    </w:p>
    <w:p>
      <w:pPr>
        <w:spacing w:after="0" w:line="121"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288"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11.05</w:t>
      </w:r>
      <w:r>
        <w:rPr>
          <w:sz w:val="20"/>
          <w:szCs w:val="20"/>
          <w:color w:val="auto"/>
        </w:rPr>
        <w:tab/>
      </w:r>
      <w:r>
        <w:rPr>
          <w:rFonts w:ascii="Arial" w:cs="Arial" w:eastAsia="Arial" w:hAnsi="Arial"/>
          <w:sz w:val="16"/>
          <w:szCs w:val="16"/>
          <w:b w:val="1"/>
          <w:bCs w:val="1"/>
          <w:color w:val="auto"/>
        </w:rPr>
        <w:t>Repayment to Company</w:t>
      </w:r>
      <w:r>
        <w:rPr>
          <w:rFonts w:ascii="Arial" w:cs="Arial" w:eastAsia="Arial" w:hAnsi="Arial"/>
          <w:sz w:val="16"/>
          <w:szCs w:val="16"/>
          <w:color w:val="auto"/>
        </w:rPr>
        <w:t>.</w:t>
      </w:r>
    </w:p>
    <w:p>
      <w:pPr>
        <w:spacing w:after="0" w:line="121"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IMMUNITY OF INCORPORATORS, STOCKHOLDERS, OFFICERS AND DIRECTORS</w:t>
      </w:r>
    </w:p>
    <w:p>
      <w:pPr>
        <w:spacing w:after="0" w:line="225"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12.01</w:t>
      </w:r>
      <w:r>
        <w:rPr>
          <w:sz w:val="20"/>
          <w:szCs w:val="20"/>
          <w:color w:val="auto"/>
        </w:rPr>
        <w:tab/>
      </w:r>
      <w:r>
        <w:rPr>
          <w:rFonts w:ascii="Arial" w:cs="Arial" w:eastAsia="Arial" w:hAnsi="Arial"/>
          <w:sz w:val="15"/>
          <w:szCs w:val="15"/>
          <w:b w:val="1"/>
          <w:bCs w:val="1"/>
          <w:color w:val="auto"/>
        </w:rPr>
        <w:t>No Recourse</w:t>
      </w:r>
      <w:r>
        <w:rPr>
          <w:rFonts w:ascii="Arial" w:cs="Arial" w:eastAsia="Arial" w:hAnsi="Arial"/>
          <w:sz w:val="15"/>
          <w:szCs w:val="15"/>
          <w:color w:val="auto"/>
        </w:rPr>
        <w:t>.</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0" w:right="459" w:bottom="1440" w:gutter="0" w:footer="0" w:header="0"/>
        </w:sectPr>
      </w:pPr>
    </w:p>
    <w:bookmarkStart w:id="143" w:name="page144"/>
    <w:bookmarkEnd w:id="143"/>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MISCELLANEOUS PROVISIONS</w:t>
      </w:r>
    </w:p>
    <w:p>
      <w:pPr>
        <w:spacing w:after="0" w:line="225"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13.01</w:t>
      </w:r>
      <w:r>
        <w:rPr>
          <w:sz w:val="20"/>
          <w:szCs w:val="20"/>
          <w:color w:val="auto"/>
        </w:rPr>
        <w:tab/>
      </w:r>
      <w:r>
        <w:rPr>
          <w:rFonts w:ascii="Arial" w:cs="Arial" w:eastAsia="Arial" w:hAnsi="Arial"/>
          <w:sz w:val="15"/>
          <w:szCs w:val="15"/>
          <w:b w:val="1"/>
          <w:bCs w:val="1"/>
          <w:color w:val="auto"/>
        </w:rPr>
        <w:t>Effect on Successors and Assigns</w:t>
      </w:r>
      <w:r>
        <w:rPr>
          <w:rFonts w:ascii="Arial" w:cs="Arial" w:eastAsia="Arial" w:hAnsi="Arial"/>
          <w:sz w:val="15"/>
          <w:szCs w:val="15"/>
          <w:color w:val="auto"/>
        </w:rPr>
        <w:t>.</w:t>
      </w:r>
    </w:p>
    <w:p>
      <w:pPr>
        <w:spacing w:after="0" w:line="121"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274"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13.02</w:t>
      </w:r>
      <w:r>
        <w:rPr>
          <w:sz w:val="20"/>
          <w:szCs w:val="20"/>
          <w:color w:val="auto"/>
        </w:rPr>
        <w:tab/>
      </w:r>
      <w:r>
        <w:rPr>
          <w:rFonts w:ascii="Arial" w:cs="Arial" w:eastAsia="Arial" w:hAnsi="Arial"/>
          <w:sz w:val="15"/>
          <w:szCs w:val="15"/>
          <w:b w:val="1"/>
          <w:bCs w:val="1"/>
          <w:color w:val="auto"/>
        </w:rPr>
        <w:t>Actions by Successor</w:t>
      </w:r>
      <w:r>
        <w:rPr>
          <w:rFonts w:ascii="Arial" w:cs="Arial" w:eastAsia="Arial" w:hAnsi="Arial"/>
          <w:sz w:val="15"/>
          <w:szCs w:val="15"/>
          <w:color w:val="auto"/>
        </w:rPr>
        <w:t>.</w:t>
      </w:r>
    </w:p>
    <w:p>
      <w:pPr>
        <w:spacing w:after="0" w:line="121"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288"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13.03</w:t>
      </w:r>
      <w:r>
        <w:rPr>
          <w:sz w:val="20"/>
          <w:szCs w:val="20"/>
          <w:color w:val="auto"/>
        </w:rPr>
        <w:tab/>
      </w:r>
      <w:r>
        <w:rPr>
          <w:rFonts w:ascii="Arial" w:cs="Arial" w:eastAsia="Arial" w:hAnsi="Arial"/>
          <w:sz w:val="16"/>
          <w:szCs w:val="16"/>
          <w:b w:val="1"/>
          <w:bCs w:val="1"/>
          <w:color w:val="auto"/>
        </w:rPr>
        <w:t>Surrender of Company Powers</w:t>
      </w:r>
      <w:r>
        <w:rPr>
          <w:rFonts w:ascii="Arial" w:cs="Arial" w:eastAsia="Arial" w:hAnsi="Arial"/>
          <w:sz w:val="16"/>
          <w:szCs w:val="16"/>
          <w:color w:val="auto"/>
        </w:rPr>
        <w:t>.</w:t>
      </w:r>
    </w:p>
    <w:p>
      <w:pPr>
        <w:spacing w:after="0" w:line="121"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228"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13.04</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12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94"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13.05</w:t>
      </w:r>
      <w:r>
        <w:rPr>
          <w:sz w:val="20"/>
          <w:szCs w:val="20"/>
          <w:color w:val="auto"/>
        </w:rPr>
        <w:tab/>
      </w:r>
      <w:r>
        <w:rPr>
          <w:rFonts w:ascii="Arial" w:cs="Arial" w:eastAsia="Arial" w:hAnsi="Arial"/>
          <w:sz w:val="16"/>
          <w:szCs w:val="16"/>
          <w:b w:val="1"/>
          <w:bCs w:val="1"/>
          <w:color w:val="auto"/>
        </w:rPr>
        <w:t>Governing Law; Jury Trial Waiver</w:t>
      </w:r>
      <w:r>
        <w:rPr>
          <w:rFonts w:ascii="Arial" w:cs="Arial" w:eastAsia="Arial" w:hAnsi="Arial"/>
          <w:sz w:val="16"/>
          <w:szCs w:val="16"/>
          <w:color w:val="auto"/>
        </w:rPr>
        <w:t>.</w:t>
      </w:r>
    </w:p>
    <w:p>
      <w:pPr>
        <w:spacing w:after="0" w:line="12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This Indenture and each Security shall be governed by, and construed in accordance with, the internal laws of the State of New York, except to the extent that the Trust Indenture Act is applicable.</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144" w:name="page145"/>
    <w:bookmarkEnd w:id="144"/>
    <w:p>
      <w:pPr>
        <w:ind w:left="444"/>
        <w:spacing w:after="0"/>
        <w:tabs>
          <w:tab w:leader="none" w:pos="16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13.06</w:t>
      </w:r>
      <w:r>
        <w:rPr>
          <w:sz w:val="20"/>
          <w:szCs w:val="20"/>
          <w:color w:val="auto"/>
        </w:rPr>
        <w:tab/>
      </w:r>
      <w:r>
        <w:rPr>
          <w:rFonts w:ascii="Arial" w:cs="Arial" w:eastAsia="Arial" w:hAnsi="Arial"/>
          <w:sz w:val="16"/>
          <w:szCs w:val="16"/>
          <w:b w:val="1"/>
          <w:bCs w:val="1"/>
          <w:color w:val="auto"/>
        </w:rPr>
        <w:t>Treatment of Securities as Debt</w:t>
      </w:r>
      <w:r>
        <w:rPr>
          <w:rFonts w:ascii="Arial" w:cs="Arial" w:eastAsia="Arial" w:hAnsi="Arial"/>
          <w:sz w:val="16"/>
          <w:szCs w:val="16"/>
          <w:color w:val="auto"/>
        </w:rPr>
        <w:t>.</w:t>
      </w:r>
    </w:p>
    <w:p>
      <w:pPr>
        <w:spacing w:after="0" w:line="121"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274" w:lineRule="exact"/>
        <w:rPr>
          <w:sz w:val="20"/>
          <w:szCs w:val="20"/>
          <w:color w:val="auto"/>
        </w:rPr>
      </w:pPr>
    </w:p>
    <w:p>
      <w:pPr>
        <w:ind w:left="444"/>
        <w:spacing w:after="0"/>
        <w:tabs>
          <w:tab w:leader="none" w:pos="1604" w:val="left"/>
        </w:tabs>
        <w:rPr>
          <w:sz w:val="20"/>
          <w:szCs w:val="20"/>
          <w:color w:val="auto"/>
        </w:rPr>
      </w:pPr>
      <w:r>
        <w:rPr>
          <w:rFonts w:ascii="Arial" w:cs="Arial" w:eastAsia="Arial" w:hAnsi="Arial"/>
          <w:sz w:val="18"/>
          <w:szCs w:val="18"/>
          <w:b w:val="1"/>
          <w:bCs w:val="1"/>
          <w:color w:val="auto"/>
        </w:rPr>
        <w:t>Section 13.07</w:t>
      </w:r>
      <w:r>
        <w:rPr>
          <w:sz w:val="20"/>
          <w:szCs w:val="20"/>
          <w:color w:val="auto"/>
        </w:rPr>
        <w:tab/>
      </w:r>
      <w:r>
        <w:rPr>
          <w:rFonts w:ascii="Arial" w:cs="Arial" w:eastAsia="Arial" w:hAnsi="Arial"/>
          <w:sz w:val="16"/>
          <w:szCs w:val="16"/>
          <w:b w:val="1"/>
          <w:bCs w:val="1"/>
          <w:color w:val="auto"/>
        </w:rPr>
        <w:t>Certificates and Opinions as to Conditions Precedent</w:t>
      </w:r>
      <w:r>
        <w:rPr>
          <w:rFonts w:ascii="Arial" w:cs="Arial" w:eastAsia="Arial" w:hAnsi="Arial"/>
          <w:sz w:val="16"/>
          <w:szCs w:val="16"/>
          <w:color w:val="auto"/>
        </w:rPr>
        <w:t>.</w:t>
      </w:r>
    </w:p>
    <w:p>
      <w:pPr>
        <w:spacing w:after="0" w:line="121" w:lineRule="exact"/>
        <w:rPr>
          <w:sz w:val="20"/>
          <w:szCs w:val="20"/>
          <w:color w:val="auto"/>
        </w:rPr>
      </w:pPr>
    </w:p>
    <w:p>
      <w:pPr>
        <w:ind w:left="4" w:firstLine="987"/>
        <w:spacing w:after="0" w:line="255" w:lineRule="auto"/>
        <w:tabs>
          <w:tab w:leader="none" w:pos="1385" w:val="left"/>
        </w:tabs>
        <w:numPr>
          <w:ilvl w:val="1"/>
          <w:numId w:val="151"/>
        </w:numPr>
        <w:rPr>
          <w:rFonts w:ascii="Arial" w:cs="Arial" w:eastAsia="Arial" w:hAnsi="Arial"/>
          <w:sz w:val="18"/>
          <w:szCs w:val="18"/>
          <w:b w:val="1"/>
          <w:bCs w:val="1"/>
          <w:color w:val="auto"/>
        </w:rPr>
      </w:pPr>
      <w:r>
        <w:rPr>
          <w:rFonts w:ascii="Arial" w:cs="Arial" w:eastAsia="Arial" w:hAnsi="Arial"/>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92" w:lineRule="exact"/>
        <w:rPr>
          <w:rFonts w:ascii="Arial" w:cs="Arial" w:eastAsia="Arial" w:hAnsi="Arial"/>
          <w:sz w:val="18"/>
          <w:szCs w:val="18"/>
          <w:b w:val="1"/>
          <w:bCs w:val="1"/>
          <w:color w:val="auto"/>
        </w:rPr>
      </w:pPr>
    </w:p>
    <w:p>
      <w:pPr>
        <w:ind w:left="4" w:right="100" w:firstLine="987"/>
        <w:spacing w:after="0" w:line="286" w:lineRule="auto"/>
        <w:tabs>
          <w:tab w:leader="none" w:pos="1395" w:val="left"/>
        </w:tabs>
        <w:numPr>
          <w:ilvl w:val="1"/>
          <w:numId w:val="151"/>
        </w:numPr>
        <w:rPr>
          <w:rFonts w:ascii="Arial" w:cs="Arial" w:eastAsia="Arial" w:hAnsi="Arial"/>
          <w:sz w:val="16"/>
          <w:szCs w:val="16"/>
          <w:b w:val="1"/>
          <w:bCs w:val="1"/>
          <w:color w:val="auto"/>
        </w:rPr>
      </w:pPr>
      <w:r>
        <w:rPr>
          <w:rFonts w:ascii="Arial" w:cs="Arial" w:eastAsia="Arial" w:hAnsi="Arial"/>
          <w:sz w:val="16"/>
          <w:szCs w:val="16"/>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w:t>
      </w:r>
    </w:p>
    <w:p>
      <w:pPr>
        <w:spacing w:after="0" w:line="1" w:lineRule="exact"/>
        <w:rPr>
          <w:rFonts w:ascii="Arial" w:cs="Arial" w:eastAsia="Arial" w:hAnsi="Arial"/>
          <w:sz w:val="16"/>
          <w:szCs w:val="16"/>
          <w:b w:val="1"/>
          <w:bCs w:val="1"/>
          <w:color w:val="auto"/>
        </w:rPr>
      </w:pPr>
    </w:p>
    <w:p>
      <w:pPr>
        <w:ind w:left="4" w:right="40" w:hanging="4"/>
        <w:spacing w:after="0" w:line="255" w:lineRule="auto"/>
        <w:tabs>
          <w:tab w:leader="none" w:pos="31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294" w:lineRule="exact"/>
        <w:rPr>
          <w:sz w:val="20"/>
          <w:szCs w:val="20"/>
          <w:color w:val="auto"/>
        </w:rPr>
      </w:pPr>
    </w:p>
    <w:p>
      <w:pPr>
        <w:ind w:left="444"/>
        <w:spacing w:after="0"/>
        <w:tabs>
          <w:tab w:leader="none" w:pos="1604" w:val="left"/>
        </w:tabs>
        <w:rPr>
          <w:sz w:val="20"/>
          <w:szCs w:val="20"/>
          <w:color w:val="auto"/>
        </w:rPr>
      </w:pPr>
      <w:r>
        <w:rPr>
          <w:rFonts w:ascii="Arial" w:cs="Arial" w:eastAsia="Arial" w:hAnsi="Arial"/>
          <w:sz w:val="18"/>
          <w:szCs w:val="18"/>
          <w:b w:val="1"/>
          <w:bCs w:val="1"/>
          <w:color w:val="auto"/>
        </w:rPr>
        <w:t>Section 13.08</w:t>
      </w:r>
      <w:r>
        <w:rPr>
          <w:sz w:val="20"/>
          <w:szCs w:val="20"/>
          <w:color w:val="auto"/>
        </w:rPr>
        <w:tab/>
      </w:r>
      <w:r>
        <w:rPr>
          <w:rFonts w:ascii="Arial" w:cs="Arial" w:eastAsia="Arial" w:hAnsi="Arial"/>
          <w:sz w:val="15"/>
          <w:szCs w:val="15"/>
          <w:b w:val="1"/>
          <w:bCs w:val="1"/>
          <w:color w:val="auto"/>
        </w:rPr>
        <w:t>Payments on Business Days</w:t>
      </w:r>
      <w:r>
        <w:rPr>
          <w:rFonts w:ascii="Arial" w:cs="Arial" w:eastAsia="Arial" w:hAnsi="Arial"/>
          <w:sz w:val="15"/>
          <w:szCs w:val="15"/>
          <w:color w:val="auto"/>
        </w:rPr>
        <w:t>.</w:t>
      </w:r>
    </w:p>
    <w:p>
      <w:pPr>
        <w:spacing w:after="0" w:line="121"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292" w:lineRule="exact"/>
        <w:rPr>
          <w:sz w:val="20"/>
          <w:szCs w:val="20"/>
          <w:color w:val="auto"/>
        </w:rPr>
      </w:pPr>
    </w:p>
    <w:p>
      <w:pPr>
        <w:ind w:left="444"/>
        <w:spacing w:after="0"/>
        <w:tabs>
          <w:tab w:leader="none" w:pos="1604" w:val="left"/>
        </w:tabs>
        <w:rPr>
          <w:sz w:val="20"/>
          <w:szCs w:val="20"/>
          <w:color w:val="auto"/>
        </w:rPr>
      </w:pPr>
      <w:r>
        <w:rPr>
          <w:rFonts w:ascii="Arial" w:cs="Arial" w:eastAsia="Arial" w:hAnsi="Arial"/>
          <w:sz w:val="18"/>
          <w:szCs w:val="18"/>
          <w:b w:val="1"/>
          <w:bCs w:val="1"/>
          <w:color w:val="auto"/>
        </w:rPr>
        <w:t>Section 13.09</w:t>
      </w:r>
      <w:r>
        <w:rPr>
          <w:sz w:val="20"/>
          <w:szCs w:val="20"/>
          <w:color w:val="auto"/>
        </w:rPr>
        <w:tab/>
      </w:r>
      <w:r>
        <w:rPr>
          <w:rFonts w:ascii="Arial" w:cs="Arial" w:eastAsia="Arial" w:hAnsi="Arial"/>
          <w:sz w:val="16"/>
          <w:szCs w:val="16"/>
          <w:b w:val="1"/>
          <w:bCs w:val="1"/>
          <w:color w:val="auto"/>
        </w:rPr>
        <w:t>Conflict with Trust Indenture Act</w:t>
      </w:r>
      <w:r>
        <w:rPr>
          <w:rFonts w:ascii="Arial" w:cs="Arial" w:eastAsia="Arial" w:hAnsi="Arial"/>
          <w:sz w:val="16"/>
          <w:szCs w:val="16"/>
          <w:color w:val="auto"/>
        </w:rPr>
        <w:t>.</w:t>
      </w:r>
    </w:p>
    <w:p>
      <w:pPr>
        <w:spacing w:after="0" w:line="121"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 318(c) of the Trust Indenture Act, such imposed duties shall control.</w:t>
      </w:r>
    </w:p>
    <w:p>
      <w:pPr>
        <w:spacing w:after="0" w:line="274" w:lineRule="exact"/>
        <w:rPr>
          <w:sz w:val="20"/>
          <w:szCs w:val="20"/>
          <w:color w:val="auto"/>
        </w:rPr>
      </w:pPr>
    </w:p>
    <w:p>
      <w:pPr>
        <w:ind w:left="444"/>
        <w:spacing w:after="0"/>
        <w:tabs>
          <w:tab w:leader="none" w:pos="1604" w:val="left"/>
        </w:tabs>
        <w:rPr>
          <w:sz w:val="20"/>
          <w:szCs w:val="20"/>
          <w:color w:val="auto"/>
        </w:rPr>
      </w:pPr>
      <w:r>
        <w:rPr>
          <w:rFonts w:ascii="Arial" w:cs="Arial" w:eastAsia="Arial" w:hAnsi="Arial"/>
          <w:sz w:val="18"/>
          <w:szCs w:val="18"/>
          <w:b w:val="1"/>
          <w:bCs w:val="1"/>
          <w:color w:val="auto"/>
        </w:rPr>
        <w:t>Section 13.10</w:t>
      </w:r>
      <w:r>
        <w:rPr>
          <w:sz w:val="20"/>
          <w:szCs w:val="20"/>
          <w:color w:val="auto"/>
        </w:rPr>
        <w:tab/>
      </w:r>
      <w:r>
        <w:rPr>
          <w:rFonts w:ascii="Arial" w:cs="Arial" w:eastAsia="Arial" w:hAnsi="Arial"/>
          <w:sz w:val="16"/>
          <w:szCs w:val="16"/>
          <w:b w:val="1"/>
          <w:bCs w:val="1"/>
          <w:color w:val="auto"/>
        </w:rPr>
        <w:t>Counterparts</w:t>
      </w:r>
      <w:r>
        <w:rPr>
          <w:rFonts w:ascii="Arial" w:cs="Arial" w:eastAsia="Arial" w:hAnsi="Arial"/>
          <w:sz w:val="16"/>
          <w:szCs w:val="16"/>
          <w:color w:val="auto"/>
        </w:rPr>
        <w:t>.</w:t>
      </w:r>
    </w:p>
    <w:p>
      <w:pPr>
        <w:spacing w:after="0" w:line="121"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275" w:lineRule="exact"/>
        <w:rPr>
          <w:sz w:val="20"/>
          <w:szCs w:val="20"/>
          <w:color w:val="auto"/>
        </w:rPr>
      </w:pPr>
    </w:p>
    <w:p>
      <w:pPr>
        <w:ind w:left="444"/>
        <w:spacing w:after="0"/>
        <w:tabs>
          <w:tab w:leader="none" w:pos="1604" w:val="left"/>
        </w:tabs>
        <w:rPr>
          <w:sz w:val="20"/>
          <w:szCs w:val="20"/>
          <w:color w:val="auto"/>
        </w:rPr>
      </w:pPr>
      <w:r>
        <w:rPr>
          <w:rFonts w:ascii="Arial" w:cs="Arial" w:eastAsia="Arial" w:hAnsi="Arial"/>
          <w:sz w:val="18"/>
          <w:szCs w:val="18"/>
          <w:b w:val="1"/>
          <w:bCs w:val="1"/>
          <w:color w:val="auto"/>
        </w:rPr>
        <w:t>Section 13.11</w:t>
      </w:r>
      <w:r>
        <w:rPr>
          <w:sz w:val="20"/>
          <w:szCs w:val="20"/>
          <w:color w:val="auto"/>
        </w:rPr>
        <w:tab/>
      </w:r>
      <w:r>
        <w:rPr>
          <w:rFonts w:ascii="Arial" w:cs="Arial" w:eastAsia="Arial" w:hAnsi="Arial"/>
          <w:sz w:val="16"/>
          <w:szCs w:val="16"/>
          <w:b w:val="1"/>
          <w:bCs w:val="1"/>
          <w:color w:val="auto"/>
        </w:rPr>
        <w:t>Separability</w:t>
      </w:r>
      <w:r>
        <w:rPr>
          <w:rFonts w:ascii="Arial" w:cs="Arial" w:eastAsia="Arial" w:hAnsi="Arial"/>
          <w:sz w:val="16"/>
          <w:szCs w:val="16"/>
          <w:color w:val="auto"/>
        </w:rPr>
        <w:t>.</w:t>
      </w:r>
    </w:p>
    <w:p>
      <w:pPr>
        <w:spacing w:after="0" w:line="121" w:lineRule="exact"/>
        <w:rPr>
          <w:sz w:val="20"/>
          <w:szCs w:val="20"/>
          <w:color w:val="auto"/>
        </w:rPr>
      </w:pPr>
    </w:p>
    <w:p>
      <w:pPr>
        <w:jc w:val="both"/>
        <w:ind w:left="4" w:right="240" w:firstLine="440"/>
        <w:spacing w:after="0" w:line="259" w:lineRule="auto"/>
        <w:rPr>
          <w:sz w:val="20"/>
          <w:szCs w:val="20"/>
          <w:color w:val="auto"/>
        </w:rPr>
      </w:pPr>
      <w:r>
        <w:rPr>
          <w:rFonts w:ascii="Arial" w:cs="Arial" w:eastAsia="Arial" w:hAnsi="Arial"/>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0" w:right="459" w:bottom="1440" w:gutter="0" w:footer="0" w:header="0"/>
        </w:sectPr>
      </w:pPr>
    </w:p>
    <w:bookmarkStart w:id="145" w:name="page146"/>
    <w:bookmarkEnd w:id="145"/>
    <w:p>
      <w:pPr>
        <w:ind w:left="440"/>
        <w:spacing w:after="0"/>
        <w:tabs>
          <w:tab w:leader="none" w:pos="1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13.12</w:t>
      </w:r>
      <w:r>
        <w:rPr>
          <w:sz w:val="20"/>
          <w:szCs w:val="20"/>
          <w:color w:val="auto"/>
        </w:rPr>
        <w:tab/>
      </w:r>
      <w:r>
        <w:rPr>
          <w:rFonts w:ascii="Arial" w:cs="Arial" w:eastAsia="Arial" w:hAnsi="Arial"/>
          <w:sz w:val="16"/>
          <w:szCs w:val="16"/>
          <w:b w:val="1"/>
          <w:bCs w:val="1"/>
          <w:color w:val="auto"/>
        </w:rPr>
        <w:t>Compliance Certificates</w:t>
      </w:r>
      <w:r>
        <w:rPr>
          <w:rFonts w:ascii="Arial" w:cs="Arial" w:eastAsia="Arial" w:hAnsi="Arial"/>
          <w:sz w:val="16"/>
          <w:szCs w:val="16"/>
          <w:color w:val="auto"/>
        </w:rPr>
        <w:t>.</w:t>
      </w:r>
    </w:p>
    <w:p>
      <w:pPr>
        <w:spacing w:after="0" w:line="12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281"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13.13</w:t>
      </w:r>
      <w:r>
        <w:rPr>
          <w:sz w:val="20"/>
          <w:szCs w:val="20"/>
          <w:color w:val="auto"/>
        </w:rPr>
        <w:tab/>
      </w:r>
      <w:r>
        <w:rPr>
          <w:rFonts w:ascii="Arial" w:cs="Arial" w:eastAsia="Arial" w:hAnsi="Arial"/>
          <w:sz w:val="16"/>
          <w:szCs w:val="16"/>
          <w:b w:val="1"/>
          <w:bCs w:val="1"/>
          <w:color w:val="auto"/>
        </w:rPr>
        <w:t>U.S.A Patriot Act</w:t>
      </w:r>
      <w:r>
        <w:rPr>
          <w:rFonts w:ascii="Arial" w:cs="Arial" w:eastAsia="Arial" w:hAnsi="Arial"/>
          <w:sz w:val="16"/>
          <w:szCs w:val="16"/>
          <w:color w:val="auto"/>
        </w:rPr>
        <w:t>.</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275"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13.14</w:t>
      </w:r>
      <w:r>
        <w:rPr>
          <w:sz w:val="20"/>
          <w:szCs w:val="20"/>
          <w:color w:val="auto"/>
        </w:rPr>
        <w:tab/>
      </w:r>
      <w:r>
        <w:rPr>
          <w:rFonts w:ascii="Arial" w:cs="Arial" w:eastAsia="Arial" w:hAnsi="Arial"/>
          <w:sz w:val="16"/>
          <w:szCs w:val="16"/>
          <w:b w:val="1"/>
          <w:bCs w:val="1"/>
          <w:color w:val="auto"/>
        </w:rPr>
        <w:t>Force Majeure</w:t>
      </w:r>
      <w:r>
        <w:rPr>
          <w:rFonts w:ascii="Arial" w:cs="Arial" w:eastAsia="Arial" w:hAnsi="Arial"/>
          <w:sz w:val="16"/>
          <w:szCs w:val="16"/>
          <w:color w:val="auto"/>
        </w:rPr>
        <w:t>.</w:t>
      </w:r>
    </w:p>
    <w:p>
      <w:pPr>
        <w:spacing w:after="0" w:line="121"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282"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13.15</w:t>
      </w:r>
      <w:r>
        <w:rPr>
          <w:sz w:val="20"/>
          <w:szCs w:val="20"/>
          <w:color w:val="auto"/>
        </w:rPr>
        <w:tab/>
      </w:r>
      <w:r>
        <w:rPr>
          <w:rFonts w:ascii="Arial" w:cs="Arial" w:eastAsia="Arial" w:hAnsi="Arial"/>
          <w:sz w:val="16"/>
          <w:szCs w:val="16"/>
          <w:b w:val="1"/>
          <w:bCs w:val="1"/>
          <w:color w:val="auto"/>
        </w:rPr>
        <w:t>Table of Contents; Headings</w:t>
      </w:r>
      <w:r>
        <w:rPr>
          <w:rFonts w:ascii="Arial" w:cs="Arial" w:eastAsia="Arial" w:hAnsi="Arial"/>
          <w:sz w:val="16"/>
          <w:szCs w:val="16"/>
          <w:color w:val="auto"/>
        </w:rPr>
        <w:t>.</w:t>
      </w:r>
    </w:p>
    <w:p>
      <w:pPr>
        <w:spacing w:after="0" w:line="12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0" w:right="45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color w:val="auto"/>
        </w:rPr>
        <w:t>, the parties hereto have caused this Indenture to be duly executed all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[TRUSTEE], as Trustee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9780"/>
          </w:cols>
          <w:pgMar w:left="880" w:top="270" w:right="1239" w:bottom="1440" w:gutter="0" w:footer="0" w:header="0"/>
        </w:sectPr>
      </w:pPr>
    </w:p>
    <w:bookmarkStart w:id="147" w:name="page148"/>
    <w:bookmarkEnd w:id="147"/>
    <w:p>
      <w:pPr>
        <w:jc w:val="center"/>
        <w:ind w:right="-3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CROSS-REFERENCE TABLE (1)</w:t>
      </w:r>
    </w:p>
    <w:p>
      <w:pPr>
        <w:spacing w:after="0" w:line="248" w:lineRule="exact"/>
        <w:rPr>
          <w:sz w:val="20"/>
          <w:szCs w:val="20"/>
          <w:color w:val="auto"/>
        </w:rPr>
      </w:pPr>
    </w:p>
    <w:tbl>
      <w:tblPr>
        <w:tblLayout w:type="fixed"/>
        <w:tblInd w:w="1764" w:type="dxa"/>
        <w:tblCellMar>
          <w:top w:w="0" w:type="dxa"/>
          <w:left w:w="0" w:type="dxa"/>
          <w:bottom w:w="0" w:type="dxa"/>
          <w:right w:w="0" w:type="dxa"/>
        </w:tblCellMar>
      </w:tblPr>
      <w:tr>
        <w:trPr>
          <w:trHeight w:val="185"/>
        </w:trPr>
        <w:tc>
          <w:tcPr>
            <w:tcW w:w="4880" w:type="dxa"/>
            <w:vAlign w:val="bottom"/>
          </w:tcPr>
          <w:p>
            <w:pPr>
              <w:spacing w:after="0"/>
              <w:rPr>
                <w:sz w:val="20"/>
                <w:szCs w:val="20"/>
                <w:color w:val="auto"/>
              </w:rPr>
            </w:pPr>
            <w:r>
              <w:rPr>
                <w:rFonts w:ascii="Arial" w:cs="Arial" w:eastAsia="Arial" w:hAnsi="Arial"/>
                <w:sz w:val="14"/>
                <w:szCs w:val="14"/>
                <w:b w:val="1"/>
                <w:bCs w:val="1"/>
                <w:color w:val="auto"/>
              </w:rPr>
              <w:t>Section of Trust Indenture Act of 1939, as Amended</w:t>
            </w:r>
          </w:p>
        </w:tc>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Section of Indenture</w:t>
            </w:r>
          </w:p>
        </w:tc>
      </w:tr>
      <w:tr>
        <w:trPr>
          <w:trHeight w:val="195"/>
        </w:trPr>
        <w:tc>
          <w:tcPr>
            <w:tcW w:w="4880" w:type="dxa"/>
            <w:vAlign w:val="bottom"/>
          </w:tcPr>
          <w:p>
            <w:pPr>
              <w:spacing w:after="0" w:line="195" w:lineRule="exact"/>
              <w:rPr>
                <w:sz w:val="20"/>
                <w:szCs w:val="20"/>
                <w:color w:val="auto"/>
              </w:rPr>
            </w:pPr>
            <w:r>
              <w:rPr>
                <w:rFonts w:ascii="Arial" w:cs="Arial" w:eastAsia="Arial" w:hAnsi="Arial"/>
                <w:sz w:val="18"/>
                <w:szCs w:val="18"/>
                <w:color w:val="auto"/>
              </w:rPr>
              <w:t>310(a)</w:t>
            </w:r>
          </w:p>
        </w:tc>
        <w:tc>
          <w:tcPr>
            <w:tcW w:w="2600" w:type="dxa"/>
            <w:vAlign w:val="bottom"/>
          </w:tcPr>
          <w:p>
            <w:pPr>
              <w:spacing w:after="0" w:line="195" w:lineRule="exact"/>
              <w:rPr>
                <w:sz w:val="20"/>
                <w:szCs w:val="20"/>
                <w:color w:val="auto"/>
              </w:rPr>
            </w:pPr>
            <w:r>
              <w:rPr>
                <w:rFonts w:ascii="Arial" w:cs="Arial" w:eastAsia="Arial" w:hAnsi="Arial"/>
                <w:sz w:val="18"/>
                <w:szCs w:val="18"/>
                <w:color w:val="auto"/>
              </w:rPr>
              <w:t>7.09</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310(b)</w:t>
            </w:r>
          </w:p>
        </w:tc>
        <w:tc>
          <w:tcPr>
            <w:tcW w:w="2600" w:type="dxa"/>
            <w:vAlign w:val="bottom"/>
          </w:tcPr>
          <w:p>
            <w:pPr>
              <w:spacing w:after="0"/>
              <w:rPr>
                <w:sz w:val="20"/>
                <w:szCs w:val="20"/>
                <w:color w:val="auto"/>
              </w:rPr>
            </w:pPr>
            <w:r>
              <w:rPr>
                <w:rFonts w:ascii="Arial" w:cs="Arial" w:eastAsia="Arial" w:hAnsi="Arial"/>
                <w:sz w:val="18"/>
                <w:szCs w:val="18"/>
                <w:color w:val="auto"/>
              </w:rPr>
              <w:t>7.08</w:t>
            </w:r>
          </w:p>
        </w:tc>
      </w:tr>
      <w:tr>
        <w:trPr>
          <w:trHeight w:val="216"/>
        </w:trPr>
        <w:tc>
          <w:tcPr>
            <w:tcW w:w="488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7.10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310(c)</w:t>
            </w:r>
          </w:p>
        </w:tc>
        <w:tc>
          <w:tcPr>
            <w:tcW w:w="260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311(a)</w:t>
            </w:r>
          </w:p>
        </w:tc>
        <w:tc>
          <w:tcPr>
            <w:tcW w:w="2600" w:type="dxa"/>
            <w:vAlign w:val="bottom"/>
          </w:tcPr>
          <w:p>
            <w:pPr>
              <w:spacing w:after="0"/>
              <w:rPr>
                <w:sz w:val="20"/>
                <w:szCs w:val="20"/>
                <w:color w:val="auto"/>
              </w:rPr>
            </w:pPr>
            <w:r>
              <w:rPr>
                <w:rFonts w:ascii="Arial" w:cs="Arial" w:eastAsia="Arial" w:hAnsi="Arial"/>
                <w:sz w:val="18"/>
                <w:szCs w:val="18"/>
                <w:color w:val="auto"/>
              </w:rPr>
              <w:t>7.13</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311(b)</w:t>
            </w:r>
          </w:p>
        </w:tc>
        <w:tc>
          <w:tcPr>
            <w:tcW w:w="2600" w:type="dxa"/>
            <w:vAlign w:val="bottom"/>
          </w:tcPr>
          <w:p>
            <w:pPr>
              <w:spacing w:after="0"/>
              <w:rPr>
                <w:sz w:val="20"/>
                <w:szCs w:val="20"/>
                <w:color w:val="auto"/>
              </w:rPr>
            </w:pPr>
            <w:r>
              <w:rPr>
                <w:rFonts w:ascii="Arial" w:cs="Arial" w:eastAsia="Arial" w:hAnsi="Arial"/>
                <w:sz w:val="18"/>
                <w:szCs w:val="18"/>
                <w:color w:val="auto"/>
              </w:rPr>
              <w:t>7.13</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311(c)</w:t>
            </w:r>
          </w:p>
        </w:tc>
        <w:tc>
          <w:tcPr>
            <w:tcW w:w="260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312(a)</w:t>
            </w:r>
          </w:p>
        </w:tc>
        <w:tc>
          <w:tcPr>
            <w:tcW w:w="2600" w:type="dxa"/>
            <w:vAlign w:val="bottom"/>
          </w:tcPr>
          <w:p>
            <w:pPr>
              <w:spacing w:after="0"/>
              <w:rPr>
                <w:sz w:val="20"/>
                <w:szCs w:val="20"/>
                <w:color w:val="auto"/>
              </w:rPr>
            </w:pPr>
            <w:r>
              <w:rPr>
                <w:rFonts w:ascii="Arial" w:cs="Arial" w:eastAsia="Arial" w:hAnsi="Arial"/>
                <w:sz w:val="18"/>
                <w:szCs w:val="18"/>
                <w:color w:val="auto"/>
              </w:rPr>
              <w:t>5.01</w:t>
            </w:r>
          </w:p>
        </w:tc>
      </w:tr>
      <w:tr>
        <w:trPr>
          <w:trHeight w:val="216"/>
        </w:trPr>
        <w:tc>
          <w:tcPr>
            <w:tcW w:w="488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5.02(a)</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312(b)</w:t>
            </w:r>
          </w:p>
        </w:tc>
        <w:tc>
          <w:tcPr>
            <w:tcW w:w="2600" w:type="dxa"/>
            <w:vAlign w:val="bottom"/>
          </w:tcPr>
          <w:p>
            <w:pPr>
              <w:spacing w:after="0"/>
              <w:rPr>
                <w:sz w:val="20"/>
                <w:szCs w:val="20"/>
                <w:color w:val="auto"/>
              </w:rPr>
            </w:pPr>
            <w:r>
              <w:rPr>
                <w:rFonts w:ascii="Arial" w:cs="Arial" w:eastAsia="Arial" w:hAnsi="Arial"/>
                <w:sz w:val="18"/>
                <w:szCs w:val="18"/>
                <w:color w:val="auto"/>
              </w:rPr>
              <w:t>5.02(c)</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312(c)</w:t>
            </w:r>
          </w:p>
        </w:tc>
        <w:tc>
          <w:tcPr>
            <w:tcW w:w="2600" w:type="dxa"/>
            <w:vAlign w:val="bottom"/>
          </w:tcPr>
          <w:p>
            <w:pPr>
              <w:spacing w:after="0"/>
              <w:rPr>
                <w:sz w:val="20"/>
                <w:szCs w:val="20"/>
                <w:color w:val="auto"/>
              </w:rPr>
            </w:pPr>
            <w:r>
              <w:rPr>
                <w:rFonts w:ascii="Arial" w:cs="Arial" w:eastAsia="Arial" w:hAnsi="Arial"/>
                <w:sz w:val="18"/>
                <w:szCs w:val="18"/>
                <w:color w:val="auto"/>
              </w:rPr>
              <w:t>5.02(c)</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313(a)</w:t>
            </w:r>
          </w:p>
        </w:tc>
        <w:tc>
          <w:tcPr>
            <w:tcW w:w="2600" w:type="dxa"/>
            <w:vAlign w:val="bottom"/>
          </w:tcPr>
          <w:p>
            <w:pPr>
              <w:spacing w:after="0"/>
              <w:rPr>
                <w:sz w:val="20"/>
                <w:szCs w:val="20"/>
                <w:color w:val="auto"/>
              </w:rPr>
            </w:pPr>
            <w:r>
              <w:rPr>
                <w:rFonts w:ascii="Arial" w:cs="Arial" w:eastAsia="Arial" w:hAnsi="Arial"/>
                <w:sz w:val="18"/>
                <w:szCs w:val="18"/>
                <w:color w:val="auto"/>
              </w:rPr>
              <w:t>5.04(a)</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313(b)</w:t>
            </w:r>
          </w:p>
        </w:tc>
        <w:tc>
          <w:tcPr>
            <w:tcW w:w="2600" w:type="dxa"/>
            <w:vAlign w:val="bottom"/>
          </w:tcPr>
          <w:p>
            <w:pPr>
              <w:spacing w:after="0"/>
              <w:rPr>
                <w:sz w:val="20"/>
                <w:szCs w:val="20"/>
                <w:color w:val="auto"/>
              </w:rPr>
            </w:pPr>
            <w:r>
              <w:rPr>
                <w:rFonts w:ascii="Arial" w:cs="Arial" w:eastAsia="Arial" w:hAnsi="Arial"/>
                <w:sz w:val="18"/>
                <w:szCs w:val="18"/>
                <w:color w:val="auto"/>
              </w:rPr>
              <w:t>5.04(b)</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313(c)</w:t>
            </w:r>
          </w:p>
        </w:tc>
        <w:tc>
          <w:tcPr>
            <w:tcW w:w="2600" w:type="dxa"/>
            <w:vAlign w:val="bottom"/>
          </w:tcPr>
          <w:p>
            <w:pPr>
              <w:spacing w:after="0"/>
              <w:rPr>
                <w:sz w:val="20"/>
                <w:szCs w:val="20"/>
                <w:color w:val="auto"/>
              </w:rPr>
            </w:pPr>
            <w:r>
              <w:rPr>
                <w:rFonts w:ascii="Arial" w:cs="Arial" w:eastAsia="Arial" w:hAnsi="Arial"/>
                <w:sz w:val="18"/>
                <w:szCs w:val="18"/>
                <w:color w:val="auto"/>
              </w:rPr>
              <w:t>5.04(a)</w:t>
            </w:r>
          </w:p>
        </w:tc>
      </w:tr>
      <w:tr>
        <w:trPr>
          <w:trHeight w:val="216"/>
        </w:trPr>
        <w:tc>
          <w:tcPr>
            <w:tcW w:w="488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5.04(b)</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313(d)</w:t>
            </w:r>
          </w:p>
        </w:tc>
        <w:tc>
          <w:tcPr>
            <w:tcW w:w="2600" w:type="dxa"/>
            <w:vAlign w:val="bottom"/>
          </w:tcPr>
          <w:p>
            <w:pPr>
              <w:spacing w:after="0"/>
              <w:rPr>
                <w:sz w:val="20"/>
                <w:szCs w:val="20"/>
                <w:color w:val="auto"/>
              </w:rPr>
            </w:pPr>
            <w:r>
              <w:rPr>
                <w:rFonts w:ascii="Arial" w:cs="Arial" w:eastAsia="Arial" w:hAnsi="Arial"/>
                <w:sz w:val="18"/>
                <w:szCs w:val="18"/>
                <w:color w:val="auto"/>
              </w:rPr>
              <w:t>5.04(c)</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314(a)</w:t>
            </w:r>
          </w:p>
        </w:tc>
        <w:tc>
          <w:tcPr>
            <w:tcW w:w="2600" w:type="dxa"/>
            <w:vAlign w:val="bottom"/>
          </w:tcPr>
          <w:p>
            <w:pPr>
              <w:spacing w:after="0"/>
              <w:rPr>
                <w:sz w:val="20"/>
                <w:szCs w:val="20"/>
                <w:color w:val="auto"/>
              </w:rPr>
            </w:pPr>
            <w:r>
              <w:rPr>
                <w:rFonts w:ascii="Arial" w:cs="Arial" w:eastAsia="Arial" w:hAnsi="Arial"/>
                <w:sz w:val="18"/>
                <w:szCs w:val="18"/>
                <w:color w:val="auto"/>
              </w:rPr>
              <w:t>5.03</w:t>
            </w:r>
          </w:p>
        </w:tc>
      </w:tr>
      <w:tr>
        <w:trPr>
          <w:trHeight w:val="216"/>
        </w:trPr>
        <w:tc>
          <w:tcPr>
            <w:tcW w:w="488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13.12</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314(b)</w:t>
            </w:r>
          </w:p>
        </w:tc>
        <w:tc>
          <w:tcPr>
            <w:tcW w:w="260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314(c)</w:t>
            </w:r>
          </w:p>
        </w:tc>
        <w:tc>
          <w:tcPr>
            <w:tcW w:w="2600" w:type="dxa"/>
            <w:vAlign w:val="bottom"/>
          </w:tcPr>
          <w:p>
            <w:pPr>
              <w:spacing w:after="0"/>
              <w:rPr>
                <w:sz w:val="20"/>
                <w:szCs w:val="20"/>
                <w:color w:val="auto"/>
              </w:rPr>
            </w:pPr>
            <w:r>
              <w:rPr>
                <w:rFonts w:ascii="Arial" w:cs="Arial" w:eastAsia="Arial" w:hAnsi="Arial"/>
                <w:sz w:val="18"/>
                <w:szCs w:val="18"/>
                <w:color w:val="auto"/>
              </w:rPr>
              <w:t>13.07(a)</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314(d)</w:t>
            </w:r>
          </w:p>
        </w:tc>
        <w:tc>
          <w:tcPr>
            <w:tcW w:w="260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314(e)</w:t>
            </w:r>
          </w:p>
        </w:tc>
        <w:tc>
          <w:tcPr>
            <w:tcW w:w="2600" w:type="dxa"/>
            <w:vAlign w:val="bottom"/>
          </w:tcPr>
          <w:p>
            <w:pPr>
              <w:spacing w:after="0"/>
              <w:rPr>
                <w:sz w:val="20"/>
                <w:szCs w:val="20"/>
                <w:color w:val="auto"/>
              </w:rPr>
            </w:pPr>
            <w:r>
              <w:rPr>
                <w:rFonts w:ascii="Arial" w:cs="Arial" w:eastAsia="Arial" w:hAnsi="Arial"/>
                <w:sz w:val="18"/>
                <w:szCs w:val="18"/>
                <w:color w:val="auto"/>
              </w:rPr>
              <w:t>13.07(b)</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314(f)</w:t>
            </w:r>
          </w:p>
        </w:tc>
        <w:tc>
          <w:tcPr>
            <w:tcW w:w="260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315(a)</w:t>
            </w:r>
          </w:p>
        </w:tc>
        <w:tc>
          <w:tcPr>
            <w:tcW w:w="2600" w:type="dxa"/>
            <w:vAlign w:val="bottom"/>
          </w:tcPr>
          <w:p>
            <w:pPr>
              <w:spacing w:after="0"/>
              <w:rPr>
                <w:sz w:val="20"/>
                <w:szCs w:val="20"/>
                <w:color w:val="auto"/>
              </w:rPr>
            </w:pPr>
            <w:r>
              <w:rPr>
                <w:rFonts w:ascii="Arial" w:cs="Arial" w:eastAsia="Arial" w:hAnsi="Arial"/>
                <w:sz w:val="18"/>
                <w:szCs w:val="18"/>
                <w:color w:val="auto"/>
              </w:rPr>
              <w:t>7.01(a)</w:t>
            </w:r>
          </w:p>
        </w:tc>
      </w:tr>
      <w:tr>
        <w:trPr>
          <w:trHeight w:val="216"/>
        </w:trPr>
        <w:tc>
          <w:tcPr>
            <w:tcW w:w="488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7.01(b)</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315(b)</w:t>
            </w:r>
          </w:p>
        </w:tc>
        <w:tc>
          <w:tcPr>
            <w:tcW w:w="2600" w:type="dxa"/>
            <w:vAlign w:val="bottom"/>
          </w:tcPr>
          <w:p>
            <w:pPr>
              <w:spacing w:after="0"/>
              <w:rPr>
                <w:sz w:val="20"/>
                <w:szCs w:val="20"/>
                <w:color w:val="auto"/>
              </w:rPr>
            </w:pPr>
            <w:r>
              <w:rPr>
                <w:rFonts w:ascii="Arial" w:cs="Arial" w:eastAsia="Arial" w:hAnsi="Arial"/>
                <w:sz w:val="18"/>
                <w:szCs w:val="18"/>
                <w:color w:val="auto"/>
              </w:rPr>
              <w:t>7.14</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315(c)</w:t>
            </w:r>
          </w:p>
        </w:tc>
        <w:tc>
          <w:tcPr>
            <w:tcW w:w="2600" w:type="dxa"/>
            <w:vAlign w:val="bottom"/>
          </w:tcPr>
          <w:p>
            <w:pPr>
              <w:spacing w:after="0"/>
              <w:rPr>
                <w:sz w:val="20"/>
                <w:szCs w:val="20"/>
                <w:color w:val="auto"/>
              </w:rPr>
            </w:pPr>
            <w:r>
              <w:rPr>
                <w:rFonts w:ascii="Arial" w:cs="Arial" w:eastAsia="Arial" w:hAnsi="Arial"/>
                <w:sz w:val="18"/>
                <w:szCs w:val="18"/>
                <w:color w:val="auto"/>
              </w:rPr>
              <w:t>7.01</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315(d)</w:t>
            </w:r>
          </w:p>
        </w:tc>
        <w:tc>
          <w:tcPr>
            <w:tcW w:w="2600" w:type="dxa"/>
            <w:vAlign w:val="bottom"/>
          </w:tcPr>
          <w:p>
            <w:pPr>
              <w:spacing w:after="0"/>
              <w:rPr>
                <w:sz w:val="20"/>
                <w:szCs w:val="20"/>
                <w:color w:val="auto"/>
              </w:rPr>
            </w:pPr>
            <w:r>
              <w:rPr>
                <w:rFonts w:ascii="Arial" w:cs="Arial" w:eastAsia="Arial" w:hAnsi="Arial"/>
                <w:sz w:val="18"/>
                <w:szCs w:val="18"/>
                <w:color w:val="auto"/>
              </w:rPr>
              <w:t>7.01(b)</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315(e)</w:t>
            </w:r>
          </w:p>
        </w:tc>
        <w:tc>
          <w:tcPr>
            <w:tcW w:w="2600" w:type="dxa"/>
            <w:vAlign w:val="bottom"/>
          </w:tcPr>
          <w:p>
            <w:pPr>
              <w:spacing w:after="0"/>
              <w:rPr>
                <w:sz w:val="20"/>
                <w:szCs w:val="20"/>
                <w:color w:val="auto"/>
              </w:rPr>
            </w:pPr>
            <w:r>
              <w:rPr>
                <w:rFonts w:ascii="Arial" w:cs="Arial" w:eastAsia="Arial" w:hAnsi="Arial"/>
                <w:sz w:val="18"/>
                <w:szCs w:val="18"/>
                <w:color w:val="auto"/>
              </w:rPr>
              <w:t>6.07</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316(a)</w:t>
            </w:r>
          </w:p>
        </w:tc>
        <w:tc>
          <w:tcPr>
            <w:tcW w:w="2600" w:type="dxa"/>
            <w:vAlign w:val="bottom"/>
          </w:tcPr>
          <w:p>
            <w:pPr>
              <w:spacing w:after="0"/>
              <w:rPr>
                <w:sz w:val="20"/>
                <w:szCs w:val="20"/>
                <w:color w:val="auto"/>
              </w:rPr>
            </w:pPr>
            <w:r>
              <w:rPr>
                <w:rFonts w:ascii="Arial" w:cs="Arial" w:eastAsia="Arial" w:hAnsi="Arial"/>
                <w:sz w:val="18"/>
                <w:szCs w:val="18"/>
                <w:color w:val="auto"/>
              </w:rPr>
              <w:t>6.06</w:t>
            </w:r>
          </w:p>
        </w:tc>
      </w:tr>
      <w:tr>
        <w:trPr>
          <w:trHeight w:val="216"/>
        </w:trPr>
        <w:tc>
          <w:tcPr>
            <w:tcW w:w="488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8.04</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316(b)</w:t>
            </w:r>
          </w:p>
        </w:tc>
        <w:tc>
          <w:tcPr>
            <w:tcW w:w="2600" w:type="dxa"/>
            <w:vAlign w:val="bottom"/>
          </w:tcPr>
          <w:p>
            <w:pPr>
              <w:spacing w:after="0"/>
              <w:rPr>
                <w:sz w:val="20"/>
                <w:szCs w:val="20"/>
                <w:color w:val="auto"/>
              </w:rPr>
            </w:pPr>
            <w:r>
              <w:rPr>
                <w:rFonts w:ascii="Arial" w:cs="Arial" w:eastAsia="Arial" w:hAnsi="Arial"/>
                <w:sz w:val="18"/>
                <w:szCs w:val="18"/>
                <w:color w:val="auto"/>
              </w:rPr>
              <w:t>6.04</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316(c)</w:t>
            </w:r>
          </w:p>
        </w:tc>
        <w:tc>
          <w:tcPr>
            <w:tcW w:w="2600" w:type="dxa"/>
            <w:vAlign w:val="bottom"/>
          </w:tcPr>
          <w:p>
            <w:pPr>
              <w:spacing w:after="0"/>
              <w:rPr>
                <w:sz w:val="20"/>
                <w:szCs w:val="20"/>
                <w:color w:val="auto"/>
              </w:rPr>
            </w:pPr>
            <w:r>
              <w:rPr>
                <w:rFonts w:ascii="Arial" w:cs="Arial" w:eastAsia="Arial" w:hAnsi="Arial"/>
                <w:sz w:val="18"/>
                <w:szCs w:val="18"/>
                <w:color w:val="auto"/>
              </w:rPr>
              <w:t>8.01</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317(a)</w:t>
            </w:r>
          </w:p>
        </w:tc>
        <w:tc>
          <w:tcPr>
            <w:tcW w:w="2600" w:type="dxa"/>
            <w:vAlign w:val="bottom"/>
          </w:tcPr>
          <w:p>
            <w:pPr>
              <w:spacing w:after="0"/>
              <w:rPr>
                <w:sz w:val="20"/>
                <w:szCs w:val="20"/>
                <w:color w:val="auto"/>
              </w:rPr>
            </w:pPr>
            <w:r>
              <w:rPr>
                <w:rFonts w:ascii="Arial" w:cs="Arial" w:eastAsia="Arial" w:hAnsi="Arial"/>
                <w:sz w:val="18"/>
                <w:szCs w:val="18"/>
                <w:color w:val="auto"/>
              </w:rPr>
              <w:t>6.02</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317(b)</w:t>
            </w:r>
          </w:p>
        </w:tc>
        <w:tc>
          <w:tcPr>
            <w:tcW w:w="2600" w:type="dxa"/>
            <w:vAlign w:val="bottom"/>
          </w:tcPr>
          <w:p>
            <w:pPr>
              <w:spacing w:after="0"/>
              <w:rPr>
                <w:sz w:val="20"/>
                <w:szCs w:val="20"/>
                <w:color w:val="auto"/>
              </w:rPr>
            </w:pPr>
            <w:r>
              <w:rPr>
                <w:rFonts w:ascii="Arial" w:cs="Arial" w:eastAsia="Arial" w:hAnsi="Arial"/>
                <w:sz w:val="18"/>
                <w:szCs w:val="18"/>
                <w:color w:val="auto"/>
              </w:rPr>
              <w:t>4.03</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318(a)</w:t>
            </w:r>
          </w:p>
        </w:tc>
        <w:tc>
          <w:tcPr>
            <w:tcW w:w="2600" w:type="dxa"/>
            <w:vAlign w:val="bottom"/>
          </w:tcPr>
          <w:p>
            <w:pPr>
              <w:spacing w:after="0"/>
              <w:rPr>
                <w:sz w:val="20"/>
                <w:szCs w:val="20"/>
                <w:color w:val="auto"/>
              </w:rPr>
            </w:pPr>
            <w:r>
              <w:rPr>
                <w:rFonts w:ascii="Arial" w:cs="Arial" w:eastAsia="Arial" w:hAnsi="Arial"/>
                <w:sz w:val="18"/>
                <w:szCs w:val="18"/>
                <w:color w:val="auto"/>
              </w:rPr>
              <w:t>13.09</w:t>
            </w:r>
          </w:p>
        </w:tc>
      </w:tr>
    </w:tbl>
    <w:p>
      <w:pPr>
        <w:spacing w:after="0" w:line="229" w:lineRule="exact"/>
        <w:rPr>
          <w:sz w:val="20"/>
          <w:szCs w:val="20"/>
          <w:color w:val="auto"/>
        </w:rPr>
      </w:pPr>
    </w:p>
    <w:p>
      <w:pPr>
        <w:ind w:left="424" w:hanging="424"/>
        <w:spacing w:after="0" w:line="277" w:lineRule="auto"/>
        <w:tabs>
          <w:tab w:leader="none" w:pos="4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103" w:lineRule="exact"/>
        <w:rPr>
          <w:sz w:val="20"/>
          <w:szCs w:val="20"/>
          <w:color w:val="auto"/>
        </w:rPr>
      </w:pPr>
    </w:p>
    <w:p>
      <w:pPr>
        <w:jc w:val="center"/>
        <w:ind w:right="-36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644"/>
          </w:cols>
          <w:pgMar w:left="436" w:top="270" w:right="8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NGM BIOPHARMACEUTICALS, INC.</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 AS WARRANT AGENT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FORM OF COMMON STOCK</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WARRANT AGREEMENT</w:t>
      </w:r>
    </w:p>
    <w:p>
      <w:pPr>
        <w:spacing w:after="0" w:line="20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DATED AS OF</w:t>
      </w:r>
    </w:p>
    <w:p>
      <w:pPr>
        <w:sectPr>
          <w:pgSz w:w="11900" w:h="16838" w:orient="portrait"/>
          <w:cols w:equalWidth="0" w:num="1">
            <w:col w:w="10020"/>
          </w:cols>
          <w:pgMar w:left="1440" w:top="121" w:right="4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NGM BIOPHARMACEUTICALS,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COMMON STOCK WARRANT AGREEMENT</w:t>
      </w:r>
    </w:p>
    <w:p>
      <w:pPr>
        <w:spacing w:after="0" w:line="207"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between</w:t>
      </w:r>
      <w:r>
        <w:rPr>
          <w:rFonts w:ascii="Arial" w:cs="Arial" w:eastAsia="Arial" w:hAnsi="Arial"/>
          <w:sz w:val="18"/>
          <w:szCs w:val="18"/>
          <w:b w:val="1"/>
          <w:bCs w:val="1"/>
          <w:color w:val="auto"/>
        </w:rPr>
        <w:t xml:space="preserve"> 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 a [corporation] [national banking association] organized and existing under the laws of [●] and having a corporate trust office in [●],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w:t>
      </w:r>
    </w:p>
    <w:p>
      <w:pPr>
        <w:spacing w:after="0" w:line="17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proposes to sell [If Warrants are sold with other securities —[title of such other securities being offered] (the “</w:t>
      </w: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with] warrant certificates evidencing one or more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or, individually, a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representing the right to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of the Company, par value $0.001 per share (the “</w:t>
      </w:r>
      <w:r>
        <w:rPr>
          <w:rFonts w:ascii="Arial" w:cs="Arial" w:eastAsia="Arial" w:hAnsi="Arial"/>
          <w:sz w:val="18"/>
          <w:szCs w:val="18"/>
          <w:b w:val="1"/>
          <w:bCs w:val="1"/>
          <w:i w:val="1"/>
          <w:iCs w:val="1"/>
          <w:color w:val="auto"/>
        </w:rPr>
        <w:t>Warrant Securities</w:t>
      </w:r>
      <w:r>
        <w:rPr>
          <w:rFonts w:ascii="Arial" w:cs="Arial" w:eastAsia="Arial" w:hAnsi="Arial"/>
          <w:sz w:val="18"/>
          <w:szCs w:val="18"/>
          <w:color w:val="auto"/>
        </w:rPr>
        <w:t>”), such warrant certificates and other warrant certificates issued pursuant to this Agreement being herein called the “</w:t>
      </w:r>
      <w:r>
        <w:rPr>
          <w:rFonts w:ascii="Arial" w:cs="Arial" w:eastAsia="Arial" w:hAnsi="Arial"/>
          <w:sz w:val="18"/>
          <w:szCs w:val="18"/>
          <w:b w:val="1"/>
          <w:bCs w:val="1"/>
          <w:i w:val="1"/>
          <w:iCs w:val="1"/>
          <w:color w:val="auto"/>
        </w:rPr>
        <w:t>Warrant Certificates</w:t>
      </w:r>
      <w:r>
        <w:rPr>
          <w:rFonts w:ascii="Arial" w:cs="Arial" w:eastAsia="Arial" w:hAnsi="Arial"/>
          <w:sz w:val="18"/>
          <w:szCs w:val="18"/>
          <w:color w:val="auto"/>
        </w:rPr>
        <w:t>”; and</w:t>
      </w:r>
    </w:p>
    <w:p>
      <w:pPr>
        <w:spacing w:after="0" w:line="180"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desires the Warrant Agent to act on behalf of the Company, and the Warrant Agent is willing so to act,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OW</w:t>
      </w:r>
      <w:r>
        <w:rPr>
          <w:rFonts w:ascii="Arial" w:cs="Arial" w:eastAsia="Arial" w:hAnsi="Arial"/>
          <w:sz w:val="17"/>
          <w:szCs w:val="17"/>
          <w:b w:val="1"/>
          <w:bCs w:val="1"/>
          <w:color w:val="auto"/>
        </w:rPr>
        <w:t xml:space="preserve"> T</w:t>
      </w:r>
      <w:r>
        <w:rPr>
          <w:rFonts w:ascii="Arial" w:cs="Arial" w:eastAsia="Arial" w:hAnsi="Arial"/>
          <w:sz w:val="13"/>
          <w:szCs w:val="13"/>
          <w:b w:val="1"/>
          <w:bCs w:val="1"/>
          <w:color w:val="auto"/>
        </w:rPr>
        <w:t>HEREFORE</w:t>
      </w:r>
      <w:r>
        <w:rPr>
          <w:rFonts w:ascii="Arial" w:cs="Arial" w:eastAsia="Arial" w:hAnsi="Arial"/>
          <w:sz w:val="17"/>
          <w:szCs w:val="17"/>
          <w:color w:val="auto"/>
        </w:rPr>
        <w:t>, in consideration of the premises and of the mutual agreements herein contained, the parties hereto agree as follows: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ISSUANCE OF WARRANTS AND EXECUTION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WARRANT CERTIFICATES</w:t>
      </w:r>
    </w:p>
    <w:p>
      <w:pPr>
        <w:spacing w:after="0" w:line="207"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b w:val="1"/>
          <w:bCs w:val="1"/>
          <w:color w:val="auto"/>
        </w:rPr>
        <w:t>1.1 Issuance of Warrants</w:t>
      </w:r>
      <w:r>
        <w:rPr>
          <w:rFonts w:ascii="Arial" w:cs="Arial" w:eastAsia="Arial" w:hAnsi="Arial"/>
          <w:sz w:val="16"/>
          <w:szCs w:val="16"/>
          <w:color w:val="auto"/>
        </w:rPr>
        <w:t>. [If Warrants alone —Upon issuance, each Warrant Certificate shall evidence one or more Warrants.] [If Other</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and Warrants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 xml:space="preserve"> —Warrant Certificates will be issued with the Other Securities and each Warrant Certificate will evidence [●] Warrants for each [$[●] principal amount] [[●] shares] of Other Securities issued.]</w:t>
      </w:r>
    </w:p>
    <w:p>
      <w:pPr>
        <w:spacing w:after="0" w:line="15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b w:val="1"/>
          <w:bCs w:val="1"/>
          <w:color w:val="auto"/>
        </w:rPr>
        <w:t>1.2 Execution and Delivery of Warrant Certificates</w:t>
      </w:r>
      <w:r>
        <w:rPr>
          <w:rFonts w:ascii="Arial" w:cs="Arial" w:eastAsia="Arial" w:hAnsi="Arial"/>
          <w:sz w:val="17"/>
          <w:szCs w:val="17"/>
          <w:color w:val="auto"/>
        </w:rPr>
        <w:t>. Each Warrant Certificate, whenever issued, shall be in registered form substantially in</w:t>
      </w:r>
      <w:r>
        <w:rPr>
          <w:rFonts w:ascii="Arial" w:cs="Arial" w:eastAsia="Arial" w:hAnsi="Arial"/>
          <w:sz w:val="17"/>
          <w:szCs w:val="17"/>
          <w:b w:val="1"/>
          <w:bCs w:val="1"/>
          <w:color w:val="auto"/>
        </w:rPr>
        <w:t xml:space="preserve"> </w:t>
      </w:r>
      <w:r>
        <w:rPr>
          <w:rFonts w:ascii="Arial" w:cs="Arial" w:eastAsia="Arial" w:hAnsi="Arial"/>
          <w:sz w:val="17"/>
          <w:szCs w:val="17"/>
          <w:color w:val="auto"/>
        </w:rPr>
        <w:t>the form set forth in Exhibit A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150" w:name="page151"/>
    <w:bookmarkEnd w:id="150"/>
    <w:p>
      <w:pPr>
        <w:jc w:val="both"/>
        <w:ind w:right="20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49"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6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 of a Warrant Certificate</w:t>
      </w:r>
      <w:r>
        <w:rPr>
          <w:rFonts w:ascii="Arial" w:cs="Arial" w:eastAsia="Arial" w:hAnsi="Arial"/>
          <w:sz w:val="18"/>
          <w:szCs w:val="18"/>
          <w:color w:val="auto"/>
        </w:rPr>
        <w:t>” as used herein shall mean any person in whose name at the time any Warrant Certificate shall be registered upon the books to be maintained by the Warrant Agent for that purpose.</w:t>
      </w:r>
    </w:p>
    <w:p>
      <w:pPr>
        <w:spacing w:after="0" w:line="166" w:lineRule="exact"/>
        <w:rPr>
          <w:sz w:val="20"/>
          <w:szCs w:val="20"/>
          <w:color w:val="auto"/>
        </w:rPr>
      </w:pPr>
    </w:p>
    <w:p>
      <w:pPr>
        <w:ind w:right="420" w:firstLine="440"/>
        <w:spacing w:after="0" w:line="261" w:lineRule="auto"/>
        <w:rPr>
          <w:sz w:val="20"/>
          <w:szCs w:val="20"/>
          <w:color w:val="auto"/>
        </w:rPr>
      </w:pPr>
      <w:r>
        <w:rPr>
          <w:rFonts w:ascii="Arial" w:cs="Arial" w:eastAsia="Arial" w:hAnsi="Arial"/>
          <w:sz w:val="18"/>
          <w:szCs w:val="18"/>
          <w:b w:val="1"/>
          <w:bCs w:val="1"/>
          <w:color w:val="auto"/>
        </w:rPr>
        <w:t>1.3 Issuance of Warrant Certificates</w:t>
      </w:r>
      <w:r>
        <w:rPr>
          <w:rFonts w:ascii="Arial" w:cs="Arial" w:eastAsia="Arial" w:hAnsi="Arial"/>
          <w:sz w:val="18"/>
          <w:szCs w:val="18"/>
          <w:color w:val="auto"/>
        </w:rPr>
        <w:t>. Warrant Certificates evidencing the right to purchase Warrant Securities may be executed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PRICE, DURATION AND EXERCISE OF WARRANTS</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2.1 Warrant Price</w:t>
      </w:r>
      <w:r>
        <w:rPr>
          <w:rFonts w:ascii="Arial" w:cs="Arial" w:eastAsia="Arial" w:hAnsi="Arial"/>
          <w:sz w:val="18"/>
          <w:szCs w:val="18"/>
          <w:color w:val="auto"/>
        </w:rPr>
        <w:t>. During the period specified in Section 2.2, each Warrant shall, subject to the terms of this Agreement and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w:t>
      </w:r>
    </w:p>
    <w:p>
      <w:pPr>
        <w:spacing w:after="0" w:line="180"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2.2 Duration of Warrants</w:t>
      </w:r>
      <w:r>
        <w:rPr>
          <w:rFonts w:ascii="Arial" w:cs="Arial" w:eastAsia="Arial" w:hAnsi="Arial"/>
          <w:sz w:val="18"/>
          <w:szCs w:val="18"/>
          <w:color w:val="auto"/>
        </w:rPr>
        <w:t>. Each Warrant may be exercised in whole or in part at any time, as specified herein, on or after [the date thereof] [●]</w:t>
      </w:r>
      <w:r>
        <w:rPr>
          <w:rFonts w:ascii="Arial" w:cs="Arial" w:eastAsia="Arial" w:hAnsi="Arial"/>
          <w:sz w:val="18"/>
          <w:szCs w:val="18"/>
          <w:b w:val="1"/>
          <w:bCs w:val="1"/>
          <w:color w:val="auto"/>
        </w:rPr>
        <w:t xml:space="preserve"> </w:t>
      </w:r>
      <w:r>
        <w:rPr>
          <w:rFonts w:ascii="Arial" w:cs="Arial" w:eastAsia="Arial" w:hAnsi="Arial"/>
          <w:sz w:val="18"/>
          <w:szCs w:val="18"/>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Each Warrant not exercised at or before [●] p.m., [City] time, on the Expiration Date shall become void, and all rights of the holder of the Warrant Certificate evidencing such Warrant under this Agreement shall cease.</w:t>
      </w:r>
    </w:p>
    <w:p>
      <w:pPr>
        <w:spacing w:after="0" w:line="29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Exercise of Warrants</w:t>
      </w:r>
      <w:r>
        <w:rPr>
          <w:rFonts w:ascii="Arial" w:cs="Arial" w:eastAsia="Arial" w:hAnsi="Arial"/>
          <w:sz w:val="16"/>
          <w:szCs w:val="16"/>
          <w:color w:val="auto"/>
        </w:rPr>
        <w:t>.</w:t>
      </w:r>
    </w:p>
    <w:p>
      <w:pPr>
        <w:spacing w:after="0" w:line="121" w:lineRule="exact"/>
        <w:rPr>
          <w:sz w:val="20"/>
          <w:szCs w:val="20"/>
          <w:color w:val="auto"/>
        </w:rPr>
      </w:pPr>
    </w:p>
    <w:p>
      <w:pPr>
        <w:ind w:right="80" w:firstLine="987"/>
        <w:spacing w:after="0" w:line="269" w:lineRule="auto"/>
        <w:tabs>
          <w:tab w:leader="none" w:pos="1381" w:val="left"/>
        </w:tabs>
        <w:numPr>
          <w:ilvl w:val="0"/>
          <w:numId w:val="154"/>
        </w:numPr>
        <w:rPr>
          <w:rFonts w:ascii="Arial" w:cs="Arial" w:eastAsia="Arial" w:hAnsi="Arial"/>
          <w:sz w:val="17"/>
          <w:szCs w:val="17"/>
          <w:b w:val="1"/>
          <w:bCs w:val="1"/>
          <w:color w:val="auto"/>
        </w:rPr>
      </w:pPr>
      <w:r>
        <w:rPr>
          <w:rFonts w:ascii="Arial" w:cs="Arial" w:eastAsia="Arial" w:hAnsi="Arial"/>
          <w:sz w:val="17"/>
          <w:szCs w:val="17"/>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51" w:name="page152"/>
    <w:bookmarkEnd w:id="15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65" w:lineRule="exact"/>
        <w:rPr>
          <w:sz w:val="20"/>
          <w:szCs w:val="20"/>
          <w:color w:val="auto"/>
        </w:rPr>
      </w:pPr>
    </w:p>
    <w:p>
      <w:pPr>
        <w:ind w:right="140" w:firstLine="987"/>
        <w:spacing w:after="0" w:line="301" w:lineRule="auto"/>
        <w:tabs>
          <w:tab w:leader="none" w:pos="1388" w:val="left"/>
        </w:tabs>
        <w:numPr>
          <w:ilvl w:val="0"/>
          <w:numId w:val="155"/>
        </w:numPr>
        <w:rPr>
          <w:rFonts w:ascii="Arial" w:cs="Arial" w:eastAsia="Arial" w:hAnsi="Arial"/>
          <w:sz w:val="16"/>
          <w:szCs w:val="16"/>
          <w:b w:val="1"/>
          <w:bCs w:val="1"/>
          <w:color w:val="auto"/>
        </w:rPr>
      </w:pPr>
      <w:r>
        <w:rPr>
          <w:rFonts w:ascii="Arial" w:cs="Arial" w:eastAsia="Arial" w:hAnsi="Arial"/>
          <w:sz w:val="16"/>
          <w:szCs w:val="16"/>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57" w:lineRule="exact"/>
        <w:rPr>
          <w:rFonts w:ascii="Arial" w:cs="Arial" w:eastAsia="Arial" w:hAnsi="Arial"/>
          <w:sz w:val="16"/>
          <w:szCs w:val="16"/>
          <w:b w:val="1"/>
          <w:bCs w:val="1"/>
          <w:color w:val="auto"/>
        </w:rPr>
      </w:pPr>
    </w:p>
    <w:p>
      <w:pPr>
        <w:ind w:right="40" w:firstLine="987"/>
        <w:spacing w:after="0" w:line="257" w:lineRule="auto"/>
        <w:tabs>
          <w:tab w:leader="none" w:pos="1361"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87" w:lineRule="exact"/>
        <w:rPr>
          <w:rFonts w:ascii="Arial" w:cs="Arial" w:eastAsia="Arial" w:hAnsi="Arial"/>
          <w:sz w:val="18"/>
          <w:szCs w:val="18"/>
          <w:b w:val="1"/>
          <w:bCs w:val="1"/>
          <w:color w:val="auto"/>
        </w:rPr>
      </w:pPr>
    </w:p>
    <w:p>
      <w:pPr>
        <w:ind w:right="20" w:firstLine="987"/>
        <w:spacing w:after="0" w:line="259" w:lineRule="auto"/>
        <w:tabs>
          <w:tab w:leader="none" w:pos="1388"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86" w:lineRule="exact"/>
        <w:rPr>
          <w:rFonts w:ascii="Arial" w:cs="Arial" w:eastAsia="Arial" w:hAnsi="Arial"/>
          <w:sz w:val="18"/>
          <w:szCs w:val="18"/>
          <w:b w:val="1"/>
          <w:bCs w:val="1"/>
          <w:color w:val="auto"/>
        </w:rPr>
      </w:pPr>
    </w:p>
    <w:p>
      <w:pPr>
        <w:ind w:right="140" w:firstLine="987"/>
        <w:spacing w:after="0" w:line="342" w:lineRule="auto"/>
        <w:tabs>
          <w:tab w:leader="none" w:pos="1371" w:val="left"/>
        </w:tabs>
        <w:numPr>
          <w:ilvl w:val="0"/>
          <w:numId w:val="155"/>
        </w:numPr>
        <w:rPr>
          <w:rFonts w:ascii="Arial" w:cs="Arial" w:eastAsia="Arial" w:hAnsi="Arial"/>
          <w:sz w:val="16"/>
          <w:szCs w:val="16"/>
          <w:b w:val="1"/>
          <w:bCs w:val="1"/>
          <w:color w:val="auto"/>
        </w:rPr>
      </w:pPr>
      <w:r>
        <w:rPr>
          <w:rFonts w:ascii="Arial" w:cs="Arial" w:eastAsia="Arial" w:hAnsi="Arial"/>
          <w:sz w:val="16"/>
          <w:szCs w:val="16"/>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 RELATING TO RIGHTS OF 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CERTIFICATES</w:t>
      </w:r>
    </w:p>
    <w:p>
      <w:pPr>
        <w:spacing w:after="0" w:line="207" w:lineRule="exact"/>
        <w:rPr>
          <w:sz w:val="20"/>
          <w:szCs w:val="20"/>
          <w:color w:val="auto"/>
        </w:rPr>
      </w:pPr>
    </w:p>
    <w:p>
      <w:pPr>
        <w:ind w:right="260" w:firstLine="440"/>
        <w:spacing w:after="0" w:line="261" w:lineRule="auto"/>
        <w:rPr>
          <w:sz w:val="20"/>
          <w:szCs w:val="20"/>
          <w:color w:val="auto"/>
        </w:rPr>
      </w:pPr>
      <w:r>
        <w:rPr>
          <w:rFonts w:ascii="Arial" w:cs="Arial" w:eastAsia="Arial" w:hAnsi="Arial"/>
          <w:sz w:val="18"/>
          <w:szCs w:val="18"/>
          <w:b w:val="1"/>
          <w:bCs w:val="1"/>
          <w:color w:val="auto"/>
        </w:rPr>
        <w:t>3.1 No Rights as Warrant Securityholder Conferred by Warrants or Warrant Certificates</w:t>
      </w:r>
      <w:r>
        <w:rPr>
          <w:rFonts w:ascii="Arial" w:cs="Arial" w:eastAsia="Arial" w:hAnsi="Arial"/>
          <w:sz w:val="18"/>
          <w:szCs w:val="18"/>
          <w:color w:val="auto"/>
        </w:rPr>
        <w:t>. No Warrant Certificate or Warrant evidenced</w:t>
      </w:r>
      <w:r>
        <w:rPr>
          <w:rFonts w:ascii="Arial" w:cs="Arial" w:eastAsia="Arial" w:hAnsi="Arial"/>
          <w:sz w:val="18"/>
          <w:szCs w:val="18"/>
          <w:b w:val="1"/>
          <w:bCs w:val="1"/>
          <w:color w:val="auto"/>
        </w:rPr>
        <w:t xml:space="preserve"> </w:t>
      </w:r>
      <w:r>
        <w:rPr>
          <w:rFonts w:ascii="Arial" w:cs="Arial" w:eastAsia="Arial" w:hAnsi="Arial"/>
          <w:sz w:val="18"/>
          <w:szCs w:val="18"/>
          <w:color w:val="auto"/>
        </w:rPr>
        <w:t>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80"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b w:val="1"/>
          <w:bCs w:val="1"/>
          <w:color w:val="auto"/>
        </w:rPr>
        <w:t>3.2 Lost, Stolen, Mutilated or Destroyed Warrant Certificates</w:t>
      </w:r>
      <w:r>
        <w:rPr>
          <w:rFonts w:ascii="Arial" w:cs="Arial" w:eastAsia="Arial" w:hAnsi="Arial"/>
          <w:sz w:val="16"/>
          <w:szCs w:val="16"/>
          <w:color w:val="auto"/>
        </w:rPr>
        <w:t>. Upon receipt by the Warrant Agent of evidence reasonably satisfactory to it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52" w:name="page153"/>
    <w:bookmarkEnd w:id="152"/>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61"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3.3 Holder of Warrant Certificate May Enforce Rights</w:t>
      </w:r>
      <w:r>
        <w:rPr>
          <w:rFonts w:ascii="Arial" w:cs="Arial" w:eastAsia="Arial" w:hAnsi="Arial"/>
          <w:sz w:val="18"/>
          <w:szCs w:val="18"/>
          <w:color w:val="auto"/>
        </w:rPr>
        <w:t>. Notwithstanding any of the provisions of this Agreement, any holder of a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29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Adjustments</w:t>
      </w:r>
      <w:r>
        <w:rPr>
          <w:rFonts w:ascii="Arial" w:cs="Arial" w:eastAsia="Arial" w:hAnsi="Arial"/>
          <w:sz w:val="16"/>
          <w:szCs w:val="16"/>
          <w:color w:val="auto"/>
        </w:rPr>
        <w:t>.</w:t>
      </w:r>
    </w:p>
    <w:p>
      <w:pPr>
        <w:spacing w:after="0" w:line="121" w:lineRule="exact"/>
        <w:rPr>
          <w:sz w:val="20"/>
          <w:szCs w:val="20"/>
          <w:color w:val="auto"/>
        </w:rPr>
      </w:pPr>
    </w:p>
    <w:p>
      <w:pPr>
        <w:ind w:right="80" w:firstLine="987"/>
        <w:spacing w:after="0" w:line="275" w:lineRule="auto"/>
        <w:tabs>
          <w:tab w:leader="none" w:pos="1381" w:val="left"/>
        </w:tabs>
        <w:numPr>
          <w:ilvl w:val="0"/>
          <w:numId w:val="156"/>
        </w:numPr>
        <w:rPr>
          <w:rFonts w:ascii="Arial" w:cs="Arial" w:eastAsia="Arial" w:hAnsi="Arial"/>
          <w:sz w:val="17"/>
          <w:szCs w:val="17"/>
          <w:b w:val="1"/>
          <w:bCs w:val="1"/>
          <w:color w:val="auto"/>
        </w:rPr>
      </w:pPr>
      <w:r>
        <w:rPr>
          <w:rFonts w:ascii="Arial" w:cs="Arial" w:eastAsia="Arial" w:hAnsi="Arial"/>
          <w:sz w:val="17"/>
          <w:szCs w:val="17"/>
          <w:color w:val="auto"/>
        </w:rPr>
        <w:t>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176" w:lineRule="exact"/>
        <w:rPr>
          <w:rFonts w:ascii="Arial" w:cs="Arial" w:eastAsia="Arial" w:hAnsi="Arial"/>
          <w:sz w:val="17"/>
          <w:szCs w:val="17"/>
          <w:b w:val="1"/>
          <w:bCs w:val="1"/>
          <w:color w:val="auto"/>
        </w:rPr>
      </w:pPr>
    </w:p>
    <w:p>
      <w:pPr>
        <w:ind w:right="300" w:firstLine="987"/>
        <w:spacing w:after="0" w:line="277" w:lineRule="auto"/>
        <w:tabs>
          <w:tab w:leader="none" w:pos="1391"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If at any time or from time to time the holders of Common Stock (or any shares of stock or other securities at the time receivable upon the exercise of the Warrants) shall have received or become entitled to receive, without payment therefor,</w:t>
      </w:r>
    </w:p>
    <w:p>
      <w:pPr>
        <w:spacing w:after="0" w:line="170" w:lineRule="exact"/>
        <w:rPr>
          <w:rFonts w:ascii="Arial" w:cs="Arial" w:eastAsia="Arial" w:hAnsi="Arial"/>
          <w:sz w:val="18"/>
          <w:szCs w:val="18"/>
          <w:b w:val="1"/>
          <w:bCs w:val="1"/>
          <w:color w:val="auto"/>
        </w:rPr>
      </w:pPr>
    </w:p>
    <w:p>
      <w:pPr>
        <w:ind w:right="240" w:firstLine="1428"/>
        <w:spacing w:after="0" w:line="263" w:lineRule="auto"/>
        <w:tabs>
          <w:tab w:leader="none" w:pos="1782" w:val="left"/>
        </w:tabs>
        <w:numPr>
          <w:ilvl w:val="1"/>
          <w:numId w:val="156"/>
        </w:numPr>
        <w:rPr>
          <w:rFonts w:ascii="Arial" w:cs="Arial" w:eastAsia="Arial" w:hAnsi="Arial"/>
          <w:sz w:val="18"/>
          <w:szCs w:val="18"/>
          <w:b w:val="1"/>
          <w:bCs w:val="1"/>
          <w:color w:val="auto"/>
        </w:rPr>
      </w:pPr>
      <w:r>
        <w:rPr>
          <w:rFonts w:ascii="Arial" w:cs="Arial" w:eastAsia="Arial" w:hAnsi="Arial"/>
          <w:sz w:val="18"/>
          <w:szCs w:val="18"/>
          <w:color w:val="auto"/>
        </w:rPr>
        <w:t>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w:t>
      </w:r>
    </w:p>
    <w:p>
      <w:pPr>
        <w:spacing w:after="0" w:line="183" w:lineRule="exact"/>
        <w:rPr>
          <w:rFonts w:ascii="Arial" w:cs="Arial" w:eastAsia="Arial" w:hAnsi="Arial"/>
          <w:sz w:val="18"/>
          <w:szCs w:val="18"/>
          <w:b w:val="1"/>
          <w:bCs w:val="1"/>
          <w:color w:val="auto"/>
        </w:rPr>
      </w:pPr>
    </w:p>
    <w:p>
      <w:pPr>
        <w:ind w:left="1820" w:hanging="392"/>
        <w:spacing w:after="0"/>
        <w:tabs>
          <w:tab w:leader="none" w:pos="1820" w:val="left"/>
        </w:tabs>
        <w:numPr>
          <w:ilvl w:val="1"/>
          <w:numId w:val="156"/>
        </w:numPr>
        <w:rPr>
          <w:rFonts w:ascii="Arial" w:cs="Arial" w:eastAsia="Arial" w:hAnsi="Arial"/>
          <w:sz w:val="16"/>
          <w:szCs w:val="16"/>
          <w:b w:val="1"/>
          <w:bCs w:val="1"/>
          <w:color w:val="auto"/>
        </w:rPr>
      </w:pPr>
      <w:r>
        <w:rPr>
          <w:rFonts w:ascii="Arial" w:cs="Arial" w:eastAsia="Arial" w:hAnsi="Arial"/>
          <w:sz w:val="16"/>
          <w:szCs w:val="16"/>
          <w:color w:val="auto"/>
        </w:rPr>
        <w:t>any cash paid or payable otherwise than as a cash dividend paid or payable out of the Company’s current or retained earnings;</w:t>
      </w:r>
    </w:p>
    <w:p>
      <w:pPr>
        <w:spacing w:after="0" w:line="248" w:lineRule="exact"/>
        <w:rPr>
          <w:rFonts w:ascii="Arial" w:cs="Arial" w:eastAsia="Arial" w:hAnsi="Arial"/>
          <w:sz w:val="16"/>
          <w:szCs w:val="16"/>
          <w:b w:val="1"/>
          <w:bCs w:val="1"/>
          <w:color w:val="auto"/>
        </w:rPr>
      </w:pPr>
    </w:p>
    <w:p>
      <w:pPr>
        <w:ind w:left="1880" w:hanging="452"/>
        <w:spacing w:after="0"/>
        <w:tabs>
          <w:tab w:leader="none" w:pos="1880" w:val="left"/>
        </w:tabs>
        <w:numPr>
          <w:ilvl w:val="1"/>
          <w:numId w:val="156"/>
        </w:numPr>
        <w:rPr>
          <w:rFonts w:ascii="Arial" w:cs="Arial" w:eastAsia="Arial" w:hAnsi="Arial"/>
          <w:sz w:val="17"/>
          <w:szCs w:val="17"/>
          <w:b w:val="1"/>
          <w:bCs w:val="1"/>
          <w:color w:val="auto"/>
        </w:rPr>
      </w:pPr>
      <w:r>
        <w:rPr>
          <w:rFonts w:ascii="Arial" w:cs="Arial" w:eastAsia="Arial" w:hAnsi="Arial"/>
          <w:sz w:val="17"/>
          <w:szCs w:val="17"/>
          <w:color w:val="auto"/>
        </w:rPr>
        <w:t>any evidence of the Company’s indebtedness or rights to subscribe for or purchase the Company’s indebtedness; or</w:t>
      </w:r>
    </w:p>
    <w:p>
      <w:pPr>
        <w:spacing w:after="0" w:line="236" w:lineRule="exact"/>
        <w:rPr>
          <w:rFonts w:ascii="Arial" w:cs="Arial" w:eastAsia="Arial" w:hAnsi="Arial"/>
          <w:sz w:val="17"/>
          <w:szCs w:val="17"/>
          <w:b w:val="1"/>
          <w:bCs w:val="1"/>
          <w:color w:val="auto"/>
        </w:rPr>
      </w:pPr>
    </w:p>
    <w:p>
      <w:pPr>
        <w:ind w:firstLine="1428"/>
        <w:spacing w:after="0" w:line="291" w:lineRule="auto"/>
        <w:tabs>
          <w:tab w:leader="none" w:pos="1872" w:val="left"/>
        </w:tabs>
        <w:numPr>
          <w:ilvl w:val="1"/>
          <w:numId w:val="156"/>
        </w:numPr>
        <w:rPr>
          <w:rFonts w:ascii="Arial" w:cs="Arial" w:eastAsia="Arial" w:hAnsi="Arial"/>
          <w:sz w:val="16"/>
          <w:szCs w:val="16"/>
          <w:b w:val="1"/>
          <w:bCs w:val="1"/>
          <w:color w:val="auto"/>
        </w:rPr>
      </w:pPr>
      <w:r>
        <w:rPr>
          <w:rFonts w:ascii="Arial" w:cs="Arial" w:eastAsia="Arial" w:hAnsi="Arial"/>
          <w:sz w:val="16"/>
          <w:szCs w:val="16"/>
          <w:color w:val="auto"/>
        </w:rPr>
        <w:t>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Common Stock received or became entitled to receive such shares or all other additional stock and other securities and property.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53" w:name="page154"/>
    <w:bookmarkEnd w:id="153"/>
    <w:p>
      <w:pPr>
        <w:jc w:val="both"/>
        <w:ind w:left="4" w:right="40" w:firstLine="987"/>
        <w:spacing w:after="0" w:line="286" w:lineRule="auto"/>
        <w:tabs>
          <w:tab w:leader="none" w:pos="1375" w:val="left"/>
        </w:tabs>
        <w:numPr>
          <w:ilvl w:val="1"/>
          <w:numId w:val="15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w:t>
      </w:r>
    </w:p>
    <w:p>
      <w:pPr>
        <w:spacing w:after="0" w:line="1" w:lineRule="exact"/>
        <w:rPr>
          <w:rFonts w:ascii="Arial" w:cs="Arial" w:eastAsia="Arial" w:hAnsi="Arial"/>
          <w:sz w:val="16"/>
          <w:szCs w:val="16"/>
          <w:b w:val="1"/>
          <w:bCs w:val="1"/>
          <w:color w:val="auto"/>
        </w:rPr>
      </w:pPr>
    </w:p>
    <w:p>
      <w:pPr>
        <w:ind w:left="4" w:hanging="4"/>
        <w:spacing w:after="0" w:line="284" w:lineRule="auto"/>
        <w:tabs>
          <w:tab w:leader="none" w:pos="31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sale, exchange, lease, transfer or other disposition of all or substantially all of the properties and assets of the Company as an entirety (in any such case, a “</w:t>
      </w:r>
      <w:r>
        <w:rPr>
          <w:rFonts w:ascii="Arial" w:cs="Arial" w:eastAsia="Arial" w:hAnsi="Arial"/>
          <w:sz w:val="16"/>
          <w:szCs w:val="16"/>
          <w:b w:val="1"/>
          <w:bCs w:val="1"/>
          <w:i w:val="1"/>
          <w:iCs w:val="1"/>
          <w:color w:val="auto"/>
        </w:rPr>
        <w:t>Reorganization Event</w:t>
      </w:r>
      <w:r>
        <w:rPr>
          <w:rFonts w:ascii="Arial" w:cs="Arial" w:eastAsia="Arial" w:hAnsi="Arial"/>
          <w:sz w:val="16"/>
          <w:szCs w:val="16"/>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70" w:lineRule="exact"/>
        <w:rPr>
          <w:rFonts w:ascii="Arial" w:cs="Arial" w:eastAsia="Arial" w:hAnsi="Arial"/>
          <w:sz w:val="16"/>
          <w:szCs w:val="16"/>
          <w:color w:val="auto"/>
        </w:rPr>
      </w:pPr>
    </w:p>
    <w:p>
      <w:pPr>
        <w:ind w:left="4" w:right="140" w:firstLine="987"/>
        <w:spacing w:after="0" w:line="311" w:lineRule="auto"/>
        <w:tabs>
          <w:tab w:leader="none" w:pos="1392" w:val="left"/>
        </w:tabs>
        <w:numPr>
          <w:ilvl w:val="1"/>
          <w:numId w:val="158"/>
        </w:numPr>
        <w:rPr>
          <w:rFonts w:ascii="Arial" w:cs="Arial" w:eastAsia="Arial" w:hAnsi="Arial"/>
          <w:sz w:val="16"/>
          <w:szCs w:val="16"/>
          <w:b w:val="1"/>
          <w:bCs w:val="1"/>
          <w:color w:val="auto"/>
        </w:rPr>
      </w:pPr>
      <w:r>
        <w:rPr>
          <w:rFonts w:ascii="Arial" w:cs="Arial" w:eastAsia="Arial" w:hAnsi="Arial"/>
          <w:sz w:val="16"/>
          <w:szCs w:val="16"/>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48" w:lineRule="exact"/>
        <w:rPr>
          <w:rFonts w:ascii="Arial" w:cs="Arial" w:eastAsia="Arial" w:hAnsi="Arial"/>
          <w:sz w:val="16"/>
          <w:szCs w:val="16"/>
          <w:b w:val="1"/>
          <w:bCs w:val="1"/>
          <w:color w:val="auto"/>
        </w:rPr>
      </w:pPr>
    </w:p>
    <w:p>
      <w:pPr>
        <w:ind w:left="4" w:right="120" w:firstLine="987"/>
        <w:spacing w:after="0" w:line="263" w:lineRule="auto"/>
        <w:tabs>
          <w:tab w:leader="none" w:pos="1375" w:val="left"/>
        </w:tabs>
        <w:numPr>
          <w:ilvl w:val="1"/>
          <w:numId w:val="158"/>
        </w:numPr>
        <w:rPr>
          <w:rFonts w:ascii="Arial" w:cs="Arial" w:eastAsia="Arial" w:hAnsi="Arial"/>
          <w:sz w:val="18"/>
          <w:szCs w:val="18"/>
          <w:b w:val="1"/>
          <w:bCs w:val="1"/>
          <w:color w:val="auto"/>
        </w:rPr>
      </w:pPr>
      <w:r>
        <w:rPr>
          <w:rFonts w:ascii="Arial" w:cs="Arial" w:eastAsia="Arial" w:hAnsi="Arial"/>
          <w:sz w:val="18"/>
          <w:szCs w:val="18"/>
          <w:color w:val="auto"/>
        </w:rPr>
        <w:t>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w:t>
      </w:r>
    </w:p>
    <w:p>
      <w:pPr>
        <w:spacing w:after="0" w:line="183" w:lineRule="exact"/>
        <w:rPr>
          <w:rFonts w:ascii="Arial" w:cs="Arial" w:eastAsia="Arial" w:hAnsi="Arial"/>
          <w:sz w:val="18"/>
          <w:szCs w:val="18"/>
          <w:b w:val="1"/>
          <w:bCs w:val="1"/>
          <w:color w:val="auto"/>
        </w:rPr>
      </w:pPr>
    </w:p>
    <w:p>
      <w:pPr>
        <w:ind w:left="4" w:right="40" w:firstLine="987"/>
        <w:spacing w:after="0" w:line="270" w:lineRule="auto"/>
        <w:tabs>
          <w:tab w:leader="none" w:pos="1355" w:val="left"/>
        </w:tabs>
        <w:numPr>
          <w:ilvl w:val="1"/>
          <w:numId w:val="158"/>
        </w:numPr>
        <w:rPr>
          <w:rFonts w:ascii="Arial" w:cs="Arial" w:eastAsia="Arial" w:hAnsi="Arial"/>
          <w:sz w:val="17"/>
          <w:szCs w:val="17"/>
          <w:b w:val="1"/>
          <w:bCs w:val="1"/>
          <w:color w:val="auto"/>
        </w:rPr>
      </w:pPr>
      <w:r>
        <w:rPr>
          <w:rFonts w:ascii="Arial" w:cs="Arial" w:eastAsia="Arial" w:hAnsi="Arial"/>
          <w:sz w:val="17"/>
          <w:szCs w:val="17"/>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Arial" w:cs="Arial" w:eastAsia="Arial" w:hAnsi="Arial"/>
          <w:sz w:val="17"/>
          <w:szCs w:val="17"/>
          <w:b w:val="1"/>
          <w:bCs w:val="1"/>
          <w:i w:val="1"/>
          <w:iCs w:val="1"/>
          <w:color w:val="auto"/>
        </w:rPr>
        <w:t>OTC Bulletin Board</w:t>
      </w:r>
      <w:r>
        <w:rPr>
          <w:rFonts w:ascii="Arial" w:cs="Arial" w:eastAsia="Arial" w:hAnsi="Arial"/>
          <w:sz w:val="17"/>
          <w:szCs w:val="17"/>
          <w:color w:val="auto"/>
        </w:rPr>
        <w:t>”) operated by the Financial Industry Regulatory Authority, Inc. (“</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 or, if not available on the OTC</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54" w:name="page155"/>
    <w:bookmarkEnd w:id="154"/>
    <w:p>
      <w:pPr>
        <w:ind w:left="4"/>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76" w:lineRule="exact"/>
        <w:rPr>
          <w:sz w:val="20"/>
          <w:szCs w:val="20"/>
          <w:color w:val="auto"/>
        </w:rPr>
      </w:pPr>
    </w:p>
    <w:p>
      <w:pPr>
        <w:jc w:val="both"/>
        <w:ind w:left="4" w:right="240" w:firstLine="987"/>
        <w:spacing w:after="0" w:line="286" w:lineRule="auto"/>
        <w:tabs>
          <w:tab w:leader="none" w:pos="1382" w:val="left"/>
        </w:tabs>
        <w:numPr>
          <w:ilvl w:val="0"/>
          <w:numId w:val="159"/>
        </w:numPr>
        <w:rPr>
          <w:rFonts w:ascii="Arial" w:cs="Arial" w:eastAsia="Arial" w:hAnsi="Arial"/>
          <w:sz w:val="17"/>
          <w:szCs w:val="17"/>
          <w:b w:val="1"/>
          <w:bCs w:val="1"/>
          <w:color w:val="auto"/>
        </w:rPr>
      </w:pPr>
      <w:r>
        <w:rPr>
          <w:rFonts w:ascii="Arial" w:cs="Arial" w:eastAsia="Arial" w:hAnsi="Arial"/>
          <w:sz w:val="17"/>
          <w:szCs w:val="17"/>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65" w:lineRule="exact"/>
        <w:rPr>
          <w:rFonts w:ascii="Arial" w:cs="Arial" w:eastAsia="Arial" w:hAnsi="Arial"/>
          <w:sz w:val="17"/>
          <w:szCs w:val="17"/>
          <w:b w:val="1"/>
          <w:bCs w:val="1"/>
          <w:color w:val="auto"/>
        </w:rPr>
      </w:pPr>
    </w:p>
    <w:p>
      <w:pPr>
        <w:ind w:left="4" w:right="40" w:firstLine="987"/>
        <w:spacing w:after="0" w:line="277" w:lineRule="auto"/>
        <w:tabs>
          <w:tab w:leader="none" w:pos="1395"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herein, in no event shall the Warrant Price, as adjusted in accordance with the terms hereof, be less than the par value per share of Common Stock.</w:t>
      </w:r>
    </w:p>
    <w:p>
      <w:pPr>
        <w:spacing w:after="0" w:line="166" w:lineRule="exact"/>
        <w:rPr>
          <w:sz w:val="20"/>
          <w:szCs w:val="20"/>
          <w:color w:val="auto"/>
        </w:rPr>
      </w:pPr>
    </w:p>
    <w:p>
      <w:pPr>
        <w:ind w:left="4" w:right="160" w:firstLine="440"/>
        <w:spacing w:after="0" w:line="287" w:lineRule="auto"/>
        <w:rPr>
          <w:sz w:val="20"/>
          <w:szCs w:val="20"/>
          <w:color w:val="auto"/>
        </w:rPr>
      </w:pPr>
      <w:r>
        <w:rPr>
          <w:rFonts w:ascii="Arial" w:cs="Arial" w:eastAsia="Arial" w:hAnsi="Arial"/>
          <w:sz w:val="16"/>
          <w:szCs w:val="16"/>
          <w:b w:val="1"/>
          <w:bCs w:val="1"/>
          <w:color w:val="auto"/>
        </w:rPr>
        <w:t>3.5 Notice to Warrantholders</w:t>
      </w:r>
      <w:r>
        <w:rPr>
          <w:rFonts w:ascii="Arial" w:cs="Arial" w:eastAsia="Arial" w:hAnsi="Arial"/>
          <w:sz w:val="16"/>
          <w:szCs w:val="16"/>
          <w:color w:val="auto"/>
        </w:rPr>
        <w:t>. In case the Company shall (a) effect any dividend or distribution described in Section 3.4(b), (b) effect any</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Event, (c) make any distribution on or in respect of the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w:t>
      </w:r>
    </w:p>
    <w:p>
      <w:pPr>
        <w:spacing w:after="0" w:line="2" w:lineRule="exact"/>
        <w:rPr>
          <w:sz w:val="20"/>
          <w:szCs w:val="20"/>
          <w:color w:val="auto"/>
        </w:rPr>
      </w:pPr>
    </w:p>
    <w:p>
      <w:pPr>
        <w:ind w:left="4" w:right="20" w:hanging="4"/>
        <w:spacing w:after="0" w:line="281" w:lineRule="auto"/>
        <w:tabs>
          <w:tab w:leader="none" w:pos="25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w:t>
      </w:r>
    </w:p>
    <w:p>
      <w:pPr>
        <w:spacing w:after="0" w:line="2" w:lineRule="exact"/>
        <w:rPr>
          <w:rFonts w:ascii="Arial" w:cs="Arial" w:eastAsia="Arial" w:hAnsi="Arial"/>
          <w:sz w:val="16"/>
          <w:szCs w:val="16"/>
          <w:color w:val="auto"/>
        </w:rPr>
      </w:pPr>
    </w:p>
    <w:p>
      <w:pPr>
        <w:ind w:left="4" w:right="520" w:hanging="4"/>
        <w:spacing w:after="0" w:line="290" w:lineRule="auto"/>
        <w:tabs>
          <w:tab w:leader="none" w:pos="249"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57"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color w:val="auto"/>
        </w:rPr>
        <w:t>[If the Warrants are Subject to Acceleration by the Company, Insert — Acceleration of Warrants by the Company.</w:t>
      </w:r>
    </w:p>
    <w:p>
      <w:pPr>
        <w:spacing w:after="0" w:line="229" w:lineRule="exact"/>
        <w:rPr>
          <w:sz w:val="20"/>
          <w:szCs w:val="20"/>
          <w:color w:val="auto"/>
        </w:rPr>
      </w:pPr>
    </w:p>
    <w:p>
      <w:pPr>
        <w:ind w:left="4" w:right="40" w:firstLine="987"/>
        <w:spacing w:after="0" w:line="257" w:lineRule="auto"/>
        <w:tabs>
          <w:tab w:leader="none" w:pos="1375"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At any time on or after [●], the Company shall have the right to accelerate any or all Warrants at any time by causing them to expire at the close of business on the day next preceding a specified date (the “</w:t>
      </w:r>
      <w:r>
        <w:rPr>
          <w:rFonts w:ascii="Arial" w:cs="Arial" w:eastAsia="Arial" w:hAnsi="Arial"/>
          <w:sz w:val="18"/>
          <w:szCs w:val="18"/>
          <w:b w:val="1"/>
          <w:bCs w:val="1"/>
          <w:i w:val="1"/>
          <w:iCs w:val="1"/>
          <w:color w:val="auto"/>
        </w:rPr>
        <w:t>Acceleration Date</w:t>
      </w:r>
      <w:r>
        <w:rPr>
          <w:rFonts w:ascii="Arial" w:cs="Arial" w:eastAsia="Arial" w:hAnsi="Arial"/>
          <w:sz w:val="18"/>
          <w:szCs w:val="18"/>
          <w:color w:val="auto"/>
        </w:rPr>
        <w:t>”),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87" w:lineRule="exact"/>
        <w:rPr>
          <w:rFonts w:ascii="Arial" w:cs="Arial" w:eastAsia="Arial" w:hAnsi="Arial"/>
          <w:sz w:val="18"/>
          <w:szCs w:val="18"/>
          <w:b w:val="1"/>
          <w:bCs w:val="1"/>
          <w:color w:val="auto"/>
        </w:rPr>
      </w:pPr>
    </w:p>
    <w:p>
      <w:pPr>
        <w:ind w:left="4" w:right="40" w:firstLine="987"/>
        <w:spacing w:after="0" w:line="269" w:lineRule="auto"/>
        <w:tabs>
          <w:tab w:leader="none" w:pos="1395" w:val="left"/>
        </w:tabs>
        <w:numPr>
          <w:ilvl w:val="0"/>
          <w:numId w:val="16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Market Price</w:t>
      </w:r>
      <w:r>
        <w:rPr>
          <w:rFonts w:ascii="Arial" w:cs="Arial" w:eastAsia="Arial" w:hAnsi="Arial"/>
          <w:sz w:val="17"/>
          <w:szCs w:val="17"/>
          <w:color w:val="auto"/>
        </w:rPr>
        <w:t>” for each Trading Day shall be, if the Common Stock is listed or admitted to trading on any registered national securities exchange, the last reported sale 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shall be each Monday through Friday, other than any day on which securities are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155" w:name="page156"/>
    <w:bookmarkEnd w:id="155"/>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 traded in the system or on the exchange that is the principal market for the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84" w:lineRule="exact"/>
        <w:rPr>
          <w:sz w:val="20"/>
          <w:szCs w:val="20"/>
          <w:color w:val="auto"/>
        </w:rPr>
      </w:pPr>
    </w:p>
    <w:p>
      <w:pPr>
        <w:ind w:firstLine="987"/>
        <w:spacing w:after="0" w:line="257" w:lineRule="auto"/>
        <w:tabs>
          <w:tab w:leader="none" w:pos="1371"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87" w:lineRule="exact"/>
        <w:rPr>
          <w:rFonts w:ascii="Arial" w:cs="Arial" w:eastAsia="Arial" w:hAnsi="Arial"/>
          <w:sz w:val="18"/>
          <w:szCs w:val="18"/>
          <w:b w:val="1"/>
          <w:bCs w:val="1"/>
          <w:color w:val="auto"/>
        </w:rPr>
      </w:pPr>
    </w:p>
    <w:p>
      <w:pPr>
        <w:ind w:right="60" w:firstLine="987"/>
        <w:spacing w:after="0" w:line="277" w:lineRule="auto"/>
        <w:tabs>
          <w:tab w:leader="none" w:pos="1381"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Any Warrant accelerated may be exercised until [●] p.m., [City] time, on the business day next preceding the Acceleration Date. The Warrant Price shall be payable as provided in Section 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AND TRANSFER OF WARRANT CERTIFICATES</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4.1 Exchange and Transfer of Warrant Certificates</w:t>
      </w:r>
      <w:r>
        <w:rPr>
          <w:rFonts w:ascii="Arial" w:cs="Arial" w:eastAsia="Arial" w:hAnsi="Arial"/>
          <w:sz w:val="16"/>
          <w:szCs w:val="16"/>
          <w:color w:val="auto"/>
        </w:rPr>
        <w:t>. Upon surrender at the corporate trust office of the Warrant Agent, Warrant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64"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b w:val="1"/>
          <w:bCs w:val="1"/>
          <w:color w:val="auto"/>
        </w:rPr>
        <w:t>4.2 Treatment of Holders of Warrant Certificates</w:t>
      </w:r>
      <w:r>
        <w:rPr>
          <w:rFonts w:ascii="Arial" w:cs="Arial" w:eastAsia="Arial" w:hAnsi="Arial"/>
          <w:sz w:val="18"/>
          <w:szCs w:val="18"/>
          <w:color w:val="auto"/>
        </w:rPr>
        <w:t>. The Company, the Warrant Agent and all other persons may treat the registered holder of a</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 as the absolute owner thereof for any purpose and as the person entitled to exercise the rights represented by the Warrants evidenced thereby, any notice to the contrary notwithstanding.</w:t>
      </w:r>
    </w:p>
    <w:p>
      <w:pPr>
        <w:spacing w:after="0" w:line="176" w:lineRule="exact"/>
        <w:rPr>
          <w:sz w:val="20"/>
          <w:szCs w:val="20"/>
          <w:color w:val="auto"/>
        </w:rPr>
      </w:pPr>
    </w:p>
    <w:p>
      <w:pPr>
        <w:ind w:right="280" w:firstLine="440"/>
        <w:spacing w:after="0" w:line="277" w:lineRule="auto"/>
        <w:rPr>
          <w:sz w:val="20"/>
          <w:szCs w:val="20"/>
          <w:color w:val="auto"/>
        </w:rPr>
      </w:pPr>
      <w:r>
        <w:rPr>
          <w:rFonts w:ascii="Arial" w:cs="Arial" w:eastAsia="Arial" w:hAnsi="Arial"/>
          <w:sz w:val="17"/>
          <w:szCs w:val="17"/>
          <w:b w:val="1"/>
          <w:bCs w:val="1"/>
          <w:color w:val="auto"/>
        </w:rPr>
        <w:t>4.3 Cancellation of Warrant Certificates</w:t>
      </w:r>
      <w:r>
        <w:rPr>
          <w:rFonts w:ascii="Arial" w:cs="Arial" w:eastAsia="Arial" w:hAnsi="Arial"/>
          <w:sz w:val="17"/>
          <w:szCs w:val="17"/>
          <w:color w:val="auto"/>
        </w:rPr>
        <w:t>. Any Warrant Certificate surrendered for exchange, registration of transfer or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CONCERNING THE WARRANT AGENT</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7"/>
          <w:szCs w:val="17"/>
          <w:b w:val="1"/>
          <w:bCs w:val="1"/>
          <w:color w:val="auto"/>
        </w:rPr>
        <w:t>5.1 Warrant Agent</w:t>
      </w:r>
      <w:r>
        <w:rPr>
          <w:rFonts w:ascii="Arial" w:cs="Arial" w:eastAsia="Arial" w:hAnsi="Arial"/>
          <w:sz w:val="17"/>
          <w:szCs w:val="17"/>
          <w:color w:val="auto"/>
        </w:rPr>
        <w:t>. The Company hereby appoints [●] as Warrant Agent of the Company in respect of the Warrants and the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68" w:lineRule="exact"/>
        <w:rPr>
          <w:sz w:val="20"/>
          <w:szCs w:val="20"/>
          <w:color w:val="auto"/>
        </w:rPr>
      </w:pPr>
    </w:p>
    <w:p>
      <w:pPr>
        <w:jc w:val="both"/>
        <w:ind w:right="380" w:firstLine="440"/>
        <w:spacing w:after="0" w:line="266" w:lineRule="auto"/>
        <w:rPr>
          <w:sz w:val="20"/>
          <w:szCs w:val="20"/>
          <w:color w:val="auto"/>
        </w:rPr>
      </w:pPr>
      <w:r>
        <w:rPr>
          <w:rFonts w:ascii="Arial" w:cs="Arial" w:eastAsia="Arial" w:hAnsi="Arial"/>
          <w:sz w:val="18"/>
          <w:szCs w:val="18"/>
          <w:b w:val="1"/>
          <w:bCs w:val="1"/>
          <w:color w:val="auto"/>
        </w:rPr>
        <w:t>5.2 Conditions of Warrant Agent’s Obligations</w:t>
      </w:r>
      <w:r>
        <w:rPr>
          <w:rFonts w:ascii="Arial" w:cs="Arial" w:eastAsia="Arial" w:hAnsi="Arial"/>
          <w:sz w:val="18"/>
          <w:szCs w:val="18"/>
          <w:color w:val="auto"/>
        </w:rPr>
        <w:t>. The Warrant Agent accepts its obligations herein set forth upon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including the following to all of which the Company agrees and to all of which the rights hereunder of the holders from time to time of the Warrant Certificates shall be subject:</w:t>
      </w:r>
    </w:p>
    <w:p>
      <w:pPr>
        <w:spacing w:after="0" w:line="176" w:lineRule="exact"/>
        <w:rPr>
          <w:sz w:val="20"/>
          <w:szCs w:val="20"/>
          <w:color w:val="auto"/>
        </w:rPr>
      </w:pPr>
    </w:p>
    <w:p>
      <w:pPr>
        <w:ind w:right="60" w:firstLine="987"/>
        <w:spacing w:after="0" w:line="294" w:lineRule="auto"/>
        <w:tabs>
          <w:tab w:leader="none" w:pos="1381"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and Indemnification</w:t>
      </w:r>
      <w:r>
        <w:rPr>
          <w:rFonts w:ascii="Arial" w:cs="Arial" w:eastAsia="Arial" w:hAnsi="Arial"/>
          <w:sz w:val="16"/>
          <w:szCs w:val="16"/>
          <w:color w:val="auto"/>
        </w:rPr>
        <w:t>. The Company agrees promptly to pay the Warrant Agent the compensation to be agreed upon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59" w:lineRule="exact"/>
        <w:rPr>
          <w:rFonts w:ascii="Arial" w:cs="Arial" w:eastAsia="Arial" w:hAnsi="Arial"/>
          <w:sz w:val="16"/>
          <w:szCs w:val="16"/>
          <w:b w:val="1"/>
          <w:bCs w:val="1"/>
          <w:color w:val="auto"/>
        </w:rPr>
      </w:pPr>
    </w:p>
    <w:p>
      <w:pPr>
        <w:ind w:right="200" w:firstLine="987"/>
        <w:spacing w:after="0" w:line="266" w:lineRule="auto"/>
        <w:tabs>
          <w:tab w:leader="none" w:pos="1391"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Agent for the Company</w:t>
      </w:r>
      <w:r>
        <w:rPr>
          <w:rFonts w:ascii="Arial" w:cs="Arial" w:eastAsia="Arial" w:hAnsi="Arial"/>
          <w:sz w:val="18"/>
          <w:szCs w:val="18"/>
          <w:color w:val="auto"/>
        </w:rPr>
        <w:t>. In acting under this Agreement and in connection with the Warrant Certificates, the Warrant Agent is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solely as agent of the Company and does not assume any obligations or relationship of agency or trust for or with any of the holders of Warrant Certificates or beneficial owners of Warrants.</w:t>
      </w:r>
    </w:p>
    <w:p>
      <w:pPr>
        <w:spacing w:after="0" w:line="175" w:lineRule="exact"/>
        <w:rPr>
          <w:rFonts w:ascii="Arial" w:cs="Arial" w:eastAsia="Arial" w:hAnsi="Arial"/>
          <w:sz w:val="18"/>
          <w:szCs w:val="18"/>
          <w:b w:val="1"/>
          <w:bCs w:val="1"/>
          <w:color w:val="auto"/>
        </w:rPr>
      </w:pPr>
    </w:p>
    <w:p>
      <w:pPr>
        <w:ind w:right="60" w:firstLine="987"/>
        <w:spacing w:after="0" w:line="266" w:lineRule="auto"/>
        <w:tabs>
          <w:tab w:leader="none" w:pos="1371"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Counsel</w:t>
      </w:r>
      <w:r>
        <w:rPr>
          <w:rFonts w:ascii="Arial" w:cs="Arial" w:eastAsia="Arial" w:hAnsi="Arial"/>
          <w:sz w:val="18"/>
          <w:szCs w:val="18"/>
          <w:color w:val="auto"/>
        </w:rPr>
        <w:t>. The Warrant Agent may consult with counsel satisfactory to it, which may include counsel for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advice of such counsel shall be full and complete authorization and protection in respect of any action taken, suffered or omitted by it hereunder in good faith and in accordance with the advice of such counsel.</w:t>
      </w:r>
    </w:p>
    <w:p>
      <w:pPr>
        <w:spacing w:after="0" w:line="175" w:lineRule="exact"/>
        <w:rPr>
          <w:rFonts w:ascii="Arial" w:cs="Arial" w:eastAsia="Arial" w:hAnsi="Arial"/>
          <w:sz w:val="18"/>
          <w:szCs w:val="18"/>
          <w:b w:val="1"/>
          <w:bCs w:val="1"/>
          <w:color w:val="auto"/>
        </w:rPr>
      </w:pPr>
    </w:p>
    <w:p>
      <w:pPr>
        <w:jc w:val="both"/>
        <w:ind w:right="60" w:firstLine="987"/>
        <w:spacing w:after="0" w:line="266" w:lineRule="auto"/>
        <w:tabs>
          <w:tab w:leader="none" w:pos="1391"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r>
        <w:rPr>
          <w:rFonts w:ascii="Arial" w:cs="Arial" w:eastAsia="Arial" w:hAnsi="Arial"/>
          <w:sz w:val="18"/>
          <w:szCs w:val="18"/>
          <w:color w:val="auto"/>
        </w:rPr>
        <w:t>. The Warrant Agent shall be protected and shall incur no liability for or in respect of any action taken or omitted by it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75" w:lineRule="exact"/>
        <w:rPr>
          <w:rFonts w:ascii="Arial" w:cs="Arial" w:eastAsia="Arial" w:hAnsi="Arial"/>
          <w:sz w:val="18"/>
          <w:szCs w:val="18"/>
          <w:b w:val="1"/>
          <w:bCs w:val="1"/>
          <w:color w:val="auto"/>
        </w:rPr>
      </w:pPr>
    </w:p>
    <w:p>
      <w:pPr>
        <w:ind w:firstLine="987"/>
        <w:spacing w:after="0" w:line="256" w:lineRule="auto"/>
        <w:tabs>
          <w:tab w:leader="none" w:pos="1371"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Certain Transactions</w:t>
      </w:r>
      <w:r>
        <w:rPr>
          <w:rFonts w:ascii="Arial" w:cs="Arial" w:eastAsia="Arial" w:hAnsi="Arial"/>
          <w:sz w:val="18"/>
          <w:szCs w:val="18"/>
          <w:color w:val="auto"/>
        </w:rPr>
        <w:t>. The Warrant Agent, and its officers, directors and employees, may become the owner of, or acquire any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157" w:name="page158"/>
    <w:bookmarkEnd w:id="157"/>
    <w:p>
      <w:pPr>
        <w:ind w:right="220" w:firstLine="987"/>
        <w:spacing w:after="0" w:line="282" w:lineRule="auto"/>
        <w:tabs>
          <w:tab w:leader="none" w:pos="1351"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Liability for Interest</w:t>
      </w:r>
      <w:r>
        <w:rPr>
          <w:rFonts w:ascii="Arial" w:cs="Arial" w:eastAsia="Arial" w:hAnsi="Arial"/>
          <w:sz w:val="18"/>
          <w:szCs w:val="18"/>
          <w:color w:val="auto"/>
        </w:rPr>
        <w:t>. Unless otherwise agreed with the Company, the Warrant Agent shall have no liability for interest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monies at any time received by it pursuant to any of the provisions of this Agreement or of the Warrant Certificates.</w:t>
      </w:r>
    </w:p>
    <w:p>
      <w:pPr>
        <w:spacing w:after="0" w:line="161" w:lineRule="exact"/>
        <w:rPr>
          <w:rFonts w:ascii="Arial" w:cs="Arial" w:eastAsia="Arial" w:hAnsi="Arial"/>
          <w:sz w:val="18"/>
          <w:szCs w:val="18"/>
          <w:b w:val="1"/>
          <w:bCs w:val="1"/>
          <w:color w:val="auto"/>
        </w:rPr>
      </w:pPr>
    </w:p>
    <w:p>
      <w:pPr>
        <w:ind w:right="100" w:firstLine="987"/>
        <w:spacing w:after="0" w:line="282" w:lineRule="auto"/>
        <w:tabs>
          <w:tab w:leader="none" w:pos="1381"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No Liability for Invalidity</w:t>
      </w:r>
      <w:r>
        <w:rPr>
          <w:rFonts w:ascii="Arial" w:cs="Arial" w:eastAsia="Arial" w:hAnsi="Arial"/>
          <w:sz w:val="18"/>
          <w:szCs w:val="18"/>
          <w:color w:val="auto"/>
        </w:rPr>
        <w:t>. The Warrant Agent shall have no liability with respect to any invalidity of this Agreement or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Certificates (except as to the Warrant Agent’s countersignature thereon).</w:t>
      </w:r>
    </w:p>
    <w:p>
      <w:pPr>
        <w:spacing w:after="0" w:line="161" w:lineRule="exact"/>
        <w:rPr>
          <w:rFonts w:ascii="Arial" w:cs="Arial" w:eastAsia="Arial" w:hAnsi="Arial"/>
          <w:sz w:val="18"/>
          <w:szCs w:val="18"/>
          <w:b w:val="1"/>
          <w:bCs w:val="1"/>
          <w:color w:val="auto"/>
        </w:rPr>
      </w:pPr>
    </w:p>
    <w:p>
      <w:pPr>
        <w:ind w:right="80" w:firstLine="987"/>
        <w:spacing w:after="0" w:line="312" w:lineRule="auto"/>
        <w:tabs>
          <w:tab w:leader="none" w:pos="1391"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No Responsibility for Representations</w:t>
      </w:r>
      <w:r>
        <w:rPr>
          <w:rFonts w:ascii="Arial" w:cs="Arial" w:eastAsia="Arial" w:hAnsi="Arial"/>
          <w:sz w:val="17"/>
          <w:szCs w:val="17"/>
          <w:color w:val="auto"/>
        </w:rPr>
        <w:t>. The Warrant Agent shall not be responsible for any of the recitals or representations herein</w:t>
      </w:r>
      <w:r>
        <w:rPr>
          <w:rFonts w:ascii="Arial" w:cs="Arial" w:eastAsia="Arial" w:hAnsi="Arial"/>
          <w:sz w:val="17"/>
          <w:szCs w:val="17"/>
          <w:b w:val="1"/>
          <w:bCs w:val="1"/>
          <w:color w:val="auto"/>
        </w:rPr>
        <w:t xml:space="preserve"> </w:t>
      </w:r>
      <w:r>
        <w:rPr>
          <w:rFonts w:ascii="Arial" w:cs="Arial" w:eastAsia="Arial" w:hAnsi="Arial"/>
          <w:sz w:val="17"/>
          <w:szCs w:val="17"/>
          <w:color w:val="auto"/>
        </w:rPr>
        <w:t>or in the Warrant Certificates (except as to the Warrant Agent’s countersignature thereon), all of which are made solely by the Company.</w:t>
      </w:r>
    </w:p>
    <w:p>
      <w:pPr>
        <w:spacing w:after="0" w:line="139" w:lineRule="exact"/>
        <w:rPr>
          <w:rFonts w:ascii="Arial" w:cs="Arial" w:eastAsia="Arial" w:hAnsi="Arial"/>
          <w:sz w:val="17"/>
          <w:szCs w:val="17"/>
          <w:b w:val="1"/>
          <w:bCs w:val="1"/>
          <w:color w:val="auto"/>
        </w:rPr>
      </w:pPr>
    </w:p>
    <w:p>
      <w:pPr>
        <w:ind w:firstLine="987"/>
        <w:spacing w:after="0" w:line="270" w:lineRule="auto"/>
        <w:tabs>
          <w:tab w:leader="none" w:pos="1341"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No Implied Obligations</w:t>
      </w:r>
      <w:r>
        <w:rPr>
          <w:rFonts w:ascii="Arial" w:cs="Arial" w:eastAsia="Arial" w:hAnsi="Arial"/>
          <w:sz w:val="17"/>
          <w:szCs w:val="17"/>
          <w:color w:val="auto"/>
        </w:rPr>
        <w:t>. The Warrant Agent shall be obligated to perform only such duties as are herein and in the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28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Resignation, Removal and Appointment of Successors</w:t>
      </w:r>
      <w:r>
        <w:rPr>
          <w:rFonts w:ascii="Arial" w:cs="Arial" w:eastAsia="Arial" w:hAnsi="Arial"/>
          <w:sz w:val="15"/>
          <w:szCs w:val="15"/>
          <w:color w:val="auto"/>
        </w:rPr>
        <w:t>.</w:t>
      </w:r>
    </w:p>
    <w:p>
      <w:pPr>
        <w:spacing w:after="0" w:line="121" w:lineRule="exact"/>
        <w:rPr>
          <w:sz w:val="20"/>
          <w:szCs w:val="20"/>
          <w:color w:val="auto"/>
        </w:rPr>
      </w:pPr>
    </w:p>
    <w:p>
      <w:pPr>
        <w:ind w:right="360" w:firstLine="987"/>
        <w:spacing w:after="0" w:line="277" w:lineRule="auto"/>
        <w:tabs>
          <w:tab w:leader="none" w:pos="1378"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70" w:lineRule="exact"/>
        <w:rPr>
          <w:rFonts w:ascii="Arial" w:cs="Arial" w:eastAsia="Arial" w:hAnsi="Arial"/>
          <w:sz w:val="18"/>
          <w:szCs w:val="18"/>
          <w:b w:val="1"/>
          <w:bCs w:val="1"/>
          <w:color w:val="auto"/>
        </w:rPr>
      </w:pPr>
    </w:p>
    <w:p>
      <w:pPr>
        <w:ind w:right="40" w:firstLine="987"/>
        <w:spacing w:after="0" w:line="271" w:lineRule="auto"/>
        <w:tabs>
          <w:tab w:leader="none" w:pos="1388" w:val="left"/>
        </w:tabs>
        <w:numPr>
          <w:ilvl w:val="0"/>
          <w:numId w:val="166"/>
        </w:numPr>
        <w:rPr>
          <w:rFonts w:ascii="Arial" w:cs="Arial" w:eastAsia="Arial" w:hAnsi="Arial"/>
          <w:sz w:val="17"/>
          <w:szCs w:val="17"/>
          <w:b w:val="1"/>
          <w:bCs w:val="1"/>
          <w:color w:val="auto"/>
        </w:rPr>
      </w:pPr>
      <w:r>
        <w:rPr>
          <w:rFonts w:ascii="Arial" w:cs="Arial" w:eastAsia="Arial" w:hAnsi="Arial"/>
          <w:sz w:val="17"/>
          <w:szCs w:val="17"/>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78" w:lineRule="exact"/>
        <w:rPr>
          <w:rFonts w:ascii="Arial" w:cs="Arial" w:eastAsia="Arial" w:hAnsi="Arial"/>
          <w:sz w:val="17"/>
          <w:szCs w:val="17"/>
          <w:b w:val="1"/>
          <w:bCs w:val="1"/>
          <w:color w:val="auto"/>
        </w:rPr>
      </w:pPr>
    </w:p>
    <w:p>
      <w:pPr>
        <w:ind w:right="160" w:firstLine="987"/>
        <w:spacing w:after="0" w:line="290" w:lineRule="auto"/>
        <w:tabs>
          <w:tab w:leader="none" w:pos="1371"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58" w:name="page159"/>
    <w:bookmarkEnd w:id="158"/>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76" w:lineRule="exact"/>
        <w:rPr>
          <w:sz w:val="20"/>
          <w:szCs w:val="20"/>
          <w:color w:val="auto"/>
        </w:rPr>
      </w:pPr>
    </w:p>
    <w:p>
      <w:pPr>
        <w:ind w:firstLine="987"/>
        <w:spacing w:after="0" w:line="255" w:lineRule="auto"/>
        <w:tabs>
          <w:tab w:leader="none" w:pos="1381"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92" w:lineRule="exact"/>
        <w:rPr>
          <w:rFonts w:ascii="Arial" w:cs="Arial" w:eastAsia="Arial" w:hAnsi="Arial"/>
          <w:sz w:val="18"/>
          <w:szCs w:val="18"/>
          <w:b w:val="1"/>
          <w:bCs w:val="1"/>
          <w:color w:val="auto"/>
        </w:rPr>
      </w:pPr>
    </w:p>
    <w:p>
      <w:pPr>
        <w:ind w:firstLine="987"/>
        <w:spacing w:after="0" w:line="257" w:lineRule="auto"/>
        <w:tabs>
          <w:tab w:leader="none" w:pos="1361"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right="200" w:firstLine="440"/>
        <w:spacing w:after="0" w:line="281" w:lineRule="auto"/>
        <w:rPr>
          <w:sz w:val="20"/>
          <w:szCs w:val="20"/>
          <w:color w:val="auto"/>
        </w:rPr>
      </w:pPr>
      <w:r>
        <w:rPr>
          <w:rFonts w:ascii="Arial" w:cs="Arial" w:eastAsia="Arial" w:hAnsi="Arial"/>
          <w:sz w:val="17"/>
          <w:szCs w:val="17"/>
          <w:b w:val="1"/>
          <w:bCs w:val="1"/>
          <w:color w:val="auto"/>
        </w:rPr>
        <w:t>6.1 Amendment</w:t>
      </w:r>
      <w:r>
        <w:rPr>
          <w:rFonts w:ascii="Arial" w:cs="Arial" w:eastAsia="Arial" w:hAnsi="Arial"/>
          <w:sz w:val="17"/>
          <w:szCs w:val="17"/>
          <w:color w:val="auto"/>
        </w:rPr>
        <w:t>. This Agreement may be amended by the parties hereto, without the consent of the holder of any Warrant Certificate,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6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6.2 Notices and Demands to the Company and Warrant Agent</w:t>
      </w:r>
      <w:r>
        <w:rPr>
          <w:rFonts w:ascii="Arial" w:cs="Arial" w:eastAsia="Arial" w:hAnsi="Arial"/>
          <w:sz w:val="18"/>
          <w:szCs w:val="18"/>
          <w:color w:val="auto"/>
        </w:rPr>
        <w:t>. If the Warrant Agent shall receive any notice or demand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by the holder of a Warrant Certificate pursuant to the provisions of the Warrant Certificates, the Warrant Agent shall promptly forward such notice or demand to the Company.</w:t>
      </w:r>
    </w:p>
    <w:p>
      <w:pPr>
        <w:spacing w:after="0" w:line="176"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6.3 Addresses</w:t>
      </w:r>
      <w:r>
        <w:rPr>
          <w:rFonts w:ascii="Arial" w:cs="Arial" w:eastAsia="Arial" w:hAnsi="Arial"/>
          <w:sz w:val="18"/>
          <w:szCs w:val="18"/>
          <w:color w:val="auto"/>
        </w:rPr>
        <w:t>. Any communication from the Company to the Warrant Agent with respect to this Agreement shall be addressed to [●],</w:t>
      </w:r>
      <w:r>
        <w:rPr>
          <w:rFonts w:ascii="Arial" w:cs="Arial" w:eastAsia="Arial" w:hAnsi="Arial"/>
          <w:sz w:val="18"/>
          <w:szCs w:val="18"/>
          <w:b w:val="1"/>
          <w:bCs w:val="1"/>
          <w:color w:val="auto"/>
        </w:rPr>
        <w:t xml:space="preserve"> </w:t>
      </w:r>
      <w:r>
        <w:rPr>
          <w:rFonts w:ascii="Arial" w:cs="Arial" w:eastAsia="Arial" w:hAnsi="Arial"/>
          <w:sz w:val="18"/>
          <w:szCs w:val="18"/>
          <w:color w:val="auto"/>
        </w:rPr>
        <w:t>Attention: [●] and any communication from the Warrant Agent to the Company with respect to this Agreement shall be addressed to NGM Biopharmaceuticals, Inc., 333 Oyster Point Blvd, South San Francisco, CA 94080, Attention: [●] (or such other address as shall be specified in writing by the Warrant Agent or by the Company).</w:t>
      </w:r>
    </w:p>
    <w:p>
      <w:pPr>
        <w:spacing w:after="0" w:line="180"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6.4 Governing Law</w:t>
      </w:r>
      <w:r>
        <w:rPr>
          <w:rFonts w:ascii="Arial" w:cs="Arial" w:eastAsia="Arial" w:hAnsi="Arial"/>
          <w:sz w:val="18"/>
          <w:szCs w:val="18"/>
          <w:color w:val="auto"/>
        </w:rPr>
        <w:t>. This Agreement and each Warrant Certificate issued hereunder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New York.</w:t>
      </w:r>
    </w:p>
    <w:p>
      <w:pPr>
        <w:spacing w:after="0" w:line="16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7"/>
          <w:szCs w:val="17"/>
          <w:b w:val="1"/>
          <w:bCs w:val="1"/>
          <w:color w:val="auto"/>
        </w:rPr>
        <w:t>6.5 Delivery of Prospectus</w:t>
      </w:r>
      <w:r>
        <w:rPr>
          <w:rFonts w:ascii="Arial" w:cs="Arial" w:eastAsia="Arial" w:hAnsi="Arial"/>
          <w:sz w:val="17"/>
          <w:szCs w:val="17"/>
          <w:color w:val="auto"/>
        </w:rPr>
        <w:t>. The Company shall furnish to the Warrant Agent sufficient copies of a prospectus meeting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of 1933, as amended, relating to the Warrant Securities deliverable upon exercise of the Warrants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59" w:name="page160"/>
    <w:bookmarkEnd w:id="159"/>
    <w:p>
      <w:pPr>
        <w:ind w:firstLine="44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6.6 Obtaining of Governmental Approvals</w:t>
      </w:r>
      <w:r>
        <w:rPr>
          <w:rFonts w:ascii="Arial" w:cs="Arial" w:eastAsia="Arial" w:hAnsi="Arial"/>
          <w:sz w:val="16"/>
          <w:szCs w:val="16"/>
          <w:color w:val="auto"/>
        </w:rPr>
        <w:t>. The Company will from time to time take all action which may be necessary to obtain and keep</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54"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6.7 Persons Having Rights Under the Agreement</w:t>
      </w:r>
      <w:r>
        <w:rPr>
          <w:rFonts w:ascii="Arial" w:cs="Arial" w:eastAsia="Arial" w:hAnsi="Arial"/>
          <w:sz w:val="18"/>
          <w:szCs w:val="18"/>
          <w:color w:val="auto"/>
        </w:rPr>
        <w:t>. Nothing in this Agreement shall give to any person other than the Company,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holders of the Warrant Certificates any right, remedy or claim under or by reason of this Agreement.</w:t>
      </w:r>
    </w:p>
    <w:p>
      <w:pPr>
        <w:spacing w:after="0" w:line="16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6.8 Headings</w:t>
      </w:r>
      <w:r>
        <w:rPr>
          <w:rFonts w:ascii="Arial" w:cs="Arial" w:eastAsia="Arial" w:hAnsi="Arial"/>
          <w:sz w:val="18"/>
          <w:szCs w:val="18"/>
          <w:color w:val="auto"/>
        </w:rPr>
        <w:t>. The descriptive headings of the several Articles and Sections of this Agreement are inserted for convenience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or affect the meaning or construction of any of the provisions hereof.</w:t>
      </w:r>
    </w:p>
    <w:p>
      <w:pPr>
        <w:spacing w:after="0" w:line="162"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6.9 Counterparts</w:t>
      </w:r>
      <w:r>
        <w:rPr>
          <w:rFonts w:ascii="Arial" w:cs="Arial" w:eastAsia="Arial" w:hAnsi="Arial"/>
          <w:sz w:val="18"/>
          <w:szCs w:val="18"/>
          <w:color w:val="auto"/>
        </w:rPr>
        <w:t>. This Agreement may be executed in any number of counterparts, each of which as so executed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such counterparts shall together constitute but one and the same instrument.</w:t>
      </w:r>
    </w:p>
    <w:p>
      <w:pPr>
        <w:spacing w:after="0" w:line="162"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6.10 Inspection of Agreement</w:t>
      </w:r>
      <w:r>
        <w:rPr>
          <w:rFonts w:ascii="Arial" w:cs="Arial" w:eastAsia="Arial" w:hAnsi="Arial"/>
          <w:sz w:val="18"/>
          <w:szCs w:val="18"/>
          <w:color w:val="auto"/>
        </w:rPr>
        <w:t>. A copy of this Agreement shall be available at all reasonable times at the principal corporate trust office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Agent for inspection by the holder of any Warrant Certificate. The Warrant Agent may require such holder to submit such holder’s Warrant Certificate for inspection by it.</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SIGNATURE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0" w:right="51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caused this Agreement to be duly executed as of the day and year first above written.</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as Company</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14605</wp:posOffset>
            </wp:positionV>
            <wp:extent cx="21774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14605</wp:posOffset>
            </wp:positionV>
            <wp:extent cx="21774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14605</wp:posOffset>
            </wp:positionV>
            <wp:extent cx="21774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17145</wp:posOffset>
            </wp:positionV>
            <wp:extent cx="21774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4535805</wp:posOffset>
            </wp:positionH>
            <wp:positionV relativeFrom="paragraph">
              <wp:posOffset>171450</wp:posOffset>
            </wp:positionV>
            <wp:extent cx="21774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OUNTERSIGNED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as Warrant Agent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14605</wp:posOffset>
            </wp:positionV>
            <wp:extent cx="21774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14605</wp:posOffset>
            </wp:positionV>
            <wp:extent cx="21774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14605</wp:posOffset>
            </wp:positionV>
            <wp:extent cx="21774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17145</wp:posOffset>
            </wp:positionV>
            <wp:extent cx="21774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4535805</wp:posOffset>
            </wp:positionH>
            <wp:positionV relativeFrom="paragraph">
              <wp:posOffset>171450</wp:posOffset>
            </wp:positionV>
            <wp:extent cx="21774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 xml:space="preserve">SIGNATURE </w:t>
      </w:r>
      <w:r>
        <w:rPr>
          <w:rFonts w:ascii="Arial" w:cs="Arial" w:eastAsia="Arial" w:hAnsi="Arial"/>
          <w:sz w:val="17"/>
          <w:szCs w:val="17"/>
          <w:b w:val="1"/>
          <w:bCs w:val="1"/>
          <w:color w:val="auto"/>
        </w:rPr>
        <w:t>P</w:t>
      </w:r>
      <w:r>
        <w:rPr>
          <w:rFonts w:ascii="Arial" w:cs="Arial" w:eastAsia="Arial" w:hAnsi="Arial"/>
          <w:sz w:val="15"/>
          <w:szCs w:val="15"/>
          <w:b w:val="1"/>
          <w:bCs w:val="1"/>
          <w:color w:val="auto"/>
        </w:rPr>
        <w:t xml:space="preserve">AGE </w:t>
      </w:r>
      <w:r>
        <w:rPr>
          <w:rFonts w:ascii="Arial" w:cs="Arial" w:eastAsia="Arial" w:hAnsi="Arial"/>
          <w:sz w:val="17"/>
          <w:szCs w:val="17"/>
          <w:b w:val="1"/>
          <w:bCs w:val="1"/>
          <w:color w:val="auto"/>
        </w:rPr>
        <w:t>T</w:t>
      </w:r>
      <w:r>
        <w:rPr>
          <w:rFonts w:ascii="Arial" w:cs="Arial" w:eastAsia="Arial" w:hAnsi="Arial"/>
          <w:sz w:val="15"/>
          <w:szCs w:val="15"/>
          <w:b w:val="1"/>
          <w:bCs w:val="1"/>
          <w:color w:val="auto"/>
        </w:rPr>
        <w:t xml:space="preserve">O </w:t>
      </w:r>
      <w:r>
        <w:rPr>
          <w:rFonts w:ascii="Arial" w:cs="Arial" w:eastAsia="Arial" w:hAnsi="Arial"/>
          <w:sz w:val="17"/>
          <w:szCs w:val="17"/>
          <w:b w:val="1"/>
          <w:bCs w:val="1"/>
          <w:color w:val="auto"/>
        </w:rPr>
        <w:t>NGM B</w:t>
      </w:r>
      <w:r>
        <w:rPr>
          <w:rFonts w:ascii="Arial" w:cs="Arial" w:eastAsia="Arial" w:hAnsi="Arial"/>
          <w:sz w:val="15"/>
          <w:szCs w:val="15"/>
          <w:b w:val="1"/>
          <w:bCs w:val="1"/>
          <w:color w:val="auto"/>
        </w:rPr>
        <w:t>IOPHARMACEUTICALS</w:t>
      </w:r>
      <w:r>
        <w:rPr>
          <w:rFonts w:ascii="Arial" w:cs="Arial" w:eastAsia="Arial" w:hAnsi="Arial"/>
          <w:sz w:val="17"/>
          <w:szCs w:val="17"/>
          <w:b w:val="1"/>
          <w:bCs w:val="1"/>
          <w:color w:val="auto"/>
        </w:rPr>
        <w:t>, I</w:t>
      </w:r>
      <w:r>
        <w:rPr>
          <w:rFonts w:ascii="Arial" w:cs="Arial" w:eastAsia="Arial" w:hAnsi="Arial"/>
          <w:sz w:val="15"/>
          <w:szCs w:val="15"/>
          <w:b w:val="1"/>
          <w:bCs w:val="1"/>
          <w:color w:val="auto"/>
        </w:rPr>
        <w:t>NC</w:t>
      </w:r>
      <w:r>
        <w:rPr>
          <w:rFonts w:ascii="Arial" w:cs="Arial" w:eastAsia="Arial" w:hAnsi="Arial"/>
          <w:sz w:val="17"/>
          <w:szCs w:val="17"/>
          <w:b w:val="1"/>
          <w:bCs w:val="1"/>
          <w:color w:val="auto"/>
        </w:rPr>
        <w:t>. C</w:t>
      </w:r>
      <w:r>
        <w:rPr>
          <w:rFonts w:ascii="Arial" w:cs="Arial" w:eastAsia="Arial" w:hAnsi="Arial"/>
          <w:sz w:val="15"/>
          <w:szCs w:val="15"/>
          <w:b w:val="1"/>
          <w:bCs w:val="1"/>
          <w:color w:val="auto"/>
        </w:rPr>
        <w:t xml:space="preserve">OMMON </w:t>
      </w:r>
      <w:r>
        <w:rPr>
          <w:rFonts w:ascii="Arial" w:cs="Arial" w:eastAsia="Arial" w:hAnsi="Arial"/>
          <w:sz w:val="17"/>
          <w:szCs w:val="17"/>
          <w:b w:val="1"/>
          <w:bCs w:val="1"/>
          <w:color w:val="auto"/>
        </w:rPr>
        <w:t>S</w:t>
      </w:r>
      <w:r>
        <w:rPr>
          <w:rFonts w:ascii="Arial" w:cs="Arial" w:eastAsia="Arial" w:hAnsi="Arial"/>
          <w:sz w:val="15"/>
          <w:szCs w:val="15"/>
          <w:b w:val="1"/>
          <w:bCs w:val="1"/>
          <w:color w:val="auto"/>
        </w:rPr>
        <w:t xml:space="preserve">TOCK </w:t>
      </w:r>
      <w:r>
        <w:rPr>
          <w:rFonts w:ascii="Arial" w:cs="Arial" w:eastAsia="Arial" w:hAnsi="Arial"/>
          <w:sz w:val="17"/>
          <w:szCs w:val="17"/>
          <w:b w:val="1"/>
          <w:bCs w:val="1"/>
          <w:color w:val="auto"/>
        </w:rPr>
        <w:t>W</w:t>
      </w:r>
      <w:r>
        <w:rPr>
          <w:rFonts w:ascii="Arial" w:cs="Arial" w:eastAsia="Arial" w:hAnsi="Arial"/>
          <w:sz w:val="15"/>
          <w:szCs w:val="15"/>
          <w:b w:val="1"/>
          <w:bCs w:val="1"/>
          <w:color w:val="auto"/>
        </w:rPr>
        <w:t xml:space="preserve">ARRANT </w:t>
      </w:r>
      <w:r>
        <w:rPr>
          <w:rFonts w:ascii="Arial" w:cs="Arial" w:eastAsia="Arial" w:hAnsi="Arial"/>
          <w:sz w:val="17"/>
          <w:szCs w:val="17"/>
          <w:b w:val="1"/>
          <w:bCs w:val="1"/>
          <w:color w:val="auto"/>
        </w:rPr>
        <w:t>A</w:t>
      </w:r>
      <w:r>
        <w:rPr>
          <w:rFonts w:ascii="Arial" w:cs="Arial" w:eastAsia="Arial" w:hAnsi="Arial"/>
          <w:sz w:val="15"/>
          <w:szCs w:val="15"/>
          <w:b w:val="1"/>
          <w:bCs w:val="1"/>
          <w:color w:val="auto"/>
        </w:rPr>
        <w:t>GREEMENT</w:t>
      </w:r>
    </w:p>
    <w:p>
      <w:pPr>
        <w:sectPr>
          <w:pgSz w:w="11900" w:h="16838" w:orient="portrait"/>
          <w:cols w:equalWidth="0" w:num="1">
            <w:col w:w="9900"/>
          </w:cols>
          <w:pgMar w:left="880" w:top="270" w:right="1119" w:bottom="1440" w:gutter="0" w:footer="0" w:header="0"/>
        </w:sectPr>
      </w:pPr>
    </w:p>
    <w:bookmarkStart w:id="161" w:name="page162"/>
    <w:bookmarkEnd w:id="161"/>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FORM OF WARRANT CERTIFICATE</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[FACE OF WARRANT CERTIFICATE]</w:t>
      </w:r>
    </w:p>
    <w:p>
      <w:pPr>
        <w:sectPr>
          <w:pgSz w:w="11900" w:h="16838" w:orient="portrait"/>
          <w:cols w:equalWidth="0" w:num="1">
            <w:col w:w="10820"/>
          </w:cols>
          <w:pgMar w:left="440" w:top="270" w:right="6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[Form of Legend if Warrants are not immediately exercisable.]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 Warrants evidenced by this Warrant Certificate cannot be exercised.]</w:t>
      </w:r>
    </w:p>
    <w:p>
      <w:pPr>
        <w:spacing w:after="0" w:line="170" w:lineRule="exact"/>
        <w:rPr>
          <w:sz w:val="20"/>
          <w:szCs w:val="20"/>
          <w:color w:val="auto"/>
        </w:rPr>
      </w:pPr>
    </w:p>
    <w:p>
      <w:pPr>
        <w:sectPr>
          <w:pgSz w:w="11900" w:h="16838" w:orient="portrait"/>
          <w:cols w:equalWidth="0" w:num="2">
            <w:col w:w="5020" w:space="720"/>
            <w:col w:w="5080"/>
          </w:cols>
          <w:pgMar w:left="440" w:top="270" w:right="639" w:bottom="1440" w:gutter="0" w:footer="0" w:header="0"/>
          <w:type w:val="continuous"/>
        </w:sectPr>
      </w:pPr>
    </w:p>
    <w:p>
      <w:pPr>
        <w:jc w:val="center"/>
        <w:ind w:right="-179"/>
        <w:spacing w:after="0"/>
        <w:rPr>
          <w:sz w:val="20"/>
          <w:szCs w:val="20"/>
          <w:color w:val="auto"/>
        </w:rPr>
      </w:pPr>
      <w:r>
        <w:rPr>
          <w:rFonts w:ascii="Arial" w:cs="Arial" w:eastAsia="Arial" w:hAnsi="Arial"/>
          <w:sz w:val="17"/>
          <w:szCs w:val="17"/>
          <w:color w:val="auto"/>
        </w:rPr>
        <w:t>EXERCISABLE ONLY IF COUNTERSIGNED BY THE WARRANT AGENT AS PROVIDED HEREIN</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VOID AFTER [●] P.M., [City] time, ON [●].</w:t>
      </w:r>
    </w:p>
    <w:p>
      <w:pPr>
        <w:sectPr>
          <w:pgSz w:w="11900" w:h="16838" w:orient="portrait"/>
          <w:cols w:equalWidth="0" w:num="1">
            <w:col w:w="10820"/>
          </w:cols>
          <w:pgMar w:left="440" w:top="270" w:right="639" w:bottom="1440" w:gutter="0" w:footer="0" w:header="0"/>
          <w:type w:val="continuous"/>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NGM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38"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6"/>
          <w:szCs w:val="16"/>
          <w:color w:val="auto"/>
        </w:rPr>
        <w:t>[●] Warrants</w:t>
      </w:r>
    </w:p>
    <w:p>
      <w:pPr>
        <w:spacing w:after="0" w:line="225"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This certifies that [●] or registered assigns is the registered owner of the above indicated number of Warrants, each Warrant entitling such owner to purchase, at any time [after [●] p.m., [City] time, [on [●] and] on or before [●] p.m., [City] time, on [●], [●] shares of Common Stock, par value $0.001 per share (the “</w:t>
      </w:r>
      <w:r>
        <w:rPr>
          <w:rFonts w:ascii="Arial" w:cs="Arial" w:eastAsia="Arial" w:hAnsi="Arial"/>
          <w:sz w:val="17"/>
          <w:szCs w:val="17"/>
          <w:b w:val="1"/>
          <w:bCs w:val="1"/>
          <w:i w:val="1"/>
          <w:iCs w:val="1"/>
          <w:color w:val="auto"/>
        </w:rPr>
        <w:t>Warrant Securities</w:t>
      </w:r>
      <w:r>
        <w:rPr>
          <w:rFonts w:ascii="Arial" w:cs="Arial" w:eastAsia="Arial" w:hAnsi="Arial"/>
          <w:sz w:val="17"/>
          <w:szCs w:val="17"/>
          <w:color w:val="auto"/>
        </w:rPr>
        <w:t>”), of NGM Biopharmaceuticals,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the following basis: during the period from [●], through and including [●], the exercise price per Warrant Security will be $[●], subject to adjustment as provided in the Warrant Agreement (as hereinafter defined) (the “</w:t>
      </w:r>
      <w:r>
        <w:rPr>
          <w:rFonts w:ascii="Arial" w:cs="Arial" w:eastAsia="Arial" w:hAnsi="Arial"/>
          <w:sz w:val="17"/>
          <w:szCs w:val="17"/>
          <w:b w:val="1"/>
          <w:bCs w:val="1"/>
          <w:i w:val="1"/>
          <w:iCs w:val="1"/>
          <w:color w:val="auto"/>
        </w:rPr>
        <w:t>Warrant Price</w:t>
      </w:r>
      <w:r>
        <w:rPr>
          <w:rFonts w:ascii="Arial" w:cs="Arial" w:eastAsia="Arial" w:hAnsi="Arial"/>
          <w:sz w:val="17"/>
          <w:szCs w:val="17"/>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Arial" w:cs="Arial" w:eastAsia="Arial" w:hAnsi="Arial"/>
          <w:sz w:val="17"/>
          <w:szCs w:val="17"/>
          <w:b w:val="1"/>
          <w:bCs w:val="1"/>
          <w:i w:val="1"/>
          <w:iCs w:val="1"/>
          <w:color w:val="auto"/>
        </w:rPr>
        <w:t>Warrant Agent</w:t>
      </w:r>
      <w:r>
        <w:rPr>
          <w:rFonts w:ascii="Arial" w:cs="Arial" w:eastAsia="Arial" w:hAnsi="Arial"/>
          <w:sz w:val="17"/>
          <w:szCs w:val="17"/>
          <w:color w:val="auto"/>
        </w:rPr>
        <w:t>”), which is, on the date hereof, at the address specified on the reverse hereof, and upon compliance with and subject to the conditions set forth herein and in the Warrant Agreement (as hereinafter defined).</w:t>
      </w:r>
    </w:p>
    <w:p>
      <w:pPr>
        <w:spacing w:after="0" w:line="182"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70"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This Warrant Certificate is issued under and in accordance with the Warrant Agreement dated as of [●]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87" w:lineRule="exact"/>
        <w:rPr>
          <w:sz w:val="20"/>
          <w:szCs w:val="20"/>
          <w:color w:val="auto"/>
        </w:rPr>
      </w:pPr>
    </w:p>
    <w:p>
      <w:pPr>
        <w:ind w:right="440" w:firstLine="440"/>
        <w:spacing w:after="0" w:line="342" w:lineRule="auto"/>
        <w:rPr>
          <w:sz w:val="20"/>
          <w:szCs w:val="20"/>
          <w:color w:val="auto"/>
        </w:rPr>
      </w:pPr>
      <w:r>
        <w:rPr>
          <w:rFonts w:ascii="Arial" w:cs="Arial" w:eastAsia="Arial" w:hAnsi="Arial"/>
          <w:sz w:val="16"/>
          <w:szCs w:val="16"/>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24"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24"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184" w:lineRule="exact"/>
        <w:rPr>
          <w:sz w:val="20"/>
          <w:szCs w:val="20"/>
          <w:color w:val="auto"/>
        </w:rPr>
      </w:pPr>
    </w:p>
    <w:p>
      <w:pPr>
        <w:jc w:val="both"/>
        <w:ind w:right="100" w:firstLine="440"/>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which further provisions shall for all purposes have the same effect as if set forth at this place.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Certificate shall not be valid or obligatory for any purpose until countersigned by the Warrant Agent.</w:t>
      </w:r>
    </w:p>
    <w:p>
      <w:pPr>
        <w:sectPr>
          <w:pgSz w:w="11900" w:h="16838" w:orient="portrait"/>
          <w:cols w:equalWidth="0" w:num="1">
            <w:col w:w="11020"/>
          </w:cols>
          <w:pgMar w:left="440" w:top="270" w:right="439" w:bottom="1440" w:gutter="0" w:footer="0" w:header="0"/>
        </w:sectPr>
      </w:pPr>
    </w:p>
    <w:bookmarkStart w:id="163" w:name="page164"/>
    <w:bookmarkEnd w:id="163"/>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Company has caused this Warrant to be executed in its name and on its behalf by the facsimile signatures of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as 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14605</wp:posOffset>
            </wp:positionV>
            <wp:extent cx="228854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14605</wp:posOffset>
            </wp:positionV>
            <wp:extent cx="22885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14605</wp:posOffset>
            </wp:positionV>
            <wp:extent cx="228854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17145</wp:posOffset>
            </wp:positionV>
            <wp:extent cx="22885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171450</wp:posOffset>
            </wp:positionV>
            <wp:extent cx="22885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COUNTERSIGNED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as Warrant Agent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14605</wp:posOffset>
            </wp:positionV>
            <wp:extent cx="22885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14605</wp:posOffset>
            </wp:positionV>
            <wp:extent cx="22885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14605</wp:posOffset>
            </wp:positionV>
            <wp:extent cx="228854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17145</wp:posOffset>
            </wp:positionV>
            <wp:extent cx="22885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171450</wp:posOffset>
            </wp:positionV>
            <wp:extent cx="22885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sectPr>
      </w:pPr>
    </w:p>
    <w:bookmarkStart w:id="164" w:name="page165"/>
    <w:bookmarkEnd w:id="16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[REVERSE OF WARRANT CERTIFICATE]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(Instructions for Exercise of Warrant)</w:t>
      </w:r>
    </w:p>
    <w:p>
      <w:pPr>
        <w:spacing w:after="0" w:line="229" w:lineRule="exact"/>
        <w:rPr>
          <w:sz w:val="20"/>
          <w:szCs w:val="20"/>
          <w:color w:val="auto"/>
        </w:rPr>
      </w:pPr>
    </w:p>
    <w:p>
      <w:pPr>
        <w:ind w:right="180" w:firstLine="440"/>
        <w:spacing w:after="0" w:line="293" w:lineRule="auto"/>
        <w:rPr>
          <w:sz w:val="20"/>
          <w:szCs w:val="20"/>
          <w:color w:val="auto"/>
        </w:rPr>
      </w:pPr>
      <w:r>
        <w:rPr>
          <w:rFonts w:ascii="Arial" w:cs="Arial" w:eastAsia="Arial" w:hAnsi="Arial"/>
          <w:sz w:val="16"/>
          <w:szCs w:val="16"/>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be executed upon exercise of Warrants)</w:t>
      </w:r>
    </w:p>
    <w:p>
      <w:pPr>
        <w:spacing w:after="0" w:line="225" w:lineRule="exact"/>
        <w:rPr>
          <w:sz w:val="20"/>
          <w:szCs w:val="20"/>
          <w:color w:val="auto"/>
        </w:rPr>
      </w:pPr>
    </w:p>
    <w:p>
      <w:pPr>
        <w:ind w:left="440"/>
        <w:spacing w:after="0"/>
        <w:tabs>
          <w:tab w:leader="none" w:pos="5280" w:val="left"/>
        </w:tabs>
        <w:rPr>
          <w:sz w:val="20"/>
          <w:szCs w:val="20"/>
          <w:color w:val="auto"/>
        </w:rPr>
      </w:pPr>
      <w:r>
        <w:rPr>
          <w:rFonts w:ascii="Arial" w:cs="Arial" w:eastAsia="Arial" w:hAnsi="Arial"/>
          <w:sz w:val="18"/>
          <w:szCs w:val="18"/>
          <w:color w:val="auto"/>
        </w:rPr>
        <w:t>The undersigned hereby irrevocably elects to exercise</w:t>
      </w:r>
      <w:r>
        <w:rPr>
          <w:sz w:val="20"/>
          <w:szCs w:val="20"/>
          <w:color w:val="auto"/>
        </w:rPr>
        <w:tab/>
      </w:r>
      <w:r>
        <w:rPr>
          <w:rFonts w:ascii="Arial" w:cs="Arial" w:eastAsia="Arial" w:hAnsi="Arial"/>
          <w:sz w:val="16"/>
          <w:szCs w:val="16"/>
          <w:color w:val="auto"/>
        </w:rPr>
        <w:t>Warrants, evidenced by this Warrant Certificate,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shares of the Common Stock, par value $0.001 per share (the “</w:t>
      </w:r>
      <w:r>
        <w:rPr>
          <w:rFonts w:ascii="Arial" w:cs="Arial" w:eastAsia="Arial" w:hAnsi="Arial"/>
          <w:sz w:val="17"/>
          <w:szCs w:val="17"/>
          <w:b w:val="1"/>
          <w:bCs w:val="1"/>
          <w:i w:val="1"/>
          <w:iCs w:val="1"/>
          <w:color w:val="auto"/>
        </w:rPr>
        <w:t>Warrant Securities</w:t>
      </w:r>
      <w:r>
        <w:rPr>
          <w:rFonts w:ascii="Arial" w:cs="Arial" w:eastAsia="Arial" w:hAnsi="Arial"/>
          <w:sz w:val="17"/>
          <w:szCs w:val="17"/>
          <w:color w:val="auto"/>
        </w:rPr>
        <w:t>”), of NGM Biopharmaceuticals, Inc. and represents that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undersigned has tendered payment for such Warrant Securities, in lawful money of the United States of America, [in cash or by certified check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official bank check in New York Clearing House funds] [by bank wire transfer in immediately available funds], to the order of NGM</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Biopharmaceuticals, Inc., c/o [insert name and address of Warrant Agent], in the amount of $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90"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211"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65836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Please 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262890</wp:posOffset>
            </wp:positionV>
            <wp:extent cx="23418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(Insert Social Security or Other Identifying Number of 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-10160</wp:posOffset>
            </wp:positionV>
            <wp:extent cx="16281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(Signature must conform in all respects to name of holder as specified on the face of this Warrant Certificate and must bear a signature guarantee by a FINRA member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may be exercised at the following addresses:</w:t>
      </w:r>
    </w:p>
    <w:p>
      <w:pPr>
        <w:spacing w:after="0" w:line="252" w:lineRule="exact"/>
        <w:rPr>
          <w:sz w:val="20"/>
          <w:szCs w:val="20"/>
          <w:color w:val="auto"/>
        </w:rPr>
      </w:pPr>
    </w:p>
    <w:p>
      <w:pPr>
        <w:ind w:left="540"/>
        <w:spacing w:after="0"/>
        <w:tabs>
          <w:tab w:leader="none" w:pos="1960" w:val="left"/>
        </w:tabs>
        <w:rPr>
          <w:sz w:val="20"/>
          <w:szCs w:val="20"/>
          <w:color w:val="auto"/>
        </w:rPr>
      </w:pPr>
      <w:r>
        <w:rPr>
          <w:rFonts w:ascii="Arial" w:cs="Arial" w:eastAsia="Arial" w:hAnsi="Arial"/>
          <w:sz w:val="18"/>
          <w:szCs w:val="18"/>
          <w:color w:val="auto"/>
        </w:rPr>
        <w:t>By hand at: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 mail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14605</wp:posOffset>
            </wp:positionV>
            <wp:extent cx="573468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5734685" cy="8255"/>
                    </a:xfrm>
                    <a:prstGeom prst="rect">
                      <a:avLst/>
                    </a:prstGeom>
                    <a:noFill/>
                  </pic:spPr>
                </pic:pic>
              </a:graphicData>
            </a:graphic>
          </wp:anchor>
        </w:drawing>
      </w:r>
    </w:p>
    <w:p>
      <w:pPr>
        <w:spacing w:after="0" w:line="23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10960"/>
          </w:cols>
          <w:pgMar w:left="440" w:top="270" w:right="49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to be executed if Warrant Holder desires to transfer Warrant]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4"/>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ECEIVED</w:t>
            </w:r>
            <w:r>
              <w:rPr>
                <w:rFonts w:ascii="Arial" w:cs="Arial" w:eastAsia="Arial" w:hAnsi="Arial"/>
                <w:sz w:val="18"/>
                <w:szCs w:val="18"/>
                <w:color w:val="auto"/>
              </w:rPr>
              <w:t>,</w:t>
            </w:r>
          </w:p>
        </w:tc>
        <w:tc>
          <w:tcPr>
            <w:tcW w:w="8200" w:type="dxa"/>
            <w:vAlign w:val="bottom"/>
            <w:gridSpan w:val="9"/>
          </w:tcPr>
          <w:p>
            <w:pPr>
              <w:spacing w:after="0"/>
              <w:rPr>
                <w:sz w:val="20"/>
                <w:szCs w:val="20"/>
                <w:color w:val="auto"/>
              </w:rPr>
            </w:pPr>
            <w:r>
              <w:rPr>
                <w:rFonts w:ascii="Arial" w:cs="Arial" w:eastAsia="Arial" w:hAnsi="Arial"/>
                <w:sz w:val="18"/>
                <w:szCs w:val="18"/>
                <w:color w:val="auto"/>
              </w:rPr>
              <w:t>hereby sells, assigns and transfers unto:</w:t>
            </w:r>
          </w:p>
        </w:tc>
      </w:tr>
      <w:tr>
        <w:trPr>
          <w:trHeight w:val="318"/>
        </w:trPr>
        <w:tc>
          <w:tcPr>
            <w:tcW w:w="6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250"/>
        </w:trPr>
        <w:tc>
          <w:tcPr>
            <w:tcW w:w="4000" w:type="dxa"/>
            <w:vAlign w:val="bottom"/>
            <w:gridSpan w:val="7"/>
          </w:tcPr>
          <w:p>
            <w:pPr>
              <w:spacing w:after="0"/>
              <w:rPr>
                <w:sz w:val="20"/>
                <w:szCs w:val="20"/>
                <w:color w:val="auto"/>
              </w:rPr>
            </w:pPr>
            <w:r>
              <w:rPr>
                <w:rFonts w:ascii="Arial" w:cs="Arial" w:eastAsia="Arial" w:hAnsi="Arial"/>
                <w:sz w:val="18"/>
                <w:szCs w:val="18"/>
                <w:color w:val="auto"/>
                <w:w w:val="97"/>
              </w:rPr>
              <w:t>(Please print name and address including zip code)</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40" w:type="dxa"/>
            <w:vAlign w:val="bottom"/>
            <w:gridSpan w:val="3"/>
          </w:tcPr>
          <w:p>
            <w:pPr>
              <w:ind w:left="660"/>
              <w:spacing w:after="0"/>
              <w:rPr>
                <w:sz w:val="20"/>
                <w:szCs w:val="20"/>
                <w:color w:val="auto"/>
              </w:rPr>
            </w:pPr>
            <w:r>
              <w:rPr>
                <w:rFonts w:ascii="Arial" w:cs="Arial" w:eastAsia="Arial" w:hAnsi="Arial"/>
                <w:sz w:val="18"/>
                <w:szCs w:val="18"/>
                <w:color w:val="auto"/>
              </w:rPr>
              <w:t>Please print Social Security or other identifying number</w:t>
            </w:r>
          </w:p>
        </w:tc>
      </w:tr>
      <w:tr>
        <w:trPr>
          <w:trHeight w:val="405"/>
        </w:trPr>
        <w:tc>
          <w:tcPr>
            <w:tcW w:w="4000" w:type="dxa"/>
            <w:vAlign w:val="bottom"/>
            <w:gridSpan w:val="7"/>
          </w:tcPr>
          <w:p>
            <w:pPr>
              <w:spacing w:after="0"/>
              <w:rPr>
                <w:sz w:val="20"/>
                <w:szCs w:val="20"/>
                <w:color w:val="auto"/>
              </w:rPr>
            </w:pPr>
            <w:r>
              <w:rPr>
                <w:rFonts w:ascii="Arial" w:cs="Arial" w:eastAsia="Arial" w:hAnsi="Arial"/>
                <w:sz w:val="18"/>
                <w:szCs w:val="18"/>
                <w:color w:val="auto"/>
                <w:w w:val="90"/>
              </w:rPr>
              <w:t>the right represented by the within Warrant to purchase</w:t>
            </w:r>
          </w:p>
        </w:tc>
        <w:tc>
          <w:tcPr>
            <w:tcW w:w="900" w:type="dxa"/>
            <w:vAlign w:val="bottom"/>
            <w:tcBorders>
              <w:bottom w:val="single" w:sz="8" w:color="auto"/>
            </w:tcBorders>
          </w:tcPr>
          <w:p>
            <w:pPr>
              <w:spacing w:after="0"/>
              <w:rPr>
                <w:sz w:val="24"/>
                <w:szCs w:val="24"/>
                <w:color w:val="auto"/>
              </w:rPr>
            </w:pPr>
          </w:p>
        </w:tc>
        <w:tc>
          <w:tcPr>
            <w:tcW w:w="6120" w:type="dxa"/>
            <w:vAlign w:val="bottom"/>
            <w:gridSpan w:val="5"/>
          </w:tcPr>
          <w:p>
            <w:pPr>
              <w:ind w:left="40"/>
              <w:spacing w:after="0"/>
              <w:rPr>
                <w:sz w:val="20"/>
                <w:szCs w:val="20"/>
                <w:color w:val="auto"/>
              </w:rPr>
            </w:pPr>
            <w:r>
              <w:rPr>
                <w:rFonts w:ascii="Arial" w:cs="Arial" w:eastAsia="Arial" w:hAnsi="Arial"/>
                <w:sz w:val="18"/>
                <w:szCs w:val="18"/>
                <w:color w:val="auto"/>
                <w:w w:val="95"/>
              </w:rPr>
              <w:t>shares of [Title of Warrant Securities] of NGM Biopharmaceuticals, Inc. to which</w:t>
            </w:r>
          </w:p>
        </w:tc>
      </w:tr>
      <w:tr>
        <w:trPr>
          <w:trHeight w:val="196"/>
        </w:trPr>
        <w:tc>
          <w:tcPr>
            <w:tcW w:w="2820" w:type="dxa"/>
            <w:vAlign w:val="bottom"/>
            <w:gridSpan w:val="4"/>
          </w:tcPr>
          <w:p>
            <w:pPr>
              <w:spacing w:after="0" w:line="196" w:lineRule="exact"/>
              <w:rPr>
                <w:sz w:val="20"/>
                <w:szCs w:val="20"/>
                <w:color w:val="auto"/>
              </w:rPr>
            </w:pPr>
            <w:r>
              <w:rPr>
                <w:rFonts w:ascii="Arial" w:cs="Arial" w:eastAsia="Arial" w:hAnsi="Arial"/>
                <w:sz w:val="18"/>
                <w:szCs w:val="18"/>
                <w:color w:val="auto"/>
                <w:w w:val="89"/>
              </w:rPr>
              <w:t>the within Warrant relates and appoints</w:t>
            </w:r>
          </w:p>
        </w:tc>
        <w:tc>
          <w:tcPr>
            <w:tcW w:w="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7260" w:type="dxa"/>
            <w:vAlign w:val="bottom"/>
            <w:gridSpan w:val="7"/>
          </w:tcPr>
          <w:p>
            <w:pPr>
              <w:ind w:left="40"/>
              <w:spacing w:after="0" w:line="196" w:lineRule="exact"/>
              <w:rPr>
                <w:sz w:val="20"/>
                <w:szCs w:val="20"/>
                <w:color w:val="auto"/>
              </w:rPr>
            </w:pPr>
            <w:r>
              <w:rPr>
                <w:rFonts w:ascii="Arial" w:cs="Arial" w:eastAsia="Arial" w:hAnsi="Arial"/>
                <w:sz w:val="18"/>
                <w:szCs w:val="18"/>
                <w:color w:val="auto"/>
                <w:w w:val="93"/>
              </w:rPr>
              <w:t>attorney to transfer such right on the books of the Warrant Agent with full power of substitution in</w:t>
            </w:r>
          </w:p>
        </w:tc>
      </w:tr>
      <w:tr>
        <w:trPr>
          <w:trHeight w:val="237"/>
        </w:trPr>
        <w:tc>
          <w:tcPr>
            <w:tcW w:w="2820" w:type="dxa"/>
            <w:vAlign w:val="bottom"/>
            <w:gridSpan w:val="4"/>
          </w:tcPr>
          <w:p>
            <w:pPr>
              <w:spacing w:after="0"/>
              <w:rPr>
                <w:sz w:val="20"/>
                <w:szCs w:val="20"/>
                <w:color w:val="auto"/>
              </w:rPr>
            </w:pPr>
            <w:r>
              <w:rPr>
                <w:rFonts w:ascii="Arial" w:cs="Arial" w:eastAsia="Arial" w:hAnsi="Arial"/>
                <w:sz w:val="18"/>
                <w:szCs w:val="18"/>
                <w:color w:val="auto"/>
              </w:rPr>
              <w:t>the premises.</w:t>
            </w: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59"/>
        </w:trPr>
        <w:tc>
          <w:tcPr>
            <w:tcW w:w="2820" w:type="dxa"/>
            <w:vAlign w:val="bottom"/>
            <w:gridSpan w:val="4"/>
          </w:tcPr>
          <w:p>
            <w:pPr>
              <w:spacing w:after="0"/>
              <w:rPr>
                <w:sz w:val="20"/>
                <w:szCs w:val="20"/>
                <w:color w:val="auto"/>
              </w:rPr>
            </w:pPr>
            <w:r>
              <w:rPr>
                <w:rFonts w:ascii="Arial" w:cs="Arial" w:eastAsia="Arial" w:hAnsi="Arial"/>
                <w:sz w:val="18"/>
                <w:szCs w:val="18"/>
                <w:color w:val="auto"/>
              </w:rPr>
              <w:t>Dated:</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Name:</w:t>
            </w:r>
          </w:p>
        </w:tc>
      </w:tr>
      <w:tr>
        <w:trPr>
          <w:trHeight w:val="224"/>
        </w:trPr>
        <w:tc>
          <w:tcPr>
            <w:tcW w:w="6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520" w:type="dxa"/>
            <w:vAlign w:val="bottom"/>
            <w:tcBorders>
              <w:top w:val="single" w:sz="8" w:color="auto"/>
            </w:tcBorders>
          </w:tcPr>
          <w:p>
            <w:pPr>
              <w:ind w:left="1920"/>
              <w:spacing w:after="0"/>
              <w:rPr>
                <w:sz w:val="20"/>
                <w:szCs w:val="20"/>
                <w:color w:val="auto"/>
              </w:rPr>
            </w:pPr>
            <w:r>
              <w:rPr>
                <w:rFonts w:ascii="Arial" w:cs="Arial" w:eastAsia="Arial" w:hAnsi="Arial"/>
                <w:sz w:val="18"/>
                <w:szCs w:val="18"/>
                <w:color w:val="auto"/>
              </w:rPr>
              <w:t>Signature</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24561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ectPr>
          <w:pgSz w:w="11900" w:h="16838" w:orient="portrait"/>
          <w:cols w:equalWidth="0" w:num="1">
            <w:col w:w="11020"/>
          </w:cols>
          <w:pgMar w:left="440" w:top="270" w:right="4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NGM BIOPHARMACEUTICALS, INC.</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 AS WARRANT AGENT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FORM OF PREFERRED STOCK</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WARRANT AGREEMENT</w:t>
      </w:r>
    </w:p>
    <w:p>
      <w:pPr>
        <w:spacing w:after="0" w:line="20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DATED AS OF</w:t>
      </w:r>
    </w:p>
    <w:p>
      <w:pPr>
        <w:sectPr>
          <w:pgSz w:w="11900" w:h="16838" w:orient="portrait"/>
          <w:cols w:equalWidth="0" w:num="1">
            <w:col w:w="10020"/>
          </w:cols>
          <w:pgMar w:left="1440" w:top="121" w:right="4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NGM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PREFERRED STOCK WARRANT AGREEMENT</w:t>
      </w:r>
    </w:p>
    <w:p>
      <w:pPr>
        <w:spacing w:after="0" w:line="207"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THIS PREFERRED STOCK WARRANT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between</w:t>
      </w:r>
      <w:r>
        <w:rPr>
          <w:rFonts w:ascii="Arial" w:cs="Arial" w:eastAsia="Arial" w:hAnsi="Arial"/>
          <w:sz w:val="18"/>
          <w:szCs w:val="18"/>
          <w:b w:val="1"/>
          <w:bCs w:val="1"/>
          <w:color w:val="auto"/>
        </w:rPr>
        <w:t xml:space="preserve"> 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 a [corporation] [national banking association] organized and existing under the laws of [●] and having a corporate trust office in [●],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w:t>
      </w:r>
    </w:p>
    <w:p>
      <w:pPr>
        <w:spacing w:after="0" w:line="176" w:lineRule="exact"/>
        <w:rPr>
          <w:sz w:val="20"/>
          <w:szCs w:val="20"/>
          <w:color w:val="auto"/>
        </w:rPr>
      </w:pPr>
    </w:p>
    <w:p>
      <w:pPr>
        <w:jc w:val="both"/>
        <w:ind w:right="20" w:firstLine="440"/>
        <w:spacing w:after="0" w:line="303"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proposes to sell [</w:t>
      </w:r>
      <w:r>
        <w:rPr>
          <w:rFonts w:ascii="Arial" w:cs="Arial" w:eastAsia="Arial" w:hAnsi="Arial"/>
          <w:sz w:val="16"/>
          <w:szCs w:val="16"/>
          <w:b w:val="1"/>
          <w:bCs w:val="1"/>
          <w:i w:val="1"/>
          <w:iCs w:val="1"/>
          <w:color w:val="auto"/>
        </w:rPr>
        <w:t>If Warrants are sold with other securities —</w:t>
      </w:r>
      <w:r>
        <w:rPr>
          <w:rFonts w:ascii="Arial" w:cs="Arial" w:eastAsia="Arial" w:hAnsi="Arial"/>
          <w:sz w:val="16"/>
          <w:szCs w:val="16"/>
          <w:b w:val="1"/>
          <w:bCs w:val="1"/>
          <w:color w:val="auto"/>
        </w:rPr>
        <w:t xml:space="preserve"> </w:t>
      </w:r>
      <w:r>
        <w:rPr>
          <w:rFonts w:ascii="Arial" w:cs="Arial" w:eastAsia="Arial" w:hAnsi="Arial"/>
          <w:sz w:val="16"/>
          <w:szCs w:val="16"/>
          <w:color w:val="auto"/>
        </w:rPr>
        <w:t>[title of such other securities being offered] (the “</w:t>
      </w:r>
      <w:r>
        <w:rPr>
          <w:rFonts w:ascii="Arial" w:cs="Arial" w:eastAsia="Arial" w:hAnsi="Arial"/>
          <w:sz w:val="16"/>
          <w:szCs w:val="16"/>
          <w:b w:val="1"/>
          <w:bCs w:val="1"/>
          <w:i w:val="1"/>
          <w:iCs w:val="1"/>
          <w:color w:val="auto"/>
        </w:rPr>
        <w:t>Other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with] warrant certificates evidencing one or more warrants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or, individually, a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representing the right to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[title of Preferred Stock purchasable through exercise of Warrants] of the Company, par value $0.001 per share (the “</w:t>
      </w:r>
      <w:r>
        <w:rPr>
          <w:rFonts w:ascii="Arial" w:cs="Arial" w:eastAsia="Arial" w:hAnsi="Arial"/>
          <w:sz w:val="16"/>
          <w:szCs w:val="16"/>
          <w:b w:val="1"/>
          <w:bCs w:val="1"/>
          <w:i w:val="1"/>
          <w:iCs w:val="1"/>
          <w:color w:val="auto"/>
        </w:rPr>
        <w:t>Warrant Securities</w:t>
      </w:r>
      <w:r>
        <w:rPr>
          <w:rFonts w:ascii="Arial" w:cs="Arial" w:eastAsia="Arial" w:hAnsi="Arial"/>
          <w:sz w:val="16"/>
          <w:szCs w:val="16"/>
          <w:color w:val="auto"/>
        </w:rPr>
        <w:t>”), such warrant certificates and other warrant certificates issued pursuant to this Agreement being herein called the “</w:t>
      </w:r>
      <w:r>
        <w:rPr>
          <w:rFonts w:ascii="Arial" w:cs="Arial" w:eastAsia="Arial" w:hAnsi="Arial"/>
          <w:sz w:val="16"/>
          <w:szCs w:val="16"/>
          <w:b w:val="1"/>
          <w:bCs w:val="1"/>
          <w:i w:val="1"/>
          <w:iCs w:val="1"/>
          <w:color w:val="auto"/>
        </w:rPr>
        <w:t>Warrant Certificates</w:t>
      </w:r>
      <w:r>
        <w:rPr>
          <w:rFonts w:ascii="Arial" w:cs="Arial" w:eastAsia="Arial" w:hAnsi="Arial"/>
          <w:sz w:val="16"/>
          <w:szCs w:val="16"/>
          <w:color w:val="auto"/>
        </w:rPr>
        <w:t>”; and</w:t>
      </w:r>
    </w:p>
    <w:p>
      <w:pPr>
        <w:spacing w:after="0" w:line="151"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the Warrant Agent to act on behalf of the Company, and the Warrant Agent is willing so to act,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premises and of the mutual agreements herein contained, the parties hereto agree as follows: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ISSUANCE OF WARRANTS AND EXECUTION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WARRANT CERTIFICATES</w:t>
      </w:r>
    </w:p>
    <w:p>
      <w:pPr>
        <w:spacing w:after="0" w:line="207"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1.1 Issuance of Warrants. </w:t>
      </w:r>
      <w:r>
        <w:rPr>
          <w:rFonts w:ascii="Arial" w:cs="Arial" w:eastAsia="Arial" w:hAnsi="Arial"/>
          <w:sz w:val="16"/>
          <w:szCs w:val="16"/>
          <w:color w:val="auto"/>
        </w:rPr>
        <w:t>[</w:t>
      </w:r>
      <w:r>
        <w:rPr>
          <w:rFonts w:ascii="Arial" w:cs="Arial" w:eastAsia="Arial" w:hAnsi="Arial"/>
          <w:sz w:val="16"/>
          <w:szCs w:val="16"/>
          <w:b w:val="1"/>
          <w:bCs w:val="1"/>
          <w:i w:val="1"/>
          <w:iCs w:val="1"/>
          <w:color w:val="auto"/>
        </w:rPr>
        <w:t>If Warrants alone</w:t>
      </w:r>
      <w:r>
        <w:rPr>
          <w:rFonts w:ascii="Arial" w:cs="Arial" w:eastAsia="Arial" w:hAnsi="Arial"/>
          <w:sz w:val="16"/>
          <w:szCs w:val="16"/>
          <w:b w:val="1"/>
          <w:bCs w:val="1"/>
          <w:color w:val="auto"/>
        </w:rPr>
        <w:t xml:space="preserve"> </w:t>
      </w:r>
      <w:r>
        <w:rPr>
          <w:rFonts w:ascii="Arial" w:cs="Arial" w:eastAsia="Arial" w:hAnsi="Arial"/>
          <w:sz w:val="16"/>
          <w:szCs w:val="16"/>
          <w:color w:val="auto"/>
        </w:rPr>
        <w:t>—Upon issuance, each Warrant Certificate shall evidence one or more Warrants.] [</w:t>
      </w:r>
      <w:r>
        <w:rPr>
          <w:rFonts w:ascii="Arial" w:cs="Arial" w:eastAsia="Arial" w:hAnsi="Arial"/>
          <w:sz w:val="16"/>
          <w:szCs w:val="16"/>
          <w:b w:val="1"/>
          <w:bCs w:val="1"/>
          <w:i w:val="1"/>
          <w:iCs w:val="1"/>
          <w:color w:val="auto"/>
        </w:rPr>
        <w:t>If Other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Securities and Warrants </w:t>
      </w:r>
      <w:r>
        <w:rPr>
          <w:rFonts w:ascii="Arial" w:cs="Arial" w:eastAsia="Arial" w:hAnsi="Arial"/>
          <w:sz w:val="16"/>
          <w:szCs w:val="16"/>
          <w:color w:val="auto"/>
        </w:rPr>
        <w:t>—Warrant Certificates will be issued in connection with the issuance of the Other Securities but shall be separately transferable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each Warrant Certificate shall evidence one or more Warrants.] Each Warrant evidenced thereby shall represent the right, subject to the provisions contained herein and therein, to purchase one Warrant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 xml:space="preserve"> —Warrant Certificates will be issued with the Other Securities and each Warrant Certificate will evidence [●] Warrants for each [$[●] principal amount] [[●] shares] of Other Securities issued.]</w:t>
      </w:r>
    </w:p>
    <w:p>
      <w:pPr>
        <w:spacing w:after="0" w:line="15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b w:val="1"/>
          <w:bCs w:val="1"/>
          <w:color w:val="auto"/>
        </w:rPr>
        <w:t xml:space="preserve">1.2 Execution and Delivery of Warrant Certificates. </w:t>
      </w:r>
      <w:r>
        <w:rPr>
          <w:rFonts w:ascii="Arial" w:cs="Arial" w:eastAsia="Arial" w:hAnsi="Arial"/>
          <w:sz w:val="17"/>
          <w:szCs w:val="17"/>
          <w:color w:val="auto"/>
        </w:rPr>
        <w:t>Each Warrant Certificate, whenever issued, shall be in registered form substantially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form set forth in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86" w:lineRule="exact"/>
        <w:rPr>
          <w:sz w:val="20"/>
          <w:szCs w:val="20"/>
          <w:color w:val="auto"/>
        </w:rPr>
      </w:pPr>
    </w:p>
    <w:p>
      <w:pPr>
        <w:jc w:val="both"/>
        <w:ind w:right="220" w:firstLine="440"/>
        <w:spacing w:after="0" w:line="311" w:lineRule="auto"/>
        <w:rPr>
          <w:sz w:val="20"/>
          <w:szCs w:val="20"/>
          <w:color w:val="auto"/>
        </w:rPr>
      </w:pPr>
      <w:r>
        <w:rPr>
          <w:rFonts w:ascii="Arial" w:cs="Arial" w:eastAsia="Arial" w:hAnsi="Arial"/>
          <w:sz w:val="16"/>
          <w:szCs w:val="16"/>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168" w:name="page169"/>
    <w:bookmarkEnd w:id="168"/>
    <w:p>
      <w:pPr>
        <w:ind w:right="6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6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 of a Warrant Certificate</w:t>
      </w:r>
      <w:r>
        <w:rPr>
          <w:rFonts w:ascii="Arial" w:cs="Arial" w:eastAsia="Arial" w:hAnsi="Arial"/>
          <w:sz w:val="18"/>
          <w:szCs w:val="18"/>
          <w:color w:val="auto"/>
        </w:rPr>
        <w:t>” as used herein shall mean any person in whose name at the time any Warrant Certificate shall be registered upon the books to be maintained by the Warrant Agent for that purpose.</w:t>
      </w:r>
    </w:p>
    <w:p>
      <w:pPr>
        <w:spacing w:after="0" w:line="166" w:lineRule="exact"/>
        <w:rPr>
          <w:sz w:val="20"/>
          <w:szCs w:val="20"/>
          <w:color w:val="auto"/>
        </w:rPr>
      </w:pPr>
    </w:p>
    <w:p>
      <w:pPr>
        <w:ind w:right="420" w:firstLine="440"/>
        <w:spacing w:after="0" w:line="261" w:lineRule="auto"/>
        <w:rPr>
          <w:sz w:val="20"/>
          <w:szCs w:val="20"/>
          <w:color w:val="auto"/>
        </w:rPr>
      </w:pPr>
      <w:r>
        <w:rPr>
          <w:rFonts w:ascii="Arial" w:cs="Arial" w:eastAsia="Arial" w:hAnsi="Arial"/>
          <w:sz w:val="18"/>
          <w:szCs w:val="18"/>
          <w:b w:val="1"/>
          <w:bCs w:val="1"/>
          <w:color w:val="auto"/>
        </w:rPr>
        <w:t xml:space="preserve">1.3 Issuance of Warrant Certificates. </w:t>
      </w:r>
      <w:r>
        <w:rPr>
          <w:rFonts w:ascii="Arial" w:cs="Arial" w:eastAsia="Arial" w:hAnsi="Arial"/>
          <w:sz w:val="18"/>
          <w:szCs w:val="18"/>
          <w:color w:val="auto"/>
        </w:rPr>
        <w:t>Warrant Certificates evidencing the right to purchase Warrant Securities may be executed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PRICE, DURATION AND EXERCISE OF WARRANTS</w:t>
      </w:r>
    </w:p>
    <w:p>
      <w:pPr>
        <w:spacing w:after="0" w:line="207"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2.1 Warrant Price. </w:t>
      </w:r>
      <w:r>
        <w:rPr>
          <w:rFonts w:ascii="Arial" w:cs="Arial" w:eastAsia="Arial" w:hAnsi="Arial"/>
          <w:sz w:val="18"/>
          <w:szCs w:val="18"/>
          <w:color w:val="auto"/>
        </w:rPr>
        <w:t>During the period specified in Section 2.2, each Warrant shall, subject to the terms of this Agreement and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w:t>
      </w:r>
    </w:p>
    <w:p>
      <w:pPr>
        <w:spacing w:after="0" w:line="180"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2.2 Duration of Warrants. </w:t>
      </w:r>
      <w:r>
        <w:rPr>
          <w:rFonts w:ascii="Arial" w:cs="Arial" w:eastAsia="Arial" w:hAnsi="Arial"/>
          <w:sz w:val="18"/>
          <w:szCs w:val="18"/>
          <w:color w:val="auto"/>
        </w:rPr>
        <w:t>Each Warrant may be exercised in whole or in part at any time, as specified herein, on or after [the date thereof] [●]</w:t>
      </w:r>
      <w:r>
        <w:rPr>
          <w:rFonts w:ascii="Arial" w:cs="Arial" w:eastAsia="Arial" w:hAnsi="Arial"/>
          <w:sz w:val="18"/>
          <w:szCs w:val="18"/>
          <w:b w:val="1"/>
          <w:bCs w:val="1"/>
          <w:color w:val="auto"/>
        </w:rPr>
        <w:t xml:space="preserve"> </w:t>
      </w:r>
      <w:r>
        <w:rPr>
          <w:rFonts w:ascii="Arial" w:cs="Arial" w:eastAsia="Arial" w:hAnsi="Arial"/>
          <w:sz w:val="18"/>
          <w:szCs w:val="18"/>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Each Warrant not exercised at or before [●] p.m., [City] time, on the Expiration Date shall become void, and all rights of the holder of the Warrant Certificate evidencing such Warrant under this Agreement shall cease.</w:t>
      </w:r>
    </w:p>
    <w:p>
      <w:pPr>
        <w:spacing w:after="0" w:line="29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Exercise of Warrants</w:t>
      </w:r>
      <w:r>
        <w:rPr>
          <w:rFonts w:ascii="Arial" w:cs="Arial" w:eastAsia="Arial" w:hAnsi="Arial"/>
          <w:sz w:val="16"/>
          <w:szCs w:val="16"/>
          <w:color w:val="auto"/>
        </w:rPr>
        <w:t>.</w:t>
      </w:r>
    </w:p>
    <w:p>
      <w:pPr>
        <w:spacing w:after="0" w:line="121" w:lineRule="exact"/>
        <w:rPr>
          <w:sz w:val="20"/>
          <w:szCs w:val="20"/>
          <w:color w:val="auto"/>
        </w:rPr>
      </w:pPr>
    </w:p>
    <w:p>
      <w:pPr>
        <w:ind w:right="80" w:firstLine="987"/>
        <w:spacing w:after="0" w:line="269" w:lineRule="auto"/>
        <w:tabs>
          <w:tab w:leader="none" w:pos="1381" w:val="left"/>
        </w:tabs>
        <w:numPr>
          <w:ilvl w:val="0"/>
          <w:numId w:val="168"/>
        </w:numPr>
        <w:rPr>
          <w:rFonts w:ascii="Arial" w:cs="Arial" w:eastAsia="Arial" w:hAnsi="Arial"/>
          <w:sz w:val="17"/>
          <w:szCs w:val="17"/>
          <w:b w:val="1"/>
          <w:bCs w:val="1"/>
          <w:color w:val="auto"/>
        </w:rPr>
      </w:pPr>
      <w:r>
        <w:rPr>
          <w:rFonts w:ascii="Arial" w:cs="Arial" w:eastAsia="Arial" w:hAnsi="Arial"/>
          <w:sz w:val="17"/>
          <w:szCs w:val="17"/>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69" w:name="page170"/>
    <w:bookmarkEnd w:id="169"/>
    <w:p>
      <w:pPr>
        <w:ind w:right="1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64" w:lineRule="exact"/>
        <w:rPr>
          <w:sz w:val="20"/>
          <w:szCs w:val="20"/>
          <w:color w:val="auto"/>
        </w:rPr>
      </w:pPr>
    </w:p>
    <w:p>
      <w:pPr>
        <w:ind w:right="120" w:firstLine="987"/>
        <w:spacing w:after="0" w:line="301" w:lineRule="auto"/>
        <w:tabs>
          <w:tab w:leader="none" w:pos="1388"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57" w:lineRule="exact"/>
        <w:rPr>
          <w:rFonts w:ascii="Arial" w:cs="Arial" w:eastAsia="Arial" w:hAnsi="Arial"/>
          <w:sz w:val="16"/>
          <w:szCs w:val="16"/>
          <w:b w:val="1"/>
          <w:bCs w:val="1"/>
          <w:color w:val="auto"/>
        </w:rPr>
      </w:pPr>
    </w:p>
    <w:p>
      <w:pPr>
        <w:ind w:right="20" w:firstLine="987"/>
        <w:spacing w:after="0" w:line="257" w:lineRule="auto"/>
        <w:tabs>
          <w:tab w:leader="none" w:pos="1361"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87" w:lineRule="exact"/>
        <w:rPr>
          <w:rFonts w:ascii="Arial" w:cs="Arial" w:eastAsia="Arial" w:hAnsi="Arial"/>
          <w:sz w:val="18"/>
          <w:szCs w:val="18"/>
          <w:b w:val="1"/>
          <w:bCs w:val="1"/>
          <w:color w:val="auto"/>
        </w:rPr>
      </w:pPr>
    </w:p>
    <w:p>
      <w:pPr>
        <w:ind w:firstLine="987"/>
        <w:spacing w:after="0" w:line="259" w:lineRule="auto"/>
        <w:tabs>
          <w:tab w:leader="none" w:pos="1388"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86" w:lineRule="exact"/>
        <w:rPr>
          <w:rFonts w:ascii="Arial" w:cs="Arial" w:eastAsia="Arial" w:hAnsi="Arial"/>
          <w:sz w:val="18"/>
          <w:szCs w:val="18"/>
          <w:b w:val="1"/>
          <w:bCs w:val="1"/>
          <w:color w:val="auto"/>
        </w:rPr>
      </w:pPr>
    </w:p>
    <w:p>
      <w:pPr>
        <w:ind w:right="120" w:firstLine="987"/>
        <w:spacing w:after="0" w:line="342" w:lineRule="auto"/>
        <w:tabs>
          <w:tab w:leader="none" w:pos="1371"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 RELATING TO RIGHTS OF HOLDERS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CERTIFICATES</w:t>
      </w:r>
    </w:p>
    <w:p>
      <w:pPr>
        <w:spacing w:after="0" w:line="207" w:lineRule="exact"/>
        <w:rPr>
          <w:sz w:val="20"/>
          <w:szCs w:val="20"/>
          <w:color w:val="auto"/>
        </w:rPr>
      </w:pPr>
    </w:p>
    <w:p>
      <w:pPr>
        <w:ind w:right="240" w:firstLine="440"/>
        <w:spacing w:after="0" w:line="261" w:lineRule="auto"/>
        <w:rPr>
          <w:sz w:val="20"/>
          <w:szCs w:val="20"/>
          <w:color w:val="auto"/>
        </w:rPr>
      </w:pPr>
      <w:r>
        <w:rPr>
          <w:rFonts w:ascii="Arial" w:cs="Arial" w:eastAsia="Arial" w:hAnsi="Arial"/>
          <w:sz w:val="18"/>
          <w:szCs w:val="18"/>
          <w:b w:val="1"/>
          <w:bCs w:val="1"/>
          <w:color w:val="auto"/>
        </w:rPr>
        <w:t xml:space="preserve">3.1 No Rights as Warrant Securityholder Conferred by Warrants or Warrant Certificates. </w:t>
      </w:r>
      <w:r>
        <w:rPr>
          <w:rFonts w:ascii="Arial" w:cs="Arial" w:eastAsia="Arial" w:hAnsi="Arial"/>
          <w:sz w:val="18"/>
          <w:szCs w:val="18"/>
          <w:color w:val="auto"/>
        </w:rPr>
        <w:t>No Warrant Certificate or Warrant evidenced</w:t>
      </w:r>
      <w:r>
        <w:rPr>
          <w:rFonts w:ascii="Arial" w:cs="Arial" w:eastAsia="Arial" w:hAnsi="Arial"/>
          <w:sz w:val="18"/>
          <w:szCs w:val="18"/>
          <w:b w:val="1"/>
          <w:bCs w:val="1"/>
          <w:color w:val="auto"/>
        </w:rPr>
        <w:t xml:space="preserve"> </w:t>
      </w:r>
      <w:r>
        <w:rPr>
          <w:rFonts w:ascii="Arial" w:cs="Arial" w:eastAsia="Arial" w:hAnsi="Arial"/>
          <w:sz w:val="18"/>
          <w:szCs w:val="18"/>
          <w:color w:val="auto"/>
        </w:rPr>
        <w:t>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80"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b w:val="1"/>
          <w:bCs w:val="1"/>
          <w:color w:val="auto"/>
        </w:rPr>
        <w:t xml:space="preserve">3.2 Lost, Stolen, Mutilated or Destroyed Warrant Certificates. </w:t>
      </w:r>
      <w:r>
        <w:rPr>
          <w:rFonts w:ascii="Arial" w:cs="Arial" w:eastAsia="Arial" w:hAnsi="Arial"/>
          <w:sz w:val="16"/>
          <w:szCs w:val="16"/>
          <w:color w:val="auto"/>
        </w:rPr>
        <w:t>Upon receipt by the Warrant Agent of evidence reasonably satisfactory to it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70" w:name="page171"/>
    <w:bookmarkEnd w:id="17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88"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b w:val="1"/>
          <w:bCs w:val="1"/>
          <w:color w:val="auto"/>
        </w:rPr>
        <w:t xml:space="preserve">3.3 Holder of Warrant Certificate May Enforce Rights. </w:t>
      </w:r>
      <w:r>
        <w:rPr>
          <w:rFonts w:ascii="Arial" w:cs="Arial" w:eastAsia="Arial" w:hAnsi="Arial"/>
          <w:sz w:val="18"/>
          <w:szCs w:val="18"/>
          <w:color w:val="auto"/>
        </w:rPr>
        <w:t>Notwithstanding any of the provisions of this Agreement, any holder of a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29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Adjustments</w:t>
      </w:r>
      <w:r>
        <w:rPr>
          <w:rFonts w:ascii="Arial" w:cs="Arial" w:eastAsia="Arial" w:hAnsi="Arial"/>
          <w:sz w:val="16"/>
          <w:szCs w:val="16"/>
          <w:color w:val="auto"/>
        </w:rPr>
        <w:t>.</w:t>
      </w:r>
    </w:p>
    <w:p>
      <w:pPr>
        <w:spacing w:after="0" w:line="121" w:lineRule="exact"/>
        <w:rPr>
          <w:sz w:val="20"/>
          <w:szCs w:val="20"/>
          <w:color w:val="auto"/>
        </w:rPr>
      </w:pPr>
    </w:p>
    <w:p>
      <w:pPr>
        <w:ind w:right="220" w:firstLine="987"/>
        <w:spacing w:after="0" w:line="255" w:lineRule="auto"/>
        <w:tabs>
          <w:tab w:leader="none" w:pos="1381"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192" w:lineRule="exact"/>
        <w:rPr>
          <w:rFonts w:ascii="Arial" w:cs="Arial" w:eastAsia="Arial" w:hAnsi="Arial"/>
          <w:sz w:val="18"/>
          <w:szCs w:val="18"/>
          <w:b w:val="1"/>
          <w:bCs w:val="1"/>
          <w:color w:val="auto"/>
        </w:rPr>
      </w:pPr>
    </w:p>
    <w:p>
      <w:pPr>
        <w:ind w:right="40" w:firstLine="987"/>
        <w:spacing w:after="0" w:line="263" w:lineRule="auto"/>
        <w:tabs>
          <w:tab w:leader="none" w:pos="1391"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spacing w:after="0" w:line="183" w:lineRule="exact"/>
        <w:rPr>
          <w:rFonts w:ascii="Arial" w:cs="Arial" w:eastAsia="Arial" w:hAnsi="Arial"/>
          <w:sz w:val="18"/>
          <w:szCs w:val="18"/>
          <w:b w:val="1"/>
          <w:bCs w:val="1"/>
          <w:color w:val="auto"/>
        </w:rPr>
      </w:pPr>
    </w:p>
    <w:p>
      <w:pPr>
        <w:ind w:right="280" w:firstLine="1428"/>
        <w:spacing w:after="0" w:line="286" w:lineRule="auto"/>
        <w:tabs>
          <w:tab w:leader="none" w:pos="1782" w:val="left"/>
        </w:tabs>
        <w:numPr>
          <w:ilvl w:val="1"/>
          <w:numId w:val="170"/>
        </w:numPr>
        <w:rPr>
          <w:rFonts w:ascii="Arial" w:cs="Arial" w:eastAsia="Arial" w:hAnsi="Arial"/>
          <w:sz w:val="17"/>
          <w:szCs w:val="17"/>
          <w:b w:val="1"/>
          <w:bCs w:val="1"/>
          <w:color w:val="auto"/>
        </w:rPr>
      </w:pPr>
      <w:r>
        <w:rPr>
          <w:rFonts w:ascii="Arial" w:cs="Arial" w:eastAsia="Arial" w:hAnsi="Arial"/>
          <w:sz w:val="17"/>
          <w:szCs w:val="17"/>
          <w:color w:val="auto"/>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spacing w:after="0" w:line="165" w:lineRule="exact"/>
        <w:rPr>
          <w:rFonts w:ascii="Arial" w:cs="Arial" w:eastAsia="Arial" w:hAnsi="Arial"/>
          <w:sz w:val="17"/>
          <w:szCs w:val="17"/>
          <w:b w:val="1"/>
          <w:bCs w:val="1"/>
          <w:color w:val="auto"/>
        </w:rPr>
      </w:pPr>
    </w:p>
    <w:p>
      <w:pPr>
        <w:ind w:right="120" w:firstLine="1428"/>
        <w:spacing w:after="0" w:line="277" w:lineRule="auto"/>
        <w:tabs>
          <w:tab w:leader="none" w:pos="1832" w:val="left"/>
        </w:tabs>
        <w:numPr>
          <w:ilvl w:val="1"/>
          <w:numId w:val="170"/>
        </w:numPr>
        <w:rPr>
          <w:rFonts w:ascii="Arial" w:cs="Arial" w:eastAsia="Arial" w:hAnsi="Arial"/>
          <w:sz w:val="18"/>
          <w:szCs w:val="18"/>
          <w:b w:val="1"/>
          <w:bCs w:val="1"/>
          <w:color w:val="auto"/>
        </w:rPr>
      </w:pPr>
      <w:r>
        <w:rPr>
          <w:rFonts w:ascii="Arial" w:cs="Arial" w:eastAsia="Arial" w:hAnsi="Arial"/>
          <w:sz w:val="18"/>
          <w:szCs w:val="18"/>
          <w:color w:val="auto"/>
        </w:rPr>
        <w:t>any cash paid or payable otherwise than in accordance with the terms of [title of Preferred Stock purchasable through exercise of Warrants] or as a cash dividend paid or payable out of the Company’s current or retained earnings;</w:t>
      </w:r>
    </w:p>
    <w:p>
      <w:pPr>
        <w:spacing w:after="0" w:line="170" w:lineRule="exact"/>
        <w:rPr>
          <w:rFonts w:ascii="Arial" w:cs="Arial" w:eastAsia="Arial" w:hAnsi="Arial"/>
          <w:sz w:val="18"/>
          <w:szCs w:val="18"/>
          <w:b w:val="1"/>
          <w:bCs w:val="1"/>
          <w:color w:val="auto"/>
        </w:rPr>
      </w:pPr>
    </w:p>
    <w:p>
      <w:pPr>
        <w:ind w:left="1880" w:hanging="452"/>
        <w:spacing w:after="0"/>
        <w:tabs>
          <w:tab w:leader="none" w:pos="1880" w:val="left"/>
        </w:tabs>
        <w:numPr>
          <w:ilvl w:val="1"/>
          <w:numId w:val="170"/>
        </w:numPr>
        <w:rPr>
          <w:rFonts w:ascii="Arial" w:cs="Arial" w:eastAsia="Arial" w:hAnsi="Arial"/>
          <w:sz w:val="17"/>
          <w:szCs w:val="17"/>
          <w:b w:val="1"/>
          <w:bCs w:val="1"/>
          <w:color w:val="auto"/>
        </w:rPr>
      </w:pPr>
      <w:r>
        <w:rPr>
          <w:rFonts w:ascii="Arial" w:cs="Arial" w:eastAsia="Arial" w:hAnsi="Arial"/>
          <w:sz w:val="17"/>
          <w:szCs w:val="17"/>
          <w:color w:val="auto"/>
        </w:rPr>
        <w:t>any evidence of the Company’s indebtedness or rights to subscribe for or purchase the Company’s indebtedness; or</w:t>
      </w:r>
    </w:p>
    <w:p>
      <w:pPr>
        <w:spacing w:after="0" w:line="236" w:lineRule="exact"/>
        <w:rPr>
          <w:rFonts w:ascii="Arial" w:cs="Arial" w:eastAsia="Arial" w:hAnsi="Arial"/>
          <w:sz w:val="17"/>
          <w:szCs w:val="17"/>
          <w:b w:val="1"/>
          <w:bCs w:val="1"/>
          <w:color w:val="auto"/>
        </w:rPr>
      </w:pPr>
    </w:p>
    <w:p>
      <w:pPr>
        <w:ind w:firstLine="1428"/>
        <w:spacing w:after="0" w:line="290" w:lineRule="auto"/>
        <w:tabs>
          <w:tab w:leader="none" w:pos="1872" w:val="left"/>
        </w:tabs>
        <w:numPr>
          <w:ilvl w:val="1"/>
          <w:numId w:val="170"/>
        </w:numPr>
        <w:rPr>
          <w:rFonts w:ascii="Arial" w:cs="Arial" w:eastAsia="Arial" w:hAnsi="Arial"/>
          <w:sz w:val="16"/>
          <w:szCs w:val="16"/>
          <w:b w:val="1"/>
          <w:bCs w:val="1"/>
          <w:color w:val="auto"/>
        </w:rPr>
      </w:pPr>
      <w:r>
        <w:rPr>
          <w:rFonts w:ascii="Arial" w:cs="Arial" w:eastAsia="Arial" w:hAnsi="Arial"/>
          <w:sz w:val="16"/>
          <w:szCs w:val="16"/>
          <w:color w:val="auto"/>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71" w:name="page172"/>
    <w:bookmarkEnd w:id="171"/>
    <w:p>
      <w:pPr>
        <w:ind w:left="-40" w:firstLine="987"/>
        <w:spacing w:after="0" w:line="284" w:lineRule="auto"/>
        <w:tabs>
          <w:tab w:leader="none" w:pos="1331" w:val="left"/>
        </w:tabs>
        <w:numPr>
          <w:ilvl w:val="0"/>
          <w:numId w:val="17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Arial" w:cs="Arial" w:eastAsia="Arial" w:hAnsi="Arial"/>
          <w:sz w:val="16"/>
          <w:szCs w:val="16"/>
          <w:b w:val="1"/>
          <w:bCs w:val="1"/>
          <w:i w:val="1"/>
          <w:iCs w:val="1"/>
          <w:color w:val="auto"/>
        </w:rPr>
        <w:t>Reorganization Event</w:t>
      </w:r>
      <w:r>
        <w:rPr>
          <w:rFonts w:ascii="Arial" w:cs="Arial" w:eastAsia="Arial" w:hAnsi="Arial"/>
          <w:sz w:val="16"/>
          <w:szCs w:val="16"/>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392" w:lineRule="exact"/>
        <w:rPr>
          <w:rFonts w:ascii="Arial" w:cs="Arial" w:eastAsia="Arial" w:hAnsi="Arial"/>
          <w:sz w:val="16"/>
          <w:szCs w:val="16"/>
          <w:b w:val="1"/>
          <w:bCs w:val="1"/>
          <w:color w:val="auto"/>
        </w:rPr>
      </w:pPr>
    </w:p>
    <w:p>
      <w:pPr>
        <w:ind w:left="-40" w:right="120" w:firstLine="987"/>
        <w:spacing w:after="0" w:line="311" w:lineRule="auto"/>
        <w:tabs>
          <w:tab w:leader="none" w:pos="1348" w:val="left"/>
        </w:tabs>
        <w:numPr>
          <w:ilvl w:val="0"/>
          <w:numId w:val="171"/>
        </w:numPr>
        <w:rPr>
          <w:rFonts w:ascii="Arial" w:cs="Arial" w:eastAsia="Arial" w:hAnsi="Arial"/>
          <w:sz w:val="16"/>
          <w:szCs w:val="16"/>
          <w:b w:val="1"/>
          <w:bCs w:val="1"/>
          <w:color w:val="auto"/>
        </w:rPr>
      </w:pPr>
      <w:r>
        <w:rPr>
          <w:rFonts w:ascii="Arial" w:cs="Arial" w:eastAsia="Arial" w:hAnsi="Arial"/>
          <w:sz w:val="16"/>
          <w:szCs w:val="16"/>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48" w:lineRule="exact"/>
        <w:rPr>
          <w:rFonts w:ascii="Arial" w:cs="Arial" w:eastAsia="Arial" w:hAnsi="Arial"/>
          <w:sz w:val="16"/>
          <w:szCs w:val="16"/>
          <w:b w:val="1"/>
          <w:bCs w:val="1"/>
          <w:color w:val="auto"/>
        </w:rPr>
      </w:pPr>
    </w:p>
    <w:p>
      <w:pPr>
        <w:ind w:left="-40" w:right="300" w:firstLine="987"/>
        <w:spacing w:after="0" w:line="277" w:lineRule="auto"/>
        <w:tabs>
          <w:tab w:leader="none" w:pos="1331"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Except as herein otherwise expressly provided, no adjustment in the Warrant Price shall be made by reason of the issuance of any securities of the Company or for any other reason whatsoever.</w:t>
      </w:r>
    </w:p>
    <w:p>
      <w:pPr>
        <w:spacing w:after="0" w:line="170" w:lineRule="exact"/>
        <w:rPr>
          <w:rFonts w:ascii="Arial" w:cs="Arial" w:eastAsia="Arial" w:hAnsi="Arial"/>
          <w:sz w:val="18"/>
          <w:szCs w:val="18"/>
          <w:b w:val="1"/>
          <w:bCs w:val="1"/>
          <w:color w:val="auto"/>
        </w:rPr>
      </w:pPr>
    </w:p>
    <w:p>
      <w:pPr>
        <w:ind w:left="-40" w:right="20" w:firstLine="987"/>
        <w:spacing w:after="0" w:line="273" w:lineRule="auto"/>
        <w:tabs>
          <w:tab w:leader="none" w:pos="1311" w:val="left"/>
        </w:tabs>
        <w:numPr>
          <w:ilvl w:val="0"/>
          <w:numId w:val="171"/>
        </w:numPr>
        <w:rPr>
          <w:rFonts w:ascii="Arial" w:cs="Arial" w:eastAsia="Arial" w:hAnsi="Arial"/>
          <w:sz w:val="17"/>
          <w:szCs w:val="17"/>
          <w:b w:val="1"/>
          <w:bCs w:val="1"/>
          <w:color w:val="auto"/>
        </w:rPr>
      </w:pPr>
      <w:r>
        <w:rPr>
          <w:rFonts w:ascii="Arial" w:cs="Arial" w:eastAsia="Arial" w:hAnsi="Arial"/>
          <w:sz w:val="17"/>
          <w:szCs w:val="17"/>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80" w:top="274" w:right="479" w:bottom="1440" w:gutter="0" w:footer="0" w:header="0"/>
        </w:sectPr>
      </w:pPr>
    </w:p>
    <w:bookmarkStart w:id="172" w:name="page173"/>
    <w:bookmarkEnd w:id="172"/>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Arial" w:cs="Arial" w:eastAsia="Arial" w:hAnsi="Arial"/>
          <w:sz w:val="17"/>
          <w:szCs w:val="17"/>
          <w:b w:val="1"/>
          <w:bCs w:val="1"/>
          <w:i w:val="1"/>
          <w:iCs w:val="1"/>
          <w:color w:val="auto"/>
        </w:rPr>
        <w:t>OTC</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Bulletin Board</w:t>
      </w:r>
      <w:r>
        <w:rPr>
          <w:rFonts w:ascii="Arial" w:cs="Arial" w:eastAsia="Arial" w:hAnsi="Arial"/>
          <w:sz w:val="17"/>
          <w:szCs w:val="17"/>
          <w:color w:val="auto"/>
        </w:rPr>
        <w:t>”) operated by the Financial Industry Regulatory Authority, Inc. (“</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 or, if not available on the OTC Bulletin Board, then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78" w:lineRule="exact"/>
        <w:rPr>
          <w:sz w:val="20"/>
          <w:szCs w:val="20"/>
          <w:color w:val="auto"/>
        </w:rPr>
      </w:pPr>
    </w:p>
    <w:p>
      <w:pPr>
        <w:jc w:val="both"/>
        <w:ind w:right="220" w:firstLine="987"/>
        <w:spacing w:after="0" w:line="286" w:lineRule="auto"/>
        <w:tabs>
          <w:tab w:leader="none" w:pos="1378" w:val="left"/>
        </w:tabs>
        <w:numPr>
          <w:ilvl w:val="0"/>
          <w:numId w:val="172"/>
        </w:numPr>
        <w:rPr>
          <w:rFonts w:ascii="Arial" w:cs="Arial" w:eastAsia="Arial" w:hAnsi="Arial"/>
          <w:sz w:val="17"/>
          <w:szCs w:val="17"/>
          <w:b w:val="1"/>
          <w:bCs w:val="1"/>
          <w:color w:val="auto"/>
        </w:rPr>
      </w:pPr>
      <w:r>
        <w:rPr>
          <w:rFonts w:ascii="Arial" w:cs="Arial" w:eastAsia="Arial" w:hAnsi="Arial"/>
          <w:sz w:val="17"/>
          <w:szCs w:val="17"/>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65" w:lineRule="exact"/>
        <w:rPr>
          <w:rFonts w:ascii="Arial" w:cs="Arial" w:eastAsia="Arial" w:hAnsi="Arial"/>
          <w:sz w:val="17"/>
          <w:szCs w:val="17"/>
          <w:b w:val="1"/>
          <w:bCs w:val="1"/>
          <w:color w:val="auto"/>
        </w:rPr>
      </w:pPr>
    </w:p>
    <w:p>
      <w:pPr>
        <w:ind w:right="20" w:firstLine="987"/>
        <w:spacing w:after="0" w:line="277" w:lineRule="auto"/>
        <w:tabs>
          <w:tab w:leader="none" w:pos="1391"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herein, in no event shall the Warrant Price, as adjusted in accordance with the terms hereof, be less than the par value per share of [title of Preferred Stock purchasable through exercise of Warrants].</w:t>
      </w:r>
    </w:p>
    <w:p>
      <w:pPr>
        <w:spacing w:after="0" w:line="16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3.5 Notice to Warrantholders. </w:t>
      </w:r>
      <w:r>
        <w:rPr>
          <w:rFonts w:ascii="Arial" w:cs="Arial" w:eastAsia="Arial" w:hAnsi="Arial"/>
          <w:sz w:val="17"/>
          <w:szCs w:val="17"/>
          <w:color w:val="auto"/>
        </w:rPr>
        <w:t>In case the Company shall (a) effect any dividend or distribution described in Section 3.4(b), (b) effect any</w:t>
      </w:r>
      <w:r>
        <w:rPr>
          <w:rFonts w:ascii="Arial" w:cs="Arial" w:eastAsia="Arial" w:hAnsi="Arial"/>
          <w:sz w:val="17"/>
          <w:szCs w:val="17"/>
          <w:b w:val="1"/>
          <w:bCs w:val="1"/>
          <w:color w:val="auto"/>
        </w:rPr>
        <w:t xml:space="preserve"> </w:t>
      </w:r>
      <w:r>
        <w:rPr>
          <w:rFonts w:ascii="Arial" w:cs="Arial" w:eastAsia="Arial" w:hAnsi="Arial"/>
          <w:sz w:val="17"/>
          <w:szCs w:val="17"/>
          <w:color w:val="auto"/>
        </w:rPr>
        <w:t>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28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[If the Warrants are Subject to Acceleration by the Company, Insert — Acceleration of Warrants by the Company</w:t>
      </w:r>
      <w:r>
        <w:rPr>
          <w:rFonts w:ascii="Arial" w:cs="Arial" w:eastAsia="Arial" w:hAnsi="Arial"/>
          <w:sz w:val="16"/>
          <w:szCs w:val="16"/>
          <w:color w:val="auto"/>
        </w:rPr>
        <w:t>.</w:t>
      </w:r>
    </w:p>
    <w:p>
      <w:pPr>
        <w:spacing w:after="0" w:line="121" w:lineRule="exact"/>
        <w:rPr>
          <w:sz w:val="20"/>
          <w:szCs w:val="20"/>
          <w:color w:val="auto"/>
        </w:rPr>
      </w:pPr>
    </w:p>
    <w:p>
      <w:pPr>
        <w:ind w:right="140" w:firstLine="987"/>
        <w:spacing w:after="0" w:line="275" w:lineRule="auto"/>
        <w:tabs>
          <w:tab w:leader="none" w:pos="1371" w:val="left"/>
        </w:tabs>
        <w:numPr>
          <w:ilvl w:val="0"/>
          <w:numId w:val="173"/>
        </w:numPr>
        <w:rPr>
          <w:rFonts w:ascii="Arial" w:cs="Arial" w:eastAsia="Arial" w:hAnsi="Arial"/>
          <w:sz w:val="17"/>
          <w:szCs w:val="17"/>
          <w:b w:val="1"/>
          <w:bCs w:val="1"/>
          <w:color w:val="auto"/>
        </w:rPr>
      </w:pPr>
      <w:r>
        <w:rPr>
          <w:rFonts w:ascii="Arial" w:cs="Arial" w:eastAsia="Arial" w:hAnsi="Arial"/>
          <w:sz w:val="17"/>
          <w:szCs w:val="17"/>
          <w:color w:val="auto"/>
        </w:rPr>
        <w:t>At any time on or after [●], the Company shall have the right to accelerate any or all Warrants at any time by causing them to expire at the close of business on the day next preceding a specified date (the “</w:t>
      </w:r>
      <w:r>
        <w:rPr>
          <w:rFonts w:ascii="Arial" w:cs="Arial" w:eastAsia="Arial" w:hAnsi="Arial"/>
          <w:sz w:val="17"/>
          <w:szCs w:val="17"/>
          <w:b w:val="1"/>
          <w:bCs w:val="1"/>
          <w:i w:val="1"/>
          <w:iCs w:val="1"/>
          <w:color w:val="auto"/>
        </w:rPr>
        <w:t>Acceleration Date</w:t>
      </w:r>
      <w:r>
        <w:rPr>
          <w:rFonts w:ascii="Arial" w:cs="Arial" w:eastAsia="Arial" w:hAnsi="Arial"/>
          <w:sz w:val="17"/>
          <w:szCs w:val="17"/>
          <w:color w:val="auto"/>
        </w:rPr>
        <w:t>”),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76" w:lineRule="exact"/>
        <w:rPr>
          <w:rFonts w:ascii="Arial" w:cs="Arial" w:eastAsia="Arial" w:hAnsi="Arial"/>
          <w:sz w:val="17"/>
          <w:szCs w:val="17"/>
          <w:b w:val="1"/>
          <w:bCs w:val="1"/>
          <w:color w:val="auto"/>
        </w:rPr>
      </w:pPr>
    </w:p>
    <w:p>
      <w:pPr>
        <w:ind w:firstLine="987"/>
        <w:spacing w:after="0" w:line="275" w:lineRule="auto"/>
        <w:tabs>
          <w:tab w:leader="none" w:pos="1391" w:val="left"/>
        </w:tabs>
        <w:numPr>
          <w:ilvl w:val="0"/>
          <w:numId w:val="17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Market Price</w:t>
      </w:r>
      <w:r>
        <w:rPr>
          <w:rFonts w:ascii="Arial" w:cs="Arial" w:eastAsia="Arial" w:hAnsi="Arial"/>
          <w:sz w:val="17"/>
          <w:szCs w:val="17"/>
          <w:color w:val="auto"/>
        </w:rPr>
        <w:t>” for each Trading Day shall be, if the [title of Preferred Stock purchasable through exercise of Warrants] is listed or 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73" w:name="page174"/>
    <w:bookmarkEnd w:id="173"/>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81" w:lineRule="exact"/>
        <w:rPr>
          <w:sz w:val="20"/>
          <w:szCs w:val="20"/>
          <w:color w:val="auto"/>
        </w:rPr>
      </w:pPr>
    </w:p>
    <w:p>
      <w:pPr>
        <w:ind w:firstLine="987"/>
        <w:spacing w:after="0" w:line="257" w:lineRule="auto"/>
        <w:tabs>
          <w:tab w:leader="none" w:pos="1371"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87" w:lineRule="exact"/>
        <w:rPr>
          <w:rFonts w:ascii="Arial" w:cs="Arial" w:eastAsia="Arial" w:hAnsi="Arial"/>
          <w:sz w:val="18"/>
          <w:szCs w:val="18"/>
          <w:b w:val="1"/>
          <w:bCs w:val="1"/>
          <w:color w:val="auto"/>
        </w:rPr>
      </w:pPr>
    </w:p>
    <w:p>
      <w:pPr>
        <w:ind w:right="60" w:firstLine="987"/>
        <w:spacing w:after="0" w:line="277" w:lineRule="auto"/>
        <w:tabs>
          <w:tab w:leader="none" w:pos="1381"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Any Warrant accelerated may be exercised until [●] p.m., [City] time, on the business day next preceding the Acceleration Date. The Warrant Price shall be payable as provided in Section 2.]</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AND TRANSFER OF WARRANT CERTIFICATES</w:t>
      </w:r>
    </w:p>
    <w:p>
      <w:pPr>
        <w:spacing w:after="0" w:line="20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 xml:space="preserve">4.1 Exchange and Transfer of Warrant Certificates. </w:t>
      </w:r>
      <w:r>
        <w:rPr>
          <w:rFonts w:ascii="Arial" w:cs="Arial" w:eastAsia="Arial" w:hAnsi="Arial"/>
          <w:sz w:val="16"/>
          <w:szCs w:val="16"/>
          <w:color w:val="auto"/>
        </w:rPr>
        <w:t>Upon surrender at the corporate trust office of the Warrant Agent, Warrant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64"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b w:val="1"/>
          <w:bCs w:val="1"/>
          <w:color w:val="auto"/>
        </w:rPr>
        <w:t xml:space="preserve">4.2 Treatment of Holders of Warrant Certificates. </w:t>
      </w:r>
      <w:r>
        <w:rPr>
          <w:rFonts w:ascii="Arial" w:cs="Arial" w:eastAsia="Arial" w:hAnsi="Arial"/>
          <w:sz w:val="18"/>
          <w:szCs w:val="18"/>
          <w:color w:val="auto"/>
        </w:rPr>
        <w:t>The Company, the Warrant Agent and all other persons may treat the registered holder of a</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 as the absolute owner thereof for any purpose and as the person entitled to exercise the rights represented by the Warrants evidenced thereby, any notice to the contrary notwithstanding.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74" w:name="page175"/>
    <w:bookmarkEnd w:id="174"/>
    <w:p>
      <w:pPr>
        <w:ind w:right="200"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4.3 Cancellation of Warrant Certificates. </w:t>
      </w:r>
      <w:r>
        <w:rPr>
          <w:rFonts w:ascii="Arial" w:cs="Arial" w:eastAsia="Arial" w:hAnsi="Arial"/>
          <w:sz w:val="17"/>
          <w:szCs w:val="17"/>
          <w:color w:val="auto"/>
        </w:rPr>
        <w:t>Any Warrant Certificate surrendered for exchange, registration of transfer or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CONCERNING THE WARRANT AGENT</w:t>
      </w:r>
    </w:p>
    <w:p>
      <w:pPr>
        <w:spacing w:after="0" w:line="20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7"/>
          <w:szCs w:val="17"/>
          <w:b w:val="1"/>
          <w:bCs w:val="1"/>
          <w:color w:val="auto"/>
        </w:rPr>
        <w:t xml:space="preserve">5.1 Warrant Agent. </w:t>
      </w:r>
      <w:r>
        <w:rPr>
          <w:rFonts w:ascii="Arial" w:cs="Arial" w:eastAsia="Arial" w:hAnsi="Arial"/>
          <w:sz w:val="17"/>
          <w:szCs w:val="17"/>
          <w:color w:val="auto"/>
        </w:rPr>
        <w:t>The Company hereby appoints [●] as Warrant Agent of the Company in respect of the Warrants and the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68" w:lineRule="exact"/>
        <w:rPr>
          <w:sz w:val="20"/>
          <w:szCs w:val="20"/>
          <w:color w:val="auto"/>
        </w:rPr>
      </w:pPr>
    </w:p>
    <w:p>
      <w:pPr>
        <w:jc w:val="both"/>
        <w:ind w:right="320" w:firstLine="440"/>
        <w:spacing w:after="0" w:line="266" w:lineRule="auto"/>
        <w:rPr>
          <w:sz w:val="20"/>
          <w:szCs w:val="20"/>
          <w:color w:val="auto"/>
        </w:rPr>
      </w:pPr>
      <w:r>
        <w:rPr>
          <w:rFonts w:ascii="Arial" w:cs="Arial" w:eastAsia="Arial" w:hAnsi="Arial"/>
          <w:sz w:val="18"/>
          <w:szCs w:val="18"/>
          <w:b w:val="1"/>
          <w:bCs w:val="1"/>
          <w:color w:val="auto"/>
        </w:rPr>
        <w:t xml:space="preserve">5.2 Conditions of Warrant Agent’s Obligations. </w:t>
      </w:r>
      <w:r>
        <w:rPr>
          <w:rFonts w:ascii="Arial" w:cs="Arial" w:eastAsia="Arial" w:hAnsi="Arial"/>
          <w:sz w:val="18"/>
          <w:szCs w:val="18"/>
          <w:color w:val="auto"/>
        </w:rPr>
        <w:t>The Warrant Agent accepts its obligations herein set forth upon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including the following to all of which the Company agrees and to all of which the rights hereunder of the holders from time to time of the Warrant Certificates shall be subject:</w:t>
      </w:r>
    </w:p>
    <w:p>
      <w:pPr>
        <w:spacing w:after="0" w:line="176" w:lineRule="exact"/>
        <w:rPr>
          <w:sz w:val="20"/>
          <w:szCs w:val="20"/>
          <w:color w:val="auto"/>
        </w:rPr>
      </w:pPr>
    </w:p>
    <w:p>
      <w:pPr>
        <w:ind w:firstLine="987"/>
        <w:spacing w:after="0" w:line="294" w:lineRule="auto"/>
        <w:tabs>
          <w:tab w:leader="none" w:pos="1381"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Compensation and Indemnification. </w:t>
      </w:r>
      <w:r>
        <w:rPr>
          <w:rFonts w:ascii="Arial" w:cs="Arial" w:eastAsia="Arial" w:hAnsi="Arial"/>
          <w:sz w:val="16"/>
          <w:szCs w:val="16"/>
          <w:color w:val="auto"/>
        </w:rPr>
        <w:t>The Company agrees promptly to pay the Warrant Agent the compensation to be agreed upon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59" w:lineRule="exact"/>
        <w:rPr>
          <w:rFonts w:ascii="Arial" w:cs="Arial" w:eastAsia="Arial" w:hAnsi="Arial"/>
          <w:sz w:val="16"/>
          <w:szCs w:val="16"/>
          <w:b w:val="1"/>
          <w:bCs w:val="1"/>
          <w:color w:val="auto"/>
        </w:rPr>
      </w:pPr>
    </w:p>
    <w:p>
      <w:pPr>
        <w:ind w:right="140" w:firstLine="987"/>
        <w:spacing w:after="0" w:line="266" w:lineRule="auto"/>
        <w:tabs>
          <w:tab w:leader="none" w:pos="1391"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Agent for the Company. </w:t>
      </w:r>
      <w:r>
        <w:rPr>
          <w:rFonts w:ascii="Arial" w:cs="Arial" w:eastAsia="Arial" w:hAnsi="Arial"/>
          <w:sz w:val="18"/>
          <w:szCs w:val="18"/>
          <w:color w:val="auto"/>
        </w:rPr>
        <w:t>In acting under this Agreement and in connection with the Warrant Certificates, the Warrant Agent is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solely as agent of the Company and does not assume any obligations or relationship of agency or trust for or with any of the holders of Warrant Certificates or beneficial owners of Warrants.</w:t>
      </w:r>
    </w:p>
    <w:p>
      <w:pPr>
        <w:spacing w:after="0" w:line="175" w:lineRule="exact"/>
        <w:rPr>
          <w:rFonts w:ascii="Arial" w:cs="Arial" w:eastAsia="Arial" w:hAnsi="Arial"/>
          <w:sz w:val="18"/>
          <w:szCs w:val="18"/>
          <w:b w:val="1"/>
          <w:bCs w:val="1"/>
          <w:color w:val="auto"/>
        </w:rPr>
      </w:pPr>
    </w:p>
    <w:p>
      <w:pPr>
        <w:ind w:firstLine="987"/>
        <w:spacing w:after="0" w:line="266" w:lineRule="auto"/>
        <w:tabs>
          <w:tab w:leader="none" w:pos="1371"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Counsel. </w:t>
      </w:r>
      <w:r>
        <w:rPr>
          <w:rFonts w:ascii="Arial" w:cs="Arial" w:eastAsia="Arial" w:hAnsi="Arial"/>
          <w:sz w:val="18"/>
          <w:szCs w:val="18"/>
          <w:color w:val="auto"/>
        </w:rPr>
        <w:t>The Warrant Agent may consult with counsel satisfactory to it, which may include counsel for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advice of such counsel shall be full and complete authorization and protection in respect of any action taken, suffered or omitted by it hereunder in good faith and in accordance with the advice of such counsel.</w:t>
      </w:r>
    </w:p>
    <w:p>
      <w:pPr>
        <w:spacing w:after="0" w:line="175" w:lineRule="exact"/>
        <w:rPr>
          <w:rFonts w:ascii="Arial" w:cs="Arial" w:eastAsia="Arial" w:hAnsi="Arial"/>
          <w:sz w:val="18"/>
          <w:szCs w:val="18"/>
          <w:b w:val="1"/>
          <w:bCs w:val="1"/>
          <w:color w:val="auto"/>
        </w:rPr>
      </w:pPr>
    </w:p>
    <w:p>
      <w:pPr>
        <w:jc w:val="both"/>
        <w:ind w:firstLine="987"/>
        <w:spacing w:after="0" w:line="266" w:lineRule="auto"/>
        <w:tabs>
          <w:tab w:leader="none" w:pos="1391"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Documents. </w:t>
      </w:r>
      <w:r>
        <w:rPr>
          <w:rFonts w:ascii="Arial" w:cs="Arial" w:eastAsia="Arial" w:hAnsi="Arial"/>
          <w:sz w:val="18"/>
          <w:szCs w:val="18"/>
          <w:color w:val="auto"/>
        </w:rPr>
        <w:t>The Warrant Agent shall be protected and shall incur no liability for or in respect of any action taken or omitted by it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75" w:lineRule="exact"/>
        <w:rPr>
          <w:rFonts w:ascii="Arial" w:cs="Arial" w:eastAsia="Arial" w:hAnsi="Arial"/>
          <w:sz w:val="18"/>
          <w:szCs w:val="18"/>
          <w:b w:val="1"/>
          <w:bCs w:val="1"/>
          <w:color w:val="auto"/>
        </w:rPr>
      </w:pPr>
    </w:p>
    <w:p>
      <w:pPr>
        <w:ind w:right="380" w:firstLine="987"/>
        <w:spacing w:after="0" w:line="289" w:lineRule="auto"/>
        <w:tabs>
          <w:tab w:leader="none" w:pos="1371"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Certain Transactions. </w:t>
      </w:r>
      <w:r>
        <w:rPr>
          <w:rFonts w:ascii="Arial" w:cs="Arial" w:eastAsia="Arial" w:hAnsi="Arial"/>
          <w:sz w:val="17"/>
          <w:szCs w:val="17"/>
          <w:color w:val="auto"/>
        </w:rPr>
        <w:t>The Warrant Agent, and its officers, directors and employees, may become the owner of, or acquire any</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 Warrants, with the same rights that it or they would have if it were not the Warrant Agent hereunder, and, to the extent permitted by applicable law, it or they may engage or be interested in any financial or other transaction with the Company and</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40" w:top="270" w:right="539" w:bottom="1440" w:gutter="0" w:footer="0" w:header="0"/>
        </w:sectPr>
      </w:pPr>
    </w:p>
    <w:bookmarkStart w:id="175" w:name="page176"/>
    <w:bookmarkEnd w:id="175"/>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80" w:lineRule="exact"/>
        <w:rPr>
          <w:sz w:val="20"/>
          <w:szCs w:val="20"/>
          <w:color w:val="auto"/>
        </w:rPr>
      </w:pPr>
    </w:p>
    <w:p>
      <w:pPr>
        <w:ind w:right="220" w:firstLine="987"/>
        <w:spacing w:after="0" w:line="282" w:lineRule="auto"/>
        <w:tabs>
          <w:tab w:leader="none" w:pos="1351"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Interest. </w:t>
      </w:r>
      <w:r>
        <w:rPr>
          <w:rFonts w:ascii="Arial" w:cs="Arial" w:eastAsia="Arial" w:hAnsi="Arial"/>
          <w:sz w:val="18"/>
          <w:szCs w:val="18"/>
          <w:color w:val="auto"/>
        </w:rPr>
        <w:t>Unless otherwise agreed with the Company, the Warrant Agent shall have no liability for interest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monies at any time received by it pursuant to any of the provisions of this Agreement or of the Warrant Certificates.</w:t>
      </w:r>
    </w:p>
    <w:p>
      <w:pPr>
        <w:spacing w:after="0" w:line="161" w:lineRule="exact"/>
        <w:rPr>
          <w:rFonts w:ascii="Arial" w:cs="Arial" w:eastAsia="Arial" w:hAnsi="Arial"/>
          <w:sz w:val="18"/>
          <w:szCs w:val="18"/>
          <w:b w:val="1"/>
          <w:bCs w:val="1"/>
          <w:color w:val="auto"/>
        </w:rPr>
      </w:pPr>
    </w:p>
    <w:p>
      <w:pPr>
        <w:ind w:right="120" w:firstLine="987"/>
        <w:spacing w:after="0" w:line="282" w:lineRule="auto"/>
        <w:tabs>
          <w:tab w:leader="none" w:pos="1381"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Invalidity. </w:t>
      </w:r>
      <w:r>
        <w:rPr>
          <w:rFonts w:ascii="Arial" w:cs="Arial" w:eastAsia="Arial" w:hAnsi="Arial"/>
          <w:sz w:val="18"/>
          <w:szCs w:val="18"/>
          <w:color w:val="auto"/>
        </w:rPr>
        <w:t>The Warrant Agent shall have no liability with respect to any invalidity of this Agreement or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Certificates (except as to the Warrant Agent’s countersignature thereon).</w:t>
      </w:r>
    </w:p>
    <w:p>
      <w:pPr>
        <w:spacing w:after="0" w:line="161" w:lineRule="exact"/>
        <w:rPr>
          <w:rFonts w:ascii="Arial" w:cs="Arial" w:eastAsia="Arial" w:hAnsi="Arial"/>
          <w:sz w:val="18"/>
          <w:szCs w:val="18"/>
          <w:b w:val="1"/>
          <w:bCs w:val="1"/>
          <w:color w:val="auto"/>
        </w:rPr>
      </w:pPr>
    </w:p>
    <w:p>
      <w:pPr>
        <w:ind w:right="80" w:firstLine="987"/>
        <w:spacing w:after="0" w:line="312" w:lineRule="auto"/>
        <w:tabs>
          <w:tab w:leader="none" w:pos="1391"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Responsibility for Representations. </w:t>
      </w:r>
      <w:r>
        <w:rPr>
          <w:rFonts w:ascii="Arial" w:cs="Arial" w:eastAsia="Arial" w:hAnsi="Arial"/>
          <w:sz w:val="17"/>
          <w:szCs w:val="17"/>
          <w:color w:val="auto"/>
        </w:rPr>
        <w:t>The Warrant Agent shall not be responsible for any of the recitals or representations herein</w:t>
      </w:r>
      <w:r>
        <w:rPr>
          <w:rFonts w:ascii="Arial" w:cs="Arial" w:eastAsia="Arial" w:hAnsi="Arial"/>
          <w:sz w:val="17"/>
          <w:szCs w:val="17"/>
          <w:b w:val="1"/>
          <w:bCs w:val="1"/>
          <w:color w:val="auto"/>
        </w:rPr>
        <w:t xml:space="preserve"> </w:t>
      </w:r>
      <w:r>
        <w:rPr>
          <w:rFonts w:ascii="Arial" w:cs="Arial" w:eastAsia="Arial" w:hAnsi="Arial"/>
          <w:sz w:val="17"/>
          <w:szCs w:val="17"/>
          <w:color w:val="auto"/>
        </w:rPr>
        <w:t>or in the Warrant Certificates (except as to the Warrant Agent’s countersignature thereon), all of which are made solely by the Company.</w:t>
      </w:r>
    </w:p>
    <w:p>
      <w:pPr>
        <w:spacing w:after="0" w:line="139" w:lineRule="exact"/>
        <w:rPr>
          <w:rFonts w:ascii="Arial" w:cs="Arial" w:eastAsia="Arial" w:hAnsi="Arial"/>
          <w:sz w:val="17"/>
          <w:szCs w:val="17"/>
          <w:b w:val="1"/>
          <w:bCs w:val="1"/>
          <w:color w:val="auto"/>
        </w:rPr>
      </w:pPr>
    </w:p>
    <w:p>
      <w:pPr>
        <w:ind w:firstLine="987"/>
        <w:spacing w:after="0" w:line="270" w:lineRule="auto"/>
        <w:tabs>
          <w:tab w:leader="none" w:pos="1341"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Implied Obligations. </w:t>
      </w:r>
      <w:r>
        <w:rPr>
          <w:rFonts w:ascii="Arial" w:cs="Arial" w:eastAsia="Arial" w:hAnsi="Arial"/>
          <w:sz w:val="17"/>
          <w:szCs w:val="17"/>
          <w:color w:val="auto"/>
        </w:rPr>
        <w:t>The Warrant Agent shall be obligated to perform only such duties as are herein and in the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28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Resignation, Removal and Appointment of Successors</w:t>
      </w:r>
      <w:r>
        <w:rPr>
          <w:rFonts w:ascii="Arial" w:cs="Arial" w:eastAsia="Arial" w:hAnsi="Arial"/>
          <w:sz w:val="15"/>
          <w:szCs w:val="15"/>
          <w:color w:val="auto"/>
        </w:rPr>
        <w:t>.</w:t>
      </w:r>
    </w:p>
    <w:p>
      <w:pPr>
        <w:spacing w:after="0" w:line="121" w:lineRule="exact"/>
        <w:rPr>
          <w:sz w:val="20"/>
          <w:szCs w:val="20"/>
          <w:color w:val="auto"/>
        </w:rPr>
      </w:pPr>
    </w:p>
    <w:p>
      <w:pPr>
        <w:ind w:right="360" w:firstLine="987"/>
        <w:spacing w:after="0" w:line="277" w:lineRule="auto"/>
        <w:tabs>
          <w:tab w:leader="none" w:pos="1378"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70" w:lineRule="exact"/>
        <w:rPr>
          <w:rFonts w:ascii="Arial" w:cs="Arial" w:eastAsia="Arial" w:hAnsi="Arial"/>
          <w:sz w:val="18"/>
          <w:szCs w:val="18"/>
          <w:b w:val="1"/>
          <w:bCs w:val="1"/>
          <w:color w:val="auto"/>
        </w:rPr>
      </w:pPr>
    </w:p>
    <w:p>
      <w:pPr>
        <w:ind w:right="40" w:firstLine="987"/>
        <w:spacing w:after="0" w:line="271" w:lineRule="auto"/>
        <w:tabs>
          <w:tab w:leader="none" w:pos="1388" w:val="left"/>
        </w:tabs>
        <w:numPr>
          <w:ilvl w:val="0"/>
          <w:numId w:val="177"/>
        </w:numPr>
        <w:rPr>
          <w:rFonts w:ascii="Arial" w:cs="Arial" w:eastAsia="Arial" w:hAnsi="Arial"/>
          <w:sz w:val="17"/>
          <w:szCs w:val="17"/>
          <w:b w:val="1"/>
          <w:bCs w:val="1"/>
          <w:color w:val="auto"/>
        </w:rPr>
      </w:pPr>
      <w:r>
        <w:rPr>
          <w:rFonts w:ascii="Arial" w:cs="Arial" w:eastAsia="Arial" w:hAnsi="Arial"/>
          <w:sz w:val="17"/>
          <w:szCs w:val="17"/>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78" w:lineRule="exact"/>
        <w:rPr>
          <w:rFonts w:ascii="Arial" w:cs="Arial" w:eastAsia="Arial" w:hAnsi="Arial"/>
          <w:sz w:val="17"/>
          <w:szCs w:val="17"/>
          <w:b w:val="1"/>
          <w:bCs w:val="1"/>
          <w:color w:val="auto"/>
        </w:rPr>
      </w:pPr>
    </w:p>
    <w:p>
      <w:pPr>
        <w:ind w:right="220" w:firstLine="987"/>
        <w:spacing w:after="0" w:line="286" w:lineRule="auto"/>
        <w:tabs>
          <w:tab w:leader="none" w:pos="1371" w:val="left"/>
        </w:tabs>
        <w:numPr>
          <w:ilvl w:val="0"/>
          <w:numId w:val="177"/>
        </w:numPr>
        <w:rPr>
          <w:rFonts w:ascii="Arial" w:cs="Arial" w:eastAsia="Arial" w:hAnsi="Arial"/>
          <w:sz w:val="17"/>
          <w:szCs w:val="17"/>
          <w:b w:val="1"/>
          <w:bCs w:val="1"/>
          <w:color w:val="auto"/>
        </w:rPr>
      </w:pPr>
      <w:r>
        <w:rPr>
          <w:rFonts w:ascii="Arial" w:cs="Arial" w:eastAsia="Arial" w:hAnsi="Arial"/>
          <w:sz w:val="17"/>
          <w:szCs w:val="17"/>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76" w:name="page177"/>
    <w:bookmarkEnd w:id="17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85" w:lineRule="exact"/>
        <w:rPr>
          <w:sz w:val="20"/>
          <w:szCs w:val="20"/>
          <w:color w:val="auto"/>
        </w:rPr>
      </w:pPr>
    </w:p>
    <w:p>
      <w:pPr>
        <w:ind w:firstLine="987"/>
        <w:spacing w:after="0" w:line="255" w:lineRule="auto"/>
        <w:tabs>
          <w:tab w:leader="none" w:pos="1381"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92" w:lineRule="exact"/>
        <w:rPr>
          <w:rFonts w:ascii="Arial" w:cs="Arial" w:eastAsia="Arial" w:hAnsi="Arial"/>
          <w:sz w:val="18"/>
          <w:szCs w:val="18"/>
          <w:b w:val="1"/>
          <w:bCs w:val="1"/>
          <w:color w:val="auto"/>
        </w:rPr>
      </w:pPr>
    </w:p>
    <w:p>
      <w:pPr>
        <w:ind w:firstLine="987"/>
        <w:spacing w:after="0" w:line="257" w:lineRule="auto"/>
        <w:tabs>
          <w:tab w:leader="none" w:pos="1361"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right="200" w:firstLine="440"/>
        <w:spacing w:after="0" w:line="281" w:lineRule="auto"/>
        <w:rPr>
          <w:sz w:val="20"/>
          <w:szCs w:val="20"/>
          <w:color w:val="auto"/>
        </w:rPr>
      </w:pPr>
      <w:r>
        <w:rPr>
          <w:rFonts w:ascii="Arial" w:cs="Arial" w:eastAsia="Arial" w:hAnsi="Arial"/>
          <w:sz w:val="17"/>
          <w:szCs w:val="17"/>
          <w:b w:val="1"/>
          <w:bCs w:val="1"/>
          <w:color w:val="auto"/>
        </w:rPr>
        <w:t xml:space="preserve">6.1 Amendment. </w:t>
      </w:r>
      <w:r>
        <w:rPr>
          <w:rFonts w:ascii="Arial" w:cs="Arial" w:eastAsia="Arial" w:hAnsi="Arial"/>
          <w:sz w:val="17"/>
          <w:szCs w:val="17"/>
          <w:color w:val="auto"/>
        </w:rPr>
        <w:t>This Agreement may be amended by the parties hereto, without the consent of the holder of any Warrant Certificate,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6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6.2 Notices and Demands to the Company and Warrant Agent. </w:t>
      </w:r>
      <w:r>
        <w:rPr>
          <w:rFonts w:ascii="Arial" w:cs="Arial" w:eastAsia="Arial" w:hAnsi="Arial"/>
          <w:sz w:val="18"/>
          <w:szCs w:val="18"/>
          <w:color w:val="auto"/>
        </w:rPr>
        <w:t>If the Warrant Agent shall receive any notice or demand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by the holder of a Warrant Certificate pursuant to the provisions of the Warrant Certificates, the Warrant Agent shall promptly forward such notice or demand to the Company.</w:t>
      </w:r>
    </w:p>
    <w:p>
      <w:pPr>
        <w:spacing w:after="0" w:line="176"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 xml:space="preserve">6.3 Addresses. </w:t>
      </w:r>
      <w:r>
        <w:rPr>
          <w:rFonts w:ascii="Arial" w:cs="Arial" w:eastAsia="Arial" w:hAnsi="Arial"/>
          <w:sz w:val="18"/>
          <w:szCs w:val="18"/>
          <w:color w:val="auto"/>
        </w:rPr>
        <w:t>Any communication from the Company to the Warrant Agent with respect to this Agreement shall be addressed to [●],</w:t>
      </w:r>
      <w:r>
        <w:rPr>
          <w:rFonts w:ascii="Arial" w:cs="Arial" w:eastAsia="Arial" w:hAnsi="Arial"/>
          <w:sz w:val="18"/>
          <w:szCs w:val="18"/>
          <w:b w:val="1"/>
          <w:bCs w:val="1"/>
          <w:color w:val="auto"/>
        </w:rPr>
        <w:t xml:space="preserve"> </w:t>
      </w:r>
      <w:r>
        <w:rPr>
          <w:rFonts w:ascii="Arial" w:cs="Arial" w:eastAsia="Arial" w:hAnsi="Arial"/>
          <w:sz w:val="18"/>
          <w:szCs w:val="18"/>
          <w:color w:val="auto"/>
        </w:rPr>
        <w:t>Attention: [●] and any communication from the Warrant Agent to the Company with respect to this Agreement shall be addressed to NGM Biopharmaceuticals, Inc., 333 Oyster Point Blvd, South San Francisco, CA 94080, Attention: [●] (or such other address as shall be specified in writing by the Warrant Agent or by the Company).</w:t>
      </w:r>
    </w:p>
    <w:p>
      <w:pPr>
        <w:spacing w:after="0" w:line="18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 xml:space="preserve">6.4 Governing Law. </w:t>
      </w:r>
      <w:r>
        <w:rPr>
          <w:rFonts w:ascii="Arial" w:cs="Arial" w:eastAsia="Arial" w:hAnsi="Arial"/>
          <w:sz w:val="18"/>
          <w:szCs w:val="18"/>
          <w:color w:val="auto"/>
        </w:rPr>
        <w:t>This Agreement and each Warrant Certificate issued hereunder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New York.</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77" w:name="page178"/>
    <w:bookmarkEnd w:id="177"/>
    <w:p>
      <w:pPr>
        <w:ind w:right="80"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6.5 Delivery of Prospectus. </w:t>
      </w:r>
      <w:r>
        <w:rPr>
          <w:rFonts w:ascii="Arial" w:cs="Arial" w:eastAsia="Arial" w:hAnsi="Arial"/>
          <w:sz w:val="17"/>
          <w:szCs w:val="17"/>
          <w:color w:val="auto"/>
        </w:rPr>
        <w:t>The Company shall furnish to the Warrant Agent sufficient copies of a prospectus meeting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of 1933, as amended, relating to the Warrant Securities deliverable upon exercise of the Warrants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68"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6.6 Obtaining of Governmental Approvals. </w:t>
      </w:r>
      <w:r>
        <w:rPr>
          <w:rFonts w:ascii="Arial" w:cs="Arial" w:eastAsia="Arial" w:hAnsi="Arial"/>
          <w:sz w:val="16"/>
          <w:szCs w:val="16"/>
          <w:color w:val="auto"/>
        </w:rPr>
        <w:t>The Company will from time to time take all action which may be necessary to obtain and keep</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54"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6.7 Persons Having Rights Under the Agreement. </w:t>
      </w:r>
      <w:r>
        <w:rPr>
          <w:rFonts w:ascii="Arial" w:cs="Arial" w:eastAsia="Arial" w:hAnsi="Arial"/>
          <w:sz w:val="18"/>
          <w:szCs w:val="18"/>
          <w:color w:val="auto"/>
        </w:rPr>
        <w:t>Nothing in this Agreement shall give to any person other than the Company,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holders of the Warrant Certificates any right, remedy or claim under or by reason of this Agreement.</w:t>
      </w:r>
    </w:p>
    <w:p>
      <w:pPr>
        <w:spacing w:after="0" w:line="16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6.8 Headings. </w:t>
      </w:r>
      <w:r>
        <w:rPr>
          <w:rFonts w:ascii="Arial" w:cs="Arial" w:eastAsia="Arial" w:hAnsi="Arial"/>
          <w:sz w:val="18"/>
          <w:szCs w:val="18"/>
          <w:color w:val="auto"/>
        </w:rPr>
        <w:t>The descriptive headings of the several Articles and Sections of this Agreement are inserted for convenience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or affect the meaning or construction of any of the provisions hereof.</w:t>
      </w:r>
    </w:p>
    <w:p>
      <w:pPr>
        <w:spacing w:after="0" w:line="162"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 xml:space="preserve">6.9 Counterparts. </w:t>
      </w:r>
      <w:r>
        <w:rPr>
          <w:rFonts w:ascii="Arial" w:cs="Arial" w:eastAsia="Arial" w:hAnsi="Arial"/>
          <w:sz w:val="18"/>
          <w:szCs w:val="18"/>
          <w:color w:val="auto"/>
        </w:rPr>
        <w:t>This Agreement may be executed in any number of counterparts, each of which as so executed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such counterparts shall together constitute but one and the same instrument.</w:t>
      </w:r>
    </w:p>
    <w:p>
      <w:pPr>
        <w:spacing w:after="0" w:line="162"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6.10 Inspection of Agreement. </w:t>
      </w:r>
      <w:r>
        <w:rPr>
          <w:rFonts w:ascii="Arial" w:cs="Arial" w:eastAsia="Arial" w:hAnsi="Arial"/>
          <w:sz w:val="18"/>
          <w:szCs w:val="18"/>
          <w:color w:val="auto"/>
        </w:rPr>
        <w:t>A copy of this Agreement shall be available at all reasonable times at the principal corporate trust office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Agent for inspection by the holder of any Warrant Certificate. The Warrant Agent may require such holder to submit such holder’s Warrant Certificate for inspection by it.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0" w:right="5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6"/>
          <w:szCs w:val="16"/>
          <w:color w:val="auto"/>
        </w:rPr>
        <w:t>the parties hereto have caused this Agreement to be duly executed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as Company</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171450</wp:posOffset>
            </wp:positionV>
            <wp:extent cx="22885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COUNTERSIGNED: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Warrant Agent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171450</wp:posOffset>
            </wp:positionV>
            <wp:extent cx="22885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900"/>
          </w:cols>
          <w:pgMar w:left="880" w:top="270" w:right="1119" w:bottom="1440" w:gutter="0" w:footer="0" w:header="0"/>
        </w:sectPr>
      </w:pPr>
    </w:p>
    <w:bookmarkStart w:id="179" w:name="page180"/>
    <w:bookmarkEnd w:id="179"/>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FORM OF WARRANT CERTIFICATE</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[FACE OF WARRANT CERTIFICATE]</w:t>
      </w:r>
    </w:p>
    <w:p>
      <w:pPr>
        <w:sectPr>
          <w:pgSz w:w="11900" w:h="16838" w:orient="portrait"/>
          <w:cols w:equalWidth="0" w:num="1">
            <w:col w:w="10820"/>
          </w:cols>
          <w:pgMar w:left="440" w:top="270" w:right="6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Form of Legend if Warrants are not immediately exercisable.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 Warrants evidenced by this Warrant Certificate cannot be exercised.]</w:t>
      </w:r>
    </w:p>
    <w:p>
      <w:pPr>
        <w:spacing w:after="0" w:line="170" w:lineRule="exact"/>
        <w:rPr>
          <w:sz w:val="20"/>
          <w:szCs w:val="20"/>
          <w:color w:val="auto"/>
        </w:rPr>
      </w:pPr>
    </w:p>
    <w:p>
      <w:pPr>
        <w:sectPr>
          <w:pgSz w:w="11900" w:h="16838" w:orient="portrait"/>
          <w:cols w:equalWidth="0" w:num="2">
            <w:col w:w="5020" w:space="720"/>
            <w:col w:w="5080"/>
          </w:cols>
          <w:pgMar w:left="440" w:top="270" w:right="639" w:bottom="1440" w:gutter="0" w:footer="0" w:header="0"/>
          <w:type w:val="continuous"/>
        </w:sectPr>
      </w:pPr>
    </w:p>
    <w:p>
      <w:pPr>
        <w:jc w:val="center"/>
        <w:ind w:right="-179"/>
        <w:spacing w:after="0"/>
        <w:rPr>
          <w:sz w:val="20"/>
          <w:szCs w:val="20"/>
          <w:color w:val="auto"/>
        </w:rPr>
      </w:pPr>
      <w:r>
        <w:rPr>
          <w:rFonts w:ascii="Arial" w:cs="Arial" w:eastAsia="Arial" w:hAnsi="Arial"/>
          <w:sz w:val="17"/>
          <w:szCs w:val="17"/>
          <w:color w:val="auto"/>
        </w:rPr>
        <w:t>EXERCISABLE ONLY IF COUNTERSIGNED BY THE WARRANT AGENT AS PROVIDED HEREIN</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VOID AFTER [●] P.M., [City] time, ON [●].</w:t>
      </w:r>
    </w:p>
    <w:p>
      <w:pPr>
        <w:sectPr>
          <w:pgSz w:w="11900" w:h="16838" w:orient="portrait"/>
          <w:cols w:equalWidth="0" w:num="1">
            <w:col w:w="10820"/>
          </w:cols>
          <w:pgMar w:left="440" w:top="270" w:right="639" w:bottom="1440" w:gutter="0" w:footer="0" w:header="0"/>
          <w:type w:val="continuous"/>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NGM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OF WARRANT SECURITIES]</w:t>
      </w:r>
    </w:p>
    <w:p>
      <w:pPr>
        <w:spacing w:after="0" w:line="238"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6"/>
          <w:szCs w:val="16"/>
          <w:color w:val="auto"/>
        </w:rPr>
        <w:t>[●] Warrants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certifies that [●] or registered assigns is the registered owner of the above indicated number of Warrants, each Warrant entitling such owner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purchase, at any time [after [●] p.m., [City] time, [on [●] and] on or before [●] p.m., [City] time, on [●], [●] shares of [TITLE OF WARRANT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par value $0.001 per share (the “</w:t>
      </w:r>
      <w:r>
        <w:rPr>
          <w:rFonts w:ascii="Arial" w:cs="Arial" w:eastAsia="Arial" w:hAnsi="Arial"/>
          <w:sz w:val="17"/>
          <w:szCs w:val="17"/>
          <w:b w:val="1"/>
          <w:bCs w:val="1"/>
          <w:i w:val="1"/>
          <w:iCs w:val="1"/>
          <w:color w:val="auto"/>
        </w:rPr>
        <w:t>Warrant Securities</w:t>
      </w:r>
      <w:r>
        <w:rPr>
          <w:rFonts w:ascii="Arial" w:cs="Arial" w:eastAsia="Arial" w:hAnsi="Arial"/>
          <w:sz w:val="17"/>
          <w:szCs w:val="17"/>
          <w:color w:val="auto"/>
        </w:rPr>
        <w:t>”), of NGM Biopharmaceuticals,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the following basis: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from [●], through and including [●], the exercise price per Warrant Security will be $[●], subject to adjustment as provided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Warrant Agreement (as hereinafter defined) (the “</w:t>
      </w:r>
      <w:r>
        <w:rPr>
          <w:rFonts w:ascii="Arial" w:cs="Arial" w:eastAsia="Arial" w:hAnsi="Arial"/>
          <w:sz w:val="17"/>
          <w:szCs w:val="17"/>
          <w:b w:val="1"/>
          <w:bCs w:val="1"/>
          <w:i w:val="1"/>
          <w:iCs w:val="1"/>
          <w:color w:val="auto"/>
        </w:rPr>
        <w:t>Warrant Price</w:t>
      </w:r>
      <w:r>
        <w:rPr>
          <w:rFonts w:ascii="Arial" w:cs="Arial" w:eastAsia="Arial" w:hAnsi="Arial"/>
          <w:sz w:val="17"/>
          <w:szCs w:val="17"/>
          <w:color w:val="auto"/>
        </w:rPr>
        <w:t>”). The Holder may exercise the Warrants evidenced hereby by providing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set forth on the back hereof and by paying in full, in lawful money of the United States of America, [in cash or by certified check or official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bank check in New York Clearing House funds] [by bank wire transfer in immediately available funds], the Warrant Price for each Warrant Security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which this Warrant is exercised to the Warrant Agent (as hereinafter defined) and by surrendering this Warrant Certificate, with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purchase form on the back hereof duly executed, at the corporate trust office of [name of Warrant Agent], or its successor as warrant agent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Warrant Agent</w:t>
      </w:r>
      <w:r>
        <w:rPr>
          <w:rFonts w:ascii="Arial" w:cs="Arial" w:eastAsia="Arial" w:hAnsi="Arial"/>
          <w:sz w:val="16"/>
          <w:szCs w:val="16"/>
          <w:color w:val="auto"/>
        </w:rPr>
        <w:t>”), which is, on the date hereof, at the address specified on the reverse hereof, and upon compliance with and subject to the conditions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set forth herein and in the Warrant Agreement (as hereinafter defined).</w:t>
      </w:r>
    </w:p>
    <w:p>
      <w:pPr>
        <w:spacing w:after="0" w:line="21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70"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This Warrant Certificate is issued under and in accordance with the Warrant Agreement dated as of [●]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87" w:lineRule="exact"/>
        <w:rPr>
          <w:sz w:val="20"/>
          <w:szCs w:val="20"/>
          <w:color w:val="auto"/>
        </w:rPr>
      </w:pPr>
    </w:p>
    <w:p>
      <w:pPr>
        <w:ind w:right="440" w:firstLine="440"/>
        <w:spacing w:after="0" w:line="342" w:lineRule="auto"/>
        <w:rPr>
          <w:sz w:val="20"/>
          <w:szCs w:val="20"/>
          <w:color w:val="auto"/>
        </w:rPr>
      </w:pPr>
      <w:r>
        <w:rPr>
          <w:rFonts w:ascii="Arial" w:cs="Arial" w:eastAsia="Arial" w:hAnsi="Arial"/>
          <w:sz w:val="16"/>
          <w:szCs w:val="16"/>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24"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24"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184" w:lineRule="exact"/>
        <w:rPr>
          <w:sz w:val="20"/>
          <w:szCs w:val="20"/>
          <w:color w:val="auto"/>
        </w:rPr>
      </w:pPr>
    </w:p>
    <w:p>
      <w:pPr>
        <w:jc w:val="both"/>
        <w:ind w:right="100" w:firstLine="440"/>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which further provisions shall for all purposes have the same effect as if set forth at this place.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Certificate shall not be valid or obligatory for any purpose until countersigned by the Warrant Agent.</w:t>
      </w:r>
    </w:p>
    <w:p>
      <w:pPr>
        <w:sectPr>
          <w:pgSz w:w="11900" w:h="16838" w:orient="portrait"/>
          <w:cols w:equalWidth="0" w:num="1">
            <w:col w:w="11020"/>
          </w:cols>
          <w:pgMar w:left="440" w:top="270" w:right="439" w:bottom="1440" w:gutter="0" w:footer="0" w:header="0"/>
        </w:sectPr>
      </w:pPr>
    </w:p>
    <w:bookmarkStart w:id="181" w:name="page182"/>
    <w:bookmarkEnd w:id="181"/>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be executed in its name and on its behalf by the facsimile signatures of its</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as 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151765</wp:posOffset>
            </wp:positionV>
            <wp:extent cx="23145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14605</wp:posOffset>
            </wp:positionV>
            <wp:extent cx="231457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14605</wp:posOffset>
            </wp:positionV>
            <wp:extent cx="23145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171450</wp:posOffset>
            </wp:positionV>
            <wp:extent cx="23145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COUNTERSIGNED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as Warrant Agent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14605</wp:posOffset>
            </wp:positionV>
            <wp:extent cx="23145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14605</wp:posOffset>
            </wp:positionV>
            <wp:extent cx="231457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14605</wp:posOffset>
            </wp:positionV>
            <wp:extent cx="231457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171450</wp:posOffset>
            </wp:positionV>
            <wp:extent cx="231457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ectPr>
          <w:pgSz w:w="11900" w:h="16838" w:orient="portrait"/>
          <w:cols w:equalWidth="0" w:num="1">
            <w:col w:w="10820"/>
          </w:cols>
          <w:pgMar w:left="440" w:top="270" w:right="639" w:bottom="1440" w:gutter="0" w:footer="0" w:header="0"/>
        </w:sectPr>
      </w:pPr>
    </w:p>
    <w:bookmarkStart w:id="182" w:name="page183"/>
    <w:bookmarkEnd w:id="18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[REVERSE OF WARRANT CERTIFICATE]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(Instructions for Exercise of Warrant)</w:t>
      </w:r>
    </w:p>
    <w:p>
      <w:pPr>
        <w:spacing w:after="0" w:line="229" w:lineRule="exact"/>
        <w:rPr>
          <w:sz w:val="20"/>
          <w:szCs w:val="20"/>
          <w:color w:val="auto"/>
        </w:rPr>
      </w:pPr>
    </w:p>
    <w:p>
      <w:pPr>
        <w:ind w:right="180" w:firstLine="440"/>
        <w:spacing w:after="0" w:line="293" w:lineRule="auto"/>
        <w:rPr>
          <w:sz w:val="20"/>
          <w:szCs w:val="20"/>
          <w:color w:val="auto"/>
        </w:rPr>
      </w:pPr>
      <w:r>
        <w:rPr>
          <w:rFonts w:ascii="Arial" w:cs="Arial" w:eastAsia="Arial" w:hAnsi="Arial"/>
          <w:sz w:val="16"/>
          <w:szCs w:val="16"/>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be executed upon exercise of Warrants)</w:t>
      </w:r>
    </w:p>
    <w:p>
      <w:pPr>
        <w:spacing w:after="0" w:line="225" w:lineRule="exact"/>
        <w:rPr>
          <w:sz w:val="20"/>
          <w:szCs w:val="20"/>
          <w:color w:val="auto"/>
        </w:rPr>
      </w:pPr>
    </w:p>
    <w:p>
      <w:pPr>
        <w:ind w:left="440"/>
        <w:spacing w:after="0"/>
        <w:tabs>
          <w:tab w:leader="none" w:pos="5280" w:val="left"/>
        </w:tabs>
        <w:rPr>
          <w:sz w:val="20"/>
          <w:szCs w:val="20"/>
          <w:color w:val="auto"/>
        </w:rPr>
      </w:pPr>
      <w:r>
        <w:rPr>
          <w:rFonts w:ascii="Arial" w:cs="Arial" w:eastAsia="Arial" w:hAnsi="Arial"/>
          <w:sz w:val="18"/>
          <w:szCs w:val="18"/>
          <w:color w:val="auto"/>
        </w:rPr>
        <w:t>The undersigned hereby irrevocably elects to exercise</w:t>
      </w:r>
      <w:r>
        <w:rPr>
          <w:sz w:val="20"/>
          <w:szCs w:val="20"/>
          <w:color w:val="auto"/>
        </w:rPr>
        <w:tab/>
      </w:r>
      <w:r>
        <w:rPr>
          <w:rFonts w:ascii="Arial" w:cs="Arial" w:eastAsia="Arial" w:hAnsi="Arial"/>
          <w:sz w:val="16"/>
          <w:szCs w:val="16"/>
          <w:color w:val="auto"/>
        </w:rPr>
        <w:t>Warrants, evidenced by this Warrant Certificate, to purchase</w:t>
      </w:r>
    </w:p>
    <w:p>
      <w:pPr>
        <w:spacing w:after="0" w:line="23"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shares of the [TITLE OF WARRANT SECURITIES], par value $0.001 per share (the “</w:t>
      </w:r>
      <w:r>
        <w:rPr>
          <w:rFonts w:ascii="Arial" w:cs="Arial" w:eastAsia="Arial" w:hAnsi="Arial"/>
          <w:sz w:val="16"/>
          <w:szCs w:val="16"/>
          <w:b w:val="1"/>
          <w:bCs w:val="1"/>
          <w:i w:val="1"/>
          <w:iCs w:val="1"/>
          <w:color w:val="auto"/>
        </w:rPr>
        <w:t>Warrant Securities</w:t>
      </w:r>
      <w:r>
        <w:rPr>
          <w:rFonts w:ascii="Arial" w:cs="Arial" w:eastAsia="Arial" w:hAnsi="Arial"/>
          <w:sz w:val="16"/>
          <w:szCs w:val="16"/>
          <w:color w:val="auto"/>
        </w:rPr>
        <w:t>”), of NGM Biopharmaceuticals,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NGM</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Biopharmaceuticals, Inc., c/o [insert name and address of Warrant Agent], in the amount of $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90"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238"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-1905</wp:posOffset>
            </wp:positionV>
            <wp:extent cx="643763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Please Print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26847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9">
                      <a:extLst>
                        <a:ext uri="{28A0092B-C50C-407E-A947-70E740481C1C}"/>
                      </a:extLst>
                    </a:blip>
                    <a:srcRect/>
                    <a:stretch>
                      <a:fillRect/>
                    </a:stretch>
                  </pic:blipFill>
                  <pic:spPr bwMode="auto">
                    <a:xfrm>
                      <a:off x="0" y="0"/>
                      <a:ext cx="268478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(Insert Social Security or Other Identifying Number of Holder)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-10160</wp:posOffset>
            </wp:positionV>
            <wp:extent cx="151384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0">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(Signature must conform in all respects to name of holder as specified on the face of this Warrant Certificate and must bear a signature guarantee by a FINRA member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may be exercised at the following addresses:</w:t>
      </w:r>
    </w:p>
    <w:p>
      <w:pPr>
        <w:spacing w:after="0" w:line="252" w:lineRule="exact"/>
        <w:rPr>
          <w:sz w:val="20"/>
          <w:szCs w:val="20"/>
          <w:color w:val="auto"/>
        </w:rPr>
      </w:pPr>
    </w:p>
    <w:p>
      <w:pPr>
        <w:ind w:left="540"/>
        <w:spacing w:after="0"/>
        <w:tabs>
          <w:tab w:leader="none" w:pos="1960" w:val="left"/>
        </w:tabs>
        <w:rPr>
          <w:sz w:val="20"/>
          <w:szCs w:val="20"/>
          <w:color w:val="auto"/>
        </w:rPr>
      </w:pPr>
      <w:r>
        <w:rPr>
          <w:rFonts w:ascii="Arial" w:cs="Arial" w:eastAsia="Arial" w:hAnsi="Arial"/>
          <w:sz w:val="18"/>
          <w:szCs w:val="18"/>
          <w:color w:val="auto"/>
        </w:rPr>
        <w:t>By hand at: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 mail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14605</wp:posOffset>
            </wp:positionV>
            <wp:extent cx="573468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1">
                      <a:extLst>
                        <a:ext uri="{28A0092B-C50C-407E-A947-70E740481C1C}"/>
                      </a:extLst>
                    </a:blip>
                    <a:srcRect/>
                    <a:stretch>
                      <a:fillRect/>
                    </a:stretch>
                  </pic:blipFill>
                  <pic:spPr bwMode="auto">
                    <a:xfrm>
                      <a:off x="0" y="0"/>
                      <a:ext cx="5734685" cy="8890"/>
                    </a:xfrm>
                    <a:prstGeom prst="rect">
                      <a:avLst/>
                    </a:prstGeom>
                    <a:noFill/>
                  </pic:spPr>
                </pic:pic>
              </a:graphicData>
            </a:graphic>
          </wp:anchor>
        </w:drawing>
      </w:r>
    </w:p>
    <w:p>
      <w:pPr>
        <w:spacing w:after="0" w:line="23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10960"/>
          </w:cols>
          <w:pgMar w:left="440" w:top="270" w:right="49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to be executed if Warrant Holder desires to transfer Warrant]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gridSpan w:val="4"/>
          </w:tcPr>
          <w:p>
            <w:pPr>
              <w:spacing w:after="0"/>
              <w:rPr>
                <w:sz w:val="20"/>
                <w:szCs w:val="20"/>
                <w:color w:val="auto"/>
              </w:rPr>
            </w:pPr>
            <w:r>
              <w:rPr>
                <w:rFonts w:ascii="Arial" w:cs="Arial" w:eastAsia="Arial" w:hAnsi="Arial"/>
                <w:sz w:val="18"/>
                <w:szCs w:val="18"/>
                <w:b w:val="1"/>
                <w:bCs w:val="1"/>
                <w:color w:val="auto"/>
              </w:rPr>
              <w:t>FOR VALUE RECEIVED,</w:t>
            </w:r>
          </w:p>
        </w:tc>
        <w:tc>
          <w:tcPr>
            <w:tcW w:w="8000" w:type="dxa"/>
            <w:vAlign w:val="bottom"/>
            <w:gridSpan w:val="8"/>
          </w:tcPr>
          <w:p>
            <w:pPr>
              <w:ind w:left="40"/>
              <w:spacing w:after="0"/>
              <w:rPr>
                <w:sz w:val="20"/>
                <w:szCs w:val="20"/>
                <w:color w:val="auto"/>
              </w:rPr>
            </w:pPr>
            <w:r>
              <w:rPr>
                <w:rFonts w:ascii="Arial" w:cs="Arial" w:eastAsia="Arial" w:hAnsi="Arial"/>
                <w:sz w:val="18"/>
                <w:szCs w:val="18"/>
                <w:color w:val="auto"/>
              </w:rPr>
              <w:t>hereby sells, assigns and transfers unto:</w:t>
            </w:r>
          </w:p>
        </w:tc>
      </w:tr>
      <w:tr>
        <w:trPr>
          <w:trHeight w:val="318"/>
        </w:trPr>
        <w:tc>
          <w:tcPr>
            <w:tcW w:w="6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250"/>
        </w:trPr>
        <w:tc>
          <w:tcPr>
            <w:tcW w:w="4000" w:type="dxa"/>
            <w:vAlign w:val="bottom"/>
            <w:gridSpan w:val="6"/>
          </w:tcPr>
          <w:p>
            <w:pPr>
              <w:spacing w:after="0"/>
              <w:rPr>
                <w:sz w:val="20"/>
                <w:szCs w:val="20"/>
                <w:color w:val="auto"/>
              </w:rPr>
            </w:pPr>
            <w:r>
              <w:rPr>
                <w:rFonts w:ascii="Arial" w:cs="Arial" w:eastAsia="Arial" w:hAnsi="Arial"/>
                <w:sz w:val="18"/>
                <w:szCs w:val="18"/>
                <w:color w:val="auto"/>
                <w:w w:val="97"/>
              </w:rPr>
              <w:t>(Please print name and address including zip code)</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40" w:type="dxa"/>
            <w:vAlign w:val="bottom"/>
            <w:gridSpan w:val="3"/>
          </w:tcPr>
          <w:p>
            <w:pPr>
              <w:ind w:left="660"/>
              <w:spacing w:after="0"/>
              <w:rPr>
                <w:sz w:val="20"/>
                <w:szCs w:val="20"/>
                <w:color w:val="auto"/>
              </w:rPr>
            </w:pPr>
            <w:r>
              <w:rPr>
                <w:rFonts w:ascii="Arial" w:cs="Arial" w:eastAsia="Arial" w:hAnsi="Arial"/>
                <w:sz w:val="18"/>
                <w:szCs w:val="18"/>
                <w:color w:val="auto"/>
              </w:rPr>
              <w:t>Please print Social Security or other identifying number</w:t>
            </w:r>
          </w:p>
        </w:tc>
      </w:tr>
      <w:tr>
        <w:trPr>
          <w:trHeight w:val="405"/>
        </w:trPr>
        <w:tc>
          <w:tcPr>
            <w:tcW w:w="4000" w:type="dxa"/>
            <w:vAlign w:val="bottom"/>
            <w:gridSpan w:val="6"/>
          </w:tcPr>
          <w:p>
            <w:pPr>
              <w:spacing w:after="0"/>
              <w:rPr>
                <w:sz w:val="20"/>
                <w:szCs w:val="20"/>
                <w:color w:val="auto"/>
              </w:rPr>
            </w:pPr>
            <w:r>
              <w:rPr>
                <w:rFonts w:ascii="Arial" w:cs="Arial" w:eastAsia="Arial" w:hAnsi="Arial"/>
                <w:sz w:val="18"/>
                <w:szCs w:val="18"/>
                <w:color w:val="auto"/>
                <w:w w:val="90"/>
              </w:rPr>
              <w:t>the right represented by the within Warrant to purchase</w:t>
            </w:r>
          </w:p>
        </w:tc>
        <w:tc>
          <w:tcPr>
            <w:tcW w:w="900" w:type="dxa"/>
            <w:vAlign w:val="bottom"/>
            <w:tcBorders>
              <w:bottom w:val="single" w:sz="8" w:color="auto"/>
            </w:tcBorders>
          </w:tcPr>
          <w:p>
            <w:pPr>
              <w:spacing w:after="0"/>
              <w:rPr>
                <w:sz w:val="24"/>
                <w:szCs w:val="24"/>
                <w:color w:val="auto"/>
              </w:rPr>
            </w:pPr>
          </w:p>
        </w:tc>
        <w:tc>
          <w:tcPr>
            <w:tcW w:w="6120" w:type="dxa"/>
            <w:vAlign w:val="bottom"/>
            <w:gridSpan w:val="5"/>
          </w:tcPr>
          <w:p>
            <w:pPr>
              <w:ind w:left="40"/>
              <w:spacing w:after="0"/>
              <w:rPr>
                <w:sz w:val="20"/>
                <w:szCs w:val="20"/>
                <w:color w:val="auto"/>
              </w:rPr>
            </w:pPr>
            <w:r>
              <w:rPr>
                <w:rFonts w:ascii="Arial" w:cs="Arial" w:eastAsia="Arial" w:hAnsi="Arial"/>
                <w:sz w:val="18"/>
                <w:szCs w:val="18"/>
                <w:color w:val="auto"/>
                <w:w w:val="95"/>
              </w:rPr>
              <w:t>shares of [Title of Warrant Securities] of NGM Biopharmaceuticals, Inc. to which</w:t>
            </w:r>
          </w:p>
        </w:tc>
      </w:tr>
      <w:tr>
        <w:trPr>
          <w:trHeight w:val="196"/>
        </w:trPr>
        <w:tc>
          <w:tcPr>
            <w:tcW w:w="2860" w:type="dxa"/>
            <w:vAlign w:val="bottom"/>
            <w:gridSpan w:val="3"/>
          </w:tcPr>
          <w:p>
            <w:pPr>
              <w:spacing w:after="0" w:line="196" w:lineRule="exact"/>
              <w:rPr>
                <w:sz w:val="20"/>
                <w:szCs w:val="20"/>
                <w:color w:val="auto"/>
              </w:rPr>
            </w:pPr>
            <w:r>
              <w:rPr>
                <w:rFonts w:ascii="Arial" w:cs="Arial" w:eastAsia="Arial" w:hAnsi="Arial"/>
                <w:sz w:val="18"/>
                <w:szCs w:val="18"/>
                <w:color w:val="auto"/>
                <w:w w:val="90"/>
              </w:rPr>
              <w:t>the within Warrant relates and appoints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260" w:type="dxa"/>
            <w:vAlign w:val="bottom"/>
            <w:gridSpan w:val="7"/>
          </w:tcPr>
          <w:p>
            <w:pPr>
              <w:ind w:left="40"/>
              <w:spacing w:after="0" w:line="196" w:lineRule="exact"/>
              <w:rPr>
                <w:sz w:val="20"/>
                <w:szCs w:val="20"/>
                <w:color w:val="auto"/>
              </w:rPr>
            </w:pPr>
            <w:r>
              <w:rPr>
                <w:rFonts w:ascii="Arial" w:cs="Arial" w:eastAsia="Arial" w:hAnsi="Arial"/>
                <w:sz w:val="18"/>
                <w:szCs w:val="18"/>
                <w:color w:val="auto"/>
                <w:w w:val="93"/>
              </w:rPr>
              <w:t>attorney to transfer such right on the books of the Warrant Agent with full power of substitution in</w:t>
            </w:r>
          </w:p>
        </w:tc>
      </w:tr>
      <w:tr>
        <w:trPr>
          <w:trHeight w:val="237"/>
        </w:trPr>
        <w:tc>
          <w:tcPr>
            <w:tcW w:w="3020" w:type="dxa"/>
            <w:vAlign w:val="bottom"/>
            <w:gridSpan w:val="4"/>
          </w:tcPr>
          <w:p>
            <w:pPr>
              <w:spacing w:after="0"/>
              <w:rPr>
                <w:sz w:val="20"/>
                <w:szCs w:val="20"/>
                <w:color w:val="auto"/>
              </w:rPr>
            </w:pPr>
            <w:r>
              <w:rPr>
                <w:rFonts w:ascii="Arial" w:cs="Arial" w:eastAsia="Arial" w:hAnsi="Arial"/>
                <w:sz w:val="18"/>
                <w:szCs w:val="18"/>
                <w:color w:val="auto"/>
              </w:rPr>
              <w:t>the premises.</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59"/>
        </w:trPr>
        <w:tc>
          <w:tcPr>
            <w:tcW w:w="3020" w:type="dxa"/>
            <w:vAlign w:val="bottom"/>
            <w:gridSpan w:val="4"/>
          </w:tcPr>
          <w:p>
            <w:pPr>
              <w:spacing w:after="0"/>
              <w:rPr>
                <w:sz w:val="20"/>
                <w:szCs w:val="20"/>
                <w:color w:val="auto"/>
              </w:rPr>
            </w:pPr>
            <w:r>
              <w:rPr>
                <w:rFonts w:ascii="Arial" w:cs="Arial" w:eastAsia="Arial" w:hAnsi="Arial"/>
                <w:sz w:val="18"/>
                <w:szCs w:val="18"/>
                <w:color w:val="auto"/>
              </w:rPr>
              <w:t>Dated:</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Name:</w:t>
            </w:r>
          </w:p>
        </w:tc>
      </w:tr>
      <w:tr>
        <w:trPr>
          <w:trHeight w:val="224"/>
        </w:trPr>
        <w:tc>
          <w:tcPr>
            <w:tcW w:w="64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520" w:type="dxa"/>
            <w:vAlign w:val="bottom"/>
            <w:tcBorders>
              <w:top w:val="single" w:sz="8" w:color="auto"/>
            </w:tcBorders>
          </w:tcPr>
          <w:p>
            <w:pPr>
              <w:ind w:left="1920"/>
              <w:spacing w:after="0"/>
              <w:rPr>
                <w:sz w:val="20"/>
                <w:szCs w:val="20"/>
                <w:color w:val="auto"/>
              </w:rPr>
            </w:pPr>
            <w:r>
              <w:rPr>
                <w:rFonts w:ascii="Arial" w:cs="Arial" w:eastAsia="Arial" w:hAnsi="Arial"/>
                <w:sz w:val="18"/>
                <w:szCs w:val="18"/>
                <w:color w:val="auto"/>
              </w:rPr>
              <w:t>Signature</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27946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ectPr>
          <w:pgSz w:w="11900" w:h="16838" w:orient="portrait"/>
          <w:cols w:equalWidth="0" w:num="1">
            <w:col w:w="11020"/>
          </w:cols>
          <w:pgMar w:left="440" w:top="270" w:right="4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4.7</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NGM BIOPHARMACEUTICALS, INC.</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 AS WARRANT AGENT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FORM OF DEBT SECURITIES</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WARRANT AGREEMENT</w:t>
      </w:r>
    </w:p>
    <w:p>
      <w:pPr>
        <w:spacing w:after="0" w:line="20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DATED AS OF</w:t>
      </w:r>
    </w:p>
    <w:p>
      <w:pPr>
        <w:sectPr>
          <w:pgSz w:w="11900" w:h="16838" w:orient="portrait"/>
          <w:cols w:equalWidth="0" w:num="1">
            <w:col w:w="10020"/>
          </w:cols>
          <w:pgMar w:left="1440" w:top="121" w:right="439"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NGM BIOPHARMACEUTICALS,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DEBT SECURITIES WARRANT AGREEMENT</w:t>
      </w:r>
    </w:p>
    <w:p>
      <w:pPr>
        <w:spacing w:after="0" w:line="207"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EBT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between</w:t>
      </w:r>
      <w:r>
        <w:rPr>
          <w:rFonts w:ascii="Arial" w:cs="Arial" w:eastAsia="Arial" w:hAnsi="Arial"/>
          <w:sz w:val="18"/>
          <w:szCs w:val="18"/>
          <w:b w:val="1"/>
          <w:bCs w:val="1"/>
          <w:color w:val="auto"/>
        </w:rPr>
        <w:t xml:space="preserve"> 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 a [corporation] [national banking association] organized and existing under the laws of [●] and having a corporate trust office in [●],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w:t>
      </w:r>
    </w:p>
    <w:p>
      <w:pPr>
        <w:spacing w:after="0" w:line="176"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has entered into an indenture dated as of [●]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with [●], as trustee (such trustee, and any successors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trustee, herein called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providing for the issuance from time to time of its debt securities, to be issued in one or more series as provided in the Indenture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w:t>
      </w:r>
    </w:p>
    <w:p>
      <w:pPr>
        <w:spacing w:after="0" w:line="176"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proposes to sell [</w:t>
      </w:r>
      <w:r>
        <w:rPr>
          <w:rFonts w:ascii="Arial" w:cs="Arial" w:eastAsia="Arial" w:hAnsi="Arial"/>
          <w:sz w:val="17"/>
          <w:szCs w:val="17"/>
          <w:b w:val="1"/>
          <w:bCs w:val="1"/>
          <w:i w:val="1"/>
          <w:iCs w:val="1"/>
          <w:color w:val="auto"/>
        </w:rPr>
        <w:t>If Warrants are sold with other securities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[title of such other securities being offered] (the “</w:t>
      </w:r>
      <w:r>
        <w:rPr>
          <w:rFonts w:ascii="Arial" w:cs="Arial" w:eastAsia="Arial" w:hAnsi="Arial"/>
          <w:sz w:val="17"/>
          <w:szCs w:val="17"/>
          <w:b w:val="1"/>
          <w:bCs w:val="1"/>
          <w:i w:val="1"/>
          <w:iCs w:val="1"/>
          <w:color w:val="auto"/>
        </w:rPr>
        <w:t>Other</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with] warrant certificates evidencing one or more warrants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or, individually,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representing the right to 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[title of Debt Securities purchasable through exercise of Warrants] (the “</w:t>
      </w:r>
      <w:r>
        <w:rPr>
          <w:rFonts w:ascii="Arial" w:cs="Arial" w:eastAsia="Arial" w:hAnsi="Arial"/>
          <w:sz w:val="17"/>
          <w:szCs w:val="17"/>
          <w:b w:val="1"/>
          <w:bCs w:val="1"/>
          <w:i w:val="1"/>
          <w:iCs w:val="1"/>
          <w:color w:val="auto"/>
        </w:rPr>
        <w:t>Warrant Debt Securities</w:t>
      </w:r>
      <w:r>
        <w:rPr>
          <w:rFonts w:ascii="Arial" w:cs="Arial" w:eastAsia="Arial" w:hAnsi="Arial"/>
          <w:sz w:val="17"/>
          <w:szCs w:val="17"/>
          <w:color w:val="auto"/>
        </w:rPr>
        <w:t>”), such warrant certificates and other warrant certificates issued pursuant to this Agreement being herein called the “</w:t>
      </w:r>
      <w:r>
        <w:rPr>
          <w:rFonts w:ascii="Arial" w:cs="Arial" w:eastAsia="Arial" w:hAnsi="Arial"/>
          <w:sz w:val="17"/>
          <w:szCs w:val="17"/>
          <w:b w:val="1"/>
          <w:bCs w:val="1"/>
          <w:i w:val="1"/>
          <w:iCs w:val="1"/>
          <w:color w:val="auto"/>
        </w:rPr>
        <w:t>Warrant Certificates</w:t>
      </w:r>
      <w:r>
        <w:rPr>
          <w:rFonts w:ascii="Arial" w:cs="Arial" w:eastAsia="Arial" w:hAnsi="Arial"/>
          <w:sz w:val="17"/>
          <w:szCs w:val="17"/>
          <w:color w:val="auto"/>
        </w:rPr>
        <w:t>”; and</w:t>
      </w:r>
    </w:p>
    <w:p>
      <w:pPr>
        <w:spacing w:after="0" w:line="165"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desires the Warrant Agent to act on behalf of the Company, and the Warrant Agent is willing so to act,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OW</w:t>
      </w:r>
      <w:r>
        <w:rPr>
          <w:rFonts w:ascii="Arial" w:cs="Arial" w:eastAsia="Arial" w:hAnsi="Arial"/>
          <w:sz w:val="17"/>
          <w:szCs w:val="17"/>
          <w:b w:val="1"/>
          <w:bCs w:val="1"/>
          <w:color w:val="auto"/>
        </w:rPr>
        <w:t xml:space="preserve"> T</w:t>
      </w:r>
      <w:r>
        <w:rPr>
          <w:rFonts w:ascii="Arial" w:cs="Arial" w:eastAsia="Arial" w:hAnsi="Arial"/>
          <w:sz w:val="13"/>
          <w:szCs w:val="13"/>
          <w:b w:val="1"/>
          <w:bCs w:val="1"/>
          <w:color w:val="auto"/>
        </w:rPr>
        <w:t>HEREFORE</w:t>
      </w:r>
      <w:r>
        <w:rPr>
          <w:rFonts w:ascii="Arial" w:cs="Arial" w:eastAsia="Arial" w:hAnsi="Arial"/>
          <w:sz w:val="17"/>
          <w:szCs w:val="17"/>
          <w:b w:val="1"/>
          <w:bCs w:val="1"/>
          <w:color w:val="auto"/>
        </w:rPr>
        <w:t xml:space="preserve">, </w:t>
      </w:r>
      <w:r>
        <w:rPr>
          <w:rFonts w:ascii="Arial" w:cs="Arial" w:eastAsia="Arial" w:hAnsi="Arial"/>
          <w:sz w:val="17"/>
          <w:szCs w:val="17"/>
          <w:color w:val="auto"/>
        </w:rPr>
        <w:t>in consideration of the premises and of the mutual agreements herein contained, the parties hereto agree as follows: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ISSUANCE OF WARRANTS AND EXECUTION AND DELIVERY OF WARRANT CERTIFICATES</w:t>
      </w:r>
    </w:p>
    <w:p>
      <w:pPr>
        <w:spacing w:after="0" w:line="225" w:lineRule="exact"/>
        <w:rPr>
          <w:sz w:val="20"/>
          <w:szCs w:val="20"/>
          <w:color w:val="auto"/>
        </w:rPr>
      </w:pPr>
    </w:p>
    <w:p>
      <w:pPr>
        <w:ind w:right="80" w:firstLine="440"/>
        <w:spacing w:after="0" w:line="256" w:lineRule="auto"/>
        <w:rPr>
          <w:sz w:val="20"/>
          <w:szCs w:val="20"/>
          <w:color w:val="auto"/>
        </w:rPr>
      </w:pPr>
      <w:r>
        <w:rPr>
          <w:rFonts w:ascii="Arial" w:cs="Arial" w:eastAsia="Arial" w:hAnsi="Arial"/>
          <w:sz w:val="18"/>
          <w:szCs w:val="18"/>
          <w:b w:val="1"/>
          <w:bCs w:val="1"/>
          <w:color w:val="auto"/>
        </w:rPr>
        <w:t xml:space="preserve">1.1 Issuance of Warrants. </w:t>
      </w:r>
      <w:r>
        <w:rPr>
          <w:rFonts w:ascii="Arial" w:cs="Arial" w:eastAsia="Arial" w:hAnsi="Arial"/>
          <w:sz w:val="18"/>
          <w:szCs w:val="18"/>
          <w:color w:val="auto"/>
        </w:rPr>
        <w:t>[</w:t>
      </w:r>
      <w:r>
        <w:rPr>
          <w:rFonts w:ascii="Arial" w:cs="Arial" w:eastAsia="Arial" w:hAnsi="Arial"/>
          <w:sz w:val="18"/>
          <w:szCs w:val="18"/>
          <w:b w:val="1"/>
          <w:bCs w:val="1"/>
          <w:i w:val="1"/>
          <w:iCs w:val="1"/>
          <w:color w:val="auto"/>
        </w:rPr>
        <w:t>If Warrants alone</w:t>
      </w:r>
      <w:r>
        <w:rPr>
          <w:rFonts w:ascii="Arial" w:cs="Arial" w:eastAsia="Arial" w:hAnsi="Arial"/>
          <w:sz w:val="18"/>
          <w:szCs w:val="18"/>
          <w:b w:val="1"/>
          <w:bCs w:val="1"/>
          <w:color w:val="auto"/>
        </w:rPr>
        <w:t xml:space="preserve"> </w:t>
      </w:r>
      <w:r>
        <w:rPr>
          <w:rFonts w:ascii="Arial" w:cs="Arial" w:eastAsia="Arial" w:hAnsi="Arial"/>
          <w:sz w:val="18"/>
          <w:szCs w:val="18"/>
          <w:color w:val="auto"/>
        </w:rPr>
        <w:t>— Upon issuance, each Warrant Certificate shall evidence one or more Warrants.] [</w:t>
      </w:r>
      <w:r>
        <w:rPr>
          <w:rFonts w:ascii="Arial" w:cs="Arial" w:eastAsia="Arial" w:hAnsi="Arial"/>
          <w:sz w:val="18"/>
          <w:szCs w:val="18"/>
          <w:b w:val="1"/>
          <w:bCs w:val="1"/>
          <w:i w:val="1"/>
          <w:iCs w:val="1"/>
          <w:color w:val="auto"/>
        </w:rPr>
        <w:t>If Other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Securities and Warrants </w:t>
      </w:r>
      <w:r>
        <w:rPr>
          <w:rFonts w:ascii="Arial" w:cs="Arial" w:eastAsia="Arial" w:hAnsi="Arial"/>
          <w:sz w:val="18"/>
          <w:szCs w:val="18"/>
          <w:color w:val="auto"/>
        </w:rPr>
        <w:t>— Warrant Certificates will be issued in connection with the issuance of the Other Securities but shall be separately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transferable and each Warrant Certificate shall evidence one or more Warrants.] Each Warrant evidenced thereby shall represent the right, subject to the provisions contained herein and therein, to purchase one Warrant Debt Security. [</w:t>
      </w:r>
      <w:r>
        <w:rPr>
          <w:rFonts w:ascii="Arial" w:cs="Arial" w:eastAsia="Arial" w:hAnsi="Arial"/>
          <w:sz w:val="18"/>
          <w:szCs w:val="18"/>
          <w:b w:val="1"/>
          <w:bCs w:val="1"/>
          <w:i w:val="1"/>
          <w:iCs w:val="1"/>
          <w:color w:val="auto"/>
        </w:rPr>
        <w:t>If Other Securities and Warrants</w:t>
      </w:r>
      <w:r>
        <w:rPr>
          <w:rFonts w:ascii="Arial" w:cs="Arial" w:eastAsia="Arial" w:hAnsi="Arial"/>
          <w:sz w:val="18"/>
          <w:szCs w:val="18"/>
          <w:color w:val="auto"/>
        </w:rPr>
        <w:t xml:space="preserve"> — Warrant Certificates will be issued with the Other Securities and each Warrant Certificate will evidence [●] Warrants for each [$[●] principal amount] [[●] shares] of Other Securities issued.]</w:t>
      </w:r>
    </w:p>
    <w:p>
      <w:pPr>
        <w:spacing w:after="0" w:line="187"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b w:val="1"/>
          <w:bCs w:val="1"/>
          <w:color w:val="auto"/>
        </w:rPr>
        <w:t xml:space="preserve">1.2 Execution and Delivery of Warrant Certificates. </w:t>
      </w:r>
      <w:r>
        <w:rPr>
          <w:rFonts w:ascii="Arial" w:cs="Arial" w:eastAsia="Arial" w:hAnsi="Arial"/>
          <w:sz w:val="17"/>
          <w:szCs w:val="17"/>
          <w:color w:val="auto"/>
        </w:rPr>
        <w:t>Each Warrant Certificate, whenever issued, shall be in registered form substantially in</w:t>
      </w:r>
      <w:r>
        <w:rPr>
          <w:rFonts w:ascii="Arial" w:cs="Arial" w:eastAsia="Arial" w:hAnsi="Arial"/>
          <w:sz w:val="17"/>
          <w:szCs w:val="17"/>
          <w:b w:val="1"/>
          <w:bCs w:val="1"/>
          <w:color w:val="auto"/>
        </w:rPr>
        <w:t xml:space="preserve"> </w:t>
      </w:r>
      <w:r>
        <w:rPr>
          <w:rFonts w:ascii="Arial" w:cs="Arial" w:eastAsia="Arial" w:hAnsi="Arial"/>
          <w:sz w:val="17"/>
          <w:szCs w:val="17"/>
          <w:color w:val="auto"/>
        </w:rPr>
        <w:t>the form set forth in Exhibit A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w:t>
      </w:r>
    </w:p>
    <w:p>
      <w:pPr>
        <w:sectPr>
          <w:pgSz w:w="11900" w:h="16838" w:orient="portrait"/>
          <w:cols w:equalWidth="0" w:num="1">
            <w:col w:w="10980"/>
          </w:cols>
          <w:pgMar w:left="440" w:top="270" w:right="479" w:bottom="1440" w:gutter="0" w:footer="0" w:header="0"/>
        </w:sectPr>
      </w:pPr>
    </w:p>
    <w:bookmarkStart w:id="186" w:name="page187"/>
    <w:bookmarkEnd w:id="186"/>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70" w:lineRule="exact"/>
        <w:rPr>
          <w:sz w:val="20"/>
          <w:szCs w:val="20"/>
          <w:color w:val="auto"/>
        </w:rPr>
      </w:pPr>
    </w:p>
    <w:p>
      <w:pPr>
        <w:jc w:val="both"/>
        <w:ind w:right="200" w:firstLine="440"/>
        <w:spacing w:after="0" w:line="311" w:lineRule="auto"/>
        <w:rPr>
          <w:sz w:val="20"/>
          <w:szCs w:val="20"/>
          <w:color w:val="auto"/>
        </w:rPr>
      </w:pPr>
      <w:r>
        <w:rPr>
          <w:rFonts w:ascii="Arial" w:cs="Arial" w:eastAsia="Arial" w:hAnsi="Arial"/>
          <w:sz w:val="16"/>
          <w:szCs w:val="16"/>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49"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6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 of a Warrant Certificate</w:t>
      </w:r>
      <w:r>
        <w:rPr>
          <w:rFonts w:ascii="Arial" w:cs="Arial" w:eastAsia="Arial" w:hAnsi="Arial"/>
          <w:sz w:val="18"/>
          <w:szCs w:val="18"/>
          <w:color w:val="auto"/>
        </w:rPr>
        <w:t>” as used herein shall mean any person in whose name at the time any Warrant Certificate shall be registered upon the books to be maintained by the Warrant Agent for that purpose.</w:t>
      </w:r>
    </w:p>
    <w:p>
      <w:pPr>
        <w:spacing w:after="0" w:line="166" w:lineRule="exact"/>
        <w:rPr>
          <w:sz w:val="20"/>
          <w:szCs w:val="20"/>
          <w:color w:val="auto"/>
        </w:rPr>
      </w:pPr>
    </w:p>
    <w:p>
      <w:pPr>
        <w:ind w:right="240" w:firstLine="440"/>
        <w:spacing w:after="0" w:line="261" w:lineRule="auto"/>
        <w:rPr>
          <w:sz w:val="20"/>
          <w:szCs w:val="20"/>
          <w:color w:val="auto"/>
        </w:rPr>
      </w:pPr>
      <w:r>
        <w:rPr>
          <w:rFonts w:ascii="Arial" w:cs="Arial" w:eastAsia="Arial" w:hAnsi="Arial"/>
          <w:sz w:val="18"/>
          <w:szCs w:val="18"/>
          <w:b w:val="1"/>
          <w:bCs w:val="1"/>
          <w:color w:val="auto"/>
        </w:rPr>
        <w:t xml:space="preserve">1.3 Issuance of Warrant Certificates. </w:t>
      </w:r>
      <w:r>
        <w:rPr>
          <w:rFonts w:ascii="Arial" w:cs="Arial" w:eastAsia="Arial" w:hAnsi="Arial"/>
          <w:sz w:val="18"/>
          <w:szCs w:val="18"/>
          <w:color w:val="auto"/>
        </w:rPr>
        <w:t>Warrant Certificates evidencing the right to purchase Warrant Debt Securities may be executed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PRICE, DURATION AND EXERCISE OF WARRANTS</w:t>
      </w:r>
    </w:p>
    <w:p>
      <w:pPr>
        <w:spacing w:after="0" w:line="225"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color w:val="auto"/>
        </w:rPr>
        <w:t>Warrant Price. During the period specified in Section 2.2, each Warrant shall, subject to the terms of this Agreement and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Arial" w:cs="Arial" w:eastAsia="Arial" w:hAnsi="Arial"/>
          <w:sz w:val="16"/>
          <w:szCs w:val="16"/>
          <w:b w:val="1"/>
          <w:bCs w:val="1"/>
          <w:i w:val="1"/>
          <w:iCs w:val="1"/>
          <w:color w:val="auto"/>
        </w:rPr>
        <w:t>Warrant Price.</w:t>
      </w:r>
    </w:p>
    <w:p>
      <w:pPr>
        <w:spacing w:after="0" w:line="161"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2.2 Duration of Warrants. </w:t>
      </w:r>
      <w:r>
        <w:rPr>
          <w:rFonts w:ascii="Arial" w:cs="Arial" w:eastAsia="Arial" w:hAnsi="Arial"/>
          <w:sz w:val="18"/>
          <w:szCs w:val="18"/>
          <w:color w:val="auto"/>
        </w:rPr>
        <w:t>Each Warrant may be exercised in whole or in part at any time, as specified herein, on or after [the date thereof] [●]</w:t>
      </w:r>
      <w:r>
        <w:rPr>
          <w:rFonts w:ascii="Arial" w:cs="Arial" w:eastAsia="Arial" w:hAnsi="Arial"/>
          <w:sz w:val="18"/>
          <w:szCs w:val="18"/>
          <w:b w:val="1"/>
          <w:bCs w:val="1"/>
          <w:color w:val="auto"/>
        </w:rPr>
        <w:t xml:space="preserve"> </w:t>
      </w:r>
      <w:r>
        <w:rPr>
          <w:rFonts w:ascii="Arial" w:cs="Arial" w:eastAsia="Arial" w:hAnsi="Arial"/>
          <w:sz w:val="18"/>
          <w:szCs w:val="18"/>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Each Warrant not exercised at or before [●] p.m., [City] time, on the Expiration Date shall become void, and all rights of the holder of the Warrant Certificate evidencing such Warrant under this Agreement shall cease.</w:t>
      </w:r>
    </w:p>
    <w:p>
      <w:pPr>
        <w:spacing w:after="0" w:line="29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Exercise of Warrants</w:t>
      </w:r>
      <w:r>
        <w:rPr>
          <w:rFonts w:ascii="Arial" w:cs="Arial" w:eastAsia="Arial" w:hAnsi="Arial"/>
          <w:sz w:val="16"/>
          <w:szCs w:val="16"/>
          <w:color w:val="auto"/>
        </w:rPr>
        <w:t>.</w:t>
      </w:r>
    </w:p>
    <w:p>
      <w:pPr>
        <w:spacing w:after="0" w:line="121" w:lineRule="exact"/>
        <w:rPr>
          <w:sz w:val="20"/>
          <w:szCs w:val="20"/>
          <w:color w:val="auto"/>
        </w:rPr>
      </w:pPr>
    </w:p>
    <w:p>
      <w:pPr>
        <w:jc w:val="both"/>
        <w:ind w:right="80" w:firstLine="987"/>
        <w:spacing w:after="0" w:line="263" w:lineRule="auto"/>
        <w:tabs>
          <w:tab w:leader="none" w:pos="1381"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87" w:name="page188"/>
    <w:bookmarkEnd w:id="187"/>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76" w:lineRule="exact"/>
        <w:rPr>
          <w:sz w:val="20"/>
          <w:szCs w:val="20"/>
          <w:color w:val="auto"/>
        </w:rPr>
      </w:pPr>
    </w:p>
    <w:p>
      <w:pPr>
        <w:ind w:right="60" w:firstLine="987"/>
        <w:spacing w:after="0" w:line="257" w:lineRule="auto"/>
        <w:tabs>
          <w:tab w:leader="none" w:pos="1388"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spacing w:after="0" w:line="187" w:lineRule="exact"/>
        <w:rPr>
          <w:rFonts w:ascii="Arial" w:cs="Arial" w:eastAsia="Arial" w:hAnsi="Arial"/>
          <w:sz w:val="18"/>
          <w:szCs w:val="18"/>
          <w:b w:val="1"/>
          <w:bCs w:val="1"/>
          <w:color w:val="auto"/>
        </w:rPr>
      </w:pPr>
    </w:p>
    <w:p>
      <w:pPr>
        <w:ind w:firstLine="987"/>
        <w:spacing w:after="0" w:line="275" w:lineRule="auto"/>
        <w:tabs>
          <w:tab w:leader="none" w:pos="1361" w:val="left"/>
        </w:tabs>
        <w:numPr>
          <w:ilvl w:val="0"/>
          <w:numId w:val="180"/>
        </w:numPr>
        <w:rPr>
          <w:rFonts w:ascii="Arial" w:cs="Arial" w:eastAsia="Arial" w:hAnsi="Arial"/>
          <w:sz w:val="17"/>
          <w:szCs w:val="17"/>
          <w:b w:val="1"/>
          <w:bCs w:val="1"/>
          <w:color w:val="auto"/>
        </w:rPr>
      </w:pPr>
      <w:r>
        <w:rPr>
          <w:rFonts w:ascii="Arial" w:cs="Arial" w:eastAsia="Arial" w:hAnsi="Arial"/>
          <w:sz w:val="17"/>
          <w:szCs w:val="17"/>
          <w:color w:val="auto"/>
        </w:rPr>
        <w:t>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spacing w:after="0" w:line="176" w:lineRule="exact"/>
        <w:rPr>
          <w:rFonts w:ascii="Arial" w:cs="Arial" w:eastAsia="Arial" w:hAnsi="Arial"/>
          <w:sz w:val="17"/>
          <w:szCs w:val="17"/>
          <w:b w:val="1"/>
          <w:bCs w:val="1"/>
          <w:color w:val="auto"/>
        </w:rPr>
      </w:pPr>
    </w:p>
    <w:p>
      <w:pPr>
        <w:ind w:right="180" w:firstLine="987"/>
        <w:spacing w:after="0" w:line="259" w:lineRule="auto"/>
        <w:tabs>
          <w:tab w:leader="none" w:pos="1388"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spacing w:after="0" w:line="186" w:lineRule="exact"/>
        <w:rPr>
          <w:rFonts w:ascii="Arial" w:cs="Arial" w:eastAsia="Arial" w:hAnsi="Arial"/>
          <w:sz w:val="18"/>
          <w:szCs w:val="18"/>
          <w:b w:val="1"/>
          <w:bCs w:val="1"/>
          <w:color w:val="auto"/>
        </w:rPr>
      </w:pPr>
    </w:p>
    <w:p>
      <w:pPr>
        <w:ind w:right="120" w:firstLine="987"/>
        <w:spacing w:after="0" w:line="342" w:lineRule="auto"/>
        <w:tabs>
          <w:tab w:leader="none" w:pos="1371" w:val="left"/>
        </w:tabs>
        <w:numPr>
          <w:ilvl w:val="0"/>
          <w:numId w:val="180"/>
        </w:numPr>
        <w:rPr>
          <w:rFonts w:ascii="Arial" w:cs="Arial" w:eastAsia="Arial" w:hAnsi="Arial"/>
          <w:sz w:val="16"/>
          <w:szCs w:val="16"/>
          <w:b w:val="1"/>
          <w:bCs w:val="1"/>
          <w:color w:val="auto"/>
        </w:rPr>
      </w:pPr>
      <w:r>
        <w:rPr>
          <w:rFonts w:ascii="Arial" w:cs="Arial" w:eastAsia="Arial" w:hAnsi="Arial"/>
          <w:sz w:val="16"/>
          <w:szCs w:val="16"/>
          <w:color w:val="auto"/>
        </w:rPr>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 RELATING TO RIGHTS OF HOLDERS OF WARRANT CERTIFICATES</w:t>
      </w:r>
    </w:p>
    <w:p>
      <w:pPr>
        <w:spacing w:after="0" w:line="225"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b w:val="1"/>
          <w:bCs w:val="1"/>
          <w:color w:val="auto"/>
        </w:rPr>
        <w:t xml:space="preserve">3.1 No Rights as Holder of Warrant Debt Securities Conferred by Warrants or Warrant Certificates. </w:t>
      </w:r>
      <w:r>
        <w:rPr>
          <w:rFonts w:ascii="Arial" w:cs="Arial" w:eastAsia="Arial" w:hAnsi="Arial"/>
          <w:sz w:val="18"/>
          <w:szCs w:val="18"/>
          <w:color w:val="auto"/>
        </w:rPr>
        <w:t>No Warrant Certificate or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88" w:name="page189"/>
    <w:bookmarkEnd w:id="188"/>
    <w:p>
      <w:pPr>
        <w:ind w:firstLine="440"/>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3.2 Lost, Stolen, Mutilated or Destroyed Warrant Certificates. </w:t>
      </w:r>
      <w:r>
        <w:rPr>
          <w:rFonts w:ascii="Arial" w:cs="Arial" w:eastAsia="Arial" w:hAnsi="Arial"/>
          <w:sz w:val="17"/>
          <w:szCs w:val="17"/>
          <w:color w:val="auto"/>
        </w:rPr>
        <w:t>Upon receipt by the Warrant Agent of evidence reasonably satisfactory to it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7"/>
          <w:szCs w:val="17"/>
          <w:b w:val="1"/>
          <w:bCs w:val="1"/>
          <w:color w:val="auto"/>
        </w:rPr>
        <w:t xml:space="preserve">3.3 Holder of Warrant Certificate May Enforce Rights. </w:t>
      </w:r>
      <w:r>
        <w:rPr>
          <w:rFonts w:ascii="Arial" w:cs="Arial" w:eastAsia="Arial" w:hAnsi="Arial"/>
          <w:sz w:val="17"/>
          <w:szCs w:val="17"/>
          <w:color w:val="auto"/>
        </w:rPr>
        <w:t>Notwithstanding any of the provisions of this Agreement, any holder of a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spacing w:after="0" w:line="168"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b w:val="1"/>
          <w:bCs w:val="1"/>
          <w:color w:val="auto"/>
        </w:rPr>
        <w:t xml:space="preserve">3.4 Merger, Sale, Conveyance or Lease. </w:t>
      </w:r>
      <w:r>
        <w:rPr>
          <w:rFonts w:ascii="Arial" w:cs="Arial" w:eastAsia="Arial" w:hAnsi="Arial"/>
          <w:sz w:val="16"/>
          <w:szCs w:val="16"/>
          <w:color w:val="auto"/>
        </w:rPr>
        <w:t>In case of (a) any share exchange, merger or similar transaction of the Company with or into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person or 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Arial" w:cs="Arial" w:eastAsia="Arial" w:hAnsi="Arial"/>
          <w:sz w:val="16"/>
          <w:szCs w:val="16"/>
          <w:b w:val="1"/>
          <w:bCs w:val="1"/>
          <w:i w:val="1"/>
          <w:iCs w:val="1"/>
          <w:color w:val="auto"/>
        </w:rPr>
        <w:t>Reorganization Event</w:t>
      </w:r>
      <w:r>
        <w:rPr>
          <w:rFonts w:ascii="Arial" w:cs="Arial" w:eastAsia="Arial" w:hAnsi="Arial"/>
          <w:sz w:val="16"/>
          <w:szCs w:val="16"/>
          <w:color w:val="auto"/>
        </w:rPr>
        <w:t>”),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67"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3.5 Notice to Warrantholders. </w:t>
      </w:r>
      <w:r>
        <w:rPr>
          <w:rFonts w:ascii="Arial" w:cs="Arial" w:eastAsia="Arial" w:hAnsi="Arial"/>
          <w:sz w:val="18"/>
          <w:szCs w:val="18"/>
          <w:color w:val="auto"/>
        </w:rPr>
        <w:t>In case the Company shall (a) effect any Reorganization Event or (b) make any distribution on or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[title of Warrant Debt Securities] in connection with the dissolution, liquidation or winding up of the Company, then the Company shall mail to each holder 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89" w:name="page190"/>
    <w:bookmarkEnd w:id="189"/>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AND TRANSFER OF WARRANT CERTIFICATES</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 xml:space="preserve">4.1 Exchange and Transfer of Warrant Certificates. </w:t>
      </w:r>
      <w:r>
        <w:rPr>
          <w:rFonts w:ascii="Arial" w:cs="Arial" w:eastAsia="Arial" w:hAnsi="Arial"/>
          <w:sz w:val="16"/>
          <w:szCs w:val="16"/>
          <w:color w:val="auto"/>
        </w:rPr>
        <w:t>Upon surrender at the corporate trust office of the Warrant Agent, Warrant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64"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b w:val="1"/>
          <w:bCs w:val="1"/>
          <w:color w:val="auto"/>
        </w:rPr>
        <w:t xml:space="preserve">4.2 Treatment of Holders of Warrant Certificates. </w:t>
      </w:r>
      <w:r>
        <w:rPr>
          <w:rFonts w:ascii="Arial" w:cs="Arial" w:eastAsia="Arial" w:hAnsi="Arial"/>
          <w:sz w:val="18"/>
          <w:szCs w:val="18"/>
          <w:color w:val="auto"/>
        </w:rPr>
        <w:t>The Company, the Warrant Agent and all other persons may treat the registered holder of a</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 as the absolute owner thereof for any purpose and as the person entitled to exercise the rights represented by the Warrants evidenced thereby, any notice to the contrary notwithstanding.</w:t>
      </w:r>
    </w:p>
    <w:p>
      <w:pPr>
        <w:spacing w:after="0" w:line="176" w:lineRule="exact"/>
        <w:rPr>
          <w:sz w:val="20"/>
          <w:szCs w:val="20"/>
          <w:color w:val="auto"/>
        </w:rPr>
      </w:pPr>
    </w:p>
    <w:p>
      <w:pPr>
        <w:ind w:right="280" w:firstLine="440"/>
        <w:spacing w:after="0" w:line="277" w:lineRule="auto"/>
        <w:rPr>
          <w:sz w:val="20"/>
          <w:szCs w:val="20"/>
          <w:color w:val="auto"/>
        </w:rPr>
      </w:pPr>
      <w:r>
        <w:rPr>
          <w:rFonts w:ascii="Arial" w:cs="Arial" w:eastAsia="Arial" w:hAnsi="Arial"/>
          <w:sz w:val="17"/>
          <w:szCs w:val="17"/>
          <w:b w:val="1"/>
          <w:bCs w:val="1"/>
          <w:color w:val="auto"/>
        </w:rPr>
        <w:t xml:space="preserve">4.3 Cancellation of Warrant Certificates. </w:t>
      </w:r>
      <w:r>
        <w:rPr>
          <w:rFonts w:ascii="Arial" w:cs="Arial" w:eastAsia="Arial" w:hAnsi="Arial"/>
          <w:sz w:val="17"/>
          <w:szCs w:val="17"/>
          <w:color w:val="auto"/>
        </w:rPr>
        <w:t>Any Warrant Certificate surrendered for exchange, registration of transfer or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CONCERNING THE WARRANT AGENT</w:t>
      </w:r>
    </w:p>
    <w:p>
      <w:pPr>
        <w:spacing w:after="0" w:line="225"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b w:val="1"/>
          <w:bCs w:val="1"/>
          <w:color w:val="auto"/>
        </w:rPr>
        <w:t xml:space="preserve">5.1 Warrant Agent. </w:t>
      </w:r>
      <w:r>
        <w:rPr>
          <w:rFonts w:ascii="Arial" w:cs="Arial" w:eastAsia="Arial" w:hAnsi="Arial"/>
          <w:sz w:val="18"/>
          <w:szCs w:val="18"/>
          <w:color w:val="auto"/>
        </w:rPr>
        <w:t>The Company hereby appoints [●] as Warrant Agent of the Company in respect of the Warrants and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upon the terms and subject to the conditions herein set forth, and [●] hereby accepts such appointment. The Warrant Agent shall have the powers and authority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90" w:name="page191"/>
    <w:bookmarkEnd w:id="190"/>
    <w:p>
      <w:pPr>
        <w:jc w:val="both"/>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80" w:lineRule="exact"/>
        <w:rPr>
          <w:sz w:val="20"/>
          <w:szCs w:val="20"/>
          <w:color w:val="auto"/>
        </w:rPr>
      </w:pPr>
    </w:p>
    <w:p>
      <w:pPr>
        <w:jc w:val="both"/>
        <w:ind w:right="380" w:firstLine="440"/>
        <w:spacing w:after="0" w:line="266" w:lineRule="auto"/>
        <w:rPr>
          <w:sz w:val="20"/>
          <w:szCs w:val="20"/>
          <w:color w:val="auto"/>
        </w:rPr>
      </w:pPr>
      <w:r>
        <w:rPr>
          <w:rFonts w:ascii="Arial" w:cs="Arial" w:eastAsia="Arial" w:hAnsi="Arial"/>
          <w:sz w:val="18"/>
          <w:szCs w:val="18"/>
          <w:b w:val="1"/>
          <w:bCs w:val="1"/>
          <w:color w:val="auto"/>
        </w:rPr>
        <w:t xml:space="preserve">5.2 Conditions of Warrant Agent’s Obligations. </w:t>
      </w:r>
      <w:r>
        <w:rPr>
          <w:rFonts w:ascii="Arial" w:cs="Arial" w:eastAsia="Arial" w:hAnsi="Arial"/>
          <w:sz w:val="18"/>
          <w:szCs w:val="18"/>
          <w:color w:val="auto"/>
        </w:rPr>
        <w:t>The Warrant Agent accepts its obligations herein set forth upon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including the following to all of which the Company agrees and to all of which the rights hereunder of the holders from time to time of the Warrant Certificates shall be subject:</w:t>
      </w:r>
    </w:p>
    <w:p>
      <w:pPr>
        <w:spacing w:after="0" w:line="176" w:lineRule="exact"/>
        <w:rPr>
          <w:sz w:val="20"/>
          <w:szCs w:val="20"/>
          <w:color w:val="auto"/>
        </w:rPr>
      </w:pPr>
    </w:p>
    <w:p>
      <w:pPr>
        <w:ind w:right="60" w:firstLine="987"/>
        <w:spacing w:after="0" w:line="294" w:lineRule="auto"/>
        <w:tabs>
          <w:tab w:leader="none" w:pos="1381"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Compensation and Indemnification. </w:t>
      </w:r>
      <w:r>
        <w:rPr>
          <w:rFonts w:ascii="Arial" w:cs="Arial" w:eastAsia="Arial" w:hAnsi="Arial"/>
          <w:sz w:val="16"/>
          <w:szCs w:val="16"/>
          <w:color w:val="auto"/>
        </w:rPr>
        <w:t>The Company agrees promptly to pay the Warrant Agent the compensation to be agreed upon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59" w:lineRule="exact"/>
        <w:rPr>
          <w:rFonts w:ascii="Arial" w:cs="Arial" w:eastAsia="Arial" w:hAnsi="Arial"/>
          <w:sz w:val="16"/>
          <w:szCs w:val="16"/>
          <w:b w:val="1"/>
          <w:bCs w:val="1"/>
          <w:color w:val="auto"/>
        </w:rPr>
      </w:pPr>
    </w:p>
    <w:p>
      <w:pPr>
        <w:ind w:right="200" w:firstLine="987"/>
        <w:spacing w:after="0" w:line="266" w:lineRule="auto"/>
        <w:tabs>
          <w:tab w:leader="none" w:pos="1391"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Agent for the Company. </w:t>
      </w:r>
      <w:r>
        <w:rPr>
          <w:rFonts w:ascii="Arial" w:cs="Arial" w:eastAsia="Arial" w:hAnsi="Arial"/>
          <w:sz w:val="18"/>
          <w:szCs w:val="18"/>
          <w:color w:val="auto"/>
        </w:rPr>
        <w:t>In acting under this Agreement and in connection with the Warrant Certificates, the Warrant Agent is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solely as agent of the Company and does not assume any obligations or relationship of agency or trust for or with any of the holders of Warrant Certificates or beneficial owners of Warrants.</w:t>
      </w:r>
    </w:p>
    <w:p>
      <w:pPr>
        <w:spacing w:after="0" w:line="175" w:lineRule="exact"/>
        <w:rPr>
          <w:rFonts w:ascii="Arial" w:cs="Arial" w:eastAsia="Arial" w:hAnsi="Arial"/>
          <w:sz w:val="18"/>
          <w:szCs w:val="18"/>
          <w:b w:val="1"/>
          <w:bCs w:val="1"/>
          <w:color w:val="auto"/>
        </w:rPr>
      </w:pPr>
    </w:p>
    <w:p>
      <w:pPr>
        <w:ind w:right="60" w:firstLine="987"/>
        <w:spacing w:after="0" w:line="266" w:lineRule="auto"/>
        <w:tabs>
          <w:tab w:leader="none" w:pos="1371"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Counsel. </w:t>
      </w:r>
      <w:r>
        <w:rPr>
          <w:rFonts w:ascii="Arial" w:cs="Arial" w:eastAsia="Arial" w:hAnsi="Arial"/>
          <w:sz w:val="18"/>
          <w:szCs w:val="18"/>
          <w:color w:val="auto"/>
        </w:rPr>
        <w:t>The Warrant Agent may consult with counsel satisfactory to it, which may include counsel for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advice of such counsel shall be full and complete authorization and protection in respect of any action taken, suffered or omitted by it hereunder in good faith and in accordance with the advice of such counsel.</w:t>
      </w:r>
    </w:p>
    <w:p>
      <w:pPr>
        <w:spacing w:after="0" w:line="175" w:lineRule="exact"/>
        <w:rPr>
          <w:rFonts w:ascii="Arial" w:cs="Arial" w:eastAsia="Arial" w:hAnsi="Arial"/>
          <w:sz w:val="18"/>
          <w:szCs w:val="18"/>
          <w:b w:val="1"/>
          <w:bCs w:val="1"/>
          <w:color w:val="auto"/>
        </w:rPr>
      </w:pPr>
    </w:p>
    <w:p>
      <w:pPr>
        <w:jc w:val="both"/>
        <w:ind w:right="60" w:firstLine="987"/>
        <w:spacing w:after="0" w:line="266" w:lineRule="auto"/>
        <w:tabs>
          <w:tab w:leader="none" w:pos="1391"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Documents. </w:t>
      </w:r>
      <w:r>
        <w:rPr>
          <w:rFonts w:ascii="Arial" w:cs="Arial" w:eastAsia="Arial" w:hAnsi="Arial"/>
          <w:sz w:val="18"/>
          <w:szCs w:val="18"/>
          <w:color w:val="auto"/>
        </w:rPr>
        <w:t>The Warrant Agent shall be protected and shall incur no liability for or in respect of any action taken or omitted by it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75" w:lineRule="exact"/>
        <w:rPr>
          <w:rFonts w:ascii="Arial" w:cs="Arial" w:eastAsia="Arial" w:hAnsi="Arial"/>
          <w:sz w:val="18"/>
          <w:szCs w:val="18"/>
          <w:b w:val="1"/>
          <w:bCs w:val="1"/>
          <w:color w:val="auto"/>
        </w:rPr>
      </w:pPr>
    </w:p>
    <w:p>
      <w:pPr>
        <w:ind w:firstLine="987"/>
        <w:spacing w:after="0" w:line="274" w:lineRule="auto"/>
        <w:tabs>
          <w:tab w:leader="none" w:pos="1371"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Certain Transactions. </w:t>
      </w:r>
      <w:r>
        <w:rPr>
          <w:rFonts w:ascii="Arial" w:cs="Arial" w:eastAsia="Arial" w:hAnsi="Arial"/>
          <w:sz w:val="17"/>
          <w:szCs w:val="17"/>
          <w:color w:val="auto"/>
        </w:rPr>
        <w:t>The Warrant Agent, and its officers, directors and employees, may become the owner of, or acquire any</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spacing w:after="0" w:line="173" w:lineRule="exact"/>
        <w:rPr>
          <w:rFonts w:ascii="Arial" w:cs="Arial" w:eastAsia="Arial" w:hAnsi="Arial"/>
          <w:sz w:val="17"/>
          <w:szCs w:val="17"/>
          <w:b w:val="1"/>
          <w:bCs w:val="1"/>
          <w:color w:val="auto"/>
        </w:rPr>
      </w:pPr>
    </w:p>
    <w:p>
      <w:pPr>
        <w:ind w:right="200" w:firstLine="987"/>
        <w:spacing w:after="0" w:line="282" w:lineRule="auto"/>
        <w:tabs>
          <w:tab w:leader="none" w:pos="1351"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Interest. </w:t>
      </w:r>
      <w:r>
        <w:rPr>
          <w:rFonts w:ascii="Arial" w:cs="Arial" w:eastAsia="Arial" w:hAnsi="Arial"/>
          <w:sz w:val="18"/>
          <w:szCs w:val="18"/>
          <w:color w:val="auto"/>
        </w:rPr>
        <w:t>Unless otherwise agreed with the Company, the Warrant Agent shall have no liability for interest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monies at any time received by it pursuant to any of the provisions of this Agreement or of the Warrant Certificates.</w:t>
      </w:r>
    </w:p>
    <w:p>
      <w:pPr>
        <w:spacing w:after="0" w:line="161" w:lineRule="exact"/>
        <w:rPr>
          <w:rFonts w:ascii="Arial" w:cs="Arial" w:eastAsia="Arial" w:hAnsi="Arial"/>
          <w:sz w:val="18"/>
          <w:szCs w:val="18"/>
          <w:b w:val="1"/>
          <w:bCs w:val="1"/>
          <w:color w:val="auto"/>
        </w:rPr>
      </w:pPr>
    </w:p>
    <w:p>
      <w:pPr>
        <w:ind w:right="100" w:firstLine="987"/>
        <w:spacing w:after="0" w:line="282" w:lineRule="auto"/>
        <w:tabs>
          <w:tab w:leader="none" w:pos="1381"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Invalidity. </w:t>
      </w:r>
      <w:r>
        <w:rPr>
          <w:rFonts w:ascii="Arial" w:cs="Arial" w:eastAsia="Arial" w:hAnsi="Arial"/>
          <w:sz w:val="18"/>
          <w:szCs w:val="18"/>
          <w:color w:val="auto"/>
        </w:rPr>
        <w:t>The Warrant Agent shall have no liability with respect to any invalidity of this Agreement or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Certificates (except as to the Warrant Agent’s countersignature thereon).</w:t>
      </w:r>
    </w:p>
    <w:p>
      <w:pPr>
        <w:spacing w:after="0" w:line="161" w:lineRule="exact"/>
        <w:rPr>
          <w:rFonts w:ascii="Arial" w:cs="Arial" w:eastAsia="Arial" w:hAnsi="Arial"/>
          <w:sz w:val="18"/>
          <w:szCs w:val="18"/>
          <w:b w:val="1"/>
          <w:bCs w:val="1"/>
          <w:color w:val="auto"/>
        </w:rPr>
      </w:pPr>
    </w:p>
    <w:p>
      <w:pPr>
        <w:ind w:right="60" w:firstLine="987"/>
        <w:spacing w:after="0" w:line="312" w:lineRule="auto"/>
        <w:tabs>
          <w:tab w:leader="none" w:pos="1391"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Responsibility for Representations. </w:t>
      </w:r>
      <w:r>
        <w:rPr>
          <w:rFonts w:ascii="Arial" w:cs="Arial" w:eastAsia="Arial" w:hAnsi="Arial"/>
          <w:sz w:val="17"/>
          <w:szCs w:val="17"/>
          <w:color w:val="auto"/>
        </w:rPr>
        <w:t>The Warrant Agent shall not be responsible for any of the recitals or representations herein</w:t>
      </w:r>
      <w:r>
        <w:rPr>
          <w:rFonts w:ascii="Arial" w:cs="Arial" w:eastAsia="Arial" w:hAnsi="Arial"/>
          <w:sz w:val="17"/>
          <w:szCs w:val="17"/>
          <w:b w:val="1"/>
          <w:bCs w:val="1"/>
          <w:color w:val="auto"/>
        </w:rPr>
        <w:t xml:space="preserve"> </w:t>
      </w:r>
      <w:r>
        <w:rPr>
          <w:rFonts w:ascii="Arial" w:cs="Arial" w:eastAsia="Arial" w:hAnsi="Arial"/>
          <w:sz w:val="17"/>
          <w:szCs w:val="17"/>
          <w:color w:val="auto"/>
        </w:rPr>
        <w:t>or in the Warrant Certificates (except as to the Warrant Agent’s countersignature thereon), all of which are made solely by the Company.</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91" w:name="page192"/>
    <w:bookmarkEnd w:id="191"/>
    <w:p>
      <w:pPr>
        <w:ind w:firstLine="987"/>
        <w:spacing w:after="0" w:line="270" w:lineRule="auto"/>
        <w:tabs>
          <w:tab w:leader="none" w:pos="1341"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 Implied Obligations. </w:t>
      </w:r>
      <w:r>
        <w:rPr>
          <w:rFonts w:ascii="Arial" w:cs="Arial" w:eastAsia="Arial" w:hAnsi="Arial"/>
          <w:sz w:val="17"/>
          <w:szCs w:val="17"/>
          <w:color w:val="auto"/>
        </w:rPr>
        <w:t>The Warrant Agent shall be obligated to perform only such duties as are herein and in the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28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Resignation, Removal and Appointment of Successors</w:t>
      </w:r>
      <w:r>
        <w:rPr>
          <w:rFonts w:ascii="Arial" w:cs="Arial" w:eastAsia="Arial" w:hAnsi="Arial"/>
          <w:sz w:val="15"/>
          <w:szCs w:val="15"/>
          <w:color w:val="auto"/>
        </w:rPr>
        <w:t>.</w:t>
      </w:r>
    </w:p>
    <w:p>
      <w:pPr>
        <w:spacing w:after="0" w:line="121" w:lineRule="exact"/>
        <w:rPr>
          <w:sz w:val="20"/>
          <w:szCs w:val="20"/>
          <w:color w:val="auto"/>
        </w:rPr>
      </w:pPr>
    </w:p>
    <w:p>
      <w:pPr>
        <w:ind w:right="360" w:firstLine="987"/>
        <w:spacing w:after="0" w:line="277" w:lineRule="auto"/>
        <w:tabs>
          <w:tab w:leader="none" w:pos="1378"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70" w:lineRule="exact"/>
        <w:rPr>
          <w:rFonts w:ascii="Arial" w:cs="Arial" w:eastAsia="Arial" w:hAnsi="Arial"/>
          <w:sz w:val="18"/>
          <w:szCs w:val="18"/>
          <w:b w:val="1"/>
          <w:bCs w:val="1"/>
          <w:color w:val="auto"/>
        </w:rPr>
      </w:pPr>
    </w:p>
    <w:p>
      <w:pPr>
        <w:ind w:right="40" w:firstLine="987"/>
        <w:spacing w:after="0" w:line="271" w:lineRule="auto"/>
        <w:tabs>
          <w:tab w:leader="none" w:pos="1388" w:val="left"/>
        </w:tabs>
        <w:numPr>
          <w:ilvl w:val="0"/>
          <w:numId w:val="183"/>
        </w:numPr>
        <w:rPr>
          <w:rFonts w:ascii="Arial" w:cs="Arial" w:eastAsia="Arial" w:hAnsi="Arial"/>
          <w:sz w:val="17"/>
          <w:szCs w:val="17"/>
          <w:b w:val="1"/>
          <w:bCs w:val="1"/>
          <w:color w:val="auto"/>
        </w:rPr>
      </w:pPr>
      <w:r>
        <w:rPr>
          <w:rFonts w:ascii="Arial" w:cs="Arial" w:eastAsia="Arial" w:hAnsi="Arial"/>
          <w:sz w:val="17"/>
          <w:szCs w:val="17"/>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78" w:lineRule="exact"/>
        <w:rPr>
          <w:rFonts w:ascii="Arial" w:cs="Arial" w:eastAsia="Arial" w:hAnsi="Arial"/>
          <w:sz w:val="17"/>
          <w:szCs w:val="17"/>
          <w:b w:val="1"/>
          <w:bCs w:val="1"/>
          <w:color w:val="auto"/>
        </w:rPr>
      </w:pPr>
    </w:p>
    <w:p>
      <w:pPr>
        <w:ind w:right="140" w:firstLine="987"/>
        <w:spacing w:after="0" w:line="268" w:lineRule="auto"/>
        <w:tabs>
          <w:tab w:leader="none" w:pos="1371" w:val="left"/>
        </w:tabs>
        <w:numPr>
          <w:ilvl w:val="0"/>
          <w:numId w:val="183"/>
        </w:numPr>
        <w:rPr>
          <w:rFonts w:ascii="Arial" w:cs="Arial" w:eastAsia="Arial" w:hAnsi="Arial"/>
          <w:sz w:val="17"/>
          <w:szCs w:val="17"/>
          <w:b w:val="1"/>
          <w:bCs w:val="1"/>
          <w:color w:val="auto"/>
        </w:rPr>
      </w:pPr>
      <w:r>
        <w:rPr>
          <w:rFonts w:ascii="Arial" w:cs="Arial" w:eastAsia="Arial" w:hAnsi="Arial"/>
          <w:sz w:val="17"/>
          <w:szCs w:val="17"/>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86" w:lineRule="exact"/>
        <w:rPr>
          <w:rFonts w:ascii="Arial" w:cs="Arial" w:eastAsia="Arial" w:hAnsi="Arial"/>
          <w:sz w:val="17"/>
          <w:szCs w:val="17"/>
          <w:b w:val="1"/>
          <w:bCs w:val="1"/>
          <w:color w:val="auto"/>
        </w:rPr>
      </w:pPr>
    </w:p>
    <w:p>
      <w:pPr>
        <w:ind w:right="80" w:firstLine="987"/>
        <w:spacing w:after="0" w:line="286" w:lineRule="auto"/>
        <w:tabs>
          <w:tab w:leader="none" w:pos="1381" w:val="left"/>
        </w:tabs>
        <w:numPr>
          <w:ilvl w:val="0"/>
          <w:numId w:val="183"/>
        </w:numPr>
        <w:rPr>
          <w:rFonts w:ascii="Arial" w:cs="Arial" w:eastAsia="Arial" w:hAnsi="Arial"/>
          <w:sz w:val="17"/>
          <w:szCs w:val="17"/>
          <w:b w:val="1"/>
          <w:bCs w:val="1"/>
          <w:color w:val="auto"/>
        </w:rPr>
      </w:pPr>
      <w:r>
        <w:rPr>
          <w:rFonts w:ascii="Arial" w:cs="Arial" w:eastAsia="Arial" w:hAnsi="Arial"/>
          <w:sz w:val="17"/>
          <w:szCs w:val="17"/>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92" w:name="page193"/>
    <w:bookmarkEnd w:id="192"/>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65" w:lineRule="exact"/>
        <w:rPr>
          <w:sz w:val="20"/>
          <w:szCs w:val="20"/>
          <w:color w:val="auto"/>
        </w:rPr>
      </w:pPr>
    </w:p>
    <w:p>
      <w:pPr>
        <w:ind w:firstLine="987"/>
        <w:spacing w:after="0" w:line="257" w:lineRule="auto"/>
        <w:tabs>
          <w:tab w:leader="none" w:pos="1361"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right="200" w:firstLine="440"/>
        <w:spacing w:after="0" w:line="281" w:lineRule="auto"/>
        <w:rPr>
          <w:sz w:val="20"/>
          <w:szCs w:val="20"/>
          <w:color w:val="auto"/>
        </w:rPr>
      </w:pPr>
      <w:r>
        <w:rPr>
          <w:rFonts w:ascii="Arial" w:cs="Arial" w:eastAsia="Arial" w:hAnsi="Arial"/>
          <w:sz w:val="17"/>
          <w:szCs w:val="17"/>
          <w:b w:val="1"/>
          <w:bCs w:val="1"/>
          <w:color w:val="auto"/>
        </w:rPr>
        <w:t xml:space="preserve">6.1 Amendment. </w:t>
      </w:r>
      <w:r>
        <w:rPr>
          <w:rFonts w:ascii="Arial" w:cs="Arial" w:eastAsia="Arial" w:hAnsi="Arial"/>
          <w:sz w:val="17"/>
          <w:szCs w:val="17"/>
          <w:color w:val="auto"/>
        </w:rPr>
        <w:t>This Agreement may be amended by the parties hereto, without the consent of the holder of any Warrant Certificate,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6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6.2 Notices and Demands to the Company and Warrant Agent. </w:t>
      </w:r>
      <w:r>
        <w:rPr>
          <w:rFonts w:ascii="Arial" w:cs="Arial" w:eastAsia="Arial" w:hAnsi="Arial"/>
          <w:sz w:val="18"/>
          <w:szCs w:val="18"/>
          <w:color w:val="auto"/>
        </w:rPr>
        <w:t>If the Warrant Agent shall receive any notice or demand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by the holder of a Warrant Certificate pursuant to the provisions of the Warrant Certificates, the Warrant Agent shall promptly forward such notice or demand to the Company.</w:t>
      </w:r>
    </w:p>
    <w:p>
      <w:pPr>
        <w:spacing w:after="0" w:line="176"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 xml:space="preserve">6.3 Addresses. </w:t>
      </w:r>
      <w:r>
        <w:rPr>
          <w:rFonts w:ascii="Arial" w:cs="Arial" w:eastAsia="Arial" w:hAnsi="Arial"/>
          <w:sz w:val="18"/>
          <w:szCs w:val="18"/>
          <w:color w:val="auto"/>
        </w:rPr>
        <w:t>Any communication from the Company to the Warrant Agent with respect to this Agreement shall be addressed to [●],</w:t>
      </w:r>
      <w:r>
        <w:rPr>
          <w:rFonts w:ascii="Arial" w:cs="Arial" w:eastAsia="Arial" w:hAnsi="Arial"/>
          <w:sz w:val="18"/>
          <w:szCs w:val="18"/>
          <w:b w:val="1"/>
          <w:bCs w:val="1"/>
          <w:color w:val="auto"/>
        </w:rPr>
        <w:t xml:space="preserve"> </w:t>
      </w:r>
      <w:r>
        <w:rPr>
          <w:rFonts w:ascii="Arial" w:cs="Arial" w:eastAsia="Arial" w:hAnsi="Arial"/>
          <w:sz w:val="18"/>
          <w:szCs w:val="18"/>
          <w:color w:val="auto"/>
        </w:rPr>
        <w:t>Attention: [●] and any communication from the Warrant Agent to the Company with respect to this Agreement shall be addressed to NGM Biopharmaceuticals, Inc., 333 Oyster Point Blvd, South San Francisco, CA 94080, Attention: [●] (or such other address as shall be specified in writing by the Warrant Agent or by the Company).</w:t>
      </w:r>
    </w:p>
    <w:p>
      <w:pPr>
        <w:spacing w:after="0" w:line="18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 xml:space="preserve">6.4 Governing Law. </w:t>
      </w:r>
      <w:r>
        <w:rPr>
          <w:rFonts w:ascii="Arial" w:cs="Arial" w:eastAsia="Arial" w:hAnsi="Arial"/>
          <w:sz w:val="18"/>
          <w:szCs w:val="18"/>
          <w:color w:val="auto"/>
        </w:rPr>
        <w:t>This Agreement and each Warrant Certificate issued hereunder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New York.</w:t>
      </w:r>
    </w:p>
    <w:p>
      <w:pPr>
        <w:spacing w:after="0" w:line="162"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b w:val="1"/>
          <w:bCs w:val="1"/>
          <w:color w:val="auto"/>
        </w:rPr>
        <w:t xml:space="preserve">6.5 Delivery of Prospectus. </w:t>
      </w:r>
      <w:r>
        <w:rPr>
          <w:rFonts w:ascii="Arial" w:cs="Arial" w:eastAsia="Arial" w:hAnsi="Arial"/>
          <w:sz w:val="17"/>
          <w:szCs w:val="17"/>
          <w:color w:val="auto"/>
        </w:rPr>
        <w:t>The Company shall furnish to the Warrant Agent sufficient copies of a prospectus meeting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of 1933, as amended, relating to the Warrant Debt Securities deliverable upon exercise of the Warrants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spacing w:after="0" w:line="168"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 xml:space="preserve">6.6 Obtaining of Governmental Approvals. </w:t>
      </w:r>
      <w:r>
        <w:rPr>
          <w:rFonts w:ascii="Arial" w:cs="Arial" w:eastAsia="Arial" w:hAnsi="Arial"/>
          <w:sz w:val="18"/>
          <w:szCs w:val="18"/>
          <w:color w:val="auto"/>
        </w:rPr>
        <w:t>The Company will from time to time take all action which may be necessary to obtain and keep</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193" w:name="page194"/>
    <w:bookmarkEnd w:id="193"/>
    <w:p>
      <w:pPr>
        <w:ind w:right="1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6.7 Persons Having Rights Under the Agreement. </w:t>
      </w:r>
      <w:r>
        <w:rPr>
          <w:rFonts w:ascii="Arial" w:cs="Arial" w:eastAsia="Arial" w:hAnsi="Arial"/>
          <w:sz w:val="18"/>
          <w:szCs w:val="18"/>
          <w:color w:val="auto"/>
        </w:rPr>
        <w:t>Nothing in this Agreement shall give to any person other than the Company,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holders of the Warrant Certificates any right, remedy or claim under or by reason of this Agreement.</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6.8 Headings. </w:t>
      </w:r>
      <w:r>
        <w:rPr>
          <w:rFonts w:ascii="Arial" w:cs="Arial" w:eastAsia="Arial" w:hAnsi="Arial"/>
          <w:sz w:val="18"/>
          <w:szCs w:val="18"/>
          <w:color w:val="auto"/>
        </w:rPr>
        <w:t>The descriptive headings of the several Articles and Sections of this Agreement are inserted for convenience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or affect the meaning or construction of any of the provisions hereof.</w:t>
      </w:r>
    </w:p>
    <w:p>
      <w:pPr>
        <w:spacing w:after="0" w:line="162"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6.9 Counterparts. </w:t>
      </w:r>
      <w:r>
        <w:rPr>
          <w:rFonts w:ascii="Arial" w:cs="Arial" w:eastAsia="Arial" w:hAnsi="Arial"/>
          <w:sz w:val="18"/>
          <w:szCs w:val="18"/>
          <w:color w:val="auto"/>
        </w:rPr>
        <w:t>This Agreement may be executed in any number of counterparts, each of which as so executed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such counterparts shall together constitute but one and the same instrument.</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6.10 Inspection of Agreement. </w:t>
      </w:r>
      <w:r>
        <w:rPr>
          <w:rFonts w:ascii="Arial" w:cs="Arial" w:eastAsia="Arial" w:hAnsi="Arial"/>
          <w:sz w:val="18"/>
          <w:szCs w:val="18"/>
          <w:color w:val="auto"/>
        </w:rPr>
        <w:t>A copy of this Agreement shall be available at all reasonable times at the principal corporate trust office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Agent for inspection by the holder of any Warrant Certificate. The Warrant Agent may require such holder to submit such holder’s Warrant Certificate for inspection by it.</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440" w:top="270" w:right="599" w:bottom="1440" w:gutter="0" w:footer="0" w:header="0"/>
        </w:sectPr>
      </w:pPr>
    </w:p>
    <w:bookmarkStart w:id="194" w:name="page195"/>
    <w:bookmarkEnd w:id="19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have caused this Agreement to be duly executed as of the day and year first above written.</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as Company</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7">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171450</wp:posOffset>
            </wp:positionV>
            <wp:extent cx="228854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COUNTERSIGNED</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as Warrant Agent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2">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171450</wp:posOffset>
            </wp:positionV>
            <wp:extent cx="228854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D</w:t>
      </w:r>
      <w:r>
        <w:rPr>
          <w:rFonts w:ascii="Arial" w:cs="Arial" w:eastAsia="Arial" w:hAnsi="Arial"/>
          <w:sz w:val="14"/>
          <w:szCs w:val="14"/>
          <w:b w:val="1"/>
          <w:bCs w:val="1"/>
          <w:color w:val="auto"/>
        </w:rPr>
        <w:t>EBT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900"/>
          </w:cols>
          <w:pgMar w:left="880" w:top="270" w:right="1119" w:bottom="1440" w:gutter="0" w:footer="0" w:header="0"/>
        </w:sectPr>
      </w:pPr>
    </w:p>
    <w:bookmarkStart w:id="195" w:name="page196"/>
    <w:bookmarkEnd w:id="195"/>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FORM OF WARRANT CERTIFICATE</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[FACE OF WARRANT CERTIFICATE]</w:t>
      </w:r>
    </w:p>
    <w:p>
      <w:pPr>
        <w:sectPr>
          <w:pgSz w:w="11900" w:h="16838" w:orient="portrait"/>
          <w:cols w:equalWidth="0" w:num="1">
            <w:col w:w="10820"/>
          </w:cols>
          <w:pgMar w:left="440" w:top="270" w:right="6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Form of Legend if Warrants are not immediately exercisable.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 Warrants evidenced by this Warrant Certificate cannot be exercised.]</w:t>
      </w:r>
    </w:p>
    <w:p>
      <w:pPr>
        <w:spacing w:after="0" w:line="170" w:lineRule="exact"/>
        <w:rPr>
          <w:sz w:val="20"/>
          <w:szCs w:val="20"/>
          <w:color w:val="auto"/>
        </w:rPr>
      </w:pPr>
    </w:p>
    <w:p>
      <w:pPr>
        <w:sectPr>
          <w:pgSz w:w="11900" w:h="16838" w:orient="portrait"/>
          <w:cols w:equalWidth="0" w:num="2">
            <w:col w:w="5020" w:space="720"/>
            <w:col w:w="5080"/>
          </w:cols>
          <w:pgMar w:left="440" w:top="270" w:right="639" w:bottom="1440" w:gutter="0" w:footer="0" w:header="0"/>
          <w:type w:val="continuous"/>
        </w:sectPr>
      </w:pPr>
    </w:p>
    <w:p>
      <w:pPr>
        <w:jc w:val="center"/>
        <w:ind w:right="-179"/>
        <w:spacing w:after="0"/>
        <w:rPr>
          <w:sz w:val="20"/>
          <w:szCs w:val="20"/>
          <w:color w:val="auto"/>
        </w:rPr>
      </w:pPr>
      <w:r>
        <w:rPr>
          <w:rFonts w:ascii="Arial" w:cs="Arial" w:eastAsia="Arial" w:hAnsi="Arial"/>
          <w:sz w:val="17"/>
          <w:szCs w:val="17"/>
          <w:color w:val="auto"/>
        </w:rPr>
        <w:t>EXERCISABLE ONLY IF COUNTERSIGNED BY THE WARRANT AGENT AS PROVIDED HEREIN</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VOID AFTER [●] P.M., [City] time, ON [●].</w:t>
      </w:r>
    </w:p>
    <w:p>
      <w:pPr>
        <w:sectPr>
          <w:pgSz w:w="11900" w:h="16838" w:orient="portrait"/>
          <w:cols w:equalWidth="0" w:num="1">
            <w:col w:w="10820"/>
          </w:cols>
          <w:pgMar w:left="440" w:top="270" w:right="639" w:bottom="1440" w:gutter="0" w:footer="0" w:header="0"/>
          <w:type w:val="continuous"/>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NGM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OF WARRANT DEBT SECURITIES]</w:t>
      </w:r>
    </w:p>
    <w:p>
      <w:pPr>
        <w:spacing w:after="0" w:line="238"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6"/>
          <w:szCs w:val="16"/>
          <w:color w:val="auto"/>
        </w:rPr>
        <w:t>[●] Warrants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certifies that [●] or registered assigns is the registered owner of the above indicated number of Warrants, each Warrant entitling such owner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purchase, at any time [after [●] p.m., [City] time, [on [●] and] on or before [●] p.m., [City] time, on [●], $[●] principal amount of [TITLE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WARRANT DEBT SECURITIES] (the “</w:t>
      </w:r>
      <w:r>
        <w:rPr>
          <w:rFonts w:ascii="Arial" w:cs="Arial" w:eastAsia="Arial" w:hAnsi="Arial"/>
          <w:sz w:val="16"/>
          <w:szCs w:val="16"/>
          <w:b w:val="1"/>
          <w:bCs w:val="1"/>
          <w:i w:val="1"/>
          <w:iCs w:val="1"/>
          <w:color w:val="auto"/>
        </w:rPr>
        <w:t>Warrant Debt Securities</w:t>
      </w:r>
      <w:r>
        <w:rPr>
          <w:rFonts w:ascii="Arial" w:cs="Arial" w:eastAsia="Arial" w:hAnsi="Arial"/>
          <w:sz w:val="16"/>
          <w:szCs w:val="16"/>
          <w:color w:val="auto"/>
        </w:rPr>
        <w:t>”), of NGM Biopharmaceuticals,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issued or to be issued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Indenture (as hereinafter defined), on the following basis: during the period from [●], through and including [●], each Warrant shall entitle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Holder thereof, subject to the provisions of this Agreement, to purchase the principal amount of Warrant Debt Securities stated in the Warrant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the warrant price (the “</w:t>
      </w:r>
      <w:r>
        <w:rPr>
          <w:rFonts w:ascii="Arial" w:cs="Arial" w:eastAsia="Arial" w:hAnsi="Arial"/>
          <w:sz w:val="17"/>
          <w:szCs w:val="17"/>
          <w:b w:val="1"/>
          <w:bCs w:val="1"/>
          <w:i w:val="1"/>
          <w:iCs w:val="1"/>
          <w:color w:val="auto"/>
        </w:rPr>
        <w:t>Warrant Price</w:t>
      </w:r>
      <w:r>
        <w:rPr>
          <w:rFonts w:ascii="Arial" w:cs="Arial" w:eastAsia="Arial" w:hAnsi="Arial"/>
          <w:sz w:val="17"/>
          <w:szCs w:val="17"/>
          <w:color w:val="auto"/>
        </w:rPr>
        <w:t>”) of [●]% of the principal amount thereof [plus accrued amortization, if any, of the original issue discount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Warrant Debt Securities] [plus accrued interest, if any, from the most recent date from which interest shall have been paid on the Warrant Debt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or, if no interest shall have been paid on the Warrant Debt Securities, from the date of their original issuance]. [The original issue discount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for each $1,000 principal amount of Warrant Debt Securities) will be amortized at a [●]% annual rate, computed on a[n] [semi-]annual basis [using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360-day year consisting of twelve 30-day months]. The Holder may exercise the Warrants evidenced hereby by providing certain information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back hereof and by paying in full, in lawful money of the United States of America, [in cash or by certified check or official bank check in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York Clearing House funds] [by bank wire transfer in immediately available funds], the Warrant Price for each Warrant Debt Security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this Warrant is exercised to the Warrant Agent (as hereinafter defined) and by surrendering this Warrant Certificate, with the purchase form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back hereof duly executed, at the corporate trust office of [name of Warrant Agent], or its successor as warrant agent (the “</w:t>
      </w:r>
      <w:r>
        <w:rPr>
          <w:rFonts w:ascii="Arial" w:cs="Arial" w:eastAsia="Arial" w:hAnsi="Arial"/>
          <w:sz w:val="16"/>
          <w:szCs w:val="16"/>
          <w:b w:val="1"/>
          <w:bCs w:val="1"/>
          <w:i w:val="1"/>
          <w:iCs w:val="1"/>
          <w:color w:val="auto"/>
        </w:rPr>
        <w:t>Warrant Agent</w:t>
      </w:r>
      <w:r>
        <w:rPr>
          <w:rFonts w:ascii="Arial" w:cs="Arial" w:eastAsia="Arial" w:hAnsi="Arial"/>
          <w:sz w:val="16"/>
          <w:szCs w:val="16"/>
          <w:color w:val="auto"/>
        </w:rPr>
        <w:t>”), which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date hereof, at the address specified on the reverse hereof, and upon compliance with and subject to the conditions set forth herein and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 Agreement (as hereinafter defined).</w:t>
      </w:r>
    </w:p>
    <w:p>
      <w:pPr>
        <w:spacing w:after="0" w:line="21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spacing w:after="0" w:line="18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This Warrant Certificate is issued under and in accordance with the Warrant Agreement dated as of [●]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8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The Warrant Debt Securities to be issued and delivered upon the exercise of Warrants evidenced by this Warrant Certificate will be issued under and in accordance with an Indenture, dated as of [●]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between the Company and [●], as trustee (such trustee, and any successors to such trustee,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and will be subject to the terms and provisions contained in the Warrant Debt Securities and in the Indenture. Copies of the Indenture, including the form of the Warrant Debt Securities, are on file at the corporate trust office of the Trustee.</w:t>
      </w:r>
    </w:p>
    <w:p>
      <w:pPr>
        <w:sectPr>
          <w:pgSz w:w="11900" w:h="16838" w:orient="portrait"/>
          <w:cols w:equalWidth="0" w:num="1">
            <w:col w:w="11020"/>
          </w:cols>
          <w:pgMar w:left="440" w:top="270" w:right="439" w:bottom="1440" w:gutter="0" w:footer="0" w:header="0"/>
        </w:sectPr>
      </w:pPr>
    </w:p>
    <w:bookmarkStart w:id="197" w:name="page198"/>
    <w:bookmarkEnd w:id="197"/>
    <w:p>
      <w:pPr>
        <w:ind w:right="36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24"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which further provisions shall for all purposes have the same effect as if set forth at this place.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Certificate shall not be valid or obligatory for any purpose until countersigned by the Warrant Agent.</w:t>
      </w:r>
    </w:p>
    <w:p>
      <w:pPr>
        <w:spacing w:after="0" w:line="22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Company has caused this Warrant to be executed in its name and on its behalf by the facsimile signatures of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as 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14605</wp:posOffset>
            </wp:positionV>
            <wp:extent cx="228854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14605</wp:posOffset>
            </wp:positionV>
            <wp:extent cx="228854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14605</wp:posOffset>
            </wp:positionV>
            <wp:extent cx="22885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17145</wp:posOffset>
            </wp:positionV>
            <wp:extent cx="22885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171450</wp:posOffset>
            </wp:positionV>
            <wp:extent cx="228854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COUNTERSIGNED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as Warrant Agent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14605</wp:posOffset>
            </wp:positionV>
            <wp:extent cx="22885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14605</wp:posOffset>
            </wp:positionV>
            <wp:extent cx="228854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14605</wp:posOffset>
            </wp:positionV>
            <wp:extent cx="228854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4">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17145</wp:posOffset>
            </wp:positionV>
            <wp:extent cx="228854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5">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171450</wp:posOffset>
            </wp:positionV>
            <wp:extent cx="228854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0940"/>
          </w:cols>
          <w:pgMar w:left="440" w:top="274" w:right="519" w:bottom="1440" w:gutter="0" w:footer="0" w:header="0"/>
        </w:sectPr>
      </w:pPr>
    </w:p>
    <w:bookmarkStart w:id="198" w:name="page199"/>
    <w:bookmarkEnd w:id="19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[REVERSE OF WARRANT CERTIFICATE]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(Instructions for Exercise of Warrant)</w:t>
      </w:r>
    </w:p>
    <w:p>
      <w:pPr>
        <w:spacing w:after="0" w:line="229"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be executed upon exercise of Warrants)</w:t>
      </w:r>
    </w:p>
    <w:p>
      <w:pPr>
        <w:sectPr>
          <w:pgSz w:w="11900" w:h="16838" w:orient="portrait"/>
          <w:cols w:equalWidth="0" w:num="1">
            <w:col w:w="10960"/>
          </w:cols>
          <w:pgMar w:left="440" w:top="270" w:right="499" w:bottom="1440" w:gutter="0" w:footer="0" w:header="0"/>
        </w:sectPr>
      </w:pPr>
    </w:p>
    <w:p>
      <w:pPr>
        <w:spacing w:after="0" w:line="225" w:lineRule="exact"/>
        <w:rPr>
          <w:sz w:val="20"/>
          <w:szCs w:val="20"/>
          <w:color w:val="auto"/>
        </w:rPr>
      </w:pPr>
    </w:p>
    <w:p>
      <w:pPr>
        <w:ind w:left="440"/>
        <w:spacing w:after="0"/>
        <w:tabs>
          <w:tab w:leader="none" w:pos="5280" w:val="left"/>
        </w:tabs>
        <w:rPr>
          <w:sz w:val="20"/>
          <w:szCs w:val="20"/>
          <w:color w:val="auto"/>
        </w:rPr>
      </w:pPr>
      <w:r>
        <w:rPr>
          <w:rFonts w:ascii="Arial" w:cs="Arial" w:eastAsia="Arial" w:hAnsi="Arial"/>
          <w:sz w:val="18"/>
          <w:szCs w:val="18"/>
          <w:color w:val="auto"/>
        </w:rPr>
        <w:t>The undersigned hereby irrevocably elects to exercise</w:t>
      </w:r>
      <w:r>
        <w:rPr>
          <w:sz w:val="20"/>
          <w:szCs w:val="20"/>
          <w:color w:val="auto"/>
        </w:rPr>
        <w:tab/>
      </w:r>
      <w:r>
        <w:rPr>
          <w:rFonts w:ascii="Arial" w:cs="Arial" w:eastAsia="Arial" w:hAnsi="Arial"/>
          <w:sz w:val="16"/>
          <w:szCs w:val="16"/>
          <w:color w:val="auto"/>
        </w:rPr>
        <w:t>Warrants, evidenced by this Warrant Certificate, to purchase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9900" w:space="720"/>
            <w:col w:w="340"/>
          </w:cols>
          <w:pgMar w:left="440" w:top="270" w:right="499" w:bottom="1440" w:gutter="0" w:footer="0" w:header="0"/>
          <w:type w:val="continuous"/>
        </w:sectPr>
      </w:pPr>
    </w:p>
    <w:p>
      <w:pPr>
        <w:ind w:right="40"/>
        <w:spacing w:after="0" w:line="281" w:lineRule="auto"/>
        <w:rPr>
          <w:sz w:val="20"/>
          <w:szCs w:val="20"/>
          <w:color w:val="auto"/>
        </w:rPr>
      </w:pPr>
      <w:r>
        <w:rPr>
          <w:rFonts w:ascii="Arial" w:cs="Arial" w:eastAsia="Arial" w:hAnsi="Arial"/>
          <w:sz w:val="16"/>
          <w:szCs w:val="16"/>
          <w:color w:val="auto"/>
        </w:rPr>
        <w:t>principal amount of the [TITLE OF WARRANT DEBT SECURITIES] (the “</w:t>
      </w:r>
      <w:r>
        <w:rPr>
          <w:rFonts w:ascii="Arial" w:cs="Arial" w:eastAsia="Arial" w:hAnsi="Arial"/>
          <w:sz w:val="16"/>
          <w:szCs w:val="16"/>
          <w:b w:val="1"/>
          <w:bCs w:val="1"/>
          <w:i w:val="1"/>
          <w:iCs w:val="1"/>
          <w:color w:val="auto"/>
        </w:rPr>
        <w:t>Warrant Debt Securities</w:t>
      </w:r>
      <w:r>
        <w:rPr>
          <w:rFonts w:ascii="Arial" w:cs="Arial" w:eastAsia="Arial" w:hAnsi="Arial"/>
          <w:sz w:val="16"/>
          <w:szCs w:val="16"/>
          <w:color w:val="auto"/>
        </w:rPr>
        <w:t>”), of NGM Biopharmaceuticals,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NGM</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Biopharmaceuticals, Inc., c/o [insert name and address of Warrant Agent], in the amount of $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w:t>
      </w:r>
    </w:p>
    <w:p>
      <w:pPr>
        <w:spacing w:after="0" w:line="190"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spacing w:after="0" w:line="211"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65836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8">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Please 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222821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9">
                      <a:extLst>
                        <a:ext uri="{28A0092B-C50C-407E-A947-70E740481C1C}"/>
                      </a:extLst>
                    </a:blip>
                    <a:srcRect/>
                    <a:stretch>
                      <a:fillRect/>
                    </a:stretch>
                  </pic:blipFill>
                  <pic:spPr bwMode="auto">
                    <a:xfrm>
                      <a:off x="0" y="0"/>
                      <a:ext cx="2228215" cy="88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(Insert Social Security or Other Identifying Number of Holder)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-10160</wp:posOffset>
            </wp:positionV>
            <wp:extent cx="151384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0">
                      <a:extLst>
                        <a:ext uri="{28A0092B-C50C-407E-A947-70E740481C1C}"/>
                      </a:extLst>
                    </a:blip>
                    <a:srcRect/>
                    <a:stretch>
                      <a:fillRect/>
                    </a:stretch>
                  </pic:blipFill>
                  <pic:spPr bwMode="auto">
                    <a:xfrm>
                      <a:off x="0" y="0"/>
                      <a:ext cx="1513840" cy="8890"/>
                    </a:xfrm>
                    <a:prstGeom prst="rect">
                      <a:avLst/>
                    </a:prstGeom>
                    <a:noFill/>
                  </pic:spPr>
                </pic:pic>
              </a:graphicData>
            </a:graphic>
          </wp:anchor>
        </w:drawing>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(Signature must conform in all respects to name of holder as specified on the face of this Warrant Certificate and must bear a signature guarantee by a FINRA member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may be exercised at the following addresses:</w:t>
      </w:r>
    </w:p>
    <w:p>
      <w:pPr>
        <w:spacing w:after="0" w:line="252" w:lineRule="exact"/>
        <w:rPr>
          <w:sz w:val="20"/>
          <w:szCs w:val="20"/>
          <w:color w:val="auto"/>
        </w:rPr>
      </w:pPr>
    </w:p>
    <w:p>
      <w:pPr>
        <w:ind w:left="540"/>
        <w:spacing w:after="0"/>
        <w:tabs>
          <w:tab w:leader="none" w:pos="1960" w:val="left"/>
        </w:tabs>
        <w:rPr>
          <w:sz w:val="20"/>
          <w:szCs w:val="20"/>
          <w:color w:val="auto"/>
        </w:rPr>
      </w:pPr>
      <w:r>
        <w:rPr>
          <w:rFonts w:ascii="Arial" w:cs="Arial" w:eastAsia="Arial" w:hAnsi="Arial"/>
          <w:sz w:val="18"/>
          <w:szCs w:val="18"/>
          <w:color w:val="auto"/>
        </w:rPr>
        <w:t>By hand at: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 mail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14605</wp:posOffset>
            </wp:positionV>
            <wp:extent cx="573468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1">
                      <a:extLst>
                        <a:ext uri="{28A0092B-C50C-407E-A947-70E740481C1C}"/>
                      </a:extLst>
                    </a:blip>
                    <a:srcRect/>
                    <a:stretch>
                      <a:fillRect/>
                    </a:stretch>
                  </pic:blipFill>
                  <pic:spPr bwMode="auto">
                    <a:xfrm>
                      <a:off x="0" y="0"/>
                      <a:ext cx="5734685" cy="8255"/>
                    </a:xfrm>
                    <a:prstGeom prst="rect">
                      <a:avLst/>
                    </a:prstGeom>
                    <a:noFill/>
                  </pic:spPr>
                </pic:pic>
              </a:graphicData>
            </a:graphic>
          </wp:anchor>
        </w:drawing>
      </w:r>
    </w:p>
    <w:p>
      <w:pPr>
        <w:spacing w:after="0" w:line="2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[Instructions as to form and delivery of Warrant Debt Securities and, if applicable, Warrant Certificates evidencing Warrants for the number of Warrant Debt Securities remaining unexercised—complete as appropriate.]</w:t>
      </w:r>
    </w:p>
    <w:p>
      <w:pPr>
        <w:sectPr>
          <w:pgSz w:w="11900" w:h="16838" w:orient="portrait"/>
          <w:cols w:equalWidth="0" w:num="1">
            <w:col w:w="10960"/>
          </w:cols>
          <w:pgMar w:left="440" w:top="270" w:right="499" w:bottom="1440" w:gutter="0" w:footer="0" w:header="0"/>
          <w:type w:val="continuous"/>
        </w:sectPr>
      </w:pPr>
    </w:p>
    <w:bookmarkStart w:id="199" w:name="page200"/>
    <w:bookmarkEnd w:id="199"/>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20" w:type="dxa"/>
            <w:vAlign w:val="bottom"/>
            <w:gridSpan w:val="9"/>
          </w:tcPr>
          <w:p>
            <w:pPr>
              <w:jc w:val="center"/>
              <w:ind w:right="3930"/>
              <w:spacing w:after="0"/>
              <w:rPr>
                <w:sz w:val="20"/>
                <w:szCs w:val="20"/>
                <w:color w:val="auto"/>
              </w:rPr>
            </w:pPr>
            <w:r>
              <w:rPr>
                <w:rFonts w:ascii="Arial" w:cs="Arial" w:eastAsia="Arial" w:hAnsi="Arial"/>
                <w:sz w:val="18"/>
                <w:szCs w:val="18"/>
                <w:b w:val="1"/>
                <w:bCs w:val="1"/>
                <w:color w:val="auto"/>
                <w:w w:val="99"/>
              </w:rPr>
              <w:t>ASSIGNMENT</w:t>
            </w:r>
          </w:p>
        </w:tc>
      </w:tr>
      <w:tr>
        <w:trPr>
          <w:trHeight w:val="432"/>
        </w:trPr>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140" w:type="dxa"/>
            <w:vAlign w:val="bottom"/>
            <w:gridSpan w:val="11"/>
          </w:tcPr>
          <w:p>
            <w:pPr>
              <w:jc w:val="center"/>
              <w:ind w:right="1790"/>
              <w:spacing w:after="0"/>
              <w:rPr>
                <w:sz w:val="20"/>
                <w:szCs w:val="20"/>
                <w:color w:val="auto"/>
              </w:rPr>
            </w:pPr>
            <w:r>
              <w:rPr>
                <w:rFonts w:ascii="Arial" w:cs="Arial" w:eastAsia="Arial" w:hAnsi="Arial"/>
                <w:sz w:val="18"/>
                <w:szCs w:val="18"/>
                <w:color w:val="auto"/>
                <w:w w:val="90"/>
              </w:rPr>
              <w:t>[Form of assignment to be executed if Warrant Holder desires to transfer Warrant]</w:t>
            </w:r>
          </w:p>
        </w:tc>
      </w:tr>
      <w:tr>
        <w:trPr>
          <w:trHeight w:val="392"/>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ECEIVED</w:t>
            </w:r>
            <w:r>
              <w:rPr>
                <w:rFonts w:ascii="Arial" w:cs="Arial" w:eastAsia="Arial" w:hAnsi="Arial"/>
                <w:sz w:val="18"/>
                <w:szCs w:val="18"/>
                <w:b w:val="1"/>
                <w:bCs w:val="1"/>
                <w:color w:val="auto"/>
              </w:rPr>
              <w:t>,</w:t>
            </w:r>
          </w:p>
        </w:tc>
        <w:tc>
          <w:tcPr>
            <w:tcW w:w="880" w:type="dxa"/>
            <w:vAlign w:val="bottom"/>
            <w:tcBorders>
              <w:bottom w:val="single" w:sz="8" w:color="auto"/>
            </w:tcBorders>
          </w:tcPr>
          <w:p>
            <w:pPr>
              <w:spacing w:after="0"/>
              <w:rPr>
                <w:sz w:val="24"/>
                <w:szCs w:val="24"/>
                <w:color w:val="auto"/>
              </w:rPr>
            </w:pPr>
          </w:p>
        </w:tc>
        <w:tc>
          <w:tcPr>
            <w:tcW w:w="3000" w:type="dxa"/>
            <w:vAlign w:val="bottom"/>
            <w:gridSpan w:val="6"/>
          </w:tcPr>
          <w:p>
            <w:pPr>
              <w:ind w:left="60"/>
              <w:spacing w:after="0"/>
              <w:rPr>
                <w:sz w:val="20"/>
                <w:szCs w:val="20"/>
                <w:color w:val="auto"/>
              </w:rPr>
            </w:pPr>
            <w:r>
              <w:rPr>
                <w:rFonts w:ascii="Arial" w:cs="Arial" w:eastAsia="Arial" w:hAnsi="Arial"/>
                <w:sz w:val="18"/>
                <w:szCs w:val="18"/>
                <w:color w:val="auto"/>
                <w:w w:val="90"/>
              </w:rPr>
              <w:t>hereby sells, assigns and transfers unto:</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18"/>
        </w:trPr>
        <w:tc>
          <w:tcPr>
            <w:tcW w:w="6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r>
        <w:trPr>
          <w:trHeight w:val="250"/>
        </w:trPr>
        <w:tc>
          <w:tcPr>
            <w:tcW w:w="4000" w:type="dxa"/>
            <w:vAlign w:val="bottom"/>
            <w:gridSpan w:val="4"/>
          </w:tcPr>
          <w:p>
            <w:pPr>
              <w:spacing w:after="0"/>
              <w:rPr>
                <w:sz w:val="20"/>
                <w:szCs w:val="20"/>
                <w:color w:val="auto"/>
              </w:rPr>
            </w:pPr>
            <w:r>
              <w:rPr>
                <w:rFonts w:ascii="Arial" w:cs="Arial" w:eastAsia="Arial" w:hAnsi="Arial"/>
                <w:sz w:val="18"/>
                <w:szCs w:val="18"/>
                <w:color w:val="auto"/>
                <w:w w:val="97"/>
              </w:rPr>
              <w:t>(Please print name and address including zip code)</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60" w:type="dxa"/>
            <w:vAlign w:val="bottom"/>
            <w:gridSpan w:val="4"/>
          </w:tcPr>
          <w:p>
            <w:pPr>
              <w:ind w:left="80"/>
              <w:spacing w:after="0"/>
              <w:rPr>
                <w:sz w:val="20"/>
                <w:szCs w:val="20"/>
                <w:color w:val="auto"/>
              </w:rPr>
            </w:pPr>
            <w:r>
              <w:rPr>
                <w:rFonts w:ascii="Arial" w:cs="Arial" w:eastAsia="Arial" w:hAnsi="Arial"/>
                <w:sz w:val="18"/>
                <w:szCs w:val="18"/>
                <w:color w:val="auto"/>
              </w:rPr>
              <w:t>Please print Social Security or other identifying number</w:t>
            </w:r>
          </w:p>
        </w:tc>
      </w:tr>
      <w:tr>
        <w:trPr>
          <w:trHeight w:val="405"/>
        </w:trPr>
        <w:tc>
          <w:tcPr>
            <w:tcW w:w="4000" w:type="dxa"/>
            <w:vAlign w:val="bottom"/>
            <w:gridSpan w:val="4"/>
          </w:tcPr>
          <w:p>
            <w:pPr>
              <w:spacing w:after="0"/>
              <w:rPr>
                <w:sz w:val="20"/>
                <w:szCs w:val="20"/>
                <w:color w:val="auto"/>
              </w:rPr>
            </w:pPr>
            <w:r>
              <w:rPr>
                <w:rFonts w:ascii="Arial" w:cs="Arial" w:eastAsia="Arial" w:hAnsi="Arial"/>
                <w:sz w:val="18"/>
                <w:szCs w:val="18"/>
                <w:color w:val="auto"/>
                <w:w w:val="90"/>
              </w:rPr>
              <w:t>the right represented by the within Warrant to purchase</w:t>
            </w:r>
          </w:p>
        </w:tc>
        <w:tc>
          <w:tcPr>
            <w:tcW w:w="900" w:type="dxa"/>
            <w:vAlign w:val="bottom"/>
            <w:tcBorders>
              <w:bottom w:val="single" w:sz="8" w:color="auto"/>
            </w:tcBorders>
          </w:tcPr>
          <w:p>
            <w:pPr>
              <w:spacing w:after="0"/>
              <w:rPr>
                <w:sz w:val="24"/>
                <w:szCs w:val="24"/>
                <w:color w:val="auto"/>
              </w:rPr>
            </w:pPr>
          </w:p>
        </w:tc>
        <w:tc>
          <w:tcPr>
            <w:tcW w:w="6120" w:type="dxa"/>
            <w:vAlign w:val="bottom"/>
            <w:gridSpan w:val="8"/>
          </w:tcPr>
          <w:p>
            <w:pPr>
              <w:ind w:left="40"/>
              <w:spacing w:after="0"/>
              <w:rPr>
                <w:sz w:val="20"/>
                <w:szCs w:val="20"/>
                <w:color w:val="auto"/>
              </w:rPr>
            </w:pPr>
            <w:r>
              <w:rPr>
                <w:rFonts w:ascii="Arial" w:cs="Arial" w:eastAsia="Arial" w:hAnsi="Arial"/>
                <w:sz w:val="18"/>
                <w:szCs w:val="18"/>
                <w:color w:val="auto"/>
              </w:rPr>
              <w:t>aggregate principal amount of [Title of Warrant Debt Securities] of NGM</w:t>
            </w:r>
          </w:p>
        </w:tc>
      </w:tr>
      <w:tr>
        <w:trPr>
          <w:trHeight w:val="196"/>
        </w:trPr>
        <w:tc>
          <w:tcPr>
            <w:tcW w:w="5760" w:type="dxa"/>
            <w:vAlign w:val="bottom"/>
            <w:gridSpan w:val="9"/>
          </w:tcPr>
          <w:p>
            <w:pPr>
              <w:spacing w:after="0" w:line="196" w:lineRule="exact"/>
              <w:rPr>
                <w:sz w:val="20"/>
                <w:szCs w:val="20"/>
                <w:color w:val="auto"/>
              </w:rPr>
            </w:pPr>
            <w:r>
              <w:rPr>
                <w:rFonts w:ascii="Arial" w:cs="Arial" w:eastAsia="Arial" w:hAnsi="Arial"/>
                <w:sz w:val="18"/>
                <w:szCs w:val="18"/>
                <w:color w:val="auto"/>
                <w:w w:val="97"/>
              </w:rPr>
              <w:t>Biopharmaceuticals, Inc., to which the within Warrant relates and appoints</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7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0"/>
              </w:rPr>
              <w:t>attorney to transfer such right on the books of the Warrant Agent</w:t>
            </w:r>
          </w:p>
        </w:tc>
      </w:tr>
      <w:tr>
        <w:trPr>
          <w:trHeight w:val="237"/>
        </w:trPr>
        <w:tc>
          <w:tcPr>
            <w:tcW w:w="4000" w:type="dxa"/>
            <w:vAlign w:val="bottom"/>
            <w:gridSpan w:val="4"/>
          </w:tcPr>
          <w:p>
            <w:pPr>
              <w:spacing w:after="0"/>
              <w:rPr>
                <w:sz w:val="20"/>
                <w:szCs w:val="20"/>
                <w:color w:val="auto"/>
              </w:rPr>
            </w:pPr>
            <w:r>
              <w:rPr>
                <w:rFonts w:ascii="Arial" w:cs="Arial" w:eastAsia="Arial" w:hAnsi="Arial"/>
                <w:sz w:val="18"/>
                <w:szCs w:val="18"/>
                <w:color w:val="auto"/>
              </w:rPr>
              <w:t>with full power of substitution in the premises.</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459"/>
        </w:trPr>
        <w:tc>
          <w:tcPr>
            <w:tcW w:w="1880" w:type="dxa"/>
            <w:vAlign w:val="bottom"/>
            <w:gridSpan w:val="2"/>
          </w:tcPr>
          <w:p>
            <w:pPr>
              <w:spacing w:after="0"/>
              <w:rPr>
                <w:sz w:val="20"/>
                <w:szCs w:val="20"/>
                <w:color w:val="auto"/>
              </w:rPr>
            </w:pPr>
            <w:r>
              <w:rPr>
                <w:rFonts w:ascii="Arial" w:cs="Arial" w:eastAsia="Arial" w:hAnsi="Arial"/>
                <w:sz w:val="18"/>
                <w:szCs w:val="18"/>
                <w:color w:val="auto"/>
              </w:rPr>
              <w:t>Dated:</w:t>
            </w: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gridSpan w:val="3"/>
          </w:tcPr>
          <w:p>
            <w:pPr>
              <w:ind w:left="20"/>
              <w:spacing w:after="0"/>
              <w:rPr>
                <w:sz w:val="20"/>
                <w:szCs w:val="20"/>
                <w:color w:val="auto"/>
              </w:rPr>
            </w:pPr>
            <w:r>
              <w:rPr>
                <w:rFonts w:ascii="Arial" w:cs="Arial" w:eastAsia="Arial" w:hAnsi="Arial"/>
                <w:sz w:val="18"/>
                <w:szCs w:val="18"/>
                <w:color w:val="auto"/>
              </w:rPr>
              <w:t>Name</w:t>
            </w:r>
          </w:p>
        </w:tc>
      </w:tr>
      <w:tr>
        <w:trPr>
          <w:trHeight w:val="224"/>
        </w:trPr>
        <w:tc>
          <w:tcPr>
            <w:tcW w:w="6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Signature</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27946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ectPr>
          <w:pgSz w:w="11900" w:h="16838" w:orient="portrait"/>
          <w:cols w:equalWidth="0" w:num="1">
            <w:col w:w="11020"/>
          </w:cols>
          <w:pgMar w:left="440" w:top="270" w:right="4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25550" cy="4114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4">
                      <a:extLst>
                        <a:ext uri="{28A0092B-C50C-407E-A947-70E740481C1C}"/>
                      </a:extLst>
                    </a:blip>
                    <a:srcRect/>
                    <a:stretch>
                      <a:fillRect/>
                    </a:stretch>
                  </pic:blipFill>
                  <pic:spPr bwMode="auto">
                    <a:xfrm>
                      <a:off x="0" y="0"/>
                      <a:ext cx="12255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Carlton Fleming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+1 650 843 5865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cfleming@cooley.com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NGM Biopharmaceuticals,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Oyster Point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have acted as counsel to NGM Biopharmaceuticals,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filing of a Registration Statement on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by the Company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The Registration Statement includes two prospectuses: (i) a base prospectus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and (ii) a sales agreement prospectus (the “</w:t>
      </w:r>
      <w:r>
        <w:rPr>
          <w:rFonts w:ascii="Arial" w:cs="Arial" w:eastAsia="Arial" w:hAnsi="Arial"/>
          <w:sz w:val="16"/>
          <w:szCs w:val="16"/>
          <w:b w:val="1"/>
          <w:bCs w:val="1"/>
          <w:i w:val="1"/>
          <w:iCs w:val="1"/>
          <w:color w:val="auto"/>
        </w:rPr>
        <w:t>Sales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 Prospectus</w:t>
      </w:r>
      <w:r>
        <w:rPr>
          <w:rFonts w:ascii="Arial" w:cs="Arial" w:eastAsia="Arial" w:hAnsi="Arial"/>
          <w:sz w:val="16"/>
          <w:szCs w:val="16"/>
          <w:color w:val="auto"/>
        </w:rPr>
        <w:t>”), covering up to $150,000,000 of common stock, $0.001 par value, of the Company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that may be sold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certain Open Market Sale Agreement</w:t>
      </w:r>
      <w:r>
        <w:rPr>
          <w:rFonts w:ascii="Arial" w:cs="Arial" w:eastAsia="Arial" w:hAnsi="Arial"/>
          <w:sz w:val="13"/>
          <w:szCs w:val="13"/>
          <w:color w:val="auto"/>
        </w:rPr>
        <w:t>SM</w:t>
      </w:r>
      <w:r>
        <w:rPr>
          <w:rFonts w:ascii="Arial" w:cs="Arial" w:eastAsia="Arial" w:hAnsi="Arial"/>
          <w:sz w:val="16"/>
          <w:szCs w:val="16"/>
          <w:color w:val="auto"/>
        </w:rPr>
        <w:t>, dated June 5, 2020, by and between the Company and Jefferies LLC (such agreement, the “</w:t>
      </w:r>
      <w:r>
        <w:rPr>
          <w:rFonts w:ascii="Arial" w:cs="Arial" w:eastAsia="Arial" w:hAnsi="Arial"/>
          <w:sz w:val="16"/>
          <w:szCs w:val="16"/>
          <w:b w:val="1"/>
          <w:bCs w:val="1"/>
          <w:i w:val="1"/>
          <w:iCs w:val="1"/>
          <w:color w:val="auto"/>
        </w:rPr>
        <w:t>Sales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and such shares, the “</w:t>
      </w:r>
      <w:r>
        <w:rPr>
          <w:rFonts w:ascii="Arial" w:cs="Arial" w:eastAsia="Arial" w:hAnsi="Arial"/>
          <w:sz w:val="16"/>
          <w:szCs w:val="16"/>
          <w:b w:val="1"/>
          <w:bCs w:val="1"/>
          <w:i w:val="1"/>
          <w:iCs w:val="1"/>
          <w:color w:val="auto"/>
        </w:rPr>
        <w:t>Placement Shares</w:t>
      </w:r>
      <w:r>
        <w:rPr>
          <w:rFonts w:ascii="Arial" w:cs="Arial" w:eastAsia="Arial" w:hAnsi="Arial"/>
          <w:sz w:val="16"/>
          <w:szCs w:val="16"/>
          <w:color w:val="auto"/>
        </w:rPr>
        <w:t>”). The Base Prospectus provides it will be supplemented in the future by one or more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supplements (each, a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The Registration Statement, including the Base Prospectus (as supplemented from time to time by one or more Prospectus Supplements) and the Sales Agreement Prospectus will provide for the registration by the Company of:</w:t>
      </w:r>
    </w:p>
    <w:p>
      <w:pPr>
        <w:spacing w:after="0" w:line="71" w:lineRule="exact"/>
        <w:rPr>
          <w:sz w:val="20"/>
          <w:szCs w:val="20"/>
          <w:color w:val="auto"/>
        </w:rPr>
      </w:pPr>
    </w:p>
    <w:p>
      <w:pPr>
        <w:ind w:left="420" w:hanging="316"/>
        <w:spacing w:after="0"/>
        <w:tabs>
          <w:tab w:leader="none" w:pos="4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Common Stock (the “</w:t>
      </w:r>
      <w:r>
        <w:rPr>
          <w:rFonts w:ascii="Arial" w:cs="Arial" w:eastAsia="Arial" w:hAnsi="Arial"/>
          <w:sz w:val="18"/>
          <w:szCs w:val="18"/>
          <w:b w:val="1"/>
          <w:bCs w:val="1"/>
          <w:i w:val="1"/>
          <w:iCs w:val="1"/>
          <w:color w:val="auto"/>
        </w:rPr>
        <w:t>Base Prospectus Shares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preferred stock, no par value, of the Company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0" w:right="40" w:hanging="316"/>
        <w:spacing w:after="0" w:line="259" w:lineRule="auto"/>
        <w:tabs>
          <w:tab w:leader="none" w:pos="4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debt securities, in one or more series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 which may be issued pursuant to an indenture to be dated on or about the date of the first issuance of Debt Securities thereunder, by and between a trustee to be selected by the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and the Company, in the form filed as Exhibit 4.3 to the Registration Statement and one or more indentures supplemental thereto with respect to any particular series of Debt Securities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420" w:right="120" w:hanging="316"/>
        <w:spacing w:after="0" w:line="259" w:lineRule="auto"/>
        <w:tabs>
          <w:tab w:leader="none" w:pos="4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which may be issued under one or more warrant agreements, to be dated on or about the date of the first issuance of the Warrants thereunder, by and between a warrant agent to be selected by the Company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and the Company, in the forms filed as Exhibits 4.5, 4.6 and 4.7 to the Registration Statement, respectively (each, a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and</w:t>
      </w:r>
    </w:p>
    <w:p>
      <w:pPr>
        <w:spacing w:after="0" w:line="92" w:lineRule="exact"/>
        <w:rPr>
          <w:rFonts w:ascii="Arial" w:cs="Arial" w:eastAsia="Arial" w:hAnsi="Arial"/>
          <w:sz w:val="18"/>
          <w:szCs w:val="18"/>
          <w:color w:val="auto"/>
        </w:rPr>
      </w:pPr>
    </w:p>
    <w:p>
      <w:pPr>
        <w:ind w:left="420" w:hanging="316"/>
        <w:spacing w:after="0"/>
        <w:tabs>
          <w:tab w:leader="none" w:pos="4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Placement Shares.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Base Prospectus Shares, the Preferred Stock, the Debt Securities and the Warrants, plus any additional Common Stock, Preferred Stock, Debt Securities and Warrants that may be registered pursuant to any registration statement that the Company may hereafter file with the Securities and Exchange Commission pursuant to Rule 462(b) under the Securities Act in connection with an offering by the Company pursuant to the Registration Statement, are collectively referred to herein as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The Securities are being registered for offer and sale from time to time pursuant to Rule 415 under the Securities Act.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3175 Hanover Street Palo Alto, CA 94304-1130</w:t>
      </w:r>
    </w:p>
    <w:p>
      <w:pPr>
        <w:jc w:val="center"/>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020"/>
          </w:cols>
          <w:pgMar w:left="440" w:top="121" w:right="4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25550" cy="4114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6">
                      <a:clrChange>
                        <a:clrFrom>
                          <a:srgbClr val="FFFFFF"/>
                        </a:clrFrom>
                        <a:clrTo>
                          <a:srgbClr val="FFFFFF">
                            <a:alpha val="0"/>
                          </a:srgbClr>
                        </a:clrTo>
                      </a:clrChange>
                      <a:extLst>
                        <a:ext uri="{28A0092B-C50C-407E-A947-70E740481C1C}"/>
                      </a:extLst>
                    </a:blip>
                    <a:srcRect/>
                    <a:stretch>
                      <a:fillRect/>
                    </a:stretch>
                  </pic:blipFill>
                  <pic:spPr bwMode="auto">
                    <a:xfrm>
                      <a:off x="0" y="0"/>
                      <a:ext cx="1225550" cy="411480"/>
                    </a:xfrm>
                    <a:prstGeom prst="rect">
                      <a:avLst/>
                    </a:prstGeom>
                    <a:noFill/>
                  </pic:spPr>
                </pic:pic>
              </a:graphicData>
            </a:graphic>
          </wp:anchor>
        </w:drawing>
        <w:t>NGM Biopharmaceuticals,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5,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In connection with this opinion, we have examined and relied upon originals, or copies certified to our satisfaction, of such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4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w:t>
      </w:r>
    </w:p>
    <w:p>
      <w:pPr>
        <w:spacing w:after="0" w:line="18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With respect to our opinion as to the Base Prospectus Shares, we have assumed that, at the time of issuance and sale, a sufficient number of Common Stock is authorized and available for issuance and that the consideration for the issuance and sale of the Base Prospectus Shares (or Preferred Stock or Debt Securities convertible into, or Warrants exercisable for, Common Stock) is in an amount that is not less than the par value of the Common Stock. With respect to our opinion as to the Preferred Stock, we have assumed that, at the time of issuance and sale, a sufficient number of Preferred Stock is authorized, designated and available for issuance and that the consideration for the issuance and sale of the Preferred Stock (or Debt Securities convertible into, or Warrants exercisable for, Preferred Stock) is in an amount that is not less than the par value of the Preferred Stock. We have also assumed that any Debt Securities or Warrants offered under the Registration Statement, and the related Indenture and Warrant Agreement, are executed in the forms filed as exhibits to the Registration Statement or incorporated by reference therein. We have also assumed that (i) with respect to Securities issuable upon conversion of any convertible Preferred Stock, such convertible Preferred Stock is duly authorized, validly issued, fully paid and non-assessable; and (ii) with respect to any Securities issuable upon conversion of any convertible Debt Securities or upon exercise of any Warrants, such convertible Debt Securities or Warrants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With respect to the Placement Shares, we have assumed (i) that the specific sale of the Placement Shares will be duly authorized by the Board of Directors of the Company or a duly authorized committee thereof or a person or body pursuant to an authorization granted in accordance with Section 152 of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(ii) that no more than 15,000,000 Placement Shares will be sold for a consideration not less than the par value of the Common Stock. With respect to the Placement Shares, we express no opinion to the extent that future issuances of securities of the Company and/or anti-dilution adjustments to outstanding securities of the Company cause the number of Common Stock outstanding or issuable upon conversion or exercise of outstanding securities of the Company to exceed the number of Placement Shares then issuable under the Sales Agreement.</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opinion herein is expressed solely with respect to the DGCL and, as to the Debt Securities and the Warrants constituting valid and legally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3175 Hanover Street Palo Alto, CA 94304-1130</w:t>
      </w:r>
    </w:p>
    <w:p>
      <w:pPr>
        <w:jc w:val="center"/>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020"/>
          </w:cols>
          <w:pgMar w:left="440" w:top="1138" w:right="439" w:bottom="1440" w:gutter="0" w:footer="0" w:header="0"/>
        </w:sectPr>
      </w:pPr>
    </w:p>
    <w:bookmarkStart w:id="202" w:name="page203"/>
    <w:bookmarkEnd w:id="20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25550" cy="4114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1225550" cy="411480"/>
                    </a:xfrm>
                    <a:prstGeom prst="rect">
                      <a:avLst/>
                    </a:prstGeom>
                    <a:noFill/>
                  </pic:spPr>
                </pic:pic>
              </a:graphicData>
            </a:graphic>
          </wp:anchor>
        </w:drawing>
        <w:t>NGM Biopharmaceuticals,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5,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Three</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the basis of the foregoing and in reliance thereon, and subject to the qualifications herein stated, we are of the opinion that:</w:t>
      </w:r>
    </w:p>
    <w:p>
      <w:pPr>
        <w:spacing w:after="0" w:line="117" w:lineRule="exact"/>
        <w:rPr>
          <w:sz w:val="20"/>
          <w:szCs w:val="20"/>
          <w:color w:val="auto"/>
        </w:rPr>
      </w:pPr>
    </w:p>
    <w:p>
      <w:pPr>
        <w:ind w:left="4" w:hanging="4"/>
        <w:spacing w:after="0" w:line="287" w:lineRule="auto"/>
        <w:tabs>
          <w:tab w:leader="none" w:pos="361" w:val="left"/>
        </w:tabs>
        <w:numPr>
          <w:ilvl w:val="0"/>
          <w:numId w:val="186"/>
        </w:numPr>
        <w:rPr>
          <w:rFonts w:ascii="Arial" w:cs="Arial" w:eastAsia="Arial" w:hAnsi="Arial"/>
          <w:sz w:val="16"/>
          <w:szCs w:val="16"/>
          <w:b w:val="1"/>
          <w:bCs w:val="1"/>
          <w:color w:val="auto"/>
        </w:rPr>
      </w:pPr>
      <w:r>
        <w:rPr>
          <w:rFonts w:ascii="Arial" w:cs="Arial" w:eastAsia="Arial" w:hAnsi="Arial"/>
          <w:sz w:val="16"/>
          <w:szCs w:val="16"/>
          <w:color w:val="auto"/>
        </w:rPr>
        <w:t>With respect to the Base Prospectus Shares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issuance of the Base Prospectus Shares has been duly authorized by all necessary corporate action on the part of the Company; (iii) the issuance and sale of the Base Prospectus Shares do not violate any applicable law, are in conformity with the Company’s then operative certificate of incorporation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and bylaws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do not result in a default under or breach of any agreement or instrument binding upon the Company and comply with any applicable requirement or restriction imposed by any court or governmental body having jurisdiction over the Company; and (iv) the certificates, if any, for the Base Prospectus Shares have been duly executed by the Company, countersigned by the transfer agent therefor and duly delivered to the purchasers thereof against payment therefor, then the Base Prospectus Shares, when issued and sold as contemplated in the Registration Statement, the Base Prospectus and the related Prospectus Supplement(s) and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spacing w:after="0" w:line="59" w:lineRule="exact"/>
        <w:rPr>
          <w:rFonts w:ascii="Arial" w:cs="Arial" w:eastAsia="Arial" w:hAnsi="Arial"/>
          <w:sz w:val="16"/>
          <w:szCs w:val="16"/>
          <w:b w:val="1"/>
          <w:bCs w:val="1"/>
          <w:color w:val="auto"/>
        </w:rPr>
      </w:pPr>
    </w:p>
    <w:p>
      <w:pPr>
        <w:ind w:left="4" w:right="20" w:hanging="4"/>
        <w:spacing w:after="0" w:line="287" w:lineRule="auto"/>
        <w:tabs>
          <w:tab w:leader="none" w:pos="361" w:val="left"/>
        </w:tabs>
        <w:numPr>
          <w:ilvl w:val="0"/>
          <w:numId w:val="186"/>
        </w:numPr>
        <w:rPr>
          <w:rFonts w:ascii="Arial" w:cs="Arial" w:eastAsia="Arial" w:hAnsi="Arial"/>
          <w:sz w:val="16"/>
          <w:szCs w:val="16"/>
          <w:b w:val="1"/>
          <w:bCs w:val="1"/>
          <w:color w:val="auto"/>
        </w:rPr>
      </w:pPr>
      <w:r>
        <w:rPr>
          <w:rFonts w:ascii="Arial" w:cs="Arial" w:eastAsia="Arial" w:hAnsi="Arial"/>
          <w:sz w:val="16"/>
          <w:szCs w:val="16"/>
          <w:color w:val="auto"/>
        </w:rPr>
        <w:t>With respect to the Preferred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terms and issuance of the Preferred Stock have been duly authorized by all necessary corporate action on the part of the Company; (iii) the terms of the Preferred Stock and their issuance and sale do not violate any applicable law, are in conformity with the Certificate of Incorporation and Bylaws, do not result in a default under or breach of any agreement or instrument binding upon the Company and comply with any applicable requirement or restriction imposed by any court or governmental body having jurisdiction over the Company; and (iv) the certificates, if any, for the Preferred Stock have been duly executed by the Company, countersigned by the transfer agent therefor and duly delivered to the purchasers thereof against payment therefor, then the Preferred Stock, when issued and sold as contemplated in the Registration Statement, the Base Prospectus and the related Prospectus Supplement(s) and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pacing w:after="0" w:line="63" w:lineRule="exact"/>
        <w:rPr>
          <w:rFonts w:ascii="Arial" w:cs="Arial" w:eastAsia="Arial" w:hAnsi="Arial"/>
          <w:sz w:val="16"/>
          <w:szCs w:val="16"/>
          <w:b w:val="1"/>
          <w:bCs w:val="1"/>
          <w:color w:val="auto"/>
        </w:rPr>
      </w:pPr>
    </w:p>
    <w:p>
      <w:pPr>
        <w:ind w:left="4" w:right="120" w:hanging="4"/>
        <w:spacing w:after="0" w:line="284" w:lineRule="auto"/>
        <w:tabs>
          <w:tab w:leader="none" w:pos="361" w:val="left"/>
        </w:tabs>
        <w:numPr>
          <w:ilvl w:val="0"/>
          <w:numId w:val="186"/>
        </w:numPr>
        <w:rPr>
          <w:rFonts w:ascii="Arial" w:cs="Arial" w:eastAsia="Arial" w:hAnsi="Arial"/>
          <w:sz w:val="16"/>
          <w:szCs w:val="16"/>
          <w:b w:val="1"/>
          <w:bCs w:val="1"/>
          <w:color w:val="auto"/>
        </w:rPr>
      </w:pPr>
      <w:r>
        <w:rPr>
          <w:rFonts w:ascii="Arial" w:cs="Arial" w:eastAsia="Arial" w:hAnsi="Arial"/>
          <w:sz w:val="16"/>
          <w:szCs w:val="16"/>
          <w:color w:val="auto"/>
        </w:rPr>
        <w:t>With respect to any series of the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in substantially the form filed as an exhibit to the Registration Statement, has been duly executed and delivered by the Company and the Trustee and has been qualified under the Trust Indenture Act of 1939, as amended; (iv) the issuance and terms of the Debt Securities have been duly authorized by the Company by all necessary corporate action;</w:t>
      </w:r>
    </w:p>
    <w:p>
      <w:pPr>
        <w:spacing w:after="0" w:line="4" w:lineRule="exact"/>
        <w:rPr>
          <w:rFonts w:ascii="Arial" w:cs="Arial" w:eastAsia="Arial" w:hAnsi="Arial"/>
          <w:sz w:val="16"/>
          <w:szCs w:val="16"/>
          <w:b w:val="1"/>
          <w:bCs w:val="1"/>
          <w:color w:val="auto"/>
        </w:rPr>
      </w:pPr>
    </w:p>
    <w:p>
      <w:pPr>
        <w:ind w:left="4" w:right="24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Bylaws,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4"/>
          <w:szCs w:val="14"/>
          <w:color w:val="auto"/>
        </w:rPr>
        <w:t>Cooley LLP 3175 Hanover Street Palo Alto, CA 94304-1130</w:t>
      </w:r>
    </w:p>
    <w:p>
      <w:pPr>
        <w:jc w:val="center"/>
        <w:ind w:right="-23"/>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004"/>
          </w:cols>
          <w:pgMar w:left="436" w:top="1138" w:right="459" w:bottom="1440" w:gutter="0" w:footer="0" w:header="0"/>
        </w:sectPr>
      </w:pPr>
    </w:p>
    <w:bookmarkStart w:id="203" w:name="page204"/>
    <w:bookmarkEnd w:id="20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25550" cy="4114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0">
                      <a:clrChange>
                        <a:clrFrom>
                          <a:srgbClr val="FFFFFF"/>
                        </a:clrFrom>
                        <a:clrTo>
                          <a:srgbClr val="FFFFFF">
                            <a:alpha val="0"/>
                          </a:srgbClr>
                        </a:clrTo>
                      </a:clrChange>
                      <a:extLst>
                        <a:ext uri="{28A0092B-C50C-407E-A947-70E740481C1C}"/>
                      </a:extLst>
                    </a:blip>
                    <a:srcRect/>
                    <a:stretch>
                      <a:fillRect/>
                    </a:stretch>
                  </pic:blipFill>
                  <pic:spPr bwMode="auto">
                    <a:xfrm>
                      <a:off x="0" y="0"/>
                      <a:ext cx="1225550" cy="411480"/>
                    </a:xfrm>
                    <a:prstGeom prst="rect">
                      <a:avLst/>
                    </a:prstGeom>
                    <a:noFill/>
                  </pic:spPr>
                </pic:pic>
              </a:graphicData>
            </a:graphic>
          </wp:anchor>
        </w:drawing>
        <w:t>NGM Biopharmaceuticals,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5,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Four</w:t>
      </w:r>
    </w:p>
    <w:p>
      <w:pPr>
        <w:spacing w:after="0" w:line="143" w:lineRule="exact"/>
        <w:rPr>
          <w:sz w:val="20"/>
          <w:szCs w:val="20"/>
          <w:color w:val="auto"/>
        </w:rPr>
      </w:pPr>
    </w:p>
    <w:p>
      <w:pPr>
        <w:ind w:left="4" w:right="80"/>
        <w:spacing w:after="0" w:line="275" w:lineRule="auto"/>
        <w:rPr>
          <w:sz w:val="20"/>
          <w:szCs w:val="20"/>
          <w:color w:val="auto"/>
        </w:rPr>
      </w:pPr>
      <w:r>
        <w:rPr>
          <w:rFonts w:ascii="Arial" w:cs="Arial" w:eastAsia="Arial" w:hAnsi="Arial"/>
          <w:sz w:val="17"/>
          <w:szCs w:val="17"/>
          <w:color w:val="auto"/>
        </w:rPr>
        <w:t>therefor, then the Debt Securities, when issued and sold in accordance with the Indenture and a duly authorized, executed and delivered purchase, underwriting or similar agreement, or upon exercise of any Warrants in accordance with their terms, will be valid and legally binding obligations of the Company, enforceable against the Company in accordance with their terms, except as enforcement thereof may be limited by bankruptcy, insolvency, reorganization, moratorium or other similar laws relating to or affecting creditors’ rights generally, and by general equitable principles (regardless of whether such enforceability is considered in a proceeding at law or in equity).</w:t>
      </w:r>
    </w:p>
    <w:p>
      <w:pPr>
        <w:spacing w:after="0" w:line="68" w:lineRule="exact"/>
        <w:rPr>
          <w:sz w:val="20"/>
          <w:szCs w:val="20"/>
          <w:color w:val="auto"/>
        </w:rPr>
      </w:pPr>
    </w:p>
    <w:p>
      <w:pPr>
        <w:ind w:left="4" w:hanging="4"/>
        <w:spacing w:after="0" w:line="268" w:lineRule="auto"/>
        <w:tabs>
          <w:tab w:leader="none" w:pos="361" w:val="left"/>
        </w:tabs>
        <w:numPr>
          <w:ilvl w:val="0"/>
          <w:numId w:val="187"/>
        </w:numPr>
        <w:rPr>
          <w:rFonts w:ascii="Arial" w:cs="Arial" w:eastAsia="Arial" w:hAnsi="Arial"/>
          <w:sz w:val="17"/>
          <w:szCs w:val="17"/>
          <w:b w:val="1"/>
          <w:bCs w:val="1"/>
          <w:color w:val="auto"/>
        </w:rPr>
      </w:pPr>
      <w:r>
        <w:rPr>
          <w:rFonts w:ascii="Arial" w:cs="Arial" w:eastAsia="Arial" w:hAnsi="Arial"/>
          <w:sz w:val="17"/>
          <w:szCs w:val="17"/>
          <w:color w:val="auto"/>
        </w:rPr>
        <w:t>With respect to the Warrants issued under the Warrant Agreements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Warrant Agreement has been duly authorized by the Company and the Warrant Agent by all necessary corporate action; (iii) the Warrant Agreement has been duly executed and delivered by the Company and the Warrant Agent; (iv) the issuance and terms of the Warrants have been duly authorized by the Company by all necessary corporate action; (v) the terms of the Warrants and of their issuance and sale have been duly established in conformity with the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Bylaws, and so as to comply with any requirement or restriction imposed by any court or governmental body having jurisdiction over the Company; and (vi) the Warrants have been duly executed and delivered by the Company and authenticated by the Warrant Agent pursuant to the Warrant Agreement and delivered against payment therefor, then the Warrants, when issued and sold as contemplated in the Registration Statement, the Base Prospectus and the Prospectus Supplement(s) and in accordance with the Warrant Agreement and a duly authorized, executed and delivered purchase, underwriting or similar agreement, will be valid and legally binding obligations of the Company, enforceable against the Company in accordance with their terms, except as enforcement thereof may be limited by bankruptcy, insolvency, reorganization, moratorium or other similar laws relating to or affecting creditors’ rights generally, and by general equitable principles (regardless of whether such enforceability is considered in a proceeding at law or in equity).</w:t>
      </w:r>
    </w:p>
    <w:p>
      <w:pPr>
        <w:spacing w:after="0" w:line="71" w:lineRule="exact"/>
        <w:rPr>
          <w:rFonts w:ascii="Arial" w:cs="Arial" w:eastAsia="Arial" w:hAnsi="Arial"/>
          <w:sz w:val="17"/>
          <w:szCs w:val="17"/>
          <w:b w:val="1"/>
          <w:bCs w:val="1"/>
          <w:color w:val="auto"/>
        </w:rPr>
      </w:pPr>
    </w:p>
    <w:p>
      <w:pPr>
        <w:ind w:left="4" w:right="200" w:hanging="4"/>
        <w:spacing w:after="0" w:line="277" w:lineRule="auto"/>
        <w:tabs>
          <w:tab w:leader="none" w:pos="360"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With respect to the Placement Shares, when issued and paid for in accordance with the Sales Agreement and as provided in the Sales Agreement Prospectus, the Placement Shares will be validly issued, fully paid and non-assessable.</w:t>
      </w:r>
    </w:p>
    <w:p>
      <w:pPr>
        <w:spacing w:after="0" w:line="170" w:lineRule="exact"/>
        <w:rPr>
          <w:rFonts w:ascii="Arial" w:cs="Arial" w:eastAsia="Arial" w:hAnsi="Arial"/>
          <w:sz w:val="18"/>
          <w:szCs w:val="18"/>
          <w:b w:val="1"/>
          <w:bCs w:val="1"/>
          <w:color w:val="auto"/>
        </w:rPr>
      </w:pPr>
    </w:p>
    <w:p>
      <w:pPr>
        <w:ind w:left="5184"/>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left="4" w:right="400"/>
        <w:spacing w:after="0" w:line="286" w:lineRule="auto"/>
        <w:rPr>
          <w:sz w:val="20"/>
          <w:szCs w:val="20"/>
          <w:color w:val="auto"/>
        </w:rPr>
      </w:pPr>
      <w:r>
        <w:rPr>
          <w:rFonts w:ascii="Arial" w:cs="Arial" w:eastAsia="Arial" w:hAnsi="Arial"/>
          <w:sz w:val="17"/>
          <w:szCs w:val="17"/>
          <w:color w:val="auto"/>
        </w:rPr>
        <w:t>We hereby consent to the filing of this opinion as an exhibit to the Registration Statement and to the reference to our firm under the caption “Legal Matters” in the Base Prospectus and the Sales Agreement Prospectus. We further consent to the incorporation by reference of this opinion into any registration statement filed pursuant to Rule 462(b) under the Securities Act with respect to additional Securities.</w:t>
      </w:r>
    </w:p>
    <w:p>
      <w:pPr>
        <w:spacing w:after="0" w:line="165"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spacing w:after="0" w:line="114" w:lineRule="exact"/>
        <w:rPr>
          <w:sz w:val="20"/>
          <w:szCs w:val="20"/>
          <w:color w:val="auto"/>
        </w:rPr>
      </w:pPr>
    </w:p>
    <w:p>
      <w:pPr>
        <w:jc w:val="center"/>
        <w:ind w:right="-63"/>
        <w:spacing w:after="0"/>
        <w:rPr>
          <w:sz w:val="20"/>
          <w:szCs w:val="20"/>
          <w:color w:val="auto"/>
        </w:rPr>
      </w:pPr>
      <w:r>
        <w:rPr>
          <w:rFonts w:ascii="Arial" w:cs="Arial" w:eastAsia="Arial" w:hAnsi="Arial"/>
          <w:sz w:val="14"/>
          <w:szCs w:val="14"/>
          <w:color w:val="auto"/>
        </w:rPr>
        <w:t>Cooley LLP 3175 Hanover Street Palo Alto, CA 94304-1130</w:t>
      </w:r>
    </w:p>
    <w:p>
      <w:pPr>
        <w:jc w:val="center"/>
        <w:ind w:right="-63"/>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0964"/>
          </w:cols>
          <w:pgMar w:left="436" w:top="1138" w:right="49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25550" cy="4114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2">
                      <a:clrChange>
                        <a:clrFrom>
                          <a:srgbClr val="FFFFFF"/>
                        </a:clrFrom>
                        <a:clrTo>
                          <a:srgbClr val="FFFFFF">
                            <a:alpha val="0"/>
                          </a:srgbClr>
                        </a:clrTo>
                      </a:clrChange>
                      <a:extLst>
                        <a:ext uri="{28A0092B-C50C-407E-A947-70E740481C1C}"/>
                      </a:extLst>
                    </a:blip>
                    <a:srcRect/>
                    <a:stretch>
                      <a:fillRect/>
                    </a:stretch>
                  </pic:blipFill>
                  <pic:spPr bwMode="auto">
                    <a:xfrm>
                      <a:off x="0" y="0"/>
                      <a:ext cx="1225550" cy="411480"/>
                    </a:xfrm>
                    <a:prstGeom prst="rect">
                      <a:avLst/>
                    </a:prstGeom>
                    <a:noFill/>
                  </pic:spPr>
                </pic:pic>
              </a:graphicData>
            </a:graphic>
          </wp:anchor>
        </w:drawing>
        <w:t>NGM Biopharmaceuticals,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5,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Five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Carlton Fleming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Carlton Fleming</w:t>
      </w:r>
    </w:p>
    <w:p>
      <w:pPr>
        <w:spacing w:after="0" w:line="152" w:lineRule="exact"/>
        <w:rPr>
          <w:sz w:val="20"/>
          <w:szCs w:val="20"/>
          <w:color w:val="auto"/>
        </w:rPr>
      </w:pPr>
    </w:p>
    <w:p>
      <w:pPr>
        <w:jc w:val="center"/>
        <w:ind w:right="-980"/>
        <w:spacing w:after="0"/>
        <w:rPr>
          <w:sz w:val="20"/>
          <w:szCs w:val="20"/>
          <w:color w:val="auto"/>
        </w:rPr>
      </w:pPr>
      <w:r>
        <w:rPr>
          <w:rFonts w:ascii="Arial" w:cs="Arial" w:eastAsia="Arial" w:hAnsi="Arial"/>
          <w:sz w:val="13"/>
          <w:szCs w:val="13"/>
          <w:color w:val="auto"/>
        </w:rPr>
        <w:t>Cooley LLP 3175 Hanover Street Palo Alto, CA 94304-1130</w:t>
      </w:r>
    </w:p>
    <w:p>
      <w:pPr>
        <w:spacing w:after="0" w:line="11" w:lineRule="exact"/>
        <w:rPr>
          <w:sz w:val="20"/>
          <w:szCs w:val="20"/>
          <w:color w:val="auto"/>
        </w:rPr>
      </w:pPr>
    </w:p>
    <w:p>
      <w:pPr>
        <w:jc w:val="center"/>
        <w:ind w:right="-980"/>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0019"/>
          </w:cols>
          <w:pgMar w:left="440" w:top="1138" w:right="1440"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and Sales Agreement Prospectus of NGM Biopharmaceuticals, Inc. for the registration of up to $400,000,000 of its common stock, preferred stock, debt securities and warrants, either individually or in units of any combination thereof, and to the incorporation by reference therein of our report dated March 17, 2020, with respect to the consolidated financial statements of NGM Biopharmaceuticals, Inc., included in its Annual Report (Form 10-K) for the year ended December 31, 2019, filed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5,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EF0119"/>
    <w:multiLevelType w:val="hybridMultilevel"/>
    <w:lvl w:ilvl="0">
      <w:lvlJc w:val="left"/>
      <w:lvlText w:val="(%1)"/>
      <w:numFmt w:val="decimal"/>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
      <w:numFmt w:val="bullet"/>
      <w:start w:val="1"/>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
      <w:numFmt w:val="bullet"/>
      <w:start w:val="1"/>
    </w:lvl>
  </w:abstractNum>
  <w:abstractNum w:abstractNumId="10">
    <w:nsid w:val="7672BD23"/>
    <w:multiLevelType w:val="hybridMultilevel"/>
    <w:lvl w:ilvl="0">
      <w:lvlJc w:val="left"/>
      <w:lvlText w:val="•"/>
      <w:numFmt w:val="bullet"/>
      <w:start w:val="1"/>
    </w:lvl>
  </w:abstractNum>
  <w:abstractNum w:abstractNumId="11">
    <w:nsid w:val="6FC75AF8"/>
    <w:multiLevelType w:val="hybridMultilevel"/>
    <w:lvl w:ilvl="0">
      <w:lvlJc w:val="left"/>
      <w:lvlText w:val="•"/>
      <w:numFmt w:val="bullet"/>
      <w:start w:val="1"/>
    </w:lvl>
  </w:abstractNum>
  <w:abstractNum w:abstractNumId="12">
    <w:nsid w:val="6A5F7029"/>
    <w:multiLevelType w:val="hybridMultilevel"/>
    <w:lvl w:ilvl="0">
      <w:lvlJc w:val="left"/>
      <w:lvlText w:val="•"/>
      <w:numFmt w:val="bullet"/>
      <w:start w:val="1"/>
    </w:lvl>
  </w:abstractNum>
  <w:abstractNum w:abstractNumId="13">
    <w:nsid w:val="7D5E18F8"/>
    <w:multiLevelType w:val="hybridMultilevel"/>
    <w:lvl w:ilvl="0">
      <w:lvlJc w:val="left"/>
      <w:lvlText w:val="(%1)"/>
      <w:numFmt w:val="lowerRoman"/>
      <w:start w:val="2"/>
    </w:lvl>
  </w:abstractNum>
  <w:abstractNum w:abstractNumId="14">
    <w:nsid w:val="5F3534A4"/>
    <w:multiLevelType w:val="hybridMultilevel"/>
    <w:lvl w:ilvl="0">
      <w:lvlJc w:val="left"/>
      <w:lvlText w:val="•"/>
      <w:numFmt w:val="bullet"/>
      <w:start w:val="1"/>
    </w:lvl>
  </w:abstractNum>
  <w:abstractNum w:abstractNumId="15">
    <w:nsid w:val="73A1821B"/>
    <w:multiLevelType w:val="hybridMultilevel"/>
    <w:lvl w:ilvl="0">
      <w:lvlJc w:val="left"/>
      <w:lvlText w:val="•"/>
      <w:numFmt w:val="bullet"/>
      <w:start w:val="1"/>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
      <w:numFmt w:val="bullet"/>
      <w:start w:val="1"/>
    </w:lvl>
  </w:abstractNum>
  <w:abstractNum w:abstractNumId="27">
    <w:nsid w:val="59ADEA3D"/>
    <w:multiLevelType w:val="hybridMultilevel"/>
    <w:lvl w:ilvl="0">
      <w:lvlJc w:val="left"/>
      <w:lvlText w:val="•"/>
      <w:numFmt w:val="bullet"/>
      <w:start w:val="1"/>
    </w:lvl>
  </w:abstractNum>
  <w:abstractNum w:abstractNumId="28">
    <w:nsid w:val="288F1A34"/>
    <w:multiLevelType w:val="hybridMultilevel"/>
    <w:lvl w:ilvl="0">
      <w:lvlJc w:val="left"/>
      <w:lvlText w:val="•"/>
      <w:numFmt w:val="bullet"/>
      <w:start w:val="1"/>
    </w:lvl>
  </w:abstractNum>
  <w:abstractNum w:abstractNumId="29">
    <w:nsid w:val="2A155DBC"/>
    <w:multiLevelType w:val="hybridMultilevel"/>
    <w:lvl w:ilvl="0">
      <w:lvlJc w:val="left"/>
      <w:lvlText w:val="•"/>
      <w:numFmt w:val="bullet"/>
      <w:start w:val="1"/>
    </w:lvl>
  </w:abstractNum>
  <w:abstractNum w:abstractNumId="30">
    <w:nsid w:val="1D9F6E5F"/>
    <w:multiLevelType w:val="hybridMultilevel"/>
    <w:lvl w:ilvl="0">
      <w:lvlJc w:val="left"/>
      <w:lvlText w:val="•"/>
      <w:numFmt w:val="bullet"/>
      <w:start w:val="1"/>
    </w:lvl>
  </w:abstractNum>
  <w:abstractNum w:abstractNumId="31">
    <w:nsid w:val="97E1B4E"/>
    <w:multiLevelType w:val="hybridMultilevel"/>
    <w:lvl w:ilvl="0">
      <w:lvlJc w:val="left"/>
      <w:lvlText w:val="•"/>
      <w:numFmt w:val="bullet"/>
      <w:start w:val="1"/>
    </w:lvl>
  </w:abstractNum>
  <w:abstractNum w:abstractNumId="32">
    <w:nsid w:val="51088277"/>
    <w:multiLevelType w:val="hybridMultilevel"/>
    <w:lvl w:ilvl="0">
      <w:lvlJc w:val="left"/>
      <w:lvlText w:val="•"/>
      <w:numFmt w:val="bullet"/>
      <w:start w:val="1"/>
    </w:lvl>
  </w:abstractNum>
  <w:abstractNum w:abstractNumId="33">
    <w:nsid w:val="1CA0C5FA"/>
    <w:multiLevelType w:val="hybridMultilevel"/>
    <w:lvl w:ilvl="0">
      <w:lvlJc w:val="left"/>
      <w:lvlText w:val="•"/>
      <w:numFmt w:val="bullet"/>
      <w:start w:val="1"/>
    </w:lvl>
  </w:abstractNum>
  <w:abstractNum w:abstractNumId="34">
    <w:nsid w:val="53584BCB"/>
    <w:multiLevelType w:val="hybridMultilevel"/>
    <w:lvl w:ilvl="0">
      <w:lvlJc w:val="left"/>
      <w:lvlText w:val="•"/>
      <w:numFmt w:val="bullet"/>
      <w:start w:val="1"/>
    </w:lvl>
  </w:abstractNum>
  <w:abstractNum w:abstractNumId="35">
    <w:nsid w:val="415E286C"/>
    <w:multiLevelType w:val="hybridMultilevel"/>
    <w:lvl w:ilvl="0">
      <w:lvlJc w:val="left"/>
      <w:lvlText w:val="•"/>
      <w:numFmt w:val="bullet"/>
      <w:start w:val="1"/>
    </w:lvl>
  </w:abstractNum>
  <w:abstractNum w:abstractNumId="36">
    <w:nsid w:val="7C58FD05"/>
    <w:multiLevelType w:val="hybridMultilevel"/>
    <w:lvl w:ilvl="0">
      <w:lvlJc w:val="left"/>
      <w:lvlText w:val="(%1)"/>
      <w:numFmt w:val="decimal"/>
      <w:start w:val="650"/>
    </w:lvl>
  </w:abstractNum>
  <w:abstractNum w:abstractNumId="37">
    <w:nsid w:val="23D86AAC"/>
    <w:multiLevelType w:val="hybridMultilevel"/>
    <w:lvl w:ilvl="0">
      <w:lvlJc w:val="left"/>
      <w:lvlText w:val="•"/>
      <w:numFmt w:val="bullet"/>
      <w:start w:val="1"/>
    </w:lvl>
  </w:abstractNum>
  <w:abstractNum w:abstractNumId="38">
    <w:nsid w:val="45E6D486"/>
    <w:multiLevelType w:val="hybridMultilevel"/>
    <w:lvl w:ilvl="0">
      <w:lvlJc w:val="left"/>
      <w:lvlText w:val="•"/>
      <w:numFmt w:val="bullet"/>
      <w:start w:val="1"/>
    </w:lvl>
  </w:abstractNum>
  <w:abstractNum w:abstractNumId="39">
    <w:nsid w:val="5C10FE21"/>
    <w:multiLevelType w:val="hybridMultilevel"/>
    <w:lvl w:ilvl="0">
      <w:lvlJc w:val="left"/>
      <w:lvlText w:val="•"/>
      <w:numFmt w:val="bullet"/>
      <w:start w:val="1"/>
    </w:lvl>
  </w:abstractNum>
  <w:abstractNum w:abstractNumId="40">
    <w:nsid w:val="E7FFA2B"/>
    <w:multiLevelType w:val="hybridMultilevel"/>
    <w:lvl w:ilvl="0">
      <w:lvlJc w:val="left"/>
      <w:lvlText w:val="•"/>
      <w:numFmt w:val="bullet"/>
      <w:start w:val="1"/>
    </w:lvl>
  </w:abstractNum>
  <w:abstractNum w:abstractNumId="41">
    <w:nsid w:val="3C5991AA"/>
    <w:multiLevelType w:val="hybridMultilevel"/>
    <w:lvl w:ilvl="0">
      <w:lvlJc w:val="left"/>
      <w:lvlText w:val="•"/>
      <w:numFmt w:val="bullet"/>
      <w:start w:val="1"/>
    </w:lvl>
  </w:abstractNum>
  <w:abstractNum w:abstractNumId="42">
    <w:nsid w:val="4BD8591A"/>
    <w:multiLevelType w:val="hybridMultilevel"/>
    <w:lvl w:ilvl="0">
      <w:lvlJc w:val="left"/>
      <w:lvlText w:val="•"/>
      <w:numFmt w:val="bullet"/>
      <w:start w:val="1"/>
    </w:lvl>
  </w:abstractNum>
  <w:abstractNum w:abstractNumId="43">
    <w:nsid w:val="78DF6A55"/>
    <w:multiLevelType w:val="hybridMultilevel"/>
    <w:lvl w:ilvl="0">
      <w:lvlJc w:val="left"/>
      <w:lvlText w:val="•"/>
      <w:numFmt w:val="bullet"/>
      <w:start w:val="1"/>
    </w:lvl>
  </w:abstractNum>
  <w:abstractNum w:abstractNumId="44">
    <w:nsid w:val="39B7AAA2"/>
    <w:multiLevelType w:val="hybridMultilevel"/>
    <w:lvl w:ilvl="0">
      <w:lvlJc w:val="left"/>
      <w:lvlText w:val="•"/>
      <w:numFmt w:val="bullet"/>
      <w:start w:val="1"/>
    </w:lvl>
  </w:abstractNum>
  <w:abstractNum w:abstractNumId="45">
    <w:nsid w:val="2B0D8DBE"/>
    <w:multiLevelType w:val="hybridMultilevel"/>
    <w:lvl w:ilvl="0">
      <w:lvlJc w:val="left"/>
      <w:lvlText w:val="•"/>
      <w:numFmt w:val="bullet"/>
      <w:start w:val="1"/>
    </w:lvl>
  </w:abstractNum>
  <w:abstractNum w:abstractNumId="46">
    <w:nsid w:val="6C80EC70"/>
    <w:multiLevelType w:val="hybridMultilevel"/>
    <w:lvl w:ilvl="0">
      <w:lvlJc w:val="left"/>
      <w:lvlText w:val="•"/>
      <w:numFmt w:val="bullet"/>
      <w:start w:val="1"/>
    </w:lvl>
  </w:abstractNum>
  <w:abstractNum w:abstractNumId="47">
    <w:nsid w:val="379E21B5"/>
    <w:multiLevelType w:val="hybridMultilevel"/>
    <w:lvl w:ilvl="0">
      <w:lvlJc w:val="left"/>
      <w:lvlText w:val="•"/>
      <w:numFmt w:val="bullet"/>
      <w:start w:val="1"/>
    </w:lvl>
  </w:abstractNum>
  <w:abstractNum w:abstractNumId="48">
    <w:nsid w:val="69E373"/>
    <w:multiLevelType w:val="hybridMultilevel"/>
    <w:lvl w:ilvl="0">
      <w:lvlJc w:val="left"/>
      <w:lvlText w:val="•"/>
      <w:numFmt w:val="bullet"/>
      <w:start w:val="1"/>
    </w:lvl>
  </w:abstractNum>
  <w:abstractNum w:abstractNumId="49">
    <w:nsid w:val="2C27173B"/>
    <w:multiLevelType w:val="hybridMultilevel"/>
    <w:lvl w:ilvl="0">
      <w:lvlJc w:val="left"/>
      <w:lvlText w:val="(%1)"/>
      <w:numFmt w:val="lowerRoman"/>
      <w:start w:val="2"/>
    </w:lvl>
  </w:abstractNum>
  <w:abstractNum w:abstractNumId="50">
    <w:nsid w:val="4C9B0904"/>
    <w:multiLevelType w:val="hybridMultilevel"/>
    <w:lvl w:ilvl="0">
      <w:lvlJc w:val="left"/>
      <w:lvlText w:val="•"/>
      <w:numFmt w:val="bullet"/>
      <w:start w:val="1"/>
    </w:lvl>
  </w:abstractNum>
  <w:abstractNum w:abstractNumId="51">
    <w:nsid w:val="6AA7B75C"/>
    <w:multiLevelType w:val="hybridMultilevel"/>
    <w:lvl w:ilvl="0">
      <w:lvlJc w:val="left"/>
      <w:lvlText w:val="(%1)"/>
      <w:numFmt w:val="decimal"/>
      <w:start w:val="650"/>
    </w:lvl>
  </w:abstractNum>
  <w:abstractNum w:abstractNumId="52">
    <w:nsid w:val="1DF029D3"/>
    <w:multiLevelType w:val="hybridMultilevel"/>
    <w:lvl w:ilvl="0">
      <w:lvlJc w:val="left"/>
      <w:lvlText w:val="*"/>
      <w:numFmt w:val="bullet"/>
      <w:start w:val="1"/>
    </w:lvl>
  </w:abstractNum>
  <w:abstractNum w:abstractNumId="53">
    <w:nsid w:val="5675FF36"/>
    <w:multiLevelType w:val="hybridMultilevel"/>
    <w:lvl w:ilvl="0">
      <w:lvlJc w:val="left"/>
      <w:lvlText w:val="(%1)"/>
      <w:numFmt w:val="decimal"/>
      <w:start w:val="1"/>
    </w:lvl>
    <w:lvl w:ilvl="1">
      <w:lvlJc w:val="left"/>
      <w:lvlText w:val="(%2)"/>
      <w:numFmt w:val="lowerRoman"/>
      <w:start w:val="1"/>
    </w:lvl>
  </w:abstractNum>
  <w:abstractNum w:abstractNumId="54">
    <w:nsid w:val="3DD15094"/>
    <w:multiLevelType w:val="hybridMultilevel"/>
    <w:lvl w:ilvl="0">
      <w:lvlJc w:val="left"/>
      <w:lvlText w:val="(%1)"/>
      <w:numFmt w:val="decimal"/>
      <w:start w:val="2"/>
    </w:lvl>
    <w:lvl w:ilvl="1">
      <w:lvlJc w:val="left"/>
      <w:lvlText w:val="(%2)"/>
      <w:numFmt w:val="lowerRoman"/>
      <w:start w:val="1"/>
    </w:lvl>
  </w:abstractNum>
  <w:abstractNum w:abstractNumId="55">
    <w:nsid w:val="3DB012B3"/>
    <w:multiLevelType w:val="hybridMultilevel"/>
    <w:lvl w:ilvl="0">
      <w:lvlJc w:val="left"/>
      <w:lvlText w:val="(%1)"/>
      <w:numFmt w:val="decimal"/>
      <w:start w:val="5"/>
    </w:lvl>
    <w:lvl w:ilvl="1">
      <w:lvlJc w:val="left"/>
      <w:lvlText w:val="(%2)"/>
      <w:numFmt w:val="decimal"/>
      <w:start w:val="4"/>
    </w:lvl>
    <w:lvl w:ilvl="2">
      <w:lvlJc w:val="left"/>
      <w:lvlText w:val="(%3)"/>
      <w:numFmt w:val="lowerRoman"/>
      <w:start w:val="1"/>
    </w:lvl>
  </w:abstractNum>
  <w:abstractNum w:abstractNumId="56">
    <w:nsid w:val="2708C9AF"/>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abstractNum>
  <w:abstractNum w:abstractNumId="57">
    <w:nsid w:val="5B25ACE2"/>
    <w:multiLevelType w:val="hybridMultilevel"/>
    <w:lvl w:ilvl="0">
      <w:lvlJc w:val="left"/>
      <w:lvlText w:val="(%1)"/>
      <w:numFmt w:val="decimal"/>
      <w:start w:val="8"/>
    </w:lvl>
    <w:lvl w:ilvl="1">
      <w:lvlJc w:val="left"/>
      <w:lvlText w:val="%2"/>
      <w:numFmt w:val="decimal"/>
      <w:start w:val="1"/>
    </w:lvl>
    <w:lvl w:ilvl="2">
      <w:lvlJc w:val="left"/>
      <w:lvlText w:val="%3"/>
      <w:numFmt w:val="lowerRoman"/>
      <w:start w:val="1"/>
    </w:lvl>
  </w:abstractNum>
  <w:abstractNum w:abstractNumId="58">
    <w:nsid w:val="175DFCF0"/>
    <w:multiLevelType w:val="hybridMultilevel"/>
    <w:lvl w:ilvl="0">
      <w:lvlJc w:val="left"/>
      <w:lvlText w:val="(%1)"/>
      <w:numFmt w:val="lowerLetter"/>
      <w:start w:val="1"/>
    </w:lvl>
  </w:abstractNum>
  <w:abstractNum w:abstractNumId="59">
    <w:nsid w:val="4F97E3E4"/>
    <w:multiLevelType w:val="hybridMultilevel"/>
    <w:lvl w:ilvl="0">
      <w:lvlJc w:val="left"/>
      <w:lvlText w:val="(%1)"/>
      <w:numFmt w:val="lowerLetter"/>
      <w:start w:val="1"/>
    </w:lvl>
  </w:abstractNum>
  <w:abstractNum w:abstractNumId="60">
    <w:nsid w:val="53B0A9E"/>
    <w:multiLevelType w:val="hybridMultilevel"/>
    <w:lvl w:ilvl="0">
      <w:lvlJc w:val="left"/>
      <w:lvlText w:val="(%1)"/>
      <w:numFmt w:val="lowerLetter"/>
      <w:start w:val="2"/>
    </w:lvl>
  </w:abstractNum>
  <w:abstractNum w:abstractNumId="61">
    <w:nsid w:val="34FD6B4F"/>
    <w:multiLevelType w:val="hybridMultilevel"/>
    <w:lvl w:ilvl="0">
      <w:lvlJc w:val="left"/>
      <w:lvlText w:val="(%1)"/>
      <w:numFmt w:val="lowerLetter"/>
      <w:start w:val="3"/>
    </w:lvl>
  </w:abstractNum>
  <w:abstractNum w:abstractNumId="62">
    <w:nsid w:val="5915FF32"/>
    <w:multiLevelType w:val="hybridMultilevel"/>
    <w:lvl w:ilvl="0">
      <w:lvlJc w:val="left"/>
      <w:lvlText w:val="(%1)"/>
      <w:numFmt w:val="lowerLetter"/>
      <w:start w:val="7"/>
    </w:lvl>
  </w:abstractNum>
  <w:abstractNum w:abstractNumId="63">
    <w:nsid w:val="56438D15"/>
    <w:multiLevelType w:val="hybridMultilevel"/>
    <w:lvl w:ilvl="0">
      <w:lvlJc w:val="left"/>
      <w:lvlText w:val="(%1)"/>
      <w:numFmt w:val="lowerLetter"/>
      <w:start w:val="12"/>
    </w:lvl>
  </w:abstractNum>
  <w:abstractNum w:abstractNumId="64">
    <w:nsid w:val="519E3149"/>
    <w:multiLevelType w:val="hybridMultilevel"/>
    <w:lvl w:ilvl="0">
      <w:lvlJc w:val="left"/>
      <w:lvlText w:val="(%1)"/>
      <w:numFmt w:val="lowerLetter"/>
      <w:start w:val="15"/>
    </w:lvl>
  </w:abstractNum>
  <w:abstractNum w:abstractNumId="65">
    <w:nsid w:val="2C6E4AFD"/>
    <w:multiLevelType w:val="hybridMultilevel"/>
    <w:lvl w:ilvl="0">
      <w:lvlJc w:val="left"/>
      <w:lvlText w:val="(%1)"/>
      <w:numFmt w:val="lowerLetter"/>
      <w:start w:val="18"/>
    </w:lvl>
  </w:abstractNum>
  <w:abstractNum w:abstractNumId="66">
    <w:nsid w:val="17A1B582"/>
    <w:multiLevelType w:val="hybridMultilevel"/>
    <w:lvl w:ilvl="0">
      <w:lvlJc w:val="left"/>
      <w:lvlText w:val="(%1)"/>
      <w:numFmt w:val="lowerLetter"/>
      <w:start w:val="20"/>
    </w:lvl>
  </w:abstractNum>
  <w:abstractNum w:abstractNumId="67">
    <w:nsid w:val="4DF72E4E"/>
    <w:multiLevelType w:val="hybridMultilevel"/>
    <w:lvl w:ilvl="0">
      <w:lvlJc w:val="left"/>
      <w:lvlText w:val="(%1)"/>
      <w:numFmt w:val="lowerLetter"/>
      <w:start w:val="22"/>
    </w:lvl>
  </w:abstractNum>
  <w:abstractNum w:abstractNumId="68">
    <w:nsid w:val="5046B5A9"/>
    <w:multiLevelType w:val="hybridMultilevel"/>
    <w:lvl w:ilvl="0">
      <w:lvlJc w:val="left"/>
      <w:lvlText w:val="(%1)"/>
      <w:numFmt w:val="lowerLetter"/>
      <w:start w:val="25"/>
    </w:lvl>
  </w:abstractNum>
  <w:abstractNum w:abstractNumId="69">
    <w:nsid w:val="5D888A08"/>
    <w:multiLevelType w:val="hybridMultilevel"/>
    <w:lvl w:ilvl="0">
      <w:lvlJc w:val="left"/>
      <w:lvlText w:val="%1"/>
      <w:numFmt w:val="lowerLetter"/>
      <w:start w:val="1"/>
    </w:lvl>
    <w:lvl w:ilvl="1">
      <w:lvlJc w:val="left"/>
      <w:lvlText w:val="(%2)"/>
      <w:numFmt w:val="lowerLetter"/>
      <w:start w:val="27"/>
    </w:lvl>
  </w:abstractNum>
  <w:abstractNum w:abstractNumId="70">
    <w:nsid w:val="2A082C70"/>
    <w:multiLevelType w:val="hybridMultilevel"/>
    <w:lvl w:ilvl="0">
      <w:lvlJc w:val="left"/>
      <w:lvlText w:val="(%1)"/>
      <w:numFmt w:val="lowerLetter"/>
      <w:start w:val="35"/>
    </w:lvl>
    <w:lvl w:ilvl="1">
      <w:lvlJc w:val="left"/>
      <w:lvlText w:val="%2"/>
      <w:numFmt w:val="lowerLetter"/>
      <w:start w:val="1"/>
    </w:lvl>
  </w:abstractNum>
  <w:abstractNum w:abstractNumId="71">
    <w:nsid w:val="5EC6AFD4"/>
    <w:multiLevelType w:val="hybridMultilevel"/>
    <w:lvl w:ilvl="0">
      <w:lvlJc w:val="left"/>
      <w:lvlText w:val="%1"/>
      <w:numFmt w:val="lowerLetter"/>
      <w:start w:val="1"/>
    </w:lvl>
    <w:lvl w:ilvl="1">
      <w:lvlJc w:val="left"/>
      <w:lvlText w:val="(%2)"/>
      <w:numFmt w:val="lowerLetter"/>
      <w:start w:val="29"/>
    </w:lvl>
  </w:abstractNum>
  <w:abstractNum w:abstractNumId="72">
    <w:nsid w:val="19E21BB2"/>
    <w:multiLevelType w:val="hybridMultilevel"/>
    <w:lvl w:ilvl="0">
      <w:lvlJc w:val="left"/>
      <w:lvlText w:val="(%1)"/>
      <w:numFmt w:val="lowerLetter"/>
      <w:start w:val="9"/>
    </w:lvl>
    <w:lvl w:ilvl="1">
      <w:lvlJc w:val="left"/>
      <w:lvlText w:val="(%2)"/>
      <w:numFmt w:val="lowerLetter"/>
      <w:start w:val="30"/>
    </w:lvl>
  </w:abstractNum>
  <w:abstractNum w:abstractNumId="73">
    <w:nsid w:val="75E0858A"/>
    <w:multiLevelType w:val="hybridMultilevel"/>
    <w:lvl w:ilvl="0">
      <w:lvlJc w:val="left"/>
      <w:lvlText w:val="(%1)"/>
      <w:numFmt w:val="lowerLetter"/>
      <w:start w:val="33"/>
    </w:lvl>
  </w:abstractNum>
  <w:abstractNum w:abstractNumId="74">
    <w:nsid w:val="57A61A29"/>
    <w:multiLevelType w:val="hybridMultilevel"/>
    <w:lvl w:ilvl="0">
      <w:lvlJc w:val="left"/>
      <w:lvlText w:val="(%1)"/>
      <w:numFmt w:val="lowerLetter"/>
      <w:start w:val="35"/>
    </w:lvl>
  </w:abstractNum>
  <w:abstractNum w:abstractNumId="75">
    <w:nsid w:val="5399C654"/>
    <w:multiLevelType w:val="hybridMultilevel"/>
    <w:lvl w:ilvl="0">
      <w:lvlJc w:val="left"/>
      <w:lvlText w:val="(%1)"/>
      <w:numFmt w:val="lowerLetter"/>
      <w:start w:val="39"/>
    </w:lvl>
  </w:abstractNum>
  <w:abstractNum w:abstractNumId="76">
    <w:nsid w:val="20EE1348"/>
    <w:multiLevelType w:val="hybridMultilevel"/>
    <w:lvl w:ilvl="0">
      <w:lvlJc w:val="left"/>
      <w:lvlText w:val="(%1)"/>
      <w:numFmt w:val="lowerLetter"/>
      <w:start w:val="1"/>
    </w:lvl>
  </w:abstractNum>
  <w:abstractNum w:abstractNumId="77">
    <w:nsid w:val="4427069A"/>
    <w:multiLevelType w:val="hybridMultilevel"/>
    <w:lvl w:ilvl="0">
      <w:lvlJc w:val="left"/>
      <w:lvlText w:val="%1"/>
      <w:numFmt w:val="upperLetter"/>
      <w:start w:val="1"/>
    </w:lvl>
    <w:lvl w:ilvl="1">
      <w:lvlJc w:val="left"/>
      <w:lvlText w:val="(%2)"/>
      <w:numFmt w:val="lowerRoman"/>
      <w:start w:val="1"/>
    </w:lvl>
  </w:abstractNum>
  <w:abstractNum w:abstractNumId="78">
    <w:nsid w:val="B37E80A"/>
    <w:multiLevelType w:val="hybridMultilevel"/>
    <w:lvl w:ilvl="0">
      <w:lvlJc w:val="left"/>
      <w:lvlText w:val="(%1)"/>
      <w:numFmt w:val="upperLetter"/>
      <w:start w:val="9"/>
    </w:lvl>
    <w:lvl w:ilvl="1">
      <w:lvlJc w:val="left"/>
      <w:lvlText w:val="%2"/>
      <w:numFmt w:val="lowerRoman"/>
      <w:start w:val="1"/>
    </w:lvl>
  </w:abstractNum>
  <w:abstractNum w:abstractNumId="79">
    <w:nsid w:val="2157F6BC"/>
    <w:multiLevelType w:val="hybridMultilevel"/>
    <w:lvl w:ilvl="0">
      <w:lvlJc w:val="left"/>
      <w:lvlText w:val="%1"/>
      <w:numFmt w:val="upperLetter"/>
      <w:start w:val="1"/>
    </w:lvl>
    <w:lvl w:ilvl="1">
      <w:lvlJc w:val="left"/>
      <w:lvlText w:val="(%2)"/>
      <w:numFmt w:val="lowerRoman"/>
      <w:start w:val="2"/>
    </w:lvl>
  </w:abstractNum>
  <w:abstractNum w:abstractNumId="80">
    <w:nsid w:val="704E1DD5"/>
    <w:multiLevelType w:val="hybridMultilevel"/>
    <w:lvl w:ilvl="0">
      <w:lvlJc w:val="left"/>
      <w:lvlText w:val="(%1)"/>
      <w:numFmt w:val="upperLetter"/>
      <w:start w:val="2"/>
    </w:lvl>
    <w:lvl w:ilvl="1">
      <w:lvlJc w:val="left"/>
      <w:lvlText w:val="(%2)"/>
      <w:numFmt w:val="lowerRoman"/>
      <w:start w:val="4"/>
    </w:lvl>
  </w:abstractNum>
  <w:abstractNum w:abstractNumId="81">
    <w:nsid w:val="57D2F10E"/>
    <w:multiLevelType w:val="hybridMultilevel"/>
    <w:lvl w:ilvl="0">
      <w:lvlJc w:val="left"/>
      <w:lvlText w:val="(%1)"/>
      <w:numFmt w:val="lowerRoman"/>
      <w:start w:val="5"/>
    </w:lvl>
    <w:lvl w:ilvl="1">
      <w:lvlJc w:val="left"/>
      <w:lvlText w:val="(%2)"/>
      <w:numFmt w:val="lowerRoman"/>
      <w:start w:val="7"/>
    </w:lvl>
  </w:abstractNum>
  <w:abstractNum w:abstractNumId="82">
    <w:nsid w:val="BFFAE18"/>
    <w:multiLevelType w:val="hybridMultilevel"/>
    <w:lvl w:ilvl="0">
      <w:lvlJc w:val="left"/>
      <w:lvlText w:val="(%1)"/>
      <w:numFmt w:val="lowerLetter"/>
      <w:start w:val="3"/>
    </w:lvl>
  </w:abstractNum>
  <w:abstractNum w:abstractNumId="83">
    <w:nsid w:val="E3E47A8"/>
    <w:multiLevelType w:val="hybridMultilevel"/>
    <w:lvl w:ilvl="0">
      <w:lvlJc w:val="left"/>
      <w:lvlText w:val="(%1)"/>
      <w:numFmt w:val="lowerLetter"/>
      <w:start w:val="1"/>
    </w:lvl>
  </w:abstractNum>
  <w:abstractNum w:abstractNumId="84">
    <w:nsid w:val="2E48F044"/>
    <w:multiLevelType w:val="hybridMultilevel"/>
    <w:lvl w:ilvl="0">
      <w:lvlJc w:val="left"/>
      <w:lvlText w:val="(%1)"/>
      <w:numFmt w:val="lowerLetter"/>
      <w:start w:val="3"/>
    </w:lvl>
  </w:abstractNum>
  <w:abstractNum w:abstractNumId="85">
    <w:nsid w:val="49D0FEAC"/>
    <w:multiLevelType w:val="hybridMultilevel"/>
    <w:lvl w:ilvl="0">
      <w:lvlJc w:val="left"/>
      <w:lvlText w:val="(%1)"/>
      <w:numFmt w:val="lowerLetter"/>
      <w:start w:val="7"/>
    </w:lvl>
  </w:abstractNum>
  <w:abstractNum w:abstractNumId="86">
    <w:nsid w:val="4BEE5A5B"/>
    <w:multiLevelType w:val="hybridMultilevel"/>
    <w:lvl w:ilvl="0">
      <w:lvlJc w:val="left"/>
      <w:lvlText w:val="(%1)"/>
      <w:numFmt w:val="lowerLetter"/>
      <w:start w:val="9"/>
    </w:lvl>
  </w:abstractNum>
  <w:abstractNum w:abstractNumId="87">
    <w:nsid w:val="5551B9F3"/>
    <w:multiLevelType w:val="hybridMultilevel"/>
    <w:lvl w:ilvl="0">
      <w:lvlJc w:val="left"/>
      <w:lvlText w:val="(%1)"/>
      <w:numFmt w:val="lowerLetter"/>
      <w:start w:val="15"/>
    </w:lvl>
    <w:lvl w:ilvl="1">
      <w:lvlJc w:val="left"/>
      <w:lvlText w:val="(%2)"/>
      <w:numFmt w:val="upperLetter"/>
      <w:start w:val="1"/>
    </w:lvl>
  </w:abstractNum>
  <w:abstractNum w:abstractNumId="88">
    <w:nsid w:val="24F6AB8E"/>
    <w:multiLevelType w:val="hybridMultilevel"/>
    <w:lvl w:ilvl="0">
      <w:lvlJc w:val="left"/>
      <w:lvlText w:val="(%1)"/>
      <w:numFmt w:val="lowerLetter"/>
      <w:start w:val="16"/>
    </w:lvl>
  </w:abstractNum>
  <w:abstractNum w:abstractNumId="89">
    <w:nsid w:val="634C574C"/>
    <w:multiLevelType w:val="hybridMultilevel"/>
    <w:lvl w:ilvl="0">
      <w:lvlJc w:val="left"/>
      <w:lvlText w:val="(%1)"/>
      <w:numFmt w:val="lowerLetter"/>
      <w:start w:val="19"/>
    </w:lvl>
  </w:abstractNum>
  <w:abstractNum w:abstractNumId="90">
    <w:nsid w:val="24E99DD7"/>
    <w:multiLevelType w:val="hybridMultilevel"/>
    <w:lvl w:ilvl="0">
      <w:lvlJc w:val="left"/>
      <w:lvlText w:val="%1"/>
      <w:numFmt w:val="lowerRoman"/>
      <w:start w:val="1"/>
    </w:lvl>
    <w:lvl w:ilvl="1">
      <w:lvlJc w:val="left"/>
      <w:lvlText w:val="(%2)"/>
      <w:numFmt w:val="lowerLetter"/>
      <w:start w:val="1"/>
    </w:lvl>
  </w:abstractNum>
  <w:abstractNum w:abstractNumId="91">
    <w:nsid w:val="2A31B62D"/>
    <w:multiLevelType w:val="hybridMultilevel"/>
    <w:lvl w:ilvl="0">
      <w:lvlJc w:val="left"/>
      <w:lvlText w:val="%1"/>
      <w:numFmt w:val="lowerRoman"/>
      <w:start w:val="1"/>
    </w:lvl>
    <w:lvl w:ilvl="1">
      <w:lvlJc w:val="left"/>
      <w:lvlText w:val="(%2)"/>
      <w:numFmt w:val="lowerLetter"/>
      <w:start w:val="9"/>
    </w:lvl>
  </w:abstractNum>
  <w:abstractNum w:abstractNumId="92">
    <w:nsid w:val="1849C29B"/>
    <w:multiLevelType w:val="hybridMultilevel"/>
    <w:lvl w:ilvl="0">
      <w:lvlJc w:val="left"/>
      <w:lvlText w:val="%1"/>
      <w:numFmt w:val="lowerRoman"/>
      <w:start w:val="1"/>
    </w:lvl>
    <w:lvl w:ilvl="1">
      <w:lvlJc w:val="left"/>
      <w:lvlText w:val="(%2)"/>
      <w:numFmt w:val="lowerLetter"/>
      <w:start w:val="35"/>
    </w:lvl>
  </w:abstractNum>
  <w:abstractNum w:abstractNumId="93">
    <w:nsid w:val="7DFF9D09"/>
    <w:multiLevelType w:val="hybridMultilevel"/>
    <w:lvl w:ilvl="0">
      <w:lvlJc w:val="left"/>
      <w:lvlText w:val="%1"/>
      <w:numFmt w:val="lowerRoman"/>
      <w:start w:val="1"/>
    </w:lvl>
    <w:lvl w:ilvl="1">
      <w:lvlJc w:val="left"/>
      <w:lvlText w:val="(%2)"/>
      <w:numFmt w:val="lowerLetter"/>
      <w:start w:val="61"/>
    </w:lvl>
  </w:abstractNum>
  <w:abstractNum w:abstractNumId="94">
    <w:nsid w:val="754342"/>
    <w:multiLevelType w:val="hybridMultilevel"/>
    <w:lvl w:ilvl="0">
      <w:lvlJc w:val="left"/>
      <w:lvlText w:val="(%1)"/>
      <w:numFmt w:val="lowerRoman"/>
      <w:start w:val="4"/>
    </w:lvl>
    <w:lvl w:ilvl="1">
      <w:lvlJc w:val="left"/>
      <w:lvlText w:val="%2"/>
      <w:numFmt w:val="lowerLetter"/>
      <w:start w:val="1"/>
    </w:lvl>
  </w:abstractNum>
  <w:abstractNum w:abstractNumId="95">
    <w:nsid w:val="69E7F3E5"/>
    <w:multiLevelType w:val="hybridMultilevel"/>
    <w:lvl w:ilvl="0">
      <w:lvlJc w:val="left"/>
      <w:lvlText w:val="(%1)"/>
      <w:numFmt w:val="lowerRoman"/>
      <w:start w:val="5"/>
    </w:lvl>
    <w:lvl w:ilvl="1">
      <w:lvlJc w:val="left"/>
      <w:lvlText w:val="(%2)"/>
      <w:numFmt w:val="lowerLetter"/>
      <w:start w:val="2"/>
    </w:lvl>
  </w:abstractNum>
  <w:abstractNum w:abstractNumId="96">
    <w:nsid w:val="2A6DE806"/>
    <w:multiLevelType w:val="hybridMultilevel"/>
    <w:lvl w:ilvl="0">
      <w:lvlJc w:val="left"/>
      <w:lvlText w:val="%1"/>
      <w:numFmt w:val="lowerLetter"/>
      <w:start w:val="1"/>
    </w:lvl>
    <w:lvl w:ilvl="1">
      <w:lvlJc w:val="left"/>
      <w:lvlText w:val="(%2)"/>
      <w:numFmt w:val="lowerLetter"/>
      <w:start w:val="1"/>
    </w:lvl>
  </w:abstractNum>
  <w:abstractNum w:abstractNumId="97">
    <w:nsid w:val="1816F8C4"/>
    <w:multiLevelType w:val="hybridMultilevel"/>
    <w:lvl w:ilvl="0">
      <w:lvlJc w:val="left"/>
      <w:lvlText w:val="(%1)"/>
      <w:numFmt w:val="lowerLetter"/>
      <w:start w:val="35"/>
    </w:lvl>
    <w:lvl w:ilvl="1">
      <w:lvlJc w:val="left"/>
      <w:lvlText w:val="%2"/>
      <w:numFmt w:val="lowerLetter"/>
      <w:start w:val="1"/>
    </w:lvl>
  </w:abstractNum>
  <w:abstractNum w:abstractNumId="98">
    <w:nsid w:val="37DF2233"/>
    <w:multiLevelType w:val="hybridMultilevel"/>
    <w:lvl w:ilvl="0">
      <w:lvlJc w:val="left"/>
      <w:lvlText w:val="%1"/>
      <w:numFmt w:val="lowerLetter"/>
      <w:start w:val="1"/>
    </w:lvl>
    <w:lvl w:ilvl="1">
      <w:lvlJc w:val="left"/>
      <w:lvlText w:val="(%2)"/>
      <w:numFmt w:val="lowerLetter"/>
      <w:start w:val="2"/>
    </w:lvl>
  </w:abstractNum>
  <w:abstractNum w:abstractNumId="99">
    <w:nsid w:val="7AB49DAF"/>
    <w:multiLevelType w:val="hybridMultilevel"/>
    <w:lvl w:ilvl="0">
      <w:lvlJc w:val="left"/>
      <w:lvlText w:val="(%1)"/>
      <w:numFmt w:val="lowerLetter"/>
      <w:start w:val="9"/>
    </w:lvl>
    <w:lvl w:ilvl="1">
      <w:lvlJc w:val="left"/>
      <w:lvlText w:val="%2"/>
      <w:numFmt w:val="lowerLetter"/>
      <w:start w:val="1"/>
    </w:lvl>
  </w:abstractNum>
  <w:abstractNum w:abstractNumId="100">
    <w:nsid w:val="759F82CD"/>
    <w:multiLevelType w:val="hybridMultilevel"/>
    <w:lvl w:ilvl="0">
      <w:lvlJc w:val="left"/>
      <w:lvlText w:val="(%1)"/>
      <w:numFmt w:val="lowerLetter"/>
      <w:start w:val="4"/>
    </w:lvl>
  </w:abstractNum>
  <w:abstractNum w:abstractNumId="101">
    <w:nsid w:val="61E74EA3"/>
    <w:multiLevelType w:val="hybridMultilevel"/>
    <w:lvl w:ilvl="0">
      <w:lvlJc w:val="left"/>
      <w:lvlText w:val="(%1)"/>
      <w:numFmt w:val="lowerLetter"/>
      <w:start w:val="1"/>
    </w:lvl>
    <w:lvl w:ilvl="1">
      <w:lvlJc w:val="left"/>
      <w:lvlText w:val="(%2)"/>
      <w:numFmt w:val="lowerRoman"/>
      <w:start w:val="1"/>
    </w:lvl>
  </w:abstractNum>
  <w:abstractNum w:abstractNumId="102">
    <w:nsid w:val="597B4D84"/>
    <w:multiLevelType w:val="hybridMultilevel"/>
    <w:lvl w:ilvl="0">
      <w:lvlJc w:val="left"/>
      <w:lvlText w:val="(%1)"/>
      <w:numFmt w:val="lowerLetter"/>
      <w:start w:val="1"/>
    </w:lvl>
  </w:abstractNum>
  <w:abstractNum w:abstractNumId="103">
    <w:nsid w:val="F819E7F"/>
    <w:multiLevelType w:val="hybridMultilevel"/>
    <w:lvl w:ilvl="0">
      <w:lvlJc w:val="left"/>
      <w:lvlText w:val="(%1)"/>
      <w:numFmt w:val="lowerLetter"/>
      <w:start w:val="2"/>
    </w:lvl>
  </w:abstractNum>
  <w:abstractNum w:abstractNumId="104">
    <w:nsid w:val="57C7D42D"/>
    <w:multiLevelType w:val="hybridMultilevel"/>
    <w:lvl w:ilvl="0">
      <w:lvlJc w:val="left"/>
      <w:lvlText w:val="(%1)"/>
      <w:numFmt w:val="lowerLetter"/>
      <w:start w:val="5"/>
    </w:lvl>
  </w:abstractNum>
  <w:abstractNum w:abstractNumId="105">
    <w:nsid w:val="312167AD"/>
    <w:multiLevelType w:val="hybridMultilevel"/>
    <w:lvl w:ilvl="0">
      <w:lvlJc w:val="left"/>
      <w:lvlText w:val="(%1)"/>
      <w:numFmt w:val="lowerLetter"/>
      <w:start w:val="8"/>
    </w:lvl>
    <w:lvl w:ilvl="1">
      <w:lvlJc w:val="left"/>
      <w:lvlText w:val="(%2)"/>
      <w:numFmt w:val="lowerLetter"/>
      <w:start w:val="1"/>
    </w:lvl>
  </w:abstractNum>
  <w:abstractNum w:abstractNumId="106">
    <w:nsid w:val="631B64D4"/>
    <w:multiLevelType w:val="hybridMultilevel"/>
    <w:lvl w:ilvl="0">
      <w:lvlJc w:val="left"/>
      <w:lvlText w:val="(%1)"/>
      <w:numFmt w:val="lowerRoman"/>
      <w:start w:val="1"/>
    </w:lvl>
  </w:abstractNum>
  <w:abstractNum w:abstractNumId="107">
    <w:nsid w:val="78B5E776"/>
    <w:multiLevelType w:val="hybridMultilevel"/>
    <w:lvl w:ilvl="0">
      <w:lvlJc w:val="left"/>
      <w:lvlText w:val="(%1)"/>
      <w:numFmt w:val="lowerRoman"/>
      <w:start w:val="2"/>
    </w:lvl>
  </w:abstractNum>
  <w:abstractNum w:abstractNumId="108">
    <w:nsid w:val="75486E47"/>
    <w:multiLevelType w:val="hybridMultilevel"/>
    <w:lvl w:ilvl="0">
      <w:lvlJc w:val="left"/>
      <w:lvlText w:val="(%1)"/>
      <w:numFmt w:val="lowerLetter"/>
      <w:start w:val="1"/>
    </w:lvl>
    <w:lvl w:ilvl="1">
      <w:lvlJc w:val="left"/>
      <w:lvlText w:val="(%2)"/>
      <w:numFmt w:val="decimal"/>
      <w:start w:val="1"/>
    </w:lvl>
  </w:abstractNum>
  <w:abstractNum w:abstractNumId="109">
    <w:nsid w:val="6E534CDE"/>
    <w:multiLevelType w:val="hybridMultilevel"/>
    <w:lvl w:ilvl="0">
      <w:lvlJc w:val="left"/>
      <w:lvlText w:val="(%1)"/>
      <w:numFmt w:val="decimal"/>
      <w:start w:val="5"/>
    </w:lvl>
  </w:abstractNum>
  <w:abstractNum w:abstractNumId="110">
    <w:nsid w:val="1A0DDE32"/>
    <w:multiLevelType w:val="hybridMultilevel"/>
    <w:lvl w:ilvl="0">
      <w:lvlJc w:val="left"/>
      <w:lvlText w:val="(%1)"/>
      <w:numFmt w:val="decimal"/>
      <w:start w:val="18"/>
    </w:lvl>
  </w:abstractNum>
  <w:abstractNum w:abstractNumId="111">
    <w:nsid w:val="65968C1C"/>
    <w:multiLevelType w:val="hybridMultilevel"/>
    <w:lvl w:ilvl="0">
      <w:lvlJc w:val="left"/>
      <w:lvlText w:val="(%1)"/>
      <w:numFmt w:val="decimal"/>
      <w:start w:val="1"/>
    </w:lvl>
  </w:abstractNum>
  <w:abstractNum w:abstractNumId="112">
    <w:nsid w:val="46263DEC"/>
    <w:multiLevelType w:val="hybridMultilevel"/>
    <w:lvl w:ilvl="0">
      <w:lvlJc w:val="left"/>
      <w:lvlText w:val="(%1)"/>
      <w:numFmt w:val="lowerLetter"/>
      <w:start w:val="1"/>
    </w:lvl>
  </w:abstractNum>
  <w:abstractNum w:abstractNumId="113">
    <w:nsid w:val="260D8C4A"/>
    <w:multiLevelType w:val="hybridMultilevel"/>
    <w:lvl w:ilvl="0">
      <w:lvlJc w:val="left"/>
      <w:lvlText w:val="(%1)"/>
      <w:numFmt w:val="lowerLetter"/>
      <w:start w:val="2"/>
    </w:lvl>
  </w:abstractNum>
  <w:abstractNum w:abstractNumId="114">
    <w:nsid w:val="73D4D3C4"/>
    <w:multiLevelType w:val="hybridMultilevel"/>
    <w:lvl w:ilvl="0">
      <w:lvlJc w:val="left"/>
      <w:lvlText w:val="(%1)"/>
      <w:numFmt w:val="lowerLetter"/>
      <w:start w:val="3"/>
    </w:lvl>
  </w:abstractNum>
  <w:abstractNum w:abstractNumId="115">
    <w:nsid w:val="746F2E30"/>
    <w:multiLevelType w:val="hybridMultilevel"/>
    <w:lvl w:ilvl="0">
      <w:lvlJc w:val="left"/>
      <w:lvlText w:val="(%1)"/>
      <w:numFmt w:val="lowerLetter"/>
      <w:start w:val="1"/>
    </w:lvl>
  </w:abstractNum>
  <w:abstractNum w:abstractNumId="116">
    <w:nsid w:val="6FDE8AF6"/>
    <w:multiLevelType w:val="hybridMultilevel"/>
    <w:lvl w:ilvl="0">
      <w:lvlJc w:val="left"/>
      <w:lvlText w:val="(%1)"/>
      <w:numFmt w:val="lowerLetter"/>
      <w:start w:val="1"/>
    </w:lvl>
  </w:abstractNum>
  <w:abstractNum w:abstractNumId="117">
    <w:nsid w:val="3FC32E20"/>
    <w:multiLevelType w:val="hybridMultilevel"/>
    <w:lvl w:ilvl="0">
      <w:lvlJc w:val="left"/>
      <w:lvlText w:val="(%1)"/>
      <w:numFmt w:val="lowerLetter"/>
      <w:start w:val="2"/>
    </w:lvl>
  </w:abstractNum>
  <w:abstractNum w:abstractNumId="118">
    <w:nsid w:val="49C0E823"/>
    <w:multiLevelType w:val="hybridMultilevel"/>
    <w:lvl w:ilvl="0">
      <w:lvlJc w:val="left"/>
      <w:lvlText w:val="(%1)"/>
      <w:numFmt w:val="lowerLetter"/>
      <w:start w:val="1"/>
    </w:lvl>
  </w:abstractNum>
  <w:abstractNum w:abstractNumId="119">
    <w:nsid w:val="14D53685"/>
    <w:multiLevelType w:val="hybridMultilevel"/>
    <w:lvl w:ilvl="0">
      <w:lvlJc w:val="left"/>
      <w:lvlText w:val="(%1)"/>
      <w:numFmt w:val="lowerLetter"/>
      <w:start w:val="1"/>
    </w:lvl>
    <w:lvl w:ilvl="1">
      <w:lvlJc w:val="left"/>
      <w:lvlText w:val="(%2)"/>
      <w:numFmt w:val="decimal"/>
      <w:start w:val="1"/>
    </w:lvl>
  </w:abstractNum>
  <w:abstractNum w:abstractNumId="120">
    <w:nsid w:val="230F856C"/>
    <w:multiLevelType w:val="hybridMultilevel"/>
    <w:lvl w:ilvl="0">
      <w:lvlJc w:val="left"/>
      <w:lvlText w:val="(%1)"/>
      <w:numFmt w:val="lowerLetter"/>
      <w:start w:val="1"/>
    </w:lvl>
  </w:abstractNum>
  <w:abstractNum w:abstractNumId="121">
    <w:nsid w:val="6EAA85FB"/>
    <w:multiLevelType w:val="hybridMultilevel"/>
    <w:lvl w:ilvl="0">
      <w:lvlJc w:val="left"/>
      <w:lvlText w:val="(%1)"/>
      <w:numFmt w:val="lowerLetter"/>
      <w:start w:val="1"/>
    </w:lvl>
  </w:abstractNum>
  <w:abstractNum w:abstractNumId="122">
    <w:nsid w:val="3F06ECB2"/>
    <w:multiLevelType w:val="hybridMultilevel"/>
    <w:lvl w:ilvl="0">
      <w:lvlJc w:val="left"/>
      <w:lvlText w:val="(%1)"/>
      <w:numFmt w:val="lowerLetter"/>
      <w:start w:val="2"/>
    </w:lvl>
  </w:abstractNum>
  <w:abstractNum w:abstractNumId="123">
    <w:nsid w:val="3B594807"/>
    <w:multiLevelType w:val="hybridMultilevel"/>
    <w:lvl w:ilvl="0">
      <w:lvlJc w:val="left"/>
      <w:lvlText w:val="(%1)"/>
      <w:numFmt w:val="lowerLetter"/>
      <w:start w:val="1"/>
    </w:lvl>
  </w:abstractNum>
  <w:abstractNum w:abstractNumId="124">
    <w:nsid w:val="6CAA2304"/>
    <w:multiLevelType w:val="hybridMultilevel"/>
    <w:lvl w:ilvl="0">
      <w:lvlJc w:val="left"/>
      <w:lvlText w:val="(%1)"/>
      <w:numFmt w:val="lowerLetter"/>
      <w:start w:val="1"/>
    </w:lvl>
    <w:lvl w:ilvl="1">
      <w:lvlJc w:val="left"/>
      <w:lvlText w:val="(%2)"/>
      <w:numFmt w:val="decimal"/>
      <w:start w:val="1"/>
    </w:lvl>
  </w:abstractNum>
  <w:abstractNum w:abstractNumId="125">
    <w:nsid w:val="3F7C2FF4"/>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126">
    <w:nsid w:val="25413BEC"/>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27">
    <w:nsid w:val="17180B0B"/>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128">
    <w:nsid w:val="579328B9"/>
    <w:multiLevelType w:val="hybridMultilevel"/>
    <w:lvl w:ilvl="0">
      <w:lvlJc w:val="left"/>
      <w:lvlText w:val="(%1)"/>
      <w:numFmt w:val="lowerLetter"/>
      <w:start w:val="4"/>
    </w:lvl>
  </w:abstractNum>
  <w:abstractNum w:abstractNumId="129">
    <w:nsid w:val="5D205E20"/>
    <w:multiLevelType w:val="hybridMultilevel"/>
    <w:lvl w:ilvl="0">
      <w:lvlJc w:val="left"/>
      <w:lvlText w:val="(%1)"/>
      <w:numFmt w:val="lowerLetter"/>
      <w:start w:val="1"/>
    </w:lvl>
  </w:abstractNum>
  <w:abstractNum w:abstractNumId="130">
    <w:nsid w:val="11CCA8BA"/>
    <w:multiLevelType w:val="hybridMultilevel"/>
    <w:lvl w:ilvl="0">
      <w:lvlJc w:val="left"/>
      <w:lvlText w:val="(%1)"/>
      <w:numFmt w:val="lowerLetter"/>
      <w:start w:val="2"/>
    </w:lvl>
  </w:abstractNum>
  <w:abstractNum w:abstractNumId="131">
    <w:nsid w:val="4D32AB86"/>
    <w:multiLevelType w:val="hybridMultilevel"/>
    <w:lvl w:ilvl="0">
      <w:lvlJc w:val="left"/>
      <w:lvlText w:val="(%1)"/>
      <w:numFmt w:val="lowerLetter"/>
      <w:start w:val="1"/>
    </w:lvl>
  </w:abstractNum>
  <w:abstractNum w:abstractNumId="132">
    <w:nsid w:val="3F07ACC3"/>
    <w:multiLevelType w:val="hybridMultilevel"/>
    <w:lvl w:ilvl="0">
      <w:lvlJc w:val="left"/>
      <w:lvlText w:val="(%1)"/>
      <w:numFmt w:val="lowerLetter"/>
      <w:start w:val="2"/>
    </w:lvl>
  </w:abstractNum>
  <w:abstractNum w:abstractNumId="133">
    <w:nsid w:val="6B47F63E"/>
    <w:multiLevelType w:val="hybridMultilevel"/>
    <w:lvl w:ilvl="0">
      <w:lvlJc w:val="left"/>
      <w:lvlText w:val="(%1)"/>
      <w:numFmt w:val="lowerLetter"/>
      <w:start w:val="1"/>
    </w:lvl>
  </w:abstractNum>
  <w:abstractNum w:abstractNumId="134">
    <w:nsid w:val="5CB44A05"/>
    <w:multiLevelType w:val="hybridMultilevel"/>
    <w:lvl w:ilvl="0">
      <w:lvlJc w:val="left"/>
      <w:lvlText w:val="(%1)"/>
      <w:numFmt w:val="lowerRoman"/>
      <w:start w:val="1"/>
    </w:lvl>
    <w:lvl w:ilvl="1">
      <w:lvlJc w:val="left"/>
      <w:lvlText w:val="(%2)"/>
      <w:numFmt w:val="upperLetter"/>
      <w:start w:val="1"/>
    </w:lvl>
  </w:abstractNum>
  <w:abstractNum w:abstractNumId="135">
    <w:nsid w:val="16CF80F1"/>
    <w:multiLevelType w:val="hybridMultilevel"/>
    <w:lvl w:ilvl="0">
      <w:lvlJc w:val="left"/>
      <w:lvlText w:val="(%1)"/>
      <w:numFmt w:val="lowerLetter"/>
      <w:start w:val="1"/>
    </w:lvl>
  </w:abstractNum>
  <w:abstractNum w:abstractNumId="136">
    <w:nsid w:val="1C695DEC"/>
    <w:multiLevelType w:val="hybridMultilevel"/>
    <w:lvl w:ilvl="0">
      <w:lvlJc w:val="left"/>
      <w:lvlText w:val="(%1)"/>
      <w:numFmt w:val="lowerLetter"/>
      <w:start w:val="9"/>
    </w:lvl>
  </w:abstractNum>
  <w:abstractNum w:abstractNumId="137">
    <w:nsid w:val="3FCFAED9"/>
    <w:multiLevelType w:val="hybridMultilevel"/>
    <w:lvl w:ilvl="0">
      <w:lvlJc w:val="left"/>
      <w:lvlText w:val="(%1)"/>
      <w:numFmt w:val="lowerLetter"/>
      <w:start w:val="1"/>
    </w:lvl>
  </w:abstractNum>
  <w:abstractNum w:abstractNumId="138">
    <w:nsid w:val="F856867"/>
    <w:multiLevelType w:val="hybridMultilevel"/>
    <w:lvl w:ilvl="0">
      <w:lvlJc w:val="left"/>
      <w:lvlText w:val="(%1)"/>
      <w:numFmt w:val="lowerLetter"/>
      <w:start w:val="1"/>
    </w:lvl>
  </w:abstractNum>
  <w:abstractNum w:abstractNumId="139">
    <w:nsid w:val="11B1CC33"/>
    <w:multiLevelType w:val="hybridMultilevel"/>
    <w:lvl w:ilvl="0">
      <w:lvlJc w:val="left"/>
      <w:lvlText w:val="(%1)"/>
      <w:numFmt w:val="lowerLetter"/>
      <w:start w:val="1"/>
    </w:lvl>
    <w:lvl w:ilvl="1">
      <w:lvlJc w:val="left"/>
      <w:lvlText w:val="(%2)"/>
      <w:numFmt w:val="lowerRoman"/>
      <w:start w:val="1"/>
    </w:lvl>
  </w:abstractNum>
  <w:abstractNum w:abstractNumId="140">
    <w:nsid w:val="2E22FBB7"/>
    <w:multiLevelType w:val="hybridMultilevel"/>
    <w:lvl w:ilvl="0">
      <w:lvlJc w:val="left"/>
      <w:lvlText w:val="(%1)"/>
      <w:numFmt w:val="lowerLetter"/>
      <w:start w:val="3"/>
    </w:lvl>
  </w:abstractNum>
  <w:abstractNum w:abstractNumId="141">
    <w:nsid w:val="29934699"/>
    <w:multiLevelType w:val="hybridMultilevel"/>
    <w:lvl w:ilvl="0">
      <w:lvlJc w:val="left"/>
      <w:lvlText w:val="(%1)"/>
      <w:numFmt w:val="lowerLetter"/>
      <w:start w:val="1"/>
    </w:lvl>
  </w:abstractNum>
  <w:abstractNum w:abstractNumId="142">
    <w:nsid w:val="77485850"/>
    <w:multiLevelType w:val="hybridMultilevel"/>
    <w:lvl w:ilvl="0">
      <w:lvlJc w:val="left"/>
      <w:lvlText w:val="(%1)"/>
      <w:numFmt w:val="lowerLetter"/>
      <w:start w:val="3"/>
    </w:lvl>
  </w:abstractNum>
  <w:abstractNum w:abstractNumId="143">
    <w:nsid w:val="744939A3"/>
    <w:multiLevelType w:val="hybridMultilevel"/>
    <w:lvl w:ilvl="0">
      <w:lvlJc w:val="left"/>
      <w:lvlText w:val="(%1)"/>
      <w:numFmt w:val="lowerLetter"/>
      <w:start w:val="1"/>
    </w:lvl>
  </w:abstractNum>
  <w:abstractNum w:abstractNumId="144">
    <w:nsid w:val="4FA0D2E3"/>
    <w:multiLevelType w:val="hybridMultilevel"/>
    <w:lvl w:ilvl="0">
      <w:lvlJc w:val="left"/>
      <w:lvlText w:val="(%1)"/>
      <w:numFmt w:val="lowerLetter"/>
      <w:start w:val="2"/>
    </w:lvl>
  </w:abstractNum>
  <w:abstractNum w:abstractNumId="145">
    <w:nsid w:val="6B1D2C14"/>
    <w:multiLevelType w:val="hybridMultilevel"/>
    <w:lvl w:ilvl="0">
      <w:lvlJc w:val="left"/>
      <w:lvlText w:val="(%1)"/>
      <w:numFmt w:val="lowerLetter"/>
      <w:start w:val="1"/>
    </w:lvl>
  </w:abstractNum>
  <w:abstractNum w:abstractNumId="146">
    <w:nsid w:val="68B867D3"/>
    <w:multiLevelType w:val="hybridMultilevel"/>
    <w:lvl w:ilvl="0">
      <w:lvlJc w:val="left"/>
      <w:lvlText w:val="(%1)"/>
      <w:numFmt w:val="lowerLetter"/>
      <w:start w:val="5"/>
    </w:lvl>
  </w:abstractNum>
  <w:abstractNum w:abstractNumId="147">
    <w:nsid w:val="3F7F5DD9"/>
    <w:multiLevelType w:val="hybridMultilevel"/>
    <w:lvl w:ilvl="0">
      <w:lvlJc w:val="left"/>
      <w:lvlText w:val="(%1)"/>
      <w:numFmt w:val="lowerLetter"/>
      <w:start w:val="8"/>
    </w:lvl>
  </w:abstractNum>
  <w:abstractNum w:abstractNumId="148">
    <w:nsid w:val="2AE05A34"/>
    <w:multiLevelType w:val="hybridMultilevel"/>
    <w:lvl w:ilvl="0">
      <w:lvlJc w:val="left"/>
      <w:lvlText w:val="(%1)"/>
      <w:numFmt w:val="lowerLetter"/>
      <w:start w:val="1"/>
    </w:lvl>
  </w:abstractNum>
  <w:abstractNum w:abstractNumId="149">
    <w:nsid w:val="32794FF7"/>
    <w:multiLevelType w:val="hybridMultilevel"/>
    <w:lvl w:ilvl="0">
      <w:lvlJc w:val="left"/>
      <w:lvlText w:val="(%1)"/>
      <w:numFmt w:val="lowerLetter"/>
      <w:start w:val="2"/>
    </w:lvl>
  </w:abstractNum>
  <w:abstractNum w:abstractNumId="150">
    <w:nsid w:val="5454945E"/>
    <w:multiLevelType w:val="hybridMultilevel"/>
    <w:lvl w:ilvl="0">
      <w:lvlJc w:val="left"/>
      <w:lvlText w:val="%1"/>
      <w:numFmt w:val="lowerLetter"/>
      <w:start w:val="1"/>
    </w:lvl>
    <w:lvl w:ilvl="1">
      <w:lvlJc w:val="left"/>
      <w:lvlText w:val="(%2)"/>
      <w:numFmt w:val="lowerLetter"/>
      <w:start w:val="1"/>
    </w:lvl>
  </w:abstractNum>
  <w:abstractNum w:abstractNumId="151">
    <w:nsid w:val="4DEFDFA0"/>
    <w:multiLevelType w:val="hybridMultilevel"/>
    <w:lvl w:ilvl="0">
      <w:lvlJc w:val="left"/>
      <w:lvlText w:val="(%1)"/>
      <w:numFmt w:val="lowerLetter"/>
      <w:start w:val="61"/>
    </w:lvl>
    <w:lvl w:ilvl="1">
      <w:lvlJc w:val="left"/>
      <w:lvlText w:val="%2"/>
      <w:numFmt w:val="lowerLetter"/>
      <w:start w:val="1"/>
    </w:lvl>
  </w:abstractNum>
  <w:abstractNum w:abstractNumId="152">
    <w:nsid w:val="2123D5F2"/>
    <w:multiLevelType w:val="hybridMultilevel"/>
    <w:lvl w:ilvl="0">
      <w:lvlJc w:val="left"/>
      <w:lvlText w:val="(%1)"/>
      <w:numFmt w:val="decimal"/>
      <w:start w:val="1"/>
    </w:lvl>
  </w:abstractNum>
  <w:abstractNum w:abstractNumId="153">
    <w:nsid w:val="135B8110"/>
    <w:multiLevelType w:val="hybridMultilevel"/>
    <w:lvl w:ilvl="0">
      <w:lvlJc w:val="left"/>
      <w:lvlText w:val="(%1)"/>
      <w:numFmt w:val="lowerLetter"/>
      <w:start w:val="1"/>
    </w:lvl>
  </w:abstractNum>
  <w:abstractNum w:abstractNumId="154">
    <w:nsid w:val="94927A8"/>
    <w:multiLevelType w:val="hybridMultilevel"/>
    <w:lvl w:ilvl="0">
      <w:lvlJc w:val="left"/>
      <w:lvlText w:val="(%1)"/>
      <w:numFmt w:val="lowerLetter"/>
      <w:start w:val="2"/>
    </w:lvl>
  </w:abstractNum>
  <w:abstractNum w:abstractNumId="155">
    <w:nsid w:val="DCDF8F6"/>
    <w:multiLevelType w:val="hybridMultilevel"/>
    <w:lvl w:ilvl="0">
      <w:lvlJc w:val="left"/>
      <w:lvlText w:val="(%1)"/>
      <w:numFmt w:val="lowerLetter"/>
      <w:start w:val="1"/>
    </w:lvl>
    <w:lvl w:ilvl="1">
      <w:lvlJc w:val="left"/>
      <w:lvlText w:val="(%2)"/>
      <w:numFmt w:val="lowerRoman"/>
      <w:start w:val="1"/>
    </w:lvl>
  </w:abstractNum>
  <w:abstractNum w:abstractNumId="156">
    <w:nsid w:val="52D7B105"/>
    <w:multiLevelType w:val="hybridMultilevel"/>
    <w:lvl w:ilvl="0">
      <w:lvlJc w:val="left"/>
      <w:lvlText w:val="%1"/>
      <w:numFmt w:val="lowerLetter"/>
      <w:start w:val="1"/>
    </w:lvl>
    <w:lvl w:ilvl="1">
      <w:lvlJc w:val="left"/>
      <w:lvlText w:val="(%2)"/>
      <w:numFmt w:val="lowerLetter"/>
      <w:start w:val="3"/>
    </w:lvl>
  </w:abstractNum>
  <w:abstractNum w:abstractNumId="157">
    <w:nsid w:val="2E8A6394"/>
    <w:multiLevelType w:val="hybridMultilevel"/>
    <w:lvl w:ilvl="0">
      <w:lvlJc w:val="left"/>
      <w:lvlText w:val="(%1)"/>
      <w:numFmt w:val="lowerLetter"/>
      <w:start w:val="61"/>
    </w:lvl>
    <w:lvl w:ilvl="1">
      <w:lvlJc w:val="left"/>
      <w:lvlText w:val="(%2)"/>
      <w:numFmt w:val="lowerLetter"/>
      <w:start w:val="4"/>
    </w:lvl>
  </w:abstractNum>
  <w:abstractNum w:abstractNumId="158">
    <w:nsid w:val="24E60401"/>
    <w:multiLevelType w:val="hybridMultilevel"/>
    <w:lvl w:ilvl="0">
      <w:lvlJc w:val="left"/>
      <w:lvlText w:val="(%1)"/>
      <w:numFmt w:val="lowerLetter"/>
      <w:start w:val="7"/>
    </w:lvl>
  </w:abstractNum>
  <w:abstractNum w:abstractNumId="159">
    <w:nsid w:val="2A6AD9BE"/>
    <w:multiLevelType w:val="hybridMultilevel"/>
    <w:lvl w:ilvl="0">
      <w:lvlJc w:val="left"/>
      <w:lvlText w:val="(%1)"/>
      <w:numFmt w:val="lowerLetter"/>
      <w:start w:val="24"/>
    </w:lvl>
  </w:abstractNum>
  <w:abstractNum w:abstractNumId="160">
    <w:nsid w:val="BAAC1B4"/>
    <w:multiLevelType w:val="hybridMultilevel"/>
    <w:lvl w:ilvl="0">
      <w:lvlJc w:val="left"/>
      <w:lvlText w:val="(%1)"/>
      <w:numFmt w:val="lowerLetter"/>
      <w:start w:val="26"/>
    </w:lvl>
  </w:abstractNum>
  <w:abstractNum w:abstractNumId="161">
    <w:nsid w:val="36B2ACBC"/>
    <w:multiLevelType w:val="hybridMultilevel"/>
    <w:lvl w:ilvl="0">
      <w:lvlJc w:val="left"/>
      <w:lvlText w:val="(%1)"/>
      <w:numFmt w:val="lowerLetter"/>
      <w:start w:val="1"/>
    </w:lvl>
  </w:abstractNum>
  <w:abstractNum w:abstractNumId="162">
    <w:nsid w:val="779D8544"/>
    <w:multiLevelType w:val="hybridMultilevel"/>
    <w:lvl w:ilvl="0">
      <w:lvlJc w:val="left"/>
      <w:lvlText w:val="(%1)"/>
      <w:numFmt w:val="lowerLetter"/>
      <w:start w:val="3"/>
    </w:lvl>
  </w:abstractNum>
  <w:abstractNum w:abstractNumId="163">
    <w:nsid w:val="4AB26E78"/>
    <w:multiLevelType w:val="hybridMultilevel"/>
    <w:lvl w:ilvl="0">
      <w:lvlJc w:val="left"/>
      <w:lvlText w:val="(%1)"/>
      <w:numFmt w:val="lowerLetter"/>
      <w:start w:val="1"/>
    </w:lvl>
  </w:abstractNum>
  <w:abstractNum w:abstractNumId="164">
    <w:nsid w:val="21FAA2FA"/>
    <w:multiLevelType w:val="hybridMultilevel"/>
    <w:lvl w:ilvl="0">
      <w:lvlJc w:val="left"/>
      <w:lvlText w:val="(%1)"/>
      <w:numFmt w:val="lowerLetter"/>
      <w:start w:val="6"/>
    </w:lvl>
  </w:abstractNum>
  <w:abstractNum w:abstractNumId="165">
    <w:nsid w:val="5451CF49"/>
    <w:multiLevelType w:val="hybridMultilevel"/>
    <w:lvl w:ilvl="0">
      <w:lvlJc w:val="left"/>
      <w:lvlText w:val="(%1)"/>
      <w:numFmt w:val="lowerLetter"/>
      <w:start w:val="1"/>
    </w:lvl>
  </w:abstractNum>
  <w:abstractNum w:abstractNumId="166">
    <w:nsid w:val="6181EF69"/>
    <w:multiLevelType w:val="hybridMultilevel"/>
    <w:lvl w:ilvl="0">
      <w:lvlJc w:val="left"/>
      <w:lvlText w:val="(%1)"/>
      <w:numFmt w:val="lowerLetter"/>
      <w:start w:val="4"/>
    </w:lvl>
  </w:abstractNum>
  <w:abstractNum w:abstractNumId="167">
    <w:nsid w:val="3E6400E6"/>
    <w:multiLevelType w:val="hybridMultilevel"/>
    <w:lvl w:ilvl="0">
      <w:lvlJc w:val="left"/>
      <w:lvlText w:val="(%1)"/>
      <w:numFmt w:val="lowerLetter"/>
      <w:start w:val="1"/>
    </w:lvl>
  </w:abstractNum>
  <w:abstractNum w:abstractNumId="168">
    <w:nsid w:val="14217E23"/>
    <w:multiLevelType w:val="hybridMultilevel"/>
    <w:lvl w:ilvl="0">
      <w:lvlJc w:val="left"/>
      <w:lvlText w:val="(%1)"/>
      <w:numFmt w:val="lowerLetter"/>
      <w:start w:val="2"/>
    </w:lvl>
  </w:abstractNum>
  <w:abstractNum w:abstractNumId="169">
    <w:nsid w:val="710757D0"/>
    <w:multiLevelType w:val="hybridMultilevel"/>
    <w:lvl w:ilvl="0">
      <w:lvlJc w:val="left"/>
      <w:lvlText w:val="(%1)"/>
      <w:numFmt w:val="lowerLetter"/>
      <w:start w:val="1"/>
    </w:lvl>
    <w:lvl w:ilvl="1">
      <w:lvlJc w:val="left"/>
      <w:lvlText w:val="(%2)"/>
      <w:numFmt w:val="lowerRoman"/>
      <w:start w:val="1"/>
    </w:lvl>
  </w:abstractNum>
  <w:abstractNum w:abstractNumId="170">
    <w:nsid w:val="5015CD1A"/>
    <w:multiLevelType w:val="hybridMultilevel"/>
    <w:lvl w:ilvl="0">
      <w:lvlJc w:val="left"/>
      <w:lvlText w:val="(%1)"/>
      <w:numFmt w:val="lowerLetter"/>
      <w:start w:val="3"/>
    </w:lvl>
  </w:abstractNum>
  <w:abstractNum w:abstractNumId="171">
    <w:nsid w:val="424479DA"/>
    <w:multiLevelType w:val="hybridMultilevel"/>
    <w:lvl w:ilvl="0">
      <w:lvlJc w:val="left"/>
      <w:lvlText w:val="(%1)"/>
      <w:numFmt w:val="lowerLetter"/>
      <w:start w:val="7"/>
    </w:lvl>
  </w:abstractNum>
  <w:abstractNum w:abstractNumId="172">
    <w:nsid w:val="1A9A9E69"/>
    <w:multiLevelType w:val="hybridMultilevel"/>
    <w:lvl w:ilvl="0">
      <w:lvlJc w:val="left"/>
      <w:lvlText w:val="(%1)"/>
      <w:numFmt w:val="lowerLetter"/>
      <w:start w:val="1"/>
    </w:lvl>
  </w:abstractNum>
  <w:abstractNum w:abstractNumId="173">
    <w:nsid w:val="475E256A"/>
    <w:multiLevelType w:val="hybridMultilevel"/>
    <w:lvl w:ilvl="0">
      <w:lvlJc w:val="left"/>
      <w:lvlText w:val="(%1)"/>
      <w:numFmt w:val="lowerLetter"/>
      <w:start w:val="3"/>
    </w:lvl>
  </w:abstractNum>
  <w:abstractNum w:abstractNumId="174">
    <w:nsid w:val="368DB37E"/>
    <w:multiLevelType w:val="hybridMultilevel"/>
    <w:lvl w:ilvl="0">
      <w:lvlJc w:val="left"/>
      <w:lvlText w:val="(%1)"/>
      <w:numFmt w:val="lowerLetter"/>
      <w:start w:val="1"/>
    </w:lvl>
  </w:abstractNum>
  <w:abstractNum w:abstractNumId="175">
    <w:nsid w:val="6A3B714C"/>
    <w:multiLevelType w:val="hybridMultilevel"/>
    <w:lvl w:ilvl="0">
      <w:lvlJc w:val="left"/>
      <w:lvlText w:val="(%1)"/>
      <w:numFmt w:val="lowerLetter"/>
      <w:start w:val="6"/>
    </w:lvl>
  </w:abstractNum>
  <w:abstractNum w:abstractNumId="176">
    <w:nsid w:val="327B517E"/>
    <w:multiLevelType w:val="hybridMultilevel"/>
    <w:lvl w:ilvl="0">
      <w:lvlJc w:val="left"/>
      <w:lvlText w:val="(%1)"/>
      <w:numFmt w:val="lowerLetter"/>
      <w:start w:val="1"/>
    </w:lvl>
  </w:abstractNum>
  <w:abstractNum w:abstractNumId="177">
    <w:nsid w:val="1F461B51"/>
    <w:multiLevelType w:val="hybridMultilevel"/>
    <w:lvl w:ilvl="0">
      <w:lvlJc w:val="left"/>
      <w:lvlText w:val="(%1)"/>
      <w:numFmt w:val="lowerLetter"/>
      <w:start w:val="4"/>
    </w:lvl>
  </w:abstractNum>
  <w:abstractNum w:abstractNumId="178">
    <w:nsid w:val="29BACF25"/>
    <w:multiLevelType w:val="hybridMultilevel"/>
    <w:lvl w:ilvl="0">
      <w:lvlJc w:val="left"/>
      <w:lvlText w:val="(%1)"/>
      <w:numFmt w:val="lowerLetter"/>
      <w:start w:val="1"/>
    </w:lvl>
  </w:abstractNum>
  <w:abstractNum w:abstractNumId="179">
    <w:nsid w:val="5D5BABB3"/>
    <w:multiLevelType w:val="hybridMultilevel"/>
    <w:lvl w:ilvl="0">
      <w:lvlJc w:val="left"/>
      <w:lvlText w:val="(%1)"/>
      <w:numFmt w:val="lowerLetter"/>
      <w:start w:val="2"/>
    </w:lvl>
  </w:abstractNum>
  <w:abstractNum w:abstractNumId="180">
    <w:nsid w:val="51BF6B48"/>
    <w:multiLevelType w:val="hybridMultilevel"/>
    <w:lvl w:ilvl="0">
      <w:lvlJc w:val="left"/>
      <w:lvlText w:val="(%1)"/>
      <w:numFmt w:val="lowerLetter"/>
      <w:start w:val="1"/>
    </w:lvl>
  </w:abstractNum>
  <w:abstractNum w:abstractNumId="181">
    <w:nsid w:val="7E0F6384"/>
    <w:multiLevelType w:val="hybridMultilevel"/>
    <w:lvl w:ilvl="0">
      <w:lvlJc w:val="left"/>
      <w:lvlText w:val="(%1)"/>
      <w:numFmt w:val="lowerRoman"/>
      <w:start w:val="1"/>
    </w:lvl>
  </w:abstractNum>
  <w:abstractNum w:abstractNumId="182">
    <w:nsid w:val="2B4B8B53"/>
    <w:multiLevelType w:val="hybridMultilevel"/>
    <w:lvl w:ilvl="0">
      <w:lvlJc w:val="left"/>
      <w:lvlText w:val="(%1)"/>
      <w:numFmt w:val="lowerLetter"/>
      <w:start w:val="1"/>
    </w:lvl>
  </w:abstractNum>
  <w:abstractNum w:abstractNumId="183">
    <w:nsid w:val="72E3413A"/>
    <w:multiLevelType w:val="hybridMultilevel"/>
    <w:lvl w:ilvl="0">
      <w:lvlJc w:val="left"/>
      <w:lvlText w:val="(%1)"/>
      <w:numFmt w:val="lowerLetter"/>
      <w:start w:val="5"/>
    </w:lvl>
  </w:abstractNum>
  <w:abstractNum w:abstractNumId="184">
    <w:nsid w:val="116AE494"/>
    <w:multiLevelType w:val="hybridMultilevel"/>
    <w:lvl w:ilvl="0">
      <w:lvlJc w:val="left"/>
      <w:lvlText w:val="•"/>
      <w:numFmt w:val="bullet"/>
      <w:start w:val="1"/>
    </w:lvl>
  </w:abstractNum>
  <w:abstractNum w:abstractNumId="185">
    <w:nsid w:val="3494B2FB"/>
    <w:multiLevelType w:val="hybridMultilevel"/>
    <w:lvl w:ilvl="0">
      <w:lvlJc w:val="left"/>
      <w:lvlText w:val="%1."/>
      <w:numFmt w:val="decimal"/>
      <w:start w:val="1"/>
    </w:lvl>
  </w:abstractNum>
  <w:abstractNum w:abstractNumId="186">
    <w:nsid w:val="B13A31"/>
    <w:multiLevelType w:val="hybridMultilevel"/>
    <w:lvl w:ilvl="0">
      <w:lvlJc w:val="left"/>
      <w:lvlText w:val="%1."/>
      <w:numFmt w:val="decimal"/>
      <w:start w:val="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jpe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jpe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png"/><Relationship Id="rId297" Type="http://schemas.openxmlformats.org/officeDocument/2006/relationships/image" Target="media/image279.png"/><Relationship Id="rId298" Type="http://schemas.openxmlformats.org/officeDocument/2006/relationships/image" Target="media/image280.png"/><Relationship Id="rId299" Type="http://schemas.openxmlformats.org/officeDocument/2006/relationships/image" Target="media/image281.png"/><Relationship Id="rId300" Type="http://schemas.openxmlformats.org/officeDocument/2006/relationships/image" Target="media/image282.png"/><Relationship Id="rId301" Type="http://schemas.openxmlformats.org/officeDocument/2006/relationships/image" Target="media/image283.png"/><Relationship Id="rId302" Type="http://schemas.openxmlformats.org/officeDocument/2006/relationships/image" Target="media/image284.png"/><Relationship Id="rId303" Type="http://schemas.openxmlformats.org/officeDocument/2006/relationships/image" Target="media/image285.png"/><Relationship Id="rId304" Type="http://schemas.openxmlformats.org/officeDocument/2006/relationships/image" Target="media/image286.png"/><Relationship Id="rId305" Type="http://schemas.openxmlformats.org/officeDocument/2006/relationships/image" Target="media/image287.png"/><Relationship Id="rId306" Type="http://schemas.openxmlformats.org/officeDocument/2006/relationships/image" Target="media/image288.png"/><Relationship Id="rId307" Type="http://schemas.openxmlformats.org/officeDocument/2006/relationships/image" Target="media/image289.png"/><Relationship Id="rId308" Type="http://schemas.openxmlformats.org/officeDocument/2006/relationships/image" Target="media/image290.png"/><Relationship Id="rId309" Type="http://schemas.openxmlformats.org/officeDocument/2006/relationships/image" Target="media/image291.png"/><Relationship Id="rId310" Type="http://schemas.openxmlformats.org/officeDocument/2006/relationships/image" Target="media/image292.png"/><Relationship Id="rId311" Type="http://schemas.openxmlformats.org/officeDocument/2006/relationships/image" Target="media/image293.png"/><Relationship Id="rId312" Type="http://schemas.openxmlformats.org/officeDocument/2006/relationships/image" Target="media/image294.png"/><Relationship Id="rId313" Type="http://schemas.openxmlformats.org/officeDocument/2006/relationships/image" Target="media/image295.png"/><Relationship Id="rId314" Type="http://schemas.openxmlformats.org/officeDocument/2006/relationships/image" Target="media/image296.png"/><Relationship Id="rId315" Type="http://schemas.openxmlformats.org/officeDocument/2006/relationships/image" Target="media/image297.png"/><Relationship Id="rId316" Type="http://schemas.openxmlformats.org/officeDocument/2006/relationships/image" Target="media/image298.png"/><Relationship Id="rId317" Type="http://schemas.openxmlformats.org/officeDocument/2006/relationships/image" Target="media/image299.png"/><Relationship Id="rId318" Type="http://schemas.openxmlformats.org/officeDocument/2006/relationships/image" Target="media/image300.png"/><Relationship Id="rId319" Type="http://schemas.openxmlformats.org/officeDocument/2006/relationships/image" Target="media/image301.png"/><Relationship Id="rId320" Type="http://schemas.openxmlformats.org/officeDocument/2006/relationships/image" Target="media/image302.png"/><Relationship Id="rId321" Type="http://schemas.openxmlformats.org/officeDocument/2006/relationships/image" Target="media/image303.png"/><Relationship Id="rId322" Type="http://schemas.openxmlformats.org/officeDocument/2006/relationships/image" Target="media/image304.png"/><Relationship Id="rId323" Type="http://schemas.openxmlformats.org/officeDocument/2006/relationships/image" Target="media/image305.png"/><Relationship Id="rId324" Type="http://schemas.openxmlformats.org/officeDocument/2006/relationships/image" Target="media/image306.png"/><Relationship Id="rId325" Type="http://schemas.openxmlformats.org/officeDocument/2006/relationships/image" Target="media/image307.png"/><Relationship Id="rId326" Type="http://schemas.openxmlformats.org/officeDocument/2006/relationships/image" Target="media/image308.png"/><Relationship Id="rId327" Type="http://schemas.openxmlformats.org/officeDocument/2006/relationships/image" Target="media/image309.png"/><Relationship Id="rId328" Type="http://schemas.openxmlformats.org/officeDocument/2006/relationships/image" Target="media/image310.png"/><Relationship Id="rId329" Type="http://schemas.openxmlformats.org/officeDocument/2006/relationships/image" Target="media/image311.png"/><Relationship Id="rId330" Type="http://schemas.openxmlformats.org/officeDocument/2006/relationships/image" Target="media/image312.png"/><Relationship Id="rId331" Type="http://schemas.openxmlformats.org/officeDocument/2006/relationships/image" Target="media/image313.png"/><Relationship Id="rId332" Type="http://schemas.openxmlformats.org/officeDocument/2006/relationships/image" Target="media/image314.png"/><Relationship Id="rId333" Type="http://schemas.openxmlformats.org/officeDocument/2006/relationships/image" Target="media/image315.png"/><Relationship Id="rId334" Type="http://schemas.openxmlformats.org/officeDocument/2006/relationships/image" Target="media/image316.png"/><Relationship Id="rId335" Type="http://schemas.openxmlformats.org/officeDocument/2006/relationships/image" Target="media/image317.png"/><Relationship Id="rId336" Type="http://schemas.openxmlformats.org/officeDocument/2006/relationships/image" Target="media/image318.png"/><Relationship Id="rId337" Type="http://schemas.openxmlformats.org/officeDocument/2006/relationships/image" Target="media/image319.png"/><Relationship Id="rId338" Type="http://schemas.openxmlformats.org/officeDocument/2006/relationships/image" Target="media/image320.png"/><Relationship Id="rId339" Type="http://schemas.openxmlformats.org/officeDocument/2006/relationships/image" Target="media/image321.png"/><Relationship Id="rId340" Type="http://schemas.openxmlformats.org/officeDocument/2006/relationships/image" Target="media/image322.png"/><Relationship Id="rId341" Type="http://schemas.openxmlformats.org/officeDocument/2006/relationships/image" Target="media/image323.png"/><Relationship Id="rId342" Type="http://schemas.openxmlformats.org/officeDocument/2006/relationships/image" Target="media/image324.png"/><Relationship Id="rId343" Type="http://schemas.openxmlformats.org/officeDocument/2006/relationships/image" Target="media/image325.png"/><Relationship Id="rId344" Type="http://schemas.openxmlformats.org/officeDocument/2006/relationships/image" Target="media/image326.jpeg"/><Relationship Id="rId345" Type="http://schemas.openxmlformats.org/officeDocument/2006/relationships/image" Target="media/image327.png"/><Relationship Id="rId346" Type="http://schemas.openxmlformats.org/officeDocument/2006/relationships/image" Target="media/image328.jpeg"/><Relationship Id="rId347" Type="http://schemas.openxmlformats.org/officeDocument/2006/relationships/image" Target="media/image329.png"/><Relationship Id="rId348" Type="http://schemas.openxmlformats.org/officeDocument/2006/relationships/image" Target="media/image330.jpeg"/><Relationship Id="rId349" Type="http://schemas.openxmlformats.org/officeDocument/2006/relationships/image" Target="media/image331.png"/><Relationship Id="rId350" Type="http://schemas.openxmlformats.org/officeDocument/2006/relationships/image" Target="media/image332.jpeg"/><Relationship Id="rId351" Type="http://schemas.openxmlformats.org/officeDocument/2006/relationships/image" Target="media/image333.png"/><Relationship Id="rId352" Type="http://schemas.openxmlformats.org/officeDocument/2006/relationships/image" Target="media/image334.jpeg"/><Relationship Id="rId353" Type="http://schemas.openxmlformats.org/officeDocument/2006/relationships/image" Target="media/image335.png"/><Relationship Id="rId62" Type="http://schemas.openxmlformats.org/officeDocument/2006/relationships/hyperlink" Target="http://www.sec.gov/Archives/edgar/data/1426332/000156459020011422/ngm-10k_20191231.htm" TargetMode="External"/><Relationship Id="rId63" Type="http://schemas.openxmlformats.org/officeDocument/2006/relationships/hyperlink" Target="http://www.sec.gov/Archives/edgar/data/1426332/000156459020015813/ngm-def14a_20200520.htm" TargetMode="External"/><Relationship Id="rId64" Type="http://schemas.openxmlformats.org/officeDocument/2006/relationships/hyperlink" Target="http://www.sec.gov/Archives/edgar/data/1426332/000156459020025077/ngm-10q_20200331.htm" TargetMode="External"/><Relationship Id="rId65" Type="http://schemas.openxmlformats.org/officeDocument/2006/relationships/hyperlink" Target="http://www.sec.gov/Archives/edgar/data/1426332/000156459020004611/ngm-8k_20200211.htm" TargetMode="External"/><Relationship Id="rId66" Type="http://schemas.openxmlformats.org/officeDocument/2006/relationships/hyperlink" Target="http://www.sec.gov/Archives/edgar/data/1426332/000156459020005893/ngm-8k_20200224.htm" TargetMode="External"/><Relationship Id="rId67" Type="http://schemas.openxmlformats.org/officeDocument/2006/relationships/hyperlink" Target="http://www.sec.gov/Archives/edgar/data/1426332/000156459020009378/ngm-8k_20200303.htm" TargetMode="External"/><Relationship Id="rId68" Type="http://schemas.openxmlformats.org/officeDocument/2006/relationships/hyperlink" Target="http://www.sec.gov/Archives/edgar/data/1426332/000156459020027030/ngm-8k_20200520.htm" TargetMode="External"/><Relationship Id="rId69" Type="http://schemas.openxmlformats.org/officeDocument/2006/relationships/hyperlink" Target="http://www.sec.gov/Archives/edgar/data/1426332/000119312519092888/d730351d8a12b.htm" TargetMode="External"/><Relationship Id="rId112" Type="http://schemas.openxmlformats.org/officeDocument/2006/relationships/hyperlink" Target="http://www.sec.gov/Archives/edgar/data/1426332/000119312519100757/d731361dex31.htm" TargetMode="External"/><Relationship Id="rId113" Type="http://schemas.openxmlformats.org/officeDocument/2006/relationships/hyperlink" Target="http://www.sec.gov/Archives/edgar/data/1426332/000119312518287727/d693178dex34.htm" TargetMode="External"/><Relationship Id="rId114" Type="http://schemas.openxmlformats.org/officeDocument/2006/relationships/hyperlink" Target="http://www.sec.gov/Archives/edgar/data/1426332/000119312519094494/d69317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2020-06-05T16:25:01Z</dcterms:created>
  <dcterms:modified xsi:type="dcterms:W3CDTF">2020-06-05T16:25:01Z</dcterms:modified>
</cp:coreProperties>
</file>