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April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60" w:firstLine="648"/>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§240.13d-7 for other parties to whom copies are to be sent.</w:t>
      </w:r>
    </w:p>
    <w:p>
      <w:pPr>
        <w:spacing w:after="0" w:line="135"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1" w:lineRule="exact"/>
        <w:rPr>
          <w:sz w:val="24"/>
          <w:szCs w:val="24"/>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3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2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3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4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5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6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7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Capital,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8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9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Capital 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10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11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12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III-A,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13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14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IV,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15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IV-A,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16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17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18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Opportunity III,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19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20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21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 PF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22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 PF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Page 23 of 27</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3"/>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 PF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3" w:name="page24"/>
    <w:bookmarkEnd w:id="23"/>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24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Amendment No. 8 supplements and amends the Schedule 13D relating to shares of common stock, par value $0.001 per share (the “Common Stock”), of NGM Biopharmaceuticals, Inc., a Delaware corporation (the “Issuer”), that was filed with the Securities and Exchange Commission (the “SEC”) on April 12, 2019 as it has been amended by Amendment No. 1, Amendment No. 2, Amendment No. 3, Amendment No. 4, Amendment No. 5, Amendment No. 6 and Amendment No. 7 that were filed with the SEC on May 17, 2019, October 18, 2019, April 2, 2020, February 3, 2022, June 10, 2022, December 29, 2023 and February 26, 2024, respectively (collectively,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hereof is hereby incorporated by reference into this Item 3, as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Amended Statement is hereby amended and supplemented by adding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Offer and Closing of the Merger</w:t>
      </w:r>
    </w:p>
    <w:p>
      <w:pPr>
        <w:spacing w:after="0" w:line="227"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7"/>
          <w:szCs w:val="17"/>
          <w:color w:val="auto"/>
        </w:rPr>
        <w:t>As previously disclosed, on March 8, 2024, Parent and Purchaser commenced an offer (referred to herein as the “Offer”) to purchase all outstanding shares of Common Stock of the Issuer, other than the Rollover Shares (as defined in the Offer to Purchase) for $1.55 per share in cash (the “Offer Price”), upon the terms and subject to the conditions described in the Offer to Purchase, dated March 8, 2024 (as amended and supplemented on March 22, 2024, the “Offer to Purchase”), and in the related Letter of Transmittal (which, together with the Offer to Purchase, constituted the “Offer”).</w:t>
      </w:r>
    </w:p>
    <w:p>
      <w:pPr>
        <w:spacing w:after="0" w:line="1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Offer expired at one minute after 11:59 p.m. Eastern Time on Thursday, April 4, 2024 (the “Expiration Date”) and was not further extended. Equiniti Trust Company LLC, acting as the depositary and paying agent for the Offer, has advised Parent and Purchaser that, as of the Expiration Date, a total of 22,323,295 shares of Common Stock were validly tendered, and not validly withdrawn, representing approximately 27% of shares of Common Stock outstanding as of the Expiration Date and a majority of the shares of Common Stock owned by the Unaffiliated Stockholders (as defined in the Offer to Purchase). As of the Expiration Date, the number of shares of Common Stock validly tendered in accordance with the terms of the Offer and not validly withdrawn satisfied the Minimum Tender Condition (as defined in the Offer to Purchase), and all other conditions to the Offer were satisfied or waived. Immediately after the Expiration Date, Purchaser irrevocably accepted for payment all shares of Common Stock validly tendered and not validly withdrawn pursuant to the terms of the Offer, and expects to promptly pay for such shares of Common Stock. An additional 39,516,567 shares of Common Stock, owned by the TCG Rollover Stockholders and the Rollover Stockholders, were contributed to Parent pursuant to the Rollover Agreements in exchange for shares of Parent.</w:t>
      </w:r>
    </w:p>
    <w:p>
      <w:pPr>
        <w:spacing w:after="0" w:line="194"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As a result of its acceptance of the shares of Common Stock tendered pursuant to the Offer and the contribution of shares of Common Stock pursuant to the Rollover Agreements (as defined in the Offer to Purchase), in accordance with Section 251(h) of the Delaware General Corporation Law (the “DGCL”), Purchaser owned a number of shares of Common Stock that was greater than the percentage of shares of Common Stock that would be required to adopt the Merger Agreement by a vote of the Issuer’s stockholders. Accordingly, pursuant to the Merger Agreement, Parent and Purchaser completed the acquisition of the Issuer on April 5, 2024 by consummating the Merger pursuant to the Merger Agreement without a vote of the Issuer’s stockholders in accordance with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24" w:name="page25"/>
    <w:bookmarkEnd w:id="24"/>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Page 25 of 27</w:t>
            </w:r>
          </w:p>
        </w:tc>
      </w:tr>
    </w:tbl>
    <w:p>
      <w:pPr>
        <w:spacing w:after="0" w:line="200" w:lineRule="exact"/>
        <w:rPr>
          <w:sz w:val="20"/>
          <w:szCs w:val="20"/>
          <w:color w:val="auto"/>
        </w:rPr>
      </w:pP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251(h) of the DGCL. At the Effective Time, each outstanding Share (other than (i) any shares of Common Stock owned by the Issuer, (ii) any shares of Common Stock owned, directly or indirectly, by Parent, Purchaser or any subsidiary of Parent, the TCG Stockholders (as defined in the Offer to Purchase) or the Rollover Stockholders (as defined in the Offer to Purchase), (iii) any shares of Common Stock irrevocably accepted for purchase in the Offer and (iv) shares of Common Stock owned by any stockholders who were entitled to and who properly exercised appraisal rights under Delaware law), was cancelled and converted into the right to receive the Offer Price, without interest and subject to any applicable tax withholding, from Purchaser.</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Prior to the opening of trading on The Nasdaq Stock Market LLC (“Nasdaq”) on April 5, 2024, all shares of Common Stock ceased trading, and following the consummation of the Merger, all shares of Common Stock will be delisted from Nasdaq and deregistered under the Exchange Act.</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Offer and the Merger, Parent holds all of the issued and outstanding shares of Common Stock (now equaling 1,000 shares) of the Issuer. The Column Group, LP (“TCG LP”) owns 28.1% of Parent. Mr. Svennilson and Dr. Goeddel are the managing partners of The Column Group GP LP (“TCG GP LP”), which is the general partner of TCG 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of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 is hereby supplemented by adding the language below:</w:t>
      </w:r>
    </w:p>
    <w:p>
      <w:pPr>
        <w:spacing w:after="0" w:line="225"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As of the date hereof, TCG LP, as the general partner of Parent, beneficially owned indirectly 1,000 shares of Common Stock, representing 100% of the Issuer’s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hereof is hereby incorporated by reference into this Item 6, as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ind w:left="24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700" w:right="340" w:hanging="1062"/>
        <w:spacing w:after="0" w:line="258" w:lineRule="auto"/>
        <w:tabs>
          <w:tab w:leader="none" w:pos="1700" w:val="left"/>
        </w:tabs>
        <w:numPr>
          <w:ilvl w:val="0"/>
          <w:numId w:val="1"/>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Agreement and Plan of Merger between the Issuer, Parent and Purchaser, dated February 25, 2024 (incorporated by reference to</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Exhibit 2.1 to the Issuer’s Current Report on Form 8-K filed with the SEC on February 26, 2024)</w:t>
        </w:r>
      </w:hyperlink>
    </w:p>
    <w:p>
      <w:pPr>
        <w:ind w:left="1700" w:right="180" w:hanging="1062"/>
        <w:spacing w:after="0" w:line="250" w:lineRule="auto"/>
        <w:tabs>
          <w:tab w:leader="none" w:pos="1700" w:val="left"/>
        </w:tabs>
        <w:numPr>
          <w:ilvl w:val="0"/>
          <w:numId w:val="2"/>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Limited Guaranty, dated February 25, 2024 (incorporated by reference to Exhibit 10.1 to the Issuer’s Current Report on Form 8-K</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filed with the SEC on February 26, 2024)</w:t>
        </w:r>
      </w:hyperlink>
    </w:p>
    <w:p>
      <w:pPr>
        <w:spacing w:after="0" w:line="1" w:lineRule="exact"/>
        <w:rPr>
          <w:rFonts w:ascii="Times New Roman" w:cs="Times New Roman" w:eastAsia="Times New Roman" w:hAnsi="Times New Roman"/>
          <w:sz w:val="18"/>
          <w:szCs w:val="18"/>
          <w:color w:val="auto"/>
        </w:rPr>
      </w:pPr>
    </w:p>
    <w:p>
      <w:pPr>
        <w:ind w:left="1700" w:right="140" w:hanging="1062"/>
        <w:spacing w:after="0" w:line="250" w:lineRule="auto"/>
        <w:tabs>
          <w:tab w:leader="none" w:pos="1700" w:val="left"/>
        </w:tabs>
        <w:numPr>
          <w:ilvl w:val="0"/>
          <w:numId w:val="3"/>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TCG Rollover Agreement, between certain of the Reporting Persons, Parent and Purchaser, dated February 25, 2024 (incorporated</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by reference to Exhibit 99(e)(4) to the Issuer’s Schedule 14D-9 filed with the SEC on March 8, 2024)</w:t>
        </w:r>
      </w:hyperlink>
    </w:p>
    <w:p>
      <w:pPr>
        <w:spacing w:after="0" w:line="1" w:lineRule="exact"/>
        <w:rPr>
          <w:rFonts w:ascii="Times New Roman" w:cs="Times New Roman" w:eastAsia="Times New Roman" w:hAnsi="Times New Roman"/>
          <w:sz w:val="18"/>
          <w:szCs w:val="18"/>
          <w:color w:val="auto"/>
        </w:rPr>
      </w:pPr>
    </w:p>
    <w:p>
      <w:pPr>
        <w:ind w:left="1700" w:hanging="1062"/>
        <w:spacing w:after="0"/>
        <w:tabs>
          <w:tab w:leader="none" w:pos="1700" w:val="left"/>
        </w:tabs>
        <w:numPr>
          <w:ilvl w:val="0"/>
          <w:numId w:val="4"/>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Stockholder Rollover Agreement, between certain stockholders, Parent and Purchaser, dated February 25, 2024 (incorporated by</w:t>
        </w:r>
      </w:hyperlink>
    </w:p>
    <w:p>
      <w:pPr>
        <w:spacing w:after="0" w:line="9"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reference to Exhibit 99(e)(5) to the Issuer’s Schedule 14D-9 filed with the SEC on March 8, 2024)</w:t>
        </w:r>
      </w:hyperlink>
    </w:p>
    <w:p>
      <w:pPr>
        <w:spacing w:after="0" w:line="9" w:lineRule="exact"/>
        <w:rPr>
          <w:rFonts w:ascii="Times New Roman" w:cs="Times New Roman" w:eastAsia="Times New Roman" w:hAnsi="Times New Roman"/>
          <w:sz w:val="18"/>
          <w:szCs w:val="18"/>
          <w:color w:val="auto"/>
        </w:rPr>
      </w:pPr>
    </w:p>
    <w:p>
      <w:pPr>
        <w:ind w:left="1700" w:right="360" w:hanging="1062"/>
        <w:spacing w:after="0" w:line="260" w:lineRule="auto"/>
        <w:tabs>
          <w:tab w:leader="none" w:pos="1700" w:val="left"/>
        </w:tabs>
        <w:numPr>
          <w:ilvl w:val="0"/>
          <w:numId w:val="5"/>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Joinder to the Stockholder Rollover Agreement, dated as of March 6, 2024 (incorporated by reference to Exhibit 99(e)(6) to the</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Issuer’s Schedule 14D-9 filed with the SEC on March 8,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5" w:name="page26"/>
    <w:bookmarkEnd w:id="25"/>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26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April 5,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GP, LP</w:t>
            </w:r>
          </w:p>
        </w:tc>
        <w:tc>
          <w:tcPr>
            <w:tcW w:w="4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GP, LP</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PONOI CAPITAL,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PONOI MANAGEMENT, LLC</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PONOI CAPITAL 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PONOI II MANAGEMENT, LLC</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44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tc>
        <w:tc>
          <w:tcPr>
            <w:tcW w:w="57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THE COLUMN GROUP III-A, LP</w:t>
            </w:r>
          </w:p>
        </w:tc>
        <w:tc>
          <w:tcPr>
            <w:tcW w:w="4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440" w:type="dxa"/>
            <w:vAlign w:val="bottom"/>
          </w:tcPr>
          <w:p>
            <w:pPr>
              <w:spacing w:after="0"/>
              <w:rPr>
                <w:sz w:val="24"/>
                <w:szCs w:val="24"/>
                <w:color w:val="auto"/>
              </w:rPr>
            </w:pP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Timothy</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Timothy</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Kutzkey</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Kutzkey</w:t>
            </w:r>
          </w:p>
        </w:tc>
        <w:tc>
          <w:tcPr>
            <w:tcW w:w="4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Svennilson</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Svennilson</w:t>
            </w:r>
          </w:p>
        </w:tc>
        <w:tc>
          <w:tcPr>
            <w:tcW w:w="4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David V.</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David V.</w:t>
            </w:r>
          </w:p>
        </w:tc>
        <w:tc>
          <w:tcPr>
            <w:tcW w:w="4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Goeddel</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Goeddel</w:t>
            </w:r>
          </w:p>
        </w:tc>
        <w:tc>
          <w:tcPr>
            <w:tcW w:w="440" w:type="dxa"/>
            <w:vAlign w:val="bottom"/>
          </w:tcPr>
          <w:p>
            <w:pPr>
              <w:spacing w:after="0"/>
              <w:rPr>
                <w:sz w:val="20"/>
                <w:szCs w:val="20"/>
                <w:color w:val="auto"/>
              </w:rPr>
            </w:pPr>
          </w:p>
        </w:tc>
      </w:tr>
      <w:tr>
        <w:trPr>
          <w:trHeight w:val="567"/>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80" w:type="dxa"/>
            <w:vAlign w:val="bottom"/>
            <w:tcBorders>
              <w:top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8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440" w:gutter="0" w:footer="0" w:header="0"/>
          <w:type w:val="continuous"/>
        </w:sectPr>
      </w:pPr>
    </w:p>
    <w:bookmarkStart w:id="26" w:name="page27"/>
    <w:bookmarkEnd w:id="26"/>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27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61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5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IV-A,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IV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TCG IV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Partner &amp; Chief Financial Officer</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TIMOTHY KUTZKEY</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PETER SVENNILSON</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1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DAVID V. GOEDDEL</w:t>
            </w:r>
          </w:p>
        </w:tc>
        <w:tc>
          <w:tcPr>
            <w:tcW w:w="61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6160" w:type="dxa"/>
            <w:vAlign w:val="bottom"/>
          </w:tcPr>
          <w:p>
            <w:pPr>
              <w:spacing w:after="0"/>
              <w:rPr>
                <w:sz w:val="24"/>
                <w:szCs w:val="24"/>
                <w:color w:val="auto"/>
              </w:rPr>
            </w:pPr>
          </w:p>
        </w:tc>
      </w:tr>
      <w:tr>
        <w:trPr>
          <w:trHeight w:val="784"/>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0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22" Type="http://schemas.openxmlformats.org/officeDocument/2006/relationships/hyperlink" Target="https://www.sec.gov/Archives/edgar/data/1426332/000119312524046296/d796872dex21.htm" TargetMode="External"/><Relationship Id="rId23" Type="http://schemas.openxmlformats.org/officeDocument/2006/relationships/hyperlink" Target="https://www.sec.gov/Archives/edgar/data/1426332/000119312524046296/d796872dex101.htm" TargetMode="External"/><Relationship Id="rId24" Type="http://schemas.openxmlformats.org/officeDocument/2006/relationships/hyperlink" Target="https://www.sec.gov/Archives/edgar/data/1426332/000119312524063802/d808981dex99e4.htm" TargetMode="External"/><Relationship Id="rId25" Type="http://schemas.openxmlformats.org/officeDocument/2006/relationships/hyperlink" Target="https://www.sec.gov/Archives/edgar/data/1426332/000119312524063802/d808981dex99e5.htm" TargetMode="External"/><Relationship Id="rId26" Type="http://schemas.openxmlformats.org/officeDocument/2006/relationships/hyperlink" Target="https://www.sec.gov/Archives/edgar/data/1426332/000119312524063802/d808981dex99e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2024-04-05T09:58:58Z</dcterms:created>
  <dcterms:modified xsi:type="dcterms:W3CDTF">2024-04-05T09:58:58Z</dcterms:modified>
</cp:coreProperties>
</file>