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CHEN JIN-LONG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Scientific Officer</w:t>
      </w:r>
    </w:p>
    <w:p>
      <w:pPr>
        <w:spacing w:after="0" w:line="347" w:lineRule="exact"/>
        <w:rPr>
          <w:sz w:val="24"/>
          <w:szCs w:val="24"/>
          <w:color w:val="auto"/>
        </w:rPr>
      </w:pPr>
    </w:p>
    <w:p>
      <w:pPr>
        <w:sectPr>
          <w:pgSz w:w="11900" w:h="16838" w:orient="portrait"/>
          <w:cols w:equalWidth="0" w:num="3">
            <w:col w:w="3200" w:space="720"/>
            <w:col w:w="3540" w:space="275"/>
            <w:col w:w="3345"/>
          </w:cols>
          <w:pgMar w:left="460" w:top="225" w:right="35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10/11/2021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20.41</w:t>
            </w:r>
            <w:r>
              <w:rPr>
                <w:rFonts w:ascii="Arial" w:cs="Arial" w:eastAsia="Arial" w:hAnsi="Arial"/>
                <w:sz w:val="22"/>
                <w:szCs w:val="22"/>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914,449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10/12/2021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20.14</w:t>
            </w:r>
            <w:r>
              <w:rPr>
                <w:rFonts w:ascii="Arial" w:cs="Arial" w:eastAsia="Arial" w:hAnsi="Arial"/>
                <w:sz w:val="22"/>
                <w:szCs w:val="22"/>
                <w:color w:val="008000"/>
                <w:w w:val="94"/>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899,449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July 6, 2021.</w:t>
      </w:r>
    </w:p>
    <w:p>
      <w:pPr>
        <w:spacing w:after="0" w:line="50" w:lineRule="exact"/>
        <w:rPr>
          <w:rFonts w:ascii="Arial" w:cs="Arial" w:eastAsia="Arial" w:hAnsi="Arial"/>
          <w:sz w:val="13"/>
          <w:szCs w:val="13"/>
          <w:color w:val="008000"/>
        </w:rPr>
      </w:pPr>
    </w:p>
    <w:p>
      <w:pPr>
        <w:ind w:left="40" w:right="58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$19.75 to $20.66. The reporting person has provided to the issuer, and undertakes to provide to the staff of the Commission or any security holder of the issuer, upon request, full information regarding the number of shares sold at each separate price within the range.</w:t>
      </w:r>
    </w:p>
    <w:p>
      <w:pPr>
        <w:ind w:left="40" w:right="58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$19.91 to $20.52. The reporting person has provided to the issuer, and undertakes to provide to the staff of the Commission or any security holder of the issuer, upon request, full information regarding the number of shares sold at each separate price within the range.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Jin-Long Chen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10/13/2021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2996"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2021-10-13T15:37:04Z</dcterms:created>
  <dcterms:modified xsi:type="dcterms:W3CDTF">2021-10-13T15:37:04Z</dcterms:modified>
</cp:coreProperties>
</file>