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8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822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WOODHOUSE DAVID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OYSTER POINT BOULEVARD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6"/>
        <w:spacing w:after="0"/>
        <w:rPr>
          <w:sz w:val="20"/>
          <w:szCs w:val="20"/>
          <w:color w:val="auto"/>
        </w:rPr>
      </w:pPr>
      <w:r>
        <w:rPr>
          <w:rFonts w:ascii="Arial" w:cs="Arial" w:eastAsia="Arial" w:hAnsi="Arial"/>
          <w:sz w:val="18"/>
          <w:szCs w:val="18"/>
          <w:color w:val="0000FF"/>
        </w:rPr>
        <w:t>CEO and acting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80,000</w:t>
            </w:r>
            <w:r>
              <w:rPr>
                <w:rFonts w:ascii="Arial" w:cs="Arial" w:eastAsia="Arial" w:hAnsi="Arial"/>
                <w:sz w:val="22"/>
                <w:szCs w:val="22"/>
                <w:color w:val="008000"/>
                <w:vertAlign w:val="superscript"/>
              </w:rPr>
              <w:t>(1)</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w w:val="99"/>
              </w:rPr>
              <w:t>See Footnote</w:t>
            </w:r>
            <w:r>
              <w:rPr>
                <w:rFonts w:ascii="Arial" w:cs="Arial" w:eastAsia="Arial" w:hAnsi="Arial"/>
                <w:sz w:val="22"/>
                <w:szCs w:val="22"/>
                <w:color w:val="008000"/>
                <w:w w:val="99"/>
                <w:vertAlign w:val="superscript"/>
              </w:rPr>
              <w:t>(2)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04/21/2025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4"/>
              </w:rPr>
              <w:t>270,000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7.54</w:t>
            </w:r>
            <w:r>
              <w:rPr>
                <w:rFonts w:ascii="Arial" w:cs="Arial" w:eastAsia="Arial" w:hAnsi="Arial"/>
                <w:sz w:val="22"/>
                <w:szCs w:val="22"/>
                <w:color w:val="008000"/>
                <w:w w:val="79"/>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01/19/2027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4"/>
              </w:rPr>
              <w:t>100,000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7.7</w:t>
            </w:r>
            <w:r>
              <w:rPr>
                <w:rFonts w:ascii="Arial" w:cs="Arial" w:eastAsia="Arial" w:hAnsi="Arial"/>
                <w:sz w:val="22"/>
                <w:szCs w:val="22"/>
                <w:color w:val="008000"/>
                <w:w w:val="79"/>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01/30/2028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4"/>
              </w:rPr>
              <w:t>62,500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8.14</w:t>
            </w:r>
            <w:r>
              <w:rPr>
                <w:rFonts w:ascii="Arial" w:cs="Arial" w:eastAsia="Arial" w:hAnsi="Arial"/>
                <w:sz w:val="22"/>
                <w:szCs w:val="22"/>
                <w:color w:val="008000"/>
                <w:w w:val="79"/>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07/24/2028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4"/>
              </w:rPr>
              <w:t>500,000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76"/>
                <w:vertAlign w:val="subscript"/>
              </w:rPr>
              <w:t>11</w:t>
            </w:r>
            <w:r>
              <w:rPr>
                <w:rFonts w:ascii="Arial" w:cs="Arial" w:eastAsia="Arial" w:hAnsi="Arial"/>
                <w:sz w:val="11"/>
                <w:szCs w:val="11"/>
                <w:color w:val="008000"/>
                <w:w w:val="76"/>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02/06/2029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4"/>
              </w:rPr>
              <w:t>200,000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12.06</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1-for-2 reverse stock split of the Company's issued and outstanding securities effective March 22,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Woodhouse Family Trust 9/8/05.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April 22, 2015,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2017,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2018,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July 13, 2018,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2019, with 1/48th of the shares vesting on a monthly basis.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7"/>
              </w:rPr>
              <w:t>/s/ David J. Woodhouse</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04/03/2019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or Aetna Wun Trombley,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28,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J. Woodhouse</w:t>
      </w:r>
    </w:p>
    <w:p>
      <w:pPr>
        <w:spacing w:after="0" w:line="238" w:lineRule="auto"/>
        <w:rPr>
          <w:sz w:val="20"/>
          <w:szCs w:val="20"/>
          <w:color w:val="auto"/>
        </w:rPr>
      </w:pPr>
      <w:r>
        <w:rPr>
          <w:rFonts w:ascii="Courier New" w:cs="Courier New" w:eastAsia="Courier New" w:hAnsi="Courier New"/>
          <w:sz w:val="18"/>
          <w:szCs w:val="18"/>
          <w:color w:val="auto"/>
        </w:rPr>
        <w:t>David J. Woodhouse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2995"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2019-12-24T04:30:02Z</dcterms:created>
  <dcterms:modified xsi:type="dcterms:W3CDTF">2019-12-24T04:30:02Z</dcterms:modified>
</cp:coreProperties>
</file>