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COLUMN GROUP L 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860"/>
        <w:spacing w:after="0" w:line="365" w:lineRule="auto"/>
        <w:rPr>
          <w:sz w:val="20"/>
          <w:szCs w:val="20"/>
          <w:color w:val="auto"/>
        </w:rPr>
      </w:pPr>
      <w:r>
        <w:rPr>
          <w:rFonts w:ascii="Times New Roman" w:cs="Times New Roman" w:eastAsia="Times New Roman" w:hAnsi="Times New Roman"/>
          <w:sz w:val="17"/>
          <w:szCs w:val="17"/>
          <w:color w:val="0000FF"/>
        </w:rPr>
        <w:t>1 LETTERMAN DRIVE BUILDING D, SUITE DM-900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NGM BIOPHARMACEUTICALS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 xml:space="preserve">NGM </w:t>
      </w:r>
      <w:r>
        <w:rPr>
          <w:rFonts w:ascii="Times New Roman" w:cs="Times New Roman" w:eastAsia="Times New Roman" w:hAnsi="Times New Roman"/>
          <w:sz w:val="21"/>
          <w:szCs w:val="21"/>
          <w:color w:val="000000"/>
        </w:rPr>
        <w:t>]</w:t>
      </w:r>
    </w:p>
    <w:p>
      <w:pPr>
        <w:spacing w:after="0" w:line="35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06/02/2022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98" w:lineRule="exact"/>
        <w:rPr>
          <w:sz w:val="24"/>
          <w:szCs w:val="24"/>
          <w:color w:val="auto"/>
        </w:rPr>
      </w:pPr>
    </w:p>
    <w:p>
      <w:pPr>
        <w:sectPr>
          <w:pgSz w:w="11900" w:h="16838" w:orient="portrait"/>
          <w:cols w:equalWidth="0" w:num="3">
            <w:col w:w="3200" w:space="720"/>
            <w:col w:w="3540" w:space="275"/>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300" w:type="dxa"/>
            <w:vAlign w:val="bottom"/>
            <w:tcBorders>
              <w:bottom w:val="single" w:sz="8" w:color="9A9A9A"/>
            </w:tcBorders>
          </w:tcPr>
          <w:p>
            <w:pPr>
              <w:spacing w:after="0"/>
              <w:rPr>
                <w:sz w:val="2"/>
                <w:szCs w:val="2"/>
                <w:color w:val="auto"/>
              </w:rPr>
            </w:pPr>
          </w:p>
        </w:tc>
        <w:tc>
          <w:tcPr>
            <w:tcW w:w="820" w:type="dxa"/>
            <w:vAlign w:val="bottom"/>
            <w:tcBorders>
              <w:bottom w:val="single" w:sz="8" w:color="9A9A9A"/>
            </w:tcBorders>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80" w:type="dxa"/>
            <w:vAlign w:val="bottom"/>
            <w:tcBorders>
              <w:top w:val="single" w:sz="8" w:color="2C2C2C"/>
              <w:bottom w:val="single" w:sz="8" w:color="2C2C2C"/>
            </w:tcBorders>
            <w:gridSpan w:val="9"/>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tcBorders>
              <w:top w:val="single" w:sz="8" w:color="2C2C2C"/>
              <w:bottom w:val="single" w:sz="8" w:color="2C2C2C"/>
            </w:tcBorders>
            <w:gridSpan w:val="10"/>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30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80" w:type="dxa"/>
            <w:vAlign w:val="bottom"/>
            <w:gridSpan w:val="9"/>
            <w:vMerge w:val="continue"/>
          </w:tcPr>
          <w:p>
            <w:pPr>
              <w:spacing w:after="0" w:line="20" w:lineRule="exact"/>
              <w:rPr>
                <w:sz w:val="1"/>
                <w:szCs w:val="1"/>
                <w:color w:val="auto"/>
              </w:rPr>
            </w:pPr>
          </w:p>
        </w:tc>
        <w:tc>
          <w:tcPr>
            <w:tcW w:w="3640" w:type="dxa"/>
            <w:vAlign w:val="bottom"/>
            <w:gridSpan w:val="10"/>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80" w:type="dxa"/>
            <w:vAlign w:val="bottom"/>
            <w:gridSpan w:val="9"/>
            <w:vMerge w:val="continue"/>
          </w:tcPr>
          <w:p>
            <w:pPr>
              <w:spacing w:after="0"/>
              <w:rPr>
                <w:sz w:val="11"/>
                <w:szCs w:val="11"/>
                <w:color w:val="auto"/>
              </w:rPr>
            </w:pPr>
          </w:p>
        </w:tc>
        <w:tc>
          <w:tcPr>
            <w:tcW w:w="3640" w:type="dxa"/>
            <w:vAlign w:val="bottom"/>
            <w:gridSpan w:val="10"/>
            <w:vMerge w:val="continue"/>
          </w:tcPr>
          <w:p>
            <w:pPr>
              <w:spacing w:after="0"/>
              <w:rPr>
                <w:sz w:val="11"/>
                <w:szCs w:val="11"/>
                <w:color w:val="auto"/>
              </w:rPr>
            </w:pPr>
          </w:p>
        </w:tc>
        <w:tc>
          <w:tcPr>
            <w:tcW w:w="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gridSpan w:val="4"/>
            <w:vMerge w:val="restart"/>
          </w:tcPr>
          <w:p>
            <w:pPr>
              <w:ind w:left="4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380" w:type="dxa"/>
            <w:vAlign w:val="bottom"/>
          </w:tcPr>
          <w:p>
            <w:pPr>
              <w:spacing w:after="0"/>
              <w:rPr>
                <w:sz w:val="4"/>
                <w:szCs w:val="4"/>
                <w:color w:val="auto"/>
              </w:rPr>
            </w:pPr>
          </w:p>
        </w:tc>
        <w:tc>
          <w:tcPr>
            <w:tcW w:w="7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4"/>
                <w:szCs w:val="14"/>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0" w:type="dxa"/>
            <w:vAlign w:val="bottom"/>
            <w:gridSpan w:val="8"/>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w w:val="97"/>
              </w:rPr>
              <w:t>X</w:t>
            </w:r>
          </w:p>
        </w:tc>
        <w:tc>
          <w:tcPr>
            <w:tcW w:w="3000" w:type="dxa"/>
            <w:vAlign w:val="bottom"/>
            <w:gridSpan w:val="8"/>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300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gridSpan w:val="2"/>
            <w:vMerge w:val="continue"/>
          </w:tcPr>
          <w:p>
            <w:pPr>
              <w:spacing w:after="0"/>
              <w:rPr>
                <w:sz w:val="10"/>
                <w:szCs w:val="10"/>
                <w:color w:val="auto"/>
              </w:rPr>
            </w:pPr>
          </w:p>
        </w:tc>
        <w:tc>
          <w:tcPr>
            <w:tcW w:w="1140" w:type="dxa"/>
            <w:vAlign w:val="bottom"/>
            <w:gridSpan w:val="2"/>
            <w:vMerge w:val="restart"/>
          </w:tcPr>
          <w:p>
            <w:pPr>
              <w:ind w:left="180"/>
              <w:spacing w:after="0"/>
              <w:rPr>
                <w:sz w:val="20"/>
                <w:szCs w:val="20"/>
                <w:color w:val="auto"/>
              </w:rPr>
            </w:pPr>
            <w:r>
              <w:rPr>
                <w:rFonts w:ascii="Arial" w:cs="Arial" w:eastAsia="Arial" w:hAnsi="Arial"/>
                <w:sz w:val="13"/>
                <w:szCs w:val="13"/>
                <w:color w:val="auto"/>
              </w:rPr>
              <w:t>Person</w:t>
            </w: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6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3460" w:type="dxa"/>
            <w:vAlign w:val="bottom"/>
            <w:tcBorders>
              <w:bottom w:val="single" w:sz="8" w:color="2C2C2C"/>
            </w:tcBorders>
            <w:gridSpan w:val="8"/>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62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6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60" w:type="dxa"/>
            <w:vAlign w:val="bottom"/>
          </w:tcPr>
          <w:p>
            <w:pPr>
              <w:spacing w:after="0"/>
              <w:rPr>
                <w:sz w:val="15"/>
                <w:szCs w:val="15"/>
                <w:color w:val="auto"/>
              </w:rPr>
            </w:pP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w w:val="96"/>
              </w:rPr>
              <w:t>2A. Deemed</w:t>
            </w:r>
          </w:p>
        </w:tc>
        <w:tc>
          <w:tcPr>
            <w:tcW w:w="360" w:type="dxa"/>
            <w:vAlign w:val="bottom"/>
          </w:tcPr>
          <w:p>
            <w:pPr>
              <w:spacing w:after="0"/>
              <w:rPr>
                <w:sz w:val="15"/>
                <w:szCs w:val="15"/>
                <w:color w:val="auto"/>
              </w:rPr>
            </w:pPr>
          </w:p>
        </w:tc>
        <w:tc>
          <w:tcPr>
            <w:tcW w:w="3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480" w:type="dxa"/>
            <w:vAlign w:val="bottom"/>
          </w:tcPr>
          <w:p>
            <w:pPr>
              <w:spacing w:after="0"/>
              <w:rPr>
                <w:sz w:val="15"/>
                <w:szCs w:val="15"/>
                <w:color w:val="auto"/>
              </w:rPr>
            </w:pPr>
          </w:p>
        </w:tc>
        <w:tc>
          <w:tcPr>
            <w:tcW w:w="21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60" w:type="dxa"/>
            <w:vAlign w:val="bottom"/>
          </w:tcPr>
          <w:p>
            <w:pPr>
              <w:spacing w:after="0"/>
              <w:rPr>
                <w:sz w:val="11"/>
                <w:szCs w:val="11"/>
                <w:color w:val="auto"/>
              </w:rPr>
            </w:pPr>
          </w:p>
        </w:tc>
        <w:tc>
          <w:tcPr>
            <w:tcW w:w="1200" w:type="dxa"/>
            <w:vAlign w:val="bottom"/>
            <w:gridSpan w:val="4"/>
          </w:tcPr>
          <w:p>
            <w:pPr>
              <w:ind w:left="1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60" w:type="dxa"/>
            <w:vAlign w:val="bottom"/>
            <w:gridSpan w:val="6"/>
          </w:tcPr>
          <w:p>
            <w:pPr>
              <w:ind w:left="460"/>
              <w:spacing w:after="0" w:line="133" w:lineRule="exact"/>
              <w:rPr>
                <w:sz w:val="20"/>
                <w:szCs w:val="20"/>
                <w:color w:val="auto"/>
              </w:rPr>
            </w:pPr>
            <w:r>
              <w:rPr>
                <w:rFonts w:ascii="Arial" w:cs="Arial" w:eastAsia="Arial" w:hAnsi="Arial"/>
                <w:sz w:val="12"/>
                <w:szCs w:val="12"/>
                <w:b w:val="1"/>
                <w:bCs w:val="1"/>
                <w:color w:val="auto"/>
              </w:rPr>
              <w:t>(Month/Day/Year)  if any</w:t>
            </w:r>
          </w:p>
        </w:tc>
        <w:tc>
          <w:tcPr>
            <w:tcW w:w="3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w:t>
            </w:r>
          </w:p>
        </w:tc>
        <w:tc>
          <w:tcPr>
            <w:tcW w:w="1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4"/>
          </w:tcPr>
          <w:p>
            <w:pPr>
              <w:ind w:left="16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5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560" w:type="dxa"/>
            <w:vAlign w:val="bottom"/>
          </w:tcPr>
          <w:p>
            <w:pPr>
              <w:spacing w:after="0"/>
              <w:rPr>
                <w:sz w:val="13"/>
                <w:szCs w:val="13"/>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1360" w:type="dxa"/>
            <w:vAlign w:val="bottom"/>
            <w:tcBorders>
              <w:top w:val="single" w:sz="8" w:color="2C2C2C"/>
            </w:tcBorders>
            <w:gridSpan w:val="4"/>
            <w:vMerge w:val="restart"/>
          </w:tcPr>
          <w:p>
            <w:pPr>
              <w:ind w:left="12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80" w:type="dxa"/>
            <w:vAlign w:val="bottom"/>
            <w:tcBorders>
              <w:top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360" w:type="dxa"/>
            <w:vAlign w:val="bottom"/>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gridSpan w:val="2"/>
          </w:tcPr>
          <w:p>
            <w:pPr>
              <w:ind w:left="20"/>
              <w:spacing w:after="0"/>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ind w:left="120"/>
              <w:spacing w:after="0"/>
              <w:rPr>
                <w:sz w:val="20"/>
                <w:szCs w:val="20"/>
                <w:color w:val="auto"/>
              </w:rPr>
            </w:pPr>
            <w:r>
              <w:rPr>
                <w:rFonts w:ascii="Arial" w:cs="Arial" w:eastAsia="Arial" w:hAnsi="Arial"/>
                <w:sz w:val="12"/>
                <w:szCs w:val="12"/>
                <w:b w:val="1"/>
                <w:bCs w:val="1"/>
                <w:color w:val="auto"/>
              </w:rPr>
              <w:t>(D)</w:t>
            </w:r>
          </w:p>
        </w:tc>
        <w:tc>
          <w:tcPr>
            <w:tcW w:w="38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6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06/02/2022</w:t>
            </w: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480" w:type="dxa"/>
            <w:vAlign w:val="bottom"/>
          </w:tcPr>
          <w:p>
            <w:pPr>
              <w:spacing w:after="0"/>
              <w:rPr>
                <w:sz w:val="21"/>
                <w:szCs w:val="21"/>
                <w:color w:val="auto"/>
              </w:rPr>
            </w:pPr>
          </w:p>
        </w:tc>
        <w:tc>
          <w:tcPr>
            <w:tcW w:w="740" w:type="dxa"/>
            <w:vAlign w:val="bottom"/>
            <w:vMerge w:val="restart"/>
          </w:tcPr>
          <w:p>
            <w:pPr>
              <w:jc w:val="right"/>
              <w:ind w:right="31"/>
              <w:spacing w:after="0"/>
              <w:rPr>
                <w:sz w:val="20"/>
                <w:szCs w:val="20"/>
                <w:color w:val="auto"/>
              </w:rPr>
            </w:pPr>
            <w:r>
              <w:rPr>
                <w:rFonts w:ascii="Times New Roman" w:cs="Times New Roman" w:eastAsia="Times New Roman" w:hAnsi="Times New Roman"/>
                <w:sz w:val="17"/>
                <w:szCs w:val="17"/>
                <w:color w:val="0000FF"/>
              </w:rPr>
              <w:t>33,071</w:t>
            </w:r>
          </w:p>
        </w:tc>
        <w:tc>
          <w:tcPr>
            <w:tcW w:w="36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w w:val="97"/>
              </w:rPr>
              <w:t>A</w:t>
            </w:r>
          </w:p>
        </w:tc>
        <w:tc>
          <w:tcPr>
            <w:tcW w:w="1080" w:type="dxa"/>
            <w:vAlign w:val="bottom"/>
            <w:gridSpan w:val="4"/>
            <w:vMerge w:val="restart"/>
          </w:tcPr>
          <w:p>
            <w:pPr>
              <w:ind w:left="2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13.0333</w:t>
            </w:r>
            <w:r>
              <w:rPr>
                <w:rFonts w:ascii="Times New Roman" w:cs="Times New Roman" w:eastAsia="Times New Roman" w:hAnsi="Times New Roman"/>
                <w:sz w:val="22"/>
                <w:szCs w:val="22"/>
                <w:color w:val="008000"/>
                <w:vertAlign w:val="superscript"/>
              </w:rPr>
              <w:t>(1)</w:t>
            </w:r>
          </w:p>
        </w:tc>
        <w:tc>
          <w:tcPr>
            <w:tcW w:w="60" w:type="dxa"/>
            <w:vAlign w:val="bottom"/>
          </w:tcPr>
          <w:p>
            <w:pPr>
              <w:spacing w:after="0"/>
              <w:rPr>
                <w:sz w:val="21"/>
                <w:szCs w:val="21"/>
                <w:color w:val="auto"/>
              </w:rPr>
            </w:pPr>
          </w:p>
        </w:tc>
        <w:tc>
          <w:tcPr>
            <w:tcW w:w="11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1,698,493</w:t>
            </w:r>
          </w:p>
        </w:tc>
        <w:tc>
          <w:tcPr>
            <w:tcW w:w="260" w:type="dxa"/>
            <w:vAlign w:val="bottom"/>
          </w:tcPr>
          <w:p>
            <w:pPr>
              <w:spacing w:after="0"/>
              <w:rPr>
                <w:sz w:val="21"/>
                <w:szCs w:val="21"/>
                <w:color w:val="auto"/>
              </w:rPr>
            </w:pPr>
          </w:p>
        </w:tc>
        <w:tc>
          <w:tcPr>
            <w:tcW w:w="560" w:type="dxa"/>
            <w:vAlign w:val="bottom"/>
            <w:vMerge w:val="restart"/>
          </w:tcPr>
          <w:p>
            <w:pPr>
              <w:jc w:val="center"/>
              <w:ind w:right="247"/>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080" w:type="dxa"/>
            <w:vAlign w:val="bottom"/>
            <w:gridSpan w:val="4"/>
            <w:vMerge w:val="continue"/>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60" w:type="dxa"/>
            <w:vAlign w:val="bottom"/>
            <w:tcBorders>
              <w:top w:val="single" w:sz="8" w:color="2C2C2C"/>
            </w:tcBorders>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06/02/2022</w:t>
            </w: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jc w:val="right"/>
              <w:ind w:right="71"/>
              <w:spacing w:after="0"/>
              <w:rPr>
                <w:sz w:val="20"/>
                <w:szCs w:val="20"/>
                <w:color w:val="auto"/>
              </w:rPr>
            </w:pPr>
            <w:r>
              <w:rPr>
                <w:rFonts w:ascii="Times New Roman" w:cs="Times New Roman" w:eastAsia="Times New Roman" w:hAnsi="Times New Roman"/>
                <w:sz w:val="17"/>
                <w:szCs w:val="17"/>
                <w:color w:val="0000FF"/>
              </w:rPr>
              <w:t>1,129</w:t>
            </w:r>
          </w:p>
        </w:tc>
        <w:tc>
          <w:tcPr>
            <w:tcW w:w="360" w:type="dxa"/>
            <w:vAlign w:val="bottom"/>
            <w:tcBorders>
              <w:top w:val="single" w:sz="8" w:color="2C2C2C"/>
            </w:tcBorders>
            <w:vMerge w:val="restart"/>
          </w:tcPr>
          <w:p>
            <w:pPr>
              <w:ind w:left="220"/>
              <w:spacing w:after="0"/>
              <w:rPr>
                <w:sz w:val="20"/>
                <w:szCs w:val="20"/>
                <w:color w:val="auto"/>
              </w:rPr>
            </w:pPr>
            <w:r>
              <w:rPr>
                <w:rFonts w:ascii="Times New Roman" w:cs="Times New Roman" w:eastAsia="Times New Roman" w:hAnsi="Times New Roman"/>
                <w:sz w:val="17"/>
                <w:szCs w:val="17"/>
                <w:color w:val="0000FF"/>
                <w:w w:val="97"/>
              </w:rPr>
              <w:t>A</w:t>
            </w:r>
          </w:p>
        </w:tc>
        <w:tc>
          <w:tcPr>
            <w:tcW w:w="1080" w:type="dxa"/>
            <w:vAlign w:val="bottom"/>
            <w:tcBorders>
              <w:top w:val="single" w:sz="8" w:color="2C2C2C"/>
            </w:tcBorders>
            <w:gridSpan w:val="4"/>
            <w:vMerge w:val="restart"/>
          </w:tcPr>
          <w:p>
            <w:pPr>
              <w:ind w:left="2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13.0333</w:t>
            </w:r>
            <w:r>
              <w:rPr>
                <w:rFonts w:ascii="Times New Roman" w:cs="Times New Roman" w:eastAsia="Times New Roman" w:hAnsi="Times New Roman"/>
                <w:sz w:val="22"/>
                <w:szCs w:val="22"/>
                <w:color w:val="008000"/>
                <w:vertAlign w:val="superscript"/>
              </w:rPr>
              <w:t>(1)</w:t>
            </w: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w w:val="98"/>
              </w:rPr>
              <w:t>57,965</w:t>
            </w:r>
          </w:p>
        </w:tc>
        <w:tc>
          <w:tcPr>
            <w:tcW w:w="2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247"/>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080" w:type="dxa"/>
            <w:vAlign w:val="bottom"/>
            <w:gridSpan w:val="4"/>
            <w:vMerge w:val="continue"/>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13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5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28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320" w:type="dxa"/>
            <w:vAlign w:val="bottom"/>
            <w:tcBorders>
              <w:top w:val="single" w:sz="8" w:color="2C2C2C"/>
              <w:bottom w:val="single" w:sz="8" w:color="2C2C2C"/>
            </w:tcBorders>
          </w:tcPr>
          <w:p>
            <w:pPr>
              <w:spacing w:after="0"/>
              <w:rPr>
                <w:sz w:val="24"/>
                <w:szCs w:val="24"/>
                <w:color w:val="auto"/>
              </w:rPr>
            </w:pPr>
          </w:p>
        </w:tc>
        <w:tc>
          <w:tcPr>
            <w:tcW w:w="48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380" w:type="dxa"/>
            <w:vAlign w:val="bottom"/>
            <w:tcBorders>
              <w:top w:val="single" w:sz="8" w:color="2C2C2C"/>
              <w:bottom w:val="single" w:sz="8" w:color="2C2C2C"/>
            </w:tcBorders>
          </w:tcPr>
          <w:p>
            <w:pPr>
              <w:spacing w:after="0"/>
              <w:rPr>
                <w:sz w:val="24"/>
                <w:szCs w:val="24"/>
                <w:color w:val="auto"/>
              </w:rPr>
            </w:pPr>
          </w:p>
        </w:tc>
        <w:tc>
          <w:tcPr>
            <w:tcW w:w="54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1140" w:type="dxa"/>
            <w:vAlign w:val="bottom"/>
            <w:tcBorders>
              <w:top w:val="single" w:sz="8" w:color="2C2C2C"/>
              <w:bottom w:val="single" w:sz="8" w:color="2C2C2C"/>
            </w:tcBorders>
            <w:gridSpan w:val="2"/>
          </w:tcPr>
          <w:p>
            <w:pPr>
              <w:jc w:val="center"/>
              <w:ind w:right="60"/>
              <w:spacing w:after="0"/>
              <w:rPr>
                <w:sz w:val="20"/>
                <w:szCs w:val="20"/>
                <w:color w:val="auto"/>
              </w:rPr>
            </w:pPr>
            <w:r>
              <w:rPr>
                <w:rFonts w:ascii="Times New Roman" w:cs="Times New Roman" w:eastAsia="Times New Roman" w:hAnsi="Times New Roman"/>
                <w:sz w:val="17"/>
                <w:szCs w:val="17"/>
                <w:color w:val="0000FF"/>
              </w:rPr>
              <w:t>11,103,333</w:t>
            </w:r>
          </w:p>
        </w:tc>
        <w:tc>
          <w:tcPr>
            <w:tcW w:w="260" w:type="dxa"/>
            <w:vAlign w:val="bottom"/>
            <w:tcBorders>
              <w:top w:val="single" w:sz="8" w:color="2C2C2C"/>
              <w:bottom w:val="single" w:sz="8" w:color="2C2C2C"/>
            </w:tcBorders>
          </w:tcPr>
          <w:p>
            <w:pPr>
              <w:spacing w:after="0"/>
              <w:rPr>
                <w:sz w:val="24"/>
                <w:szCs w:val="24"/>
                <w:color w:val="auto"/>
              </w:rPr>
            </w:pPr>
          </w:p>
        </w:tc>
        <w:tc>
          <w:tcPr>
            <w:tcW w:w="560" w:type="dxa"/>
            <w:vAlign w:val="bottom"/>
            <w:tcBorders>
              <w:top w:val="single" w:sz="8" w:color="2C2C2C"/>
              <w:bottom w:val="single" w:sz="8" w:color="2C2C2C"/>
            </w:tcBorders>
          </w:tcPr>
          <w:p>
            <w:pPr>
              <w:jc w:val="center"/>
              <w:ind w:right="247"/>
              <w:spacing w:after="0" w:line="320" w:lineRule="exact"/>
              <w:rPr>
                <w:sz w:val="20"/>
                <w:szCs w:val="20"/>
                <w:color w:val="auto"/>
              </w:rPr>
            </w:pPr>
            <w:r>
              <w:rPr>
                <w:rFonts w:ascii="Times New Roman" w:cs="Times New Roman" w:eastAsia="Times New Roman" w:hAnsi="Times New Roman"/>
                <w:sz w:val="34"/>
                <w:szCs w:val="34"/>
                <w:color w:val="0000FF"/>
                <w:w w:val="82"/>
                <w:vertAlign w:val="subscript"/>
              </w:rPr>
              <w:t>D</w:t>
            </w:r>
            <w:r>
              <w:rPr>
                <w:rFonts w:ascii="Times New Roman" w:cs="Times New Roman" w:eastAsia="Times New Roman" w:hAnsi="Times New Roman"/>
                <w:sz w:val="11"/>
                <w:szCs w:val="11"/>
                <w:color w:val="008000"/>
                <w:w w:val="82"/>
              </w:rPr>
              <w:t>(4)</w:t>
            </w:r>
          </w:p>
        </w:tc>
        <w:tc>
          <w:tcPr>
            <w:tcW w:w="34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0000FF"/>
              </w:rPr>
              <w:t>858,035</w:t>
            </w:r>
          </w:p>
        </w:tc>
        <w:tc>
          <w:tcPr>
            <w:tcW w:w="260" w:type="dxa"/>
            <w:vAlign w:val="bottom"/>
          </w:tcPr>
          <w:p>
            <w:pPr>
              <w:spacing w:after="0"/>
              <w:rPr>
                <w:sz w:val="21"/>
                <w:szCs w:val="21"/>
                <w:color w:val="auto"/>
              </w:rPr>
            </w:pPr>
          </w:p>
        </w:tc>
        <w:tc>
          <w:tcPr>
            <w:tcW w:w="560" w:type="dxa"/>
            <w:vAlign w:val="bottom"/>
            <w:vMerge w:val="restart"/>
          </w:tcPr>
          <w:p>
            <w:pPr>
              <w:jc w:val="center"/>
              <w:ind w:right="247"/>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0000FF"/>
              </w:rPr>
              <w:t>968,990</w:t>
            </w:r>
          </w:p>
        </w:tc>
        <w:tc>
          <w:tcPr>
            <w:tcW w:w="2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247"/>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2,265,758</w:t>
            </w:r>
          </w:p>
        </w:tc>
        <w:tc>
          <w:tcPr>
            <w:tcW w:w="2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247"/>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1,298,908</w:t>
            </w:r>
          </w:p>
        </w:tc>
        <w:tc>
          <w:tcPr>
            <w:tcW w:w="2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247"/>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1,298,908</w:t>
            </w:r>
          </w:p>
        </w:tc>
        <w:tc>
          <w:tcPr>
            <w:tcW w:w="2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247"/>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0000FF"/>
              </w:rPr>
              <w:t>100,000</w:t>
            </w:r>
          </w:p>
        </w:tc>
        <w:tc>
          <w:tcPr>
            <w:tcW w:w="2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247"/>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0000FF"/>
              </w:rPr>
              <w:t>100,000</w:t>
            </w:r>
          </w:p>
        </w:tc>
        <w:tc>
          <w:tcPr>
            <w:tcW w:w="2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247"/>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w w:val="98"/>
              </w:rPr>
              <w:t>15,000</w:t>
            </w:r>
          </w:p>
        </w:tc>
        <w:tc>
          <w:tcPr>
            <w:tcW w:w="2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247"/>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w w:val="98"/>
              </w:rPr>
              <w:t>44,000</w:t>
            </w:r>
          </w:p>
        </w:tc>
        <w:tc>
          <w:tcPr>
            <w:tcW w:w="2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247"/>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04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0" w:type="dxa"/>
            <w:vAlign w:val="bottom"/>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0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6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00" w:type="dxa"/>
            <w:vAlign w:val="bottom"/>
            <w:tcBorders>
              <w:right w:val="single" w:sz="8" w:color="2C2C2C"/>
            </w:tcBorders>
            <w:gridSpan w:val="3"/>
          </w:tcPr>
          <w:p>
            <w:pPr>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2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derivative</w:t>
            </w:r>
          </w:p>
        </w:tc>
        <w:tc>
          <w:tcPr>
            <w:tcW w:w="260" w:type="dxa"/>
            <w:vAlign w:val="bottom"/>
          </w:tcPr>
          <w:p>
            <w:pPr>
              <w:spacing w:after="0"/>
              <w:rPr>
                <w:sz w:val="11"/>
                <w:szCs w:val="11"/>
                <w:color w:val="auto"/>
              </w:rPr>
            </w:pPr>
          </w:p>
        </w:tc>
        <w:tc>
          <w:tcPr>
            <w:tcW w:w="9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9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Following</w:t>
            </w:r>
          </w:p>
        </w:tc>
        <w:tc>
          <w:tcPr>
            <w:tcW w:w="260" w:type="dxa"/>
            <w:vAlign w:val="bottom"/>
          </w:tcPr>
          <w:p>
            <w:pPr>
              <w:spacing w:after="0"/>
              <w:rPr>
                <w:sz w:val="11"/>
                <w:szCs w:val="11"/>
                <w:color w:val="auto"/>
              </w:rPr>
            </w:pPr>
          </w:p>
        </w:tc>
        <w:tc>
          <w:tcPr>
            <w:tcW w:w="9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12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360" w:type="dxa"/>
            <w:vAlign w:val="bottom"/>
          </w:tcPr>
          <w:p>
            <w:pPr>
              <w:spacing w:after="0"/>
              <w:rPr>
                <w:sz w:val="14"/>
                <w:szCs w:val="14"/>
                <w:color w:val="auto"/>
              </w:rPr>
            </w:pPr>
          </w:p>
        </w:tc>
        <w:tc>
          <w:tcPr>
            <w:tcW w:w="38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30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134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6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-1814195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COLUMN GROUP L P</w:t>
        </w:r>
      </w:hyperlink>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3050540</wp:posOffset>
            </wp:positionH>
            <wp:positionV relativeFrom="page">
              <wp:posOffset>88900</wp:posOffset>
            </wp:positionV>
            <wp:extent cx="42545"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42545" cy="10526395"/>
                    </a:xfrm>
                    <a:prstGeom prst="rect">
                      <a:avLst/>
                    </a:prstGeom>
                    <a:noFill/>
                  </pic:spPr>
                </pic:pic>
              </a:graphicData>
            </a:graphic>
          </wp:anchor>
        </w:drawing>
        <w:drawing>
          <wp:anchor simplePos="0" relativeHeight="251657728" behindDoc="1" locked="0" layoutInCell="0" allowOverlap="1">
            <wp:simplePos x="0" y="0"/>
            <wp:positionH relativeFrom="page">
              <wp:posOffset>283845</wp:posOffset>
            </wp:positionH>
            <wp:positionV relativeFrom="page">
              <wp:posOffset>88900</wp:posOffset>
            </wp:positionV>
            <wp:extent cx="42545" cy="10526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2545" cy="105263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36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360" w:type="dxa"/>
            <w:vAlign w:val="bottom"/>
            <w:gridSpan w:val="5"/>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360" w:type="dxa"/>
            <w:vAlign w:val="bottom"/>
            <w:gridSpan w:val="5"/>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36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560" w:type="dxa"/>
            <w:vAlign w:val="bottom"/>
            <w:gridSpan w:val="6"/>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COLUMN GROUP GP, LP</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36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1700 OWENS STREET</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SUITE 500</w:t>
            </w: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360" w:type="dxa"/>
            <w:vAlign w:val="bottom"/>
            <w:gridSpan w:val="5"/>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360" w:type="dxa"/>
            <w:vAlign w:val="bottom"/>
            <w:gridSpan w:val="5"/>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36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560" w:type="dxa"/>
            <w:vAlign w:val="bottom"/>
            <w:gridSpan w:val="6"/>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COLUMN GROUP III, LP</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36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1700 OWENS STREET</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SUITE 500</w:t>
            </w: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360" w:type="dxa"/>
            <w:vAlign w:val="bottom"/>
            <w:gridSpan w:val="5"/>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360" w:type="dxa"/>
            <w:vAlign w:val="bottom"/>
            <w:gridSpan w:val="5"/>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36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560" w:type="dxa"/>
            <w:vAlign w:val="bottom"/>
            <w:tcBorders>
              <w:bottom w:val="single" w:sz="8" w:color="0000EE"/>
            </w:tcBorders>
            <w:gridSpan w:val="6"/>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COLUMN GROUP III-A, LP</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36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1700 OWENS STREET</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SUITE 500</w:t>
            </w: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360" w:type="dxa"/>
            <w:vAlign w:val="bottom"/>
            <w:gridSpan w:val="5"/>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360" w:type="dxa"/>
            <w:vAlign w:val="bottom"/>
            <w:gridSpan w:val="5"/>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36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560" w:type="dxa"/>
            <w:vAlign w:val="bottom"/>
            <w:gridSpan w:val="6"/>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Column Group IV, LP</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36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360" w:type="dxa"/>
            <w:vAlign w:val="bottom"/>
            <w:gridSpan w:val="5"/>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360" w:type="dxa"/>
            <w:vAlign w:val="bottom"/>
            <w:gridSpan w:val="5"/>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36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560" w:type="dxa"/>
            <w:vAlign w:val="bottom"/>
            <w:gridSpan w:val="6"/>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Column Group IV-A, LP</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36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-9177020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-9177020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-8610600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-8610600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-7908290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-7908290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-7256780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-7256780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-6689725</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-6689725</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-5987415</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-5987415</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-5335905</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-5335905</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-4768850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-4768850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-4066540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-4066540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-3415030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-3415030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-2847975</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-2847975</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-2145665</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-2145665</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-1494155</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-1494155</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-927100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-927100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-224790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-224790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 LETTERMAN DRIVE</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BUILDING D, SUITE DM-900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100965</wp:posOffset>
            </wp:positionV>
            <wp:extent cx="267398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279" w:lineRule="exact"/>
        <w:rPr>
          <w:sz w:val="20"/>
          <w:szCs w:val="20"/>
          <w:color w:val="auto"/>
        </w:rPr>
      </w:pPr>
    </w:p>
    <w:p>
      <w:pPr>
        <w:ind w:left="60"/>
        <w:spacing w:after="0"/>
        <w:rPr>
          <w:sz w:val="20"/>
          <w:szCs w:val="20"/>
          <w:color w:val="auto"/>
        </w:rPr>
      </w:pPr>
      <w:r>
        <w:rPr>
          <w:rFonts w:ascii="Arial" w:cs="Arial" w:eastAsia="Arial" w:hAnsi="Arial"/>
          <w:sz w:val="13"/>
          <w:szCs w:val="13"/>
          <w:color w:val="auto"/>
        </w:rPr>
        <w:t>(Street)</w:t>
      </w:r>
    </w:p>
    <w:p>
      <w:pPr>
        <w:sectPr>
          <w:pgSz w:w="11900" w:h="16858" w:orient="portrait"/>
          <w:cols w:equalWidth="0" w:num="1">
            <w:col w:w="9979"/>
          </w:cols>
          <w:pgMar w:left="480" w:top="167" w:right="1440" w:bottom="0" w:gutter="0" w:footer="0" w:header="0"/>
        </w:sectPr>
      </w:pPr>
    </w:p>
    <w:p>
      <w:pPr>
        <w:spacing w:after="0" w:line="35" w:lineRule="exact"/>
        <w:rPr>
          <w:sz w:val="20"/>
          <w:szCs w:val="20"/>
          <w:color w:val="auto"/>
        </w:rPr>
      </w:pPr>
    </w:p>
    <w:p>
      <w:pPr>
        <w:ind w:left="100"/>
        <w:spacing w:after="0"/>
        <w:tabs>
          <w:tab w:leader="none" w:pos="1480" w:val="left"/>
          <w:tab w:leader="none" w:pos="2880" w:val="left"/>
        </w:tabs>
        <w:rPr>
          <w:sz w:val="20"/>
          <w:szCs w:val="20"/>
          <w:color w:val="auto"/>
        </w:rPr>
      </w:pPr>
      <w:r>
        <w:rPr>
          <w:rFonts w:ascii="Times New Roman" w:cs="Times New Roman" w:eastAsia="Times New Roman" w:hAnsi="Times New Roman"/>
          <w:sz w:val="17"/>
          <w:szCs w:val="17"/>
          <w:color w:val="0000FF"/>
        </w:rPr>
        <w:t>SAN</w:t>
      </w:r>
      <w:r>
        <w:rPr>
          <w:sz w:val="20"/>
          <w:szCs w:val="20"/>
          <w:color w:val="auto"/>
        </w:rPr>
        <w:tab/>
      </w:r>
      <w:r>
        <w:rPr>
          <w:rFonts w:ascii="Times New Roman" w:cs="Times New Roman" w:eastAsia="Times New Roman" w:hAnsi="Times New Roman"/>
          <w:sz w:val="17"/>
          <w:szCs w:val="17"/>
          <w:color w:val="0000FF"/>
        </w:rPr>
        <w:t>CA</w:t>
      </w:r>
      <w:r>
        <w:rPr>
          <w:sz w:val="20"/>
          <w:szCs w:val="20"/>
          <w:color w:val="auto"/>
        </w:rPr>
        <w:tab/>
      </w:r>
      <w:r>
        <w:rPr>
          <w:rFonts w:ascii="Times New Roman" w:cs="Times New Roman" w:eastAsia="Times New Roman" w:hAnsi="Times New Roman"/>
          <w:sz w:val="17"/>
          <w:szCs w:val="17"/>
          <w:color w:val="0000FF"/>
        </w:rPr>
        <w:t>94129</w:t>
      </w:r>
    </w:p>
    <w:p>
      <w:pPr>
        <w:sectPr>
          <w:pgSz w:w="11900" w:h="16858" w:orient="portrait"/>
          <w:cols w:equalWidth="0" w:num="1">
            <w:col w:w="9979"/>
          </w:cols>
          <w:pgMar w:left="480" w:top="167" w:right="1440" w:bottom="0" w:gutter="0" w:footer="0" w:header="0"/>
          <w:type w:val="continuous"/>
        </w:sectPr>
      </w:pPr>
    </w:p>
    <w:bookmarkStart w:id="2" w:name="page3"/>
    <w:bookmarkEnd w:id="2"/>
    <w:p>
      <w:pPr>
        <w:spacing w:after="0" w:line="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FRANCISCO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-114300</wp:posOffset>
            </wp:positionV>
            <wp:extent cx="2809240" cy="43618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2809240" cy="4361815"/>
                    </a:xfrm>
                    <a:prstGeom prst="rect">
                      <a:avLst/>
                    </a:prstGeom>
                    <a:noFill/>
                  </pic:spPr>
                </pic:pic>
              </a:graphicData>
            </a:graphic>
          </wp:anchor>
        </w:drawing>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660" w:type="dxa"/>
            <w:vAlign w:val="bottom"/>
            <w:gridSpan w:val="4"/>
          </w:tcPr>
          <w:p>
            <w:pPr>
              <w:spacing w:after="0" w:line="227" w:lineRule="exact"/>
              <w:rPr>
                <w:rFonts w:ascii="Times New Roman" w:cs="Times New Roman" w:eastAsia="Times New Roman" w:hAnsi="Times New Roman"/>
                <w:sz w:val="21"/>
                <w:szCs w:val="21"/>
                <w:color w:val="0000EE"/>
              </w:rPr>
            </w:pPr>
            <w:hyperlink r:id="rId54">
              <w:r>
                <w:rPr>
                  <w:rFonts w:ascii="Times New Roman" w:cs="Times New Roman" w:eastAsia="Times New Roman" w:hAnsi="Times New Roman"/>
                  <w:sz w:val="21"/>
                  <w:szCs w:val="21"/>
                  <w:color w:val="0000EE"/>
                </w:rPr>
                <w:t>Column Group IV GP,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460" w:type="dxa"/>
            <w:vAlign w:val="bottom"/>
            <w:gridSpan w:val="3"/>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60" w:type="dxa"/>
            <w:vAlign w:val="bottom"/>
            <w:gridSpan w:val="3"/>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660" w:type="dxa"/>
            <w:vAlign w:val="bottom"/>
            <w:gridSpan w:val="4"/>
          </w:tcPr>
          <w:p>
            <w:pPr>
              <w:spacing w:after="0" w:line="227" w:lineRule="exact"/>
              <w:rPr>
                <w:rFonts w:ascii="Times New Roman" w:cs="Times New Roman" w:eastAsia="Times New Roman" w:hAnsi="Times New Roman"/>
                <w:sz w:val="21"/>
                <w:szCs w:val="21"/>
                <w:color w:val="0000EE"/>
              </w:rPr>
            </w:pPr>
            <w:hyperlink r:id="rId55">
              <w:r>
                <w:rPr>
                  <w:rFonts w:ascii="Times New Roman" w:cs="Times New Roman" w:eastAsia="Times New Roman" w:hAnsi="Times New Roman"/>
                  <w:sz w:val="21"/>
                  <w:szCs w:val="21"/>
                  <w:color w:val="0000EE"/>
                </w:rPr>
                <w:t>TCG IV GP,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460" w:type="dxa"/>
            <w:vAlign w:val="bottom"/>
            <w:gridSpan w:val="3"/>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60" w:type="dxa"/>
            <w:vAlign w:val="bottom"/>
            <w:gridSpan w:val="3"/>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$13.02 to $13.48, inclusive. The Reporting Person undertakes to provide to the Issuer, any security holder of the Issuer or the staff of the Securities Exchange Commission, upon request, full information regarding the number of securities purchased at each separate price within the ranges set forth in this footnote (1) to this Form 4.</w:t>
      </w:r>
    </w:p>
    <w:p>
      <w:pPr>
        <w:spacing w:after="0" w:line="20" w:lineRule="exact"/>
        <w:rPr>
          <w:rFonts w:ascii="Times New Roman" w:cs="Times New Roman" w:eastAsia="Times New Roman" w:hAnsi="Times New Roman"/>
          <w:sz w:val="13"/>
          <w:szCs w:val="13"/>
          <w:color w:val="008000"/>
        </w:rPr>
      </w:pPr>
    </w:p>
    <w:p>
      <w:pPr>
        <w:ind w:left="20" w:right="20" w:firstLine="7"/>
        <w:spacing w:after="0" w:line="244"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IV, LP ("TCG IV LP"). The Column Group IV GP, LP ("TCG IV GP LP") is the general partner of TCG IV LP and may be deemed to have voting and investment power with respect to these securities. TCG IV GP LLC ("TCG IV LLC") is the general partner of TCG IV GP LP and the ultimate general partner of TCG IV LP and may be deemed to have voting and investment power with respect to these securities. The managing members of TCG IV LLC are David Goeddel, a member of the issuer's board of directors, Peter Svennilson and Tim Kutzkey (collectively, the "TCG IV Managing Members"). The TCG IV Managing Members may be deemed to share voting and investment power with respect to such securities. TCG IV GP LP, TCG IV LLC and each of the TCG IV Managing Members disclaim beneficial ownership of these securities, except to the extent of their respective pecuniary interest in such securities.</w:t>
      </w:r>
    </w:p>
    <w:p>
      <w:pPr>
        <w:spacing w:after="0" w:line="26" w:lineRule="exact"/>
        <w:rPr>
          <w:rFonts w:ascii="Times New Roman" w:cs="Times New Roman" w:eastAsia="Times New Roman" w:hAnsi="Times New Roman"/>
          <w:sz w:val="13"/>
          <w:szCs w:val="13"/>
          <w:color w:val="008000"/>
        </w:rPr>
      </w:pPr>
    </w:p>
    <w:p>
      <w:pPr>
        <w:ind w:left="20" w:right="180" w:firstLine="7"/>
        <w:spacing w:after="0" w:line="244"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IV-A, LP ("TCG IV-A LP"). TCG IV GP LP is the general partner of TCG IV-A LP and may be deemed to have voting and investment power with respect to these securities. TCG IV LLC is the general partner of TCG IV GP LP and the ultimate general partner of TCG IV-A LP and may be deemed to have voting and investment power with respect to these securities. The managing members of TCG IV LLC are the TCG IV Managing Members. The TCG IV Managing Members may be deemed to share voting and investment power with respect to such securities. TCG IV GP LP, TCG IV LLC and each of the TCG IV Managing Members disclaim beneficial ownership of these securities, except to the extent of their respective pecuniary interest in such securities.</w:t>
      </w:r>
    </w:p>
    <w:p>
      <w:pPr>
        <w:spacing w:after="0" w:line="26" w:lineRule="exact"/>
        <w:rPr>
          <w:rFonts w:ascii="Times New Roman" w:cs="Times New Roman" w:eastAsia="Times New Roman" w:hAnsi="Times New Roman"/>
          <w:sz w:val="13"/>
          <w:szCs w:val="13"/>
          <w:color w:val="008000"/>
        </w:rPr>
      </w:pPr>
    </w:p>
    <w:p>
      <w:pPr>
        <w:ind w:left="20" w:right="10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LP ("TCG LP").The Column Group GP, LP ("TCG GP") is the general partner of TCG LP and may be deemed to have voting and investment power with respect to these securities. The managing partners of TCG GP are David Goeddel, a member of the issuer's board of directors and Peter Svennilson (the "TCG Managing Partners"). The TCG Managing Partners may be deemed to share voting and investment power with respect to such securities. TCG GP and each of the TCG Managing Partners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left="2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III, LP ("TCG III LP"). The Column Group III GP, LP ("TCG III GP") is the general partner of TCG III LP and may be deemed to have voting and investment power with respect to these securities. The managing partners of TCG III GP are David Goeddel, a member of the issuer's board of directors, Peter Svennilson and Tim Kutzkey (collectively, the "TCG III Managing Partners"). The TCG III GP Managing Partners may be deemed to share voting and investment power with respect to such securities. TCG III GP and each of the TCG III Managing Partners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left="20" w:right="180" w:firstLine="7"/>
        <w:spacing w:after="0" w:line="248"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III-A, LP ("TCG III-A LP"). TCG III GP is the general partner of TCG III-A LP and may be deemed to have voting and investment power with respect to these securities. The managing partners of TCG III GP are the TCG III GP Managing Partners. The TCG III Managing Partners may be deemed to share voting and investment power with respect to such securities. TCG III GP and each of the TCG III Managing Partners disclaim beneficial ownership of these securities, except to the extent of their respective pecuniary interest in such securities.</w:t>
      </w:r>
    </w:p>
    <w:p>
      <w:pPr>
        <w:spacing w:after="0" w:line="176" w:lineRule="exact"/>
        <w:rPr>
          <w:rFonts w:ascii="Times New Roman" w:cs="Times New Roman" w:eastAsia="Times New Roman" w:hAnsi="Times New Roman"/>
          <w:sz w:val="13"/>
          <w:szCs w:val="13"/>
          <w:color w:val="008000"/>
        </w:rPr>
      </w:pPr>
    </w:p>
    <w:p>
      <w:pPr>
        <w:ind w:left="20" w:right="24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 LP ("TCG II LP"). The Column Group II GP LP ("TCG II GP") is the general partner of TCG II LP and may be deemed to have voting and investment power with respect to these securities. The managing partners of TCG II GP are the TCG Managing Partners. The TCG Managing Partners may be deemed to share voting and investment power with respect to such securities. TCG II GP and each of the TCG Managing Partners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left="20" w:right="40" w:firstLine="7"/>
        <w:spacing w:after="0" w:line="248"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Ponoi Capital, LP ("Ponoi LP"). Ponoi Management, LLC ("Ponoi LLC") is the general partner of Ponoi LP and may be deemed to have voting and investment power with respect to these securities. The managing members of Ponoi LLC are the Ponoi Managing Partners. The TCG III Managing Partners may be deemed to share voting and investment power with respect to such securities. Ponoi LLC and the each of the TCG III Managing Partners disclaims beneficial ownership of these securities, except to the extent of their respective pecuniary interest in such securities.</w:t>
      </w:r>
    </w:p>
    <w:p>
      <w:pPr>
        <w:spacing w:after="0" w:line="176" w:lineRule="exact"/>
        <w:rPr>
          <w:rFonts w:ascii="Times New Roman" w:cs="Times New Roman" w:eastAsia="Times New Roman" w:hAnsi="Times New Roman"/>
          <w:sz w:val="13"/>
          <w:szCs w:val="13"/>
          <w:color w:val="008000"/>
        </w:rPr>
      </w:pPr>
    </w:p>
    <w:p>
      <w:pPr>
        <w:jc w:val="both"/>
        <w:ind w:left="20" w:right="20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Ponoi Capital II, LP ("Ponoi II LP"). Ponoi II Management, LLC ("Ponoi II LLC") is the general partner of Ponoi II LP and may be deemed to have voting and investment power with respect to these securities. The managing members of Ponoi II LLC are the TCG III Managing Partners. The TCG III Managing Partners may be deemed to share voting and investment power with respect to such securities. Ponoi II LLC and the each of the TCG III Managing Partners disclaims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left="20" w:right="200" w:firstLine="7"/>
        <w:spacing w:after="0" w:line="272" w:lineRule="auto"/>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TCG GP. The managing partners of TCG GP are the TCG Managing Partners. The TCG Managing Partners may be deemed to share voting and investment power with respect to such securities. Each of the TCG Managing Partners disclaim beneficial ownership of these securities, except to the extent of their respective pecuniary interest in such securities.</w:t>
      </w:r>
    </w:p>
    <w:p>
      <w:pPr>
        <w:spacing w:after="0" w:line="7" w:lineRule="exact"/>
        <w:rPr>
          <w:rFonts w:ascii="Times New Roman" w:cs="Times New Roman" w:eastAsia="Times New Roman" w:hAnsi="Times New Roman"/>
          <w:sz w:val="13"/>
          <w:szCs w:val="13"/>
          <w:color w:val="008000"/>
        </w:rPr>
      </w:pPr>
    </w:p>
    <w:p>
      <w:pPr>
        <w:ind w:left="220" w:hanging="193"/>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Management LP ("TCGM LP"). The managing partners of TCGM LP are the TCG Managing Partners. The TCG Managing Partners may be</w:t>
      </w:r>
    </w:p>
    <w:p>
      <w:pPr>
        <w:spacing w:after="0" w:line="11" w:lineRule="exact"/>
        <w:rPr>
          <w:rFonts w:ascii="Times New Roman" w:cs="Times New Roman" w:eastAsia="Times New Roman" w:hAnsi="Times New Roman"/>
          <w:sz w:val="13"/>
          <w:szCs w:val="13"/>
          <w:color w:val="008000"/>
        </w:rPr>
      </w:pPr>
    </w:p>
    <w:p>
      <w:pPr>
        <w:ind w:left="20" w:right="8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deemed to share voting and investment power with respect to such securities. Each of the TCG Managing Partners disclaim beneficial ownership of these securities, except to the extent of their respective pecuniary interest in such securities.</w:t>
      </w:r>
    </w:p>
    <w:p>
      <w:pPr>
        <w:spacing w:after="0" w:line="21" w:lineRule="exact"/>
        <w:rPr>
          <w:rFonts w:ascii="Times New Roman" w:cs="Times New Roman" w:eastAsia="Times New Roman" w:hAnsi="Times New Roman"/>
          <w:sz w:val="13"/>
          <w:szCs w:val="13"/>
          <w:color w:val="008000"/>
        </w:rPr>
      </w:pPr>
    </w:p>
    <w:p>
      <w:pPr>
        <w:ind w:left="220" w:hanging="193"/>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solely by Tim Kutzkey.</w:t>
      </w:r>
    </w:p>
    <w:p>
      <w:pPr>
        <w:spacing w:after="0" w:line="50" w:lineRule="exact"/>
        <w:rPr>
          <w:rFonts w:ascii="Times New Roman" w:cs="Times New Roman" w:eastAsia="Times New Roman" w:hAnsi="Times New Roman"/>
          <w:sz w:val="13"/>
          <w:szCs w:val="13"/>
          <w:color w:val="008000"/>
        </w:rPr>
      </w:pPr>
    </w:p>
    <w:p>
      <w:pPr>
        <w:ind w:left="220" w:hanging="193"/>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Peter Svennilson.</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008000"/>
        </w:rPr>
        <w:t>Due to SEC restrictions on the number of reporting owners, this is Form 2 of 2.</w:t>
      </w:r>
    </w:p>
    <w:p>
      <w:pPr>
        <w:sectPr>
          <w:pgSz w:w="11900" w:h="16844" w:orient="portrait"/>
          <w:cols w:equalWidth="0" w:num="1">
            <w:col w:w="10920"/>
          </w:cols>
          <w:pgMar w:left="480" w:top="125" w:right="499" w:bottom="0" w:gutter="0" w:footer="0" w:header="0"/>
        </w:sectPr>
      </w:pPr>
    </w:p>
    <w:p>
      <w:pPr>
        <w:spacing w:after="0" w:line="7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0877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6870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Column Group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0203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100203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0877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6870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Column Group 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5631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0877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6870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44" w:orient="portrait"/>
          <w:cols w:equalWidth="0" w:num="2">
            <w:col w:w="8280" w:space="480"/>
            <w:col w:w="2160"/>
          </w:cols>
          <w:pgMar w:left="480" w:top="125" w:right="499" w:bottom="0" w:gutter="0" w:footer="0" w:header="0"/>
          <w:type w:val="continuous"/>
        </w:sectPr>
      </w:pPr>
    </w:p>
    <w:bookmarkStart w:id="3" w:name="page4"/>
    <w:bookmarkEnd w:id="3"/>
    <w:p>
      <w:pPr>
        <w:ind w:left="6540"/>
        <w:spacing w:after="0"/>
        <w:rPr>
          <w:sz w:val="20"/>
          <w:szCs w:val="20"/>
          <w:color w:val="auto"/>
        </w:rPr>
      </w:pPr>
      <w:r>
        <w:rPr>
          <w:rFonts w:ascii="Times New Roman" w:cs="Times New Roman" w:eastAsia="Times New Roman" w:hAnsi="Times New Roman"/>
          <w:sz w:val="17"/>
          <w:szCs w:val="17"/>
          <w:color w:val="0000FF"/>
        </w:rPr>
        <w:t>Column Group III-A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725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1072515" cy="8255"/>
                    </a:xfrm>
                    <a:prstGeom prst="rect">
                      <a:avLst/>
                    </a:prstGeom>
                    <a:noFill/>
                  </pic:spPr>
                </pic:pic>
              </a:graphicData>
            </a:graphic>
          </wp:anchor>
        </w:drawing>
      </w:r>
    </w:p>
    <w:p>
      <w:pPr>
        <w:spacing w:after="0" w:line="5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458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112458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626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96266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IV-A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IV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03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TCG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6174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59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375920"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40" w:space="200"/>
            <w:col w:w="1440"/>
          </w:cols>
          <w:pgMar w:left="500" w:top="125" w:right="1219"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png"/><Relationship Id="rId83" Type="http://schemas.openxmlformats.org/officeDocument/2006/relationships/image" Target="media/image67.png"/><Relationship Id="rId84" Type="http://schemas.openxmlformats.org/officeDocument/2006/relationships/image" Target="media/image68.png"/><Relationship Id="rId85" Type="http://schemas.openxmlformats.org/officeDocument/2006/relationships/image" Target="media/image69.png"/><Relationship Id="rId86" Type="http://schemas.openxmlformats.org/officeDocument/2006/relationships/image" Target="media/image70.png"/><Relationship Id="rId87" Type="http://schemas.openxmlformats.org/officeDocument/2006/relationships/image" Target="media/image71.png"/><Relationship Id="rId12" Type="http://schemas.openxmlformats.org/officeDocument/2006/relationships/hyperlink" Target="http://www.sec.gov/cgi-bin/browse-edgar?action=getcompany&amp;CIK=0001347769" TargetMode="External"/><Relationship Id="rId13" Type="http://schemas.openxmlformats.org/officeDocument/2006/relationships/hyperlink" Target="http://www.sec.gov/cgi-bin/browse-edgar?action=getcompany&amp;CIK=0001426332" TargetMode="External"/><Relationship Id="rId17" Type="http://schemas.openxmlformats.org/officeDocument/2006/relationships/hyperlink" Target="http://www.sec.gov/cgi-bin/browse-edgar?action=getcompany&amp;CIK=0001614627" TargetMode="External"/><Relationship Id="rId18" Type="http://schemas.openxmlformats.org/officeDocument/2006/relationships/hyperlink" Target="http://www.sec.gov/cgi-bin/browse-edgar?action=getcompany&amp;CIK=0001668159" TargetMode="External"/><Relationship Id="rId19" Type="http://schemas.openxmlformats.org/officeDocument/2006/relationships/hyperlink" Target="http://www.sec.gov/cgi-bin/browse-edgar?action=getcompany&amp;CIK=0001668085" TargetMode="External"/><Relationship Id="rId20" Type="http://schemas.openxmlformats.org/officeDocument/2006/relationships/hyperlink" Target="http://www.sec.gov/cgi-bin/browse-edgar?action=getcompany&amp;CIK=0001796354" TargetMode="External"/><Relationship Id="rId21" Type="http://schemas.openxmlformats.org/officeDocument/2006/relationships/hyperlink" Target="http://www.sec.gov/cgi-bin/browse-edgar?action=getcompany&amp;CIK=0001796353" TargetMode="External"/><Relationship Id="rId54" Type="http://schemas.openxmlformats.org/officeDocument/2006/relationships/hyperlink" Target="http://www.sec.gov/cgi-bin/browse-edgar?action=getcompany&amp;CIK=0001796356" TargetMode="External"/><Relationship Id="rId55" Type="http://schemas.openxmlformats.org/officeDocument/2006/relationships/hyperlink" Target="http://www.sec.gov/cgi-bin/browse-edgar?action=getcompany&amp;CIK=00017963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2022-06-06T15:46:08Z</dcterms:created>
  <dcterms:modified xsi:type="dcterms:W3CDTF">2022-06-06T15:46:08Z</dcterms:modified>
</cp:coreProperties>
</file>